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B1DFF" w:rsidP="005311C2" w:rsidRDefault="003B1DFF" w14:paraId="14261A85" w14:textId="77777777">
      <w:pPr>
        <w:jc w:val="center"/>
        <w:rPr>
          <w:b/>
          <w:bCs/>
          <w:sz w:val="44"/>
          <w:szCs w:val="40"/>
        </w:rPr>
      </w:pPr>
    </w:p>
    <w:p w:rsidR="003B1DFF" w:rsidP="005311C2" w:rsidRDefault="003B1DFF" w14:paraId="2975087C" w14:textId="77777777">
      <w:pPr>
        <w:jc w:val="center"/>
        <w:rPr>
          <w:b/>
          <w:bCs/>
          <w:sz w:val="44"/>
          <w:szCs w:val="40"/>
        </w:rPr>
      </w:pPr>
    </w:p>
    <w:p w:rsidR="003B1DFF" w:rsidP="005311C2" w:rsidRDefault="003B1DFF" w14:paraId="0A7CE25E" w14:textId="77777777">
      <w:pPr>
        <w:jc w:val="center"/>
        <w:rPr>
          <w:b/>
          <w:bCs/>
          <w:sz w:val="44"/>
          <w:szCs w:val="40"/>
        </w:rPr>
      </w:pPr>
    </w:p>
    <w:p w:rsidR="003B1DFF" w:rsidP="005311C2" w:rsidRDefault="003B1DFF" w14:paraId="797DCFBA" w14:textId="77777777">
      <w:pPr>
        <w:jc w:val="center"/>
        <w:rPr>
          <w:b/>
          <w:bCs/>
          <w:sz w:val="44"/>
          <w:szCs w:val="40"/>
        </w:rPr>
      </w:pPr>
    </w:p>
    <w:p w:rsidR="00E034A0" w:rsidP="005311C2" w:rsidRDefault="00E034A0" w14:paraId="1BBF91CE" w14:textId="00E3BF32">
      <w:pPr>
        <w:spacing w:line="240" w:lineRule="auto"/>
        <w:rPr>
          <w:b/>
          <w:bCs/>
          <w:sz w:val="44"/>
          <w:szCs w:val="40"/>
        </w:rPr>
      </w:pPr>
    </w:p>
    <w:p w:rsidRPr="005311C2" w:rsidR="003B1DFF" w:rsidP="005D5A4C" w:rsidRDefault="003B1DFF" w14:paraId="6AE0B442" w14:textId="44D9F4E2">
      <w:pPr>
        <w:spacing w:line="240" w:lineRule="auto"/>
        <w:jc w:val="center"/>
        <w:rPr>
          <w:sz w:val="36"/>
          <w:szCs w:val="32"/>
        </w:rPr>
      </w:pPr>
      <w:r w:rsidRPr="005311C2">
        <w:rPr>
          <w:sz w:val="36"/>
          <w:szCs w:val="32"/>
        </w:rPr>
        <w:t>Module:</w:t>
      </w:r>
      <w:r w:rsidRPr="005311C2" w:rsidR="00A1748B">
        <w:rPr>
          <w:sz w:val="36"/>
          <w:szCs w:val="32"/>
        </w:rPr>
        <w:t xml:space="preserve"> LCBB6001</w:t>
      </w:r>
      <w:r w:rsidRPr="005D5A4C" w:rsidR="005D5A4C">
        <w:rPr>
          <w:sz w:val="36"/>
          <w:szCs w:val="32"/>
        </w:rPr>
        <w:t xml:space="preserve"> </w:t>
      </w:r>
      <w:r w:rsidRPr="005311C2" w:rsidR="005D5A4C">
        <w:rPr>
          <w:sz w:val="36"/>
          <w:szCs w:val="32"/>
        </w:rPr>
        <w:t>International Business Communications</w:t>
      </w:r>
    </w:p>
    <w:p w:rsidRPr="005311C2" w:rsidR="003B1DFF" w:rsidP="005311C2" w:rsidRDefault="003B1DFF" w14:paraId="59392762" w14:textId="293529FE">
      <w:pPr>
        <w:spacing w:line="240" w:lineRule="auto"/>
        <w:jc w:val="center"/>
        <w:rPr>
          <w:sz w:val="36"/>
          <w:szCs w:val="32"/>
        </w:rPr>
      </w:pPr>
      <w:r w:rsidRPr="005311C2">
        <w:rPr>
          <w:sz w:val="36"/>
          <w:szCs w:val="32"/>
        </w:rPr>
        <w:t>Component 1: Essay</w:t>
      </w:r>
    </w:p>
    <w:p w:rsidRPr="005311C2" w:rsidR="003B1DFF" w:rsidP="005311C2" w:rsidRDefault="003B1DFF" w14:paraId="106D3E8B" w14:textId="7ED2C6D5">
      <w:pPr>
        <w:spacing w:line="240" w:lineRule="auto"/>
        <w:jc w:val="center"/>
        <w:rPr>
          <w:sz w:val="36"/>
          <w:szCs w:val="32"/>
        </w:rPr>
      </w:pPr>
      <w:r w:rsidRPr="005311C2">
        <w:rPr>
          <w:sz w:val="36"/>
          <w:szCs w:val="32"/>
        </w:rPr>
        <w:t>Company: Tesco</w:t>
      </w:r>
    </w:p>
    <w:p w:rsidRPr="005311C2" w:rsidR="00A1748B" w:rsidP="005311C2" w:rsidRDefault="00A1748B" w14:paraId="45C0C9D7" w14:textId="598521A9">
      <w:pPr>
        <w:spacing w:line="240" w:lineRule="auto"/>
        <w:jc w:val="center"/>
        <w:rPr>
          <w:b/>
          <w:bCs/>
          <w:sz w:val="40"/>
          <w:szCs w:val="36"/>
        </w:rPr>
      </w:pPr>
      <w:r w:rsidRPr="0E5FDD92" w:rsidR="00A1748B">
        <w:rPr>
          <w:b w:val="1"/>
          <w:bCs w:val="1"/>
          <w:sz w:val="40"/>
          <w:szCs w:val="40"/>
        </w:rPr>
        <w:t>Topic:  British Multinational Expansion: TESCO's Potential Entry into the EU Market</w:t>
      </w:r>
    </w:p>
    <w:p w:rsidR="0E5FDD92" w:rsidP="0E5FDD92" w:rsidRDefault="0E5FDD92" w14:paraId="446D86F9" w14:textId="06838179">
      <w:pPr>
        <w:spacing w:line="240" w:lineRule="auto"/>
        <w:jc w:val="center"/>
        <w:rPr>
          <w:b w:val="1"/>
          <w:bCs w:val="1"/>
          <w:sz w:val="40"/>
          <w:szCs w:val="40"/>
        </w:rPr>
      </w:pPr>
    </w:p>
    <w:p w:rsidR="4074FF11" w:rsidP="0E5FDD92" w:rsidRDefault="4074FF11" w14:paraId="2EE890B8" w14:textId="3047A8F9">
      <w:pPr>
        <w:spacing w:line="240" w:lineRule="auto"/>
        <w:jc w:val="center"/>
        <w:rPr>
          <w:b w:val="1"/>
          <w:bCs w:val="1"/>
          <w:sz w:val="40"/>
          <w:szCs w:val="40"/>
        </w:rPr>
      </w:pPr>
      <w:r w:rsidRPr="0E5FDD92" w:rsidR="4074FF11">
        <w:rPr>
          <w:b w:val="1"/>
          <w:bCs w:val="1"/>
          <w:sz w:val="40"/>
          <w:szCs w:val="40"/>
        </w:rPr>
        <w:t>Student Name:Radostin Angelov</w:t>
      </w:r>
    </w:p>
    <w:p w:rsidR="4074FF11" w:rsidP="0E5FDD92" w:rsidRDefault="4074FF11" w14:paraId="6E3AA2B0" w14:textId="63EA873B">
      <w:pPr>
        <w:spacing w:line="240" w:lineRule="auto"/>
        <w:jc w:val="center"/>
        <w:rPr>
          <w:b w:val="1"/>
          <w:bCs w:val="1"/>
          <w:sz w:val="40"/>
          <w:szCs w:val="40"/>
        </w:rPr>
      </w:pPr>
      <w:r w:rsidRPr="0E5FDD92" w:rsidR="4074FF11">
        <w:rPr>
          <w:b w:val="1"/>
          <w:bCs w:val="1"/>
          <w:sz w:val="40"/>
          <w:szCs w:val="40"/>
        </w:rPr>
        <w:t>Student ID: 2132532</w:t>
      </w:r>
    </w:p>
    <w:p w:rsidR="003B1DFF" w:rsidP="005311C2" w:rsidRDefault="003B1DFF" w14:paraId="5A0D24DD" w14:textId="77777777">
      <w:pPr>
        <w:spacing w:after="160"/>
        <w:jc w:val="left"/>
      </w:pPr>
      <w:r>
        <w:br w:type="page"/>
      </w:r>
    </w:p>
    <w:p w:rsidR="00E034A0" w:rsidP="005311C2" w:rsidRDefault="0036430F" w14:paraId="4461FA32" w14:textId="7C44C459">
      <w:r w:rsidRPr="0036430F">
        <w:lastRenderedPageBreak/>
        <w:t>The current British business communication environment can be character</w:t>
      </w:r>
      <w:r w:rsidR="008D6E0A">
        <w:t>is</w:t>
      </w:r>
      <w:r w:rsidRPr="0036430F">
        <w:t xml:space="preserve">ed as rapidly changing due to such large-scale geopolitical processes as Brexit. As the UK is trying to find its place in the new international setting after Brexit, British MNEs have both threats and opportunities for their further establishment and operation within the EU economies. The following essay aims at </w:t>
      </w:r>
      <w:r w:rsidRPr="0036430F" w:rsidR="00453A6F">
        <w:t>analysing</w:t>
      </w:r>
      <w:r w:rsidRPr="0036430F">
        <w:t xml:space="preserve"> TESCO which is one of the largest retailing companies </w:t>
      </w:r>
      <w:r w:rsidR="00453A6F">
        <w:t>in</w:t>
      </w:r>
      <w:r w:rsidRPr="0036430F">
        <w:t xml:space="preserve"> the UK to identify the possibility of its operation in any one of the </w:t>
      </w:r>
      <w:r w:rsidR="00453A6F">
        <w:t>EU-based</w:t>
      </w:r>
      <w:r w:rsidRPr="0036430F">
        <w:t xml:space="preserve"> </w:t>
      </w:r>
      <w:r w:rsidR="00453A6F">
        <w:t>countries</w:t>
      </w:r>
      <w:r w:rsidRPr="0036430F">
        <w:t xml:space="preserve">. Communication has emerged as an essential aspect </w:t>
      </w:r>
      <w:r w:rsidR="00453A6F">
        <w:t>of</w:t>
      </w:r>
      <w:r w:rsidRPr="0036430F">
        <w:t xml:space="preserve"> business since the world is rapidly becoming a global village. The markets in the EU are diverse and require organ</w:t>
      </w:r>
      <w:r w:rsidR="008D6E0A">
        <w:t>is</w:t>
      </w:r>
      <w:r w:rsidRPr="0036430F">
        <w:t xml:space="preserve">ations with a British base to deal with the cultural and language barriers as well as the differences in business practices. It has been found that the flexibility of communication strategies about local contexts and at the same time the creation of a company’s image as a single entity is very important in the process of entering new markets. This essay will compare two potential EU countries for expansion for TESCO based on factors like cultural </w:t>
      </w:r>
      <w:r w:rsidR="00453A6F">
        <w:t>differences</w:t>
      </w:r>
      <w:r w:rsidRPr="0036430F">
        <w:t xml:space="preserve">, social setting, language </w:t>
      </w:r>
      <w:r w:rsidR="00453A6F">
        <w:t>issues</w:t>
      </w:r>
      <w:r w:rsidRPr="0036430F">
        <w:t xml:space="preserve">, risk factors and labour market. </w:t>
      </w:r>
      <w:r w:rsidR="00453A6F">
        <w:t>Using</w:t>
      </w:r>
      <w:r w:rsidRPr="0036430F">
        <w:t xml:space="preserve"> cultural frameworks and studying the communication breakdown, it is possible to provide a detailed evaluation of the potential difficulties and prospects in each country for TESCO. Finally, based on the findings of this </w:t>
      </w:r>
      <w:r w:rsidR="005D5A4C">
        <w:t>essay</w:t>
      </w:r>
      <w:r w:rsidRPr="0036430F">
        <w:t xml:space="preserve">, the best EU country for TESCO’s expansion will be recommended, as well as ways of overcoming communication barriers </w:t>
      </w:r>
      <w:r w:rsidR="00453A6F">
        <w:t>to create</w:t>
      </w:r>
      <w:r w:rsidRPr="0036430F">
        <w:t xml:space="preserve"> an environment that would enhance success.</w:t>
      </w:r>
    </w:p>
    <w:p w:rsidR="00E034A0" w:rsidP="005311C2" w:rsidRDefault="0036430F" w14:paraId="1C4E7D09" w14:textId="19B074E3">
      <w:r w:rsidRPr="0036430F">
        <w:t xml:space="preserve">TESCO PLC is a company that originated in </w:t>
      </w:r>
      <w:r w:rsidR="00453A6F">
        <w:t xml:space="preserve">the </w:t>
      </w:r>
      <w:r w:rsidRPr="0036430F">
        <w:t xml:space="preserve">UK </w:t>
      </w:r>
      <w:r w:rsidR="00453A6F">
        <w:t>and</w:t>
      </w:r>
      <w:r w:rsidRPr="0036430F">
        <w:t xml:space="preserve"> is a grocery and general merchandise company. TESCO was started in 1919 by Jack Cohen and has evolved to be among the largest general grocery and related goods retailers in the globe with its outlets in different countries in Europe and Asia. By the year 2024, TESCO </w:t>
      </w:r>
      <w:r w:rsidR="00453A6F">
        <w:t>will remain</w:t>
      </w:r>
      <w:r w:rsidRPr="0036430F">
        <w:t xml:space="preserve"> the market leader in the supermarket segment by market share with both the physical store and online shopping. </w:t>
      </w:r>
      <w:r w:rsidR="00453A6F">
        <w:t>TESCO's</w:t>
      </w:r>
      <w:r w:rsidRPr="0036430F">
        <w:t xml:space="preserve"> business is anchored on the real</w:t>
      </w:r>
      <w:r w:rsidR="008D6E0A">
        <w:t>is</w:t>
      </w:r>
      <w:r w:rsidRPr="0036430F">
        <w:t>ation of the customers’ needs and demands whereby they deal with goods such as meals, clothes, household items, and even banking services</w:t>
      </w:r>
      <w:r w:rsidR="002304A7">
        <w:t xml:space="preserve"> (</w:t>
      </w:r>
      <w:r w:rsidRPr="002304A7" w:rsidR="002304A7">
        <w:rPr>
          <w:lang w:val="en-US"/>
        </w:rPr>
        <w:t>Wood</w:t>
      </w:r>
      <w:r w:rsidR="002304A7">
        <w:rPr>
          <w:lang w:val="en-US"/>
        </w:rPr>
        <w:t xml:space="preserve"> </w:t>
      </w:r>
      <w:r w:rsidRPr="002304A7" w:rsidR="002304A7">
        <w:rPr>
          <w:i/>
          <w:iCs/>
          <w:lang w:val="en-US"/>
        </w:rPr>
        <w:t>et al.,</w:t>
      </w:r>
      <w:r w:rsidR="002304A7">
        <w:rPr>
          <w:lang w:val="en-US"/>
        </w:rPr>
        <w:t xml:space="preserve"> 2016</w:t>
      </w:r>
      <w:r w:rsidR="002304A7">
        <w:t>)</w:t>
      </w:r>
      <w:r w:rsidRPr="0036430F">
        <w:t>. The company has different formats of stores ranging from hypermarkets to express stores to suit the consumer’s needs and shopping patterns. TESCO has also invested in a good e-business program and home shopping services, thus expanding its e-business department. Over the last few years</w:t>
      </w:r>
      <w:r w:rsidR="00453A6F">
        <w:t>,</w:t>
      </w:r>
      <w:r w:rsidRPr="0036430F">
        <w:t xml:space="preserve"> TESCO has aimed at revitalising its domestic business in the UK while not neglecting its international operations. The company has also been able to demonstrate the ability to overcome the obstacles of Change through the Brexit decision and the coronavirus pandemic. TESCO has </w:t>
      </w:r>
      <w:r w:rsidRPr="0036430F">
        <w:lastRenderedPageBreak/>
        <w:t>also been keen on its sustainability, ethical sourcing and corporate social responsibility as part of its strategic management</w:t>
      </w:r>
      <w:r w:rsidR="00BC7AF4">
        <w:t xml:space="preserve"> </w:t>
      </w:r>
      <w:r w:rsidRPr="00BC7AF4" w:rsidR="00BC7AF4">
        <w:t>(Sharpe and Barling, 2019)</w:t>
      </w:r>
      <w:r w:rsidRPr="0036430F">
        <w:t>.</w:t>
      </w:r>
    </w:p>
    <w:p w:rsidR="0036430F" w:rsidP="005311C2" w:rsidRDefault="0036430F" w14:paraId="471E1DFE" w14:textId="6D52AD9A">
      <w:r w:rsidRPr="0036430F">
        <w:t xml:space="preserve">As TESCO aims at further expansion in the EU it has all the strengths such as experience in operation in international markets and </w:t>
      </w:r>
      <w:r w:rsidR="00453A6F">
        <w:t xml:space="preserve">an </w:t>
      </w:r>
      <w:r>
        <w:t>established</w:t>
      </w:r>
      <w:r w:rsidRPr="0036430F">
        <w:t xml:space="preserve"> brand image. Still, it will be much harder to organ</w:t>
      </w:r>
      <w:r w:rsidR="008D6E0A">
        <w:t>is</w:t>
      </w:r>
      <w:r w:rsidRPr="0036430F">
        <w:t xml:space="preserve">e its activities in the UK and other European countries after Brexit, to adjust the company’s strategies to the specifics of local markets, and to benefit from its position </w:t>
      </w:r>
      <w:r w:rsidR="00453A6F">
        <w:t>as</w:t>
      </w:r>
      <w:r w:rsidRPr="0036430F">
        <w:t xml:space="preserve"> a British retail giant. For TESCO's potential expansion, </w:t>
      </w:r>
      <w:r w:rsidR="005D5A4C">
        <w:t>this essay</w:t>
      </w:r>
      <w:r w:rsidRPr="0036430F">
        <w:t xml:space="preserve"> will evaluate two EU countries: Germany and Spain are the two countries of interest. These countries present different prospects and risks for the business model of TESCO and its communication initiatives. Germany is a very attractive market given the fact that it is Europe’s largest economy. Germany’s population is over 83 million people, and the GDP per capita is approximately €42,000, which means the country provides a large and wealthy consumer market. The country has a politically stable system as well </w:t>
      </w:r>
      <w:r w:rsidR="00453A6F">
        <w:t xml:space="preserve">as </w:t>
      </w:r>
      <w:r w:rsidRPr="0036430F">
        <w:t>a sound infrastructure which could be an added advantage to TESCO. In the context of Hofstede’s cultural dimensions test, the German culture can be character</w:t>
      </w:r>
      <w:r w:rsidR="008D6E0A">
        <w:t>is</w:t>
      </w:r>
      <w:r w:rsidRPr="0036430F">
        <w:t>ed as high in individualism and uncertainty avoidance. This can be said to be a society that respects individual obligations as well as well-defined regulations. The German people are very conscious of price and quality which is very advantageous for the company since TESCO’s selling proposition is based on value. However, the high uncertainty avoidance means that the population would rather patron</w:t>
      </w:r>
      <w:r w:rsidR="008D6E0A">
        <w:t>is</w:t>
      </w:r>
      <w:r w:rsidRPr="0036430F">
        <w:t xml:space="preserve">e familiar brands and products, which may prove to be an obstacle for TESCO </w:t>
      </w:r>
      <w:r w:rsidR="00453A6F">
        <w:t>which</w:t>
      </w:r>
      <w:r w:rsidRPr="0036430F">
        <w:t xml:space="preserve"> is seeking to penetrate the market.</w:t>
      </w:r>
    </w:p>
    <w:p w:rsidR="00453A6F" w:rsidP="005311C2" w:rsidRDefault="00453A6F" w14:paraId="020E53FB" w14:textId="33B68B6F">
      <w:r w:rsidRPr="00453A6F">
        <w:t>The primary factors of the German labour market include a skilled workforce and healthy labour unions</w:t>
      </w:r>
      <w:r w:rsidRPr="00BC7AF4" w:rsidR="00BC7AF4">
        <w:t xml:space="preserve"> (Häusermann</w:t>
      </w:r>
      <w:r w:rsidR="00BC7AF4">
        <w:t xml:space="preserve"> </w:t>
      </w:r>
      <w:r w:rsidRPr="00BC7AF4" w:rsidR="00BC7AF4">
        <w:rPr>
          <w:i/>
          <w:iCs/>
        </w:rPr>
        <w:t>et al.,</w:t>
      </w:r>
      <w:r w:rsidR="00BC7AF4">
        <w:t xml:space="preserve"> </w:t>
      </w:r>
      <w:r w:rsidRPr="00BC7AF4" w:rsidR="00BC7AF4">
        <w:t>2015)</w:t>
      </w:r>
      <w:r w:rsidRPr="00453A6F">
        <w:t>. On the one hand, this would guarantee TESCO a pool of qualified employees; on the other hand, it would imply that the company would have to deal with the complicated national legislation on labour relations and, possibly, higher labour costs. There are more multicultural employees within the German workforce</w:t>
      </w:r>
      <w:r>
        <w:t>,</w:t>
      </w:r>
      <w:r w:rsidRPr="00453A6F">
        <w:t xml:space="preserve"> especially within the urban areas and this can be an opportunity for TESCO in that it can be able to build a multicultural team of employees. The analysis showed that language plays a huge role and is a major impediment in Germany. Although the level of English is relatively high in the business world, German is still the most widely used language in economic turnover. It will be necessary for TESCO to spend a lot of money on translating all the products that are to be sold in the German market and </w:t>
      </w:r>
      <w:r>
        <w:t xml:space="preserve">for </w:t>
      </w:r>
      <w:r w:rsidRPr="00453A6F">
        <w:t xml:space="preserve">the company’s staff to master the German language. As for the second country of the analysis – Spain </w:t>
      </w:r>
      <w:r w:rsidRPr="00453A6F">
        <w:lastRenderedPageBreak/>
        <w:t xml:space="preserve">– some different opportunities and threats are to be mentioned. Spain currently has a population of approximately 47 million people and a GDP per capita of approximately €27,000 which makes it a slightly less attractive market than Italy however it is still relevant. The retail sector in the country is not as developed as </w:t>
      </w:r>
      <w:r>
        <w:t xml:space="preserve">in </w:t>
      </w:r>
      <w:r w:rsidRPr="00453A6F">
        <w:t xml:space="preserve">Germany possibly presenting the company with better </w:t>
      </w:r>
      <w:r>
        <w:t>growth opportunities</w:t>
      </w:r>
      <w:r w:rsidRPr="00453A6F">
        <w:t xml:space="preserve">. </w:t>
      </w:r>
      <w:r>
        <w:t>Compared</w:t>
      </w:r>
      <w:r w:rsidRPr="00453A6F">
        <w:t xml:space="preserve"> with the UK, Spain has higher Hofstede’s indices for power distance and uncertainty avoidance. This hints at a society that is more accepting of power relations and less at ease with the lack of definite ranking. Culturally, the Spanish also value interpersonal </w:t>
      </w:r>
      <w:r>
        <w:t>relationships</w:t>
      </w:r>
      <w:r w:rsidRPr="00453A6F">
        <w:t xml:space="preserve"> and contacts in their business, which would impact TESCO’s customer relations and business dealings</w:t>
      </w:r>
      <w:r w:rsidRPr="00176F07" w:rsidR="00176F07">
        <w:t xml:space="preserve"> (Herrera Madueño </w:t>
      </w:r>
      <w:r w:rsidRPr="00176F07" w:rsidR="00176F07">
        <w:rPr>
          <w:i/>
          <w:iCs/>
        </w:rPr>
        <w:t>et al.,</w:t>
      </w:r>
      <w:r w:rsidRPr="00176F07" w:rsidR="00176F07">
        <w:t xml:space="preserve"> 2016)</w:t>
      </w:r>
      <w:r w:rsidRPr="00453A6F">
        <w:t xml:space="preserve">. The Spanish </w:t>
      </w:r>
      <w:r>
        <w:t>labour</w:t>
      </w:r>
      <w:r w:rsidRPr="00453A6F">
        <w:t xml:space="preserve"> market has been marked </w:t>
      </w:r>
      <w:r>
        <w:t>by</w:t>
      </w:r>
      <w:r w:rsidRPr="00453A6F">
        <w:t xml:space="preserve"> high levels of unemployment</w:t>
      </w:r>
      <w:r>
        <w:t>,</w:t>
      </w:r>
      <w:r w:rsidRPr="00453A6F">
        <w:t xml:space="preserve"> especially among the </w:t>
      </w:r>
      <w:r>
        <w:t>youth</w:t>
      </w:r>
      <w:r w:rsidRPr="00453A6F">
        <w:t>. This could afford TESCO an opportunity to get an enthusiastic workforce, and possibly at a cheaper cost as compared to Germany. However, the flexibility of this structure also implies that the training and development costs of TESCO would be high</w:t>
      </w:r>
      <w:r w:rsidRPr="00176F07" w:rsidR="00176F07">
        <w:t xml:space="preserve"> (Gan and Yan, 2023)</w:t>
      </w:r>
      <w:r w:rsidRPr="00453A6F">
        <w:t>. The Spanish employment has been character</w:t>
      </w:r>
      <w:r w:rsidR="008D6E0A">
        <w:t>is</w:t>
      </w:r>
      <w:r w:rsidRPr="00453A6F">
        <w:t>ed by a growing heterogeneity of the workforce especially from Latin America and North African countries which might be useful for the formation of a multicultural work culture.</w:t>
      </w:r>
    </w:p>
    <w:p w:rsidR="00E034A0" w:rsidP="005311C2" w:rsidRDefault="00453A6F" w14:paraId="53D06E2E" w14:textId="66CA86F5">
      <w:r w:rsidRPr="00453A6F">
        <w:t xml:space="preserve">From the case, it is understood that if TESCO is to penetrate the market it would have to translate all its marketing collaterals, and even product labels into Spanish. Furthermore, it may be even more relevant in areas such as Catalonia or the Basque Country where the consideration of regional languages may be required to achieve better results and interact with the population. Both countries pose some threats concerning the post-Brexit regulation. This is a consideration </w:t>
      </w:r>
      <w:r>
        <w:t>because</w:t>
      </w:r>
      <w:r w:rsidRPr="00453A6F">
        <w:t xml:space="preserve"> TESCO is a British Company, </w:t>
      </w:r>
      <w:r>
        <w:t xml:space="preserve">and </w:t>
      </w:r>
      <w:r w:rsidRPr="00453A6F">
        <w:t xml:space="preserve">it may encounter several bureaucratic barriers or tariffs that could affect its supply chain and pricing strategies. The company would need to be very tactful in these new trade relations and may have to devise new modalities of sourcing. In the case of digital preparedness, Germany performs slightly better than Spain in terms of e-commerce and other digital facilities. This can be beneficial to TESCO when conducting online retail business in Germany but would need capital investment to build similar competency in Spain. </w:t>
      </w:r>
      <w:r>
        <w:t>Regarding</w:t>
      </w:r>
      <w:r w:rsidRPr="00453A6F">
        <w:t xml:space="preserve"> environmental conditions, there has been </w:t>
      </w:r>
      <w:r>
        <w:t xml:space="preserve">an </w:t>
      </w:r>
      <w:r w:rsidRPr="00453A6F">
        <w:t>enhancement of customer consciousness to sustainable developments in both countries. Germany lies in a geographical location that has imposed strict environmental standards and has a market that is sensit</w:t>
      </w:r>
      <w:r w:rsidR="008D6E0A">
        <w:t>is</w:t>
      </w:r>
      <w:r w:rsidRPr="00453A6F">
        <w:t xml:space="preserve">ed to environmental conservation measures. Spain, though </w:t>
      </w:r>
      <w:r>
        <w:t>maybe</w:t>
      </w:r>
      <w:r w:rsidRPr="00453A6F">
        <w:t xml:space="preserve"> lagging slightly in this aspect, is steadily moving towards integrating sustainability in more and more projects, especially in the urban context. The </w:t>
      </w:r>
      <w:r w:rsidRPr="00453A6F">
        <w:lastRenderedPageBreak/>
        <w:t>possible communication barriers that TESCO could face in both countries are complex and need to be analysed. Even though there is high English comprehension in German business environments, the language barrier would come into play regularly in operational routines and with the customers. This involves translating not only the various marketing documents and product specifications but also the communication style from Britain to Germany where such styles are different in that they are more formal than the British style. The difficulty focuses on the question of how to keep the company’s brand tone when operating in a different country with different communication patterns.</w:t>
      </w:r>
    </w:p>
    <w:p w:rsidR="00E034A0" w:rsidP="005311C2" w:rsidRDefault="00453A6F" w14:paraId="39B76142" w14:textId="6FD4790F">
      <w:r w:rsidRPr="00453A6F">
        <w:t xml:space="preserve">The language factor is more of an issue in Spain in as much as the level of English spoken there is lower. TESCO would have to direct substantial resources towards Spanish language teaching for the expatriates to avoid any misunderstandings with the locals and guarantee all textual and visual materials, which are accessible to customers, are translated properly and do not offend the Spanish culture. The nature of communication in Spain is rather more relaxed going by Latin origin and hence more of a relationship perspective as compared to the more formal British way of doing business warranting a change of strategy in the way TESCO treats its customers and in business negotiations. There are also dramatic elements of nonverbal communication in both countries. The Germans are particular regarding their personal space, and thus, businesspeople avoid touching one another. Focusing on the timeliness and effectiveness of a message is considered very important. While Anglo culture is rather more formal, Spanish culture involves greater physical contact during the conversation and is rather freer with time. To adapt to such differences, TESCO would </w:t>
      </w:r>
      <w:r>
        <w:t>be required</w:t>
      </w:r>
      <w:r w:rsidRPr="00453A6F">
        <w:t xml:space="preserve"> to educate its employees to ensure that they do not fall prey to the differences and consequently fail to gain the trust of </w:t>
      </w:r>
      <w:r>
        <w:t>their</w:t>
      </w:r>
      <w:r w:rsidRPr="00453A6F">
        <w:t xml:space="preserve"> local counterparts. Flexible working also means that digital communication offers another problem</w:t>
      </w:r>
      <w:r w:rsidR="00CB3339">
        <w:t xml:space="preserve"> </w:t>
      </w:r>
      <w:r w:rsidRPr="00CB3339" w:rsidR="00CB3339">
        <w:t>(</w:t>
      </w:r>
      <w:proofErr w:type="spellStart"/>
      <w:r w:rsidRPr="00CB3339" w:rsidR="00CB3339">
        <w:t>Angelici</w:t>
      </w:r>
      <w:proofErr w:type="spellEnd"/>
      <w:r w:rsidRPr="00CB3339" w:rsidR="00CB3339">
        <w:t xml:space="preserve"> and Profeta, 2024)</w:t>
      </w:r>
      <w:r w:rsidRPr="00453A6F">
        <w:t>. Even though Germany has a strong digital environment, there are certain legal acts regulating data protection which might be an issue for TESCO in its online business and in handling customers’ information</w:t>
      </w:r>
      <w:r w:rsidRPr="00FF6D69" w:rsidR="00FF6D69">
        <w:t xml:space="preserve"> (Bond </w:t>
      </w:r>
      <w:r w:rsidRPr="00FF6D69" w:rsidR="00FF6D69">
        <w:rPr>
          <w:i/>
          <w:iCs/>
        </w:rPr>
        <w:t>et al</w:t>
      </w:r>
      <w:r w:rsidRPr="00FF6D69" w:rsidR="00FF6D69">
        <w:t>., 2018)</w:t>
      </w:r>
      <w:r w:rsidRPr="00453A6F">
        <w:t>. As we have seen Spain is less developed in its digital environment thus TESCO may be forced to align its online approaches and possibly depend on the offline forms of communicating the strategy at the onset.</w:t>
      </w:r>
    </w:p>
    <w:p w:rsidR="00453A6F" w:rsidP="005311C2" w:rsidRDefault="00453A6F" w14:paraId="6FF3D50A" w14:textId="5A4B2759">
      <w:r w:rsidRPr="00453A6F">
        <w:t xml:space="preserve">Another important matter that TESCO would have to pay attention to in both countries is the </w:t>
      </w:r>
      <w:r>
        <w:t>advertising</w:t>
      </w:r>
      <w:r w:rsidRPr="00453A6F">
        <w:t xml:space="preserve"> and marketing culture. For example, </w:t>
      </w:r>
      <w:r>
        <w:t>humour</w:t>
      </w:r>
      <w:r w:rsidRPr="00453A6F">
        <w:t xml:space="preserve"> that is used, such as jokes, may not carry </w:t>
      </w:r>
      <w:r w:rsidRPr="00453A6F">
        <w:lastRenderedPageBreak/>
        <w:t>over when moving from the UK to other countries like Germany or Spain. Furthermore, the corporate communication style of TESCO needs to be adjusted to the specific expectations of the countries – more bureaucratic and profound in Germany, more individual and based on trust in Spain. To overcome these communication challenges and create a positive environment for success, TESCO should consider the following recommendations:</w:t>
      </w:r>
      <w:r>
        <w:t xml:space="preserve"> </w:t>
      </w:r>
      <w:r w:rsidRPr="00453A6F">
        <w:t>To overcome these communication challenges and create a positive environment for success, TESCO should consider the following recommendations:</w:t>
      </w:r>
    </w:p>
    <w:p w:rsidR="00E034A0" w:rsidP="005311C2" w:rsidRDefault="00453A6F" w14:paraId="72B3739B" w14:textId="23AED5B7">
      <w:r w:rsidRPr="00453A6F">
        <w:t xml:space="preserve">First, spend large sums on language and cultural training of employees of all hierarchical levels. This should not just cover simple forms of communication but also manners, bargaining techniques, and customer relations as </w:t>
      </w:r>
      <w:r>
        <w:t>practised</w:t>
      </w:r>
      <w:r w:rsidRPr="00453A6F">
        <w:t xml:space="preserve"> in the country of interest. The formation of a team of cultural intermediaries who would help in managing the transition between TESCO’s British business culture and the domestic environment would be very helpful. Second is the localised communication strategy where the advertisement is to be in harmony with the local culture of the people but at the same time</w:t>
      </w:r>
      <w:r>
        <w:t>,</w:t>
      </w:r>
      <w:r w:rsidRPr="00453A6F">
        <w:t xml:space="preserve"> the company’s brand identity of TESCO should not be compromised</w:t>
      </w:r>
      <w:r w:rsidRPr="00861924" w:rsidR="00861924">
        <w:t xml:space="preserve"> (Chen, 2022)</w:t>
      </w:r>
      <w:r w:rsidRPr="00453A6F">
        <w:t xml:space="preserve">. This may include outsourcing the communications to local marketing agencies to guarantee that all the messages sent are culturally appropriate. Thirdly, one can also adopt </w:t>
      </w:r>
      <w:r>
        <w:t xml:space="preserve">the </w:t>
      </w:r>
      <w:r w:rsidRPr="00453A6F">
        <w:t xml:space="preserve">use of technology to help overcome some of the communication barriers. This could include enhancing the use of tools such as </w:t>
      </w:r>
      <w:r>
        <w:t>real-time</w:t>
      </w:r>
      <w:r w:rsidRPr="00453A6F">
        <w:t xml:space="preserve"> translation for communication in stores and online as well as creating customer service channels that are multilingual. Fourth, ensure diversity in the </w:t>
      </w:r>
      <w:r>
        <w:t>workplace</w:t>
      </w:r>
      <w:r w:rsidRPr="00453A6F">
        <w:t xml:space="preserve"> by employing both local and international staff. This diversity can give TESCO important information about the local consumers and how they can be persuaded to make purchases, and this can help TESCO tailor its products and its mode of reaching out to the consumers better. Fifthly, build good </w:t>
      </w:r>
      <w:r>
        <w:t>relationships</w:t>
      </w:r>
      <w:r w:rsidRPr="00453A6F">
        <w:t xml:space="preserve"> with the local suppliers, cooperation partners and local organisations. These relationships may offer important cultural information and may assist TESCO to read the business environment of the country much better. Finally, do not </w:t>
      </w:r>
      <w:r>
        <w:t xml:space="preserve">be </w:t>
      </w:r>
      <w:r w:rsidRPr="00453A6F">
        <w:t xml:space="preserve">rigid and do not shut </w:t>
      </w:r>
      <w:r>
        <w:t>yourself</w:t>
      </w:r>
      <w:r w:rsidRPr="00453A6F">
        <w:t xml:space="preserve"> from receiving constructive criticism. Always evaluate the impact of the communication campaigns and be ready to modify </w:t>
      </w:r>
      <w:r>
        <w:t>them</w:t>
      </w:r>
      <w:r w:rsidRPr="00453A6F">
        <w:t xml:space="preserve"> due to the reception in the local markets and the market trends.</w:t>
      </w:r>
    </w:p>
    <w:p w:rsidR="00E034A0" w:rsidP="005311C2" w:rsidRDefault="00453A6F" w14:paraId="794C9B12" w14:textId="18CCD044">
      <w:r w:rsidRPr="00453A6F">
        <w:t xml:space="preserve">While comparing the prospects and risks of both Germany and Spain for TESCO, the suggestion for the company’s further development would be to penetrate the Spanish market. Though </w:t>
      </w:r>
      <w:r w:rsidRPr="00453A6F">
        <w:lastRenderedPageBreak/>
        <w:t>Germany has a significantly larger and wealthier population to market to, the competition in the retail industry is stiff and the overhead costs of doing business are high for a new entrant</w:t>
      </w:r>
      <w:r>
        <w:t>,</w:t>
      </w:r>
      <w:r w:rsidRPr="00453A6F">
        <w:t xml:space="preserve"> especially in the current Brexit world. However, due to the difference in market </w:t>
      </w:r>
      <w:r w:rsidR="008D6E0A">
        <w:t>size</w:t>
      </w:r>
      <w:r w:rsidRPr="00453A6F">
        <w:t>, Spain is more suitable for TESCO to expand its business</w:t>
      </w:r>
      <w:r w:rsidRPr="00861924" w:rsidR="00861924">
        <w:t xml:space="preserve"> (Sung and Goebel, 2018)</w:t>
      </w:r>
      <w:r w:rsidRPr="00453A6F">
        <w:t xml:space="preserve">. The unsaturated retail market is more suitable for </w:t>
      </w:r>
      <w:r>
        <w:t xml:space="preserve">the </w:t>
      </w:r>
      <w:r w:rsidRPr="00453A6F">
        <w:t xml:space="preserve">growth and establishment of TESCO’s brand. The fact that culture values relationships is also consistent with TESCO’s customer-oriented strategy, meaning that it will be easy to establish a firm customer base. Although </w:t>
      </w:r>
      <w:r>
        <w:t xml:space="preserve">the </w:t>
      </w:r>
      <w:r w:rsidRPr="00453A6F">
        <w:t>language barrier is a major issue, it is not an issue that cannot be solved and the resources that would be required to solve this problem might pay off in the long run in terms of market share and customer relations. Also, the increasing awareness of sustainability in Spain and the opportunity to build TESCO’s digital retail in a relatively young market are beneficial for the company to become an inspiring and modern retailer</w:t>
      </w:r>
      <w:r w:rsidRPr="003B00DC" w:rsidR="003B00DC">
        <w:t xml:space="preserve"> (Jelassi and Martínez-López, 2020)</w:t>
      </w:r>
      <w:r w:rsidRPr="00453A6F">
        <w:t>. The opportunity to have a greater pool of employees to choose from, and perhaps at a cheaper rate than in Germany could also be beneficial to TESCO’s operations.</w:t>
      </w:r>
    </w:p>
    <w:p w:rsidR="00F67E30" w:rsidP="005311C2" w:rsidRDefault="00143C46" w14:paraId="65BB35BA" w14:textId="29F61AA6">
      <w:r>
        <w:t>T</w:t>
      </w:r>
      <w:r w:rsidRPr="00453A6F" w:rsidR="00453A6F">
        <w:t>his paper concludes that the expansion plan of TESCO to the EU market after Brexit has its risks and opportunities. The success of the company will thus to a greater extent depend on the company’s ability to overcome the challenges that arise from the cultural and communication barriers of the selected market. Thus, by choosing the correct communication strategy to enter the Spanish market and considering the cultural differences, TESCO can pave its way to growth in the EU</w:t>
      </w:r>
      <w:r w:rsidRPr="00FF6D69" w:rsidR="00FF6D69">
        <w:t xml:space="preserve"> (Mohapatra and M. V., 2021)</w:t>
      </w:r>
      <w:r w:rsidRPr="00453A6F" w:rsidR="00453A6F">
        <w:t>. It is these factors that have driven TESCO’s success in its international</w:t>
      </w:r>
      <w:r w:rsidR="008D6E0A">
        <w:t>is</w:t>
      </w:r>
      <w:r w:rsidRPr="00453A6F" w:rsidR="00453A6F">
        <w:t xml:space="preserve">ation process; it pays attention to cultural differences provides language and cultural training and is not overly rigid in its strategy. Thus, the company can build the proper climate, which will be useful both for TESCO as one of the leading British retailers and for the new market with its peculiarities of communication. This expansion is not only a great business venture for TESCO but also a study of cross-cultural business communication after Brexit. As British companies carry on trying to find their new role </w:t>
      </w:r>
      <w:r w:rsidR="00453A6F">
        <w:t>in</w:t>
      </w:r>
      <w:r w:rsidRPr="00453A6F" w:rsidR="00453A6F">
        <w:t xml:space="preserve"> the EU TESCO’s experience may well be of value in identifying how British business is to continue and expand its presence across Europe.</w:t>
      </w:r>
    </w:p>
    <w:p w:rsidR="003A493E" w:rsidP="005311C2" w:rsidRDefault="003A493E" w14:paraId="3EEE8638" w14:textId="5F9FE24A">
      <w:pPr>
        <w:spacing w:after="160"/>
        <w:jc w:val="left"/>
      </w:pPr>
      <w:r>
        <w:br w:type="page"/>
      </w:r>
    </w:p>
    <w:p w:rsidRPr="00FF6D69" w:rsidR="00FF6D69" w:rsidP="005311C2" w:rsidRDefault="003A493E" w14:paraId="05AF6ABB" w14:textId="5F767074">
      <w:pPr>
        <w:pStyle w:val="Heading1"/>
      </w:pPr>
      <w:r>
        <w:lastRenderedPageBreak/>
        <w:t>Reference List</w:t>
      </w:r>
    </w:p>
    <w:p w:rsidRPr="00FF6D69" w:rsidR="00FF6D69" w:rsidP="005311C2" w:rsidRDefault="00FF6D69" w14:paraId="359E4C7E" w14:textId="77777777">
      <w:pPr>
        <w:rPr>
          <w:lang w:val="en-US"/>
        </w:rPr>
      </w:pPr>
      <w:proofErr w:type="spellStart"/>
      <w:r w:rsidRPr="00FF6D69">
        <w:rPr>
          <w:lang w:val="en-US"/>
        </w:rPr>
        <w:t>Angelici</w:t>
      </w:r>
      <w:proofErr w:type="spellEnd"/>
      <w:r w:rsidRPr="00FF6D69">
        <w:rPr>
          <w:lang w:val="en-US"/>
        </w:rPr>
        <w:t>, M. and Profeta, P. (2024) “Smart working: Work flexibility without constraints,” </w:t>
      </w:r>
      <w:r w:rsidRPr="00FF6D69">
        <w:rPr>
          <w:i/>
          <w:iCs/>
          <w:lang w:val="en-US"/>
        </w:rPr>
        <w:t>Management science</w:t>
      </w:r>
      <w:r w:rsidRPr="00FF6D69">
        <w:rPr>
          <w:lang w:val="en-US"/>
        </w:rPr>
        <w:t>, 70(3), pp. 1680–1705. doi: 10.1287/mnsc.2023.4767.</w:t>
      </w:r>
    </w:p>
    <w:p w:rsidRPr="00FF6D69" w:rsidR="00FF6D69" w:rsidP="005311C2" w:rsidRDefault="00FF6D69" w14:paraId="14E95F55" w14:textId="77777777">
      <w:pPr>
        <w:rPr>
          <w:lang w:val="en-US"/>
        </w:rPr>
      </w:pPr>
      <w:r w:rsidRPr="00FF6D69">
        <w:rPr>
          <w:lang w:val="en-US"/>
        </w:rPr>
        <w:t>Bond, M. </w:t>
      </w:r>
      <w:r w:rsidRPr="00FF6D69">
        <w:rPr>
          <w:i/>
          <w:iCs/>
          <w:lang w:val="en-US"/>
        </w:rPr>
        <w:t>et al.</w:t>
      </w:r>
      <w:r w:rsidRPr="00FF6D69">
        <w:rPr>
          <w:lang w:val="en-US"/>
        </w:rPr>
        <w:t> (2018) “Digital transformation in German higher education: student and teacher perceptions and usage of digital media,” </w:t>
      </w:r>
      <w:r w:rsidRPr="00FF6D69">
        <w:rPr>
          <w:i/>
          <w:iCs/>
          <w:lang w:val="en-US"/>
        </w:rPr>
        <w:t>International journal of educational technology in higher education</w:t>
      </w:r>
      <w:r w:rsidRPr="00FF6D69">
        <w:rPr>
          <w:lang w:val="en-US"/>
        </w:rPr>
        <w:t>, 15(1). doi: 10.1186/s41239-018-0130-1.</w:t>
      </w:r>
    </w:p>
    <w:p w:rsidRPr="00FF6D69" w:rsidR="00FF6D69" w:rsidP="005311C2" w:rsidRDefault="00FF6D69" w14:paraId="57FB0663" w14:textId="77777777">
      <w:pPr>
        <w:rPr>
          <w:lang w:val="en-US"/>
        </w:rPr>
      </w:pPr>
      <w:r w:rsidRPr="00FF6D69">
        <w:rPr>
          <w:lang w:val="en-US"/>
        </w:rPr>
        <w:t>Chen, J. J. (2022) “Tesco plc,” in </w:t>
      </w:r>
      <w:r w:rsidRPr="00FF6D69">
        <w:rPr>
          <w:i/>
          <w:iCs/>
          <w:lang w:val="en-US"/>
        </w:rPr>
        <w:t>International Cases of Corporate Governance</w:t>
      </w:r>
      <w:r w:rsidRPr="00FF6D69">
        <w:rPr>
          <w:lang w:val="en-US"/>
        </w:rPr>
        <w:t>. Singapore: Springer Nature Singapore, pp. 27–44.</w:t>
      </w:r>
    </w:p>
    <w:p w:rsidRPr="00FF6D69" w:rsidR="00FF6D69" w:rsidP="005311C2" w:rsidRDefault="00FF6D69" w14:paraId="5430DAE1" w14:textId="77777777">
      <w:pPr>
        <w:rPr>
          <w:lang w:val="en-US"/>
        </w:rPr>
      </w:pPr>
      <w:r w:rsidRPr="00FF6D69">
        <w:rPr>
          <w:lang w:val="en-US"/>
        </w:rPr>
        <w:t>Gan, W. and Yan, C. (2023) “Financial analysis and development study of Tesco PLC,” </w:t>
      </w:r>
      <w:r w:rsidRPr="00FF6D69">
        <w:rPr>
          <w:i/>
          <w:iCs/>
          <w:lang w:val="en-US"/>
        </w:rPr>
        <w:t>Highlights in Business, Economics and Management</w:t>
      </w:r>
      <w:r w:rsidRPr="00FF6D69">
        <w:rPr>
          <w:lang w:val="en-US"/>
        </w:rPr>
        <w:t>, 10, pp. 167–172. doi: 10.54097/hbem.v10i.8035.</w:t>
      </w:r>
    </w:p>
    <w:p w:rsidRPr="00FF6D69" w:rsidR="00FF6D69" w:rsidP="005311C2" w:rsidRDefault="00FF6D69" w14:paraId="7149DE8C" w14:textId="77777777">
      <w:pPr>
        <w:rPr>
          <w:lang w:val="en-US"/>
        </w:rPr>
      </w:pPr>
      <w:r w:rsidRPr="00FF6D69">
        <w:rPr>
          <w:lang w:val="en-US"/>
        </w:rPr>
        <w:t>Häusermann, S., Kurer, T. and Schwander, H. (2015) “High-skilled outsiders? Labor market vulnerability, education and welfare state preferences,” </w:t>
      </w:r>
      <w:r w:rsidRPr="00FF6D69">
        <w:rPr>
          <w:i/>
          <w:iCs/>
          <w:lang w:val="en-US"/>
        </w:rPr>
        <w:t>Socio-economic review</w:t>
      </w:r>
      <w:r w:rsidRPr="00FF6D69">
        <w:rPr>
          <w:lang w:val="en-US"/>
        </w:rPr>
        <w:t>, 13(2), pp. 235–258. doi: 10.1093/ser/mwu026.</w:t>
      </w:r>
    </w:p>
    <w:p w:rsidRPr="00FF6D69" w:rsidR="00FF6D69" w:rsidP="005311C2" w:rsidRDefault="00FF6D69" w14:paraId="39EBA7E2" w14:textId="77777777">
      <w:pPr>
        <w:rPr>
          <w:lang w:val="en-US"/>
        </w:rPr>
      </w:pPr>
      <w:r w:rsidRPr="00FF6D69">
        <w:rPr>
          <w:lang w:val="en-US"/>
        </w:rPr>
        <w:t>Herrera Madueño, J. </w:t>
      </w:r>
      <w:r w:rsidRPr="00FF6D69">
        <w:rPr>
          <w:i/>
          <w:iCs/>
          <w:lang w:val="en-US"/>
        </w:rPr>
        <w:t>et al.</w:t>
      </w:r>
      <w:r w:rsidRPr="00FF6D69">
        <w:rPr>
          <w:lang w:val="en-US"/>
        </w:rPr>
        <w:t> (2016) “Relationship between corporate social responsibility and competitive performance in Spanish SMEs: Empirical evidence from a stakeholders’ perspective,” </w:t>
      </w:r>
      <w:r w:rsidRPr="00FF6D69">
        <w:rPr>
          <w:i/>
          <w:iCs/>
          <w:lang w:val="en-US"/>
        </w:rPr>
        <w:t>BRQ Business Research Quarterly</w:t>
      </w:r>
      <w:r w:rsidRPr="00FF6D69">
        <w:rPr>
          <w:lang w:val="en-US"/>
        </w:rPr>
        <w:t>, 19(1), pp. 55–72. doi: 10.1016/j.brq.2015.06.002.</w:t>
      </w:r>
    </w:p>
    <w:p w:rsidRPr="00FF6D69" w:rsidR="00FF6D69" w:rsidP="005311C2" w:rsidRDefault="00FF6D69" w14:paraId="209448DE" w14:textId="77777777">
      <w:pPr>
        <w:rPr>
          <w:lang w:val="en-US"/>
        </w:rPr>
      </w:pPr>
      <w:r w:rsidRPr="00FF6D69">
        <w:rPr>
          <w:lang w:val="en-US"/>
        </w:rPr>
        <w:t>Jelassi, T. and Martínez-López, F. J. (2020) “Strategy Options in e-Business Markets,” in </w:t>
      </w:r>
      <w:r w:rsidRPr="00FF6D69">
        <w:rPr>
          <w:i/>
          <w:iCs/>
          <w:lang w:val="en-US"/>
        </w:rPr>
        <w:t>Classroom Companion: Business</w:t>
      </w:r>
      <w:r w:rsidRPr="00FF6D69">
        <w:rPr>
          <w:lang w:val="en-US"/>
        </w:rPr>
        <w:t>. Cham: Springer International Publishing, pp. 125–171.</w:t>
      </w:r>
    </w:p>
    <w:p w:rsidRPr="00FF6D69" w:rsidR="00FF6D69" w:rsidP="005311C2" w:rsidRDefault="00FF6D69" w14:paraId="73BC363A" w14:textId="77777777">
      <w:pPr>
        <w:rPr>
          <w:lang w:val="en-US"/>
        </w:rPr>
      </w:pPr>
      <w:r w:rsidRPr="00FF6D69">
        <w:rPr>
          <w:lang w:val="en-US"/>
        </w:rPr>
        <w:t>Mohapatra, P. and M. V., N. K. (2021) </w:t>
      </w:r>
      <w:r w:rsidRPr="00FF6D69">
        <w:rPr>
          <w:i/>
          <w:iCs/>
          <w:lang w:val="en-US"/>
        </w:rPr>
        <w:t>Accounting scandal at Tesco</w:t>
      </w:r>
      <w:r w:rsidRPr="00FF6D69">
        <w:rPr>
          <w:lang w:val="en-US"/>
        </w:rPr>
        <w:t>, </w:t>
      </w:r>
      <w:r w:rsidRPr="00FF6D69">
        <w:rPr>
          <w:i/>
          <w:iCs/>
          <w:lang w:val="en-US"/>
        </w:rPr>
        <w:t>Ebsco.com</w:t>
      </w:r>
      <w:r w:rsidRPr="00FF6D69">
        <w:rPr>
          <w:lang w:val="en-US"/>
        </w:rPr>
        <w:t>. Available at: https://openurl.ebsco.com/EPDB%3Agcd%3A16%3A28244960/detailv2?sid=ebsco%3Aplink%3Ascholar&amp;id=ebsco%3Agcd%3A154703778&amp;crl=c (Accessed: July 25, 2024).</w:t>
      </w:r>
    </w:p>
    <w:p w:rsidRPr="00FF6D69" w:rsidR="00FF6D69" w:rsidP="005311C2" w:rsidRDefault="00FF6D69" w14:paraId="16793726" w14:textId="77777777">
      <w:pPr>
        <w:rPr>
          <w:lang w:val="en-US"/>
        </w:rPr>
      </w:pPr>
      <w:r w:rsidRPr="00FF6D69">
        <w:rPr>
          <w:lang w:val="en-US"/>
        </w:rPr>
        <w:t>Sharpe, R. and Barling, D. (2019) “‘The right thing to do’: ethical motives in the interpretation of social sustainability in the UK’s conventional food supply,” </w:t>
      </w:r>
      <w:r w:rsidRPr="00FF6D69">
        <w:rPr>
          <w:i/>
          <w:iCs/>
          <w:lang w:val="en-US"/>
        </w:rPr>
        <w:t>Agriculture and human values</w:t>
      </w:r>
      <w:r w:rsidRPr="00FF6D69">
        <w:rPr>
          <w:lang w:val="en-US"/>
        </w:rPr>
        <w:t>, 36(2), pp. 329–340. doi: 10.1007/s10460-019-09924-3.</w:t>
      </w:r>
    </w:p>
    <w:p w:rsidRPr="00FF6D69" w:rsidR="00FF6D69" w:rsidP="005311C2" w:rsidRDefault="00FF6D69" w14:paraId="43456BD2" w14:textId="77777777">
      <w:pPr>
        <w:rPr>
          <w:lang w:val="en-US"/>
        </w:rPr>
      </w:pPr>
      <w:r w:rsidRPr="00FF6D69">
        <w:rPr>
          <w:lang w:val="en-US"/>
        </w:rPr>
        <w:lastRenderedPageBreak/>
        <w:t>Sung, E. and Goebel, T. (2018) “International expansion of retailers: the role of technical expertise, alliances and allocation of resources in economic crises,” </w:t>
      </w:r>
      <w:r w:rsidRPr="00FF6D69">
        <w:rPr>
          <w:i/>
          <w:iCs/>
          <w:lang w:val="en-US"/>
        </w:rPr>
        <w:t>International journal of technology marketing</w:t>
      </w:r>
      <w:r w:rsidRPr="00FF6D69">
        <w:rPr>
          <w:lang w:val="en-US"/>
        </w:rPr>
        <w:t>, 13(1), p. 51. doi: 10.1504/ijtmkt.2018.099858.</w:t>
      </w:r>
    </w:p>
    <w:p w:rsidRPr="00FF6D69" w:rsidR="00FF6D69" w:rsidP="005311C2" w:rsidRDefault="00FF6D69" w14:paraId="594627E9" w14:textId="532BC797">
      <w:pPr>
        <w:rPr>
          <w:lang w:val="en-US"/>
        </w:rPr>
      </w:pPr>
      <w:r w:rsidRPr="002304A7">
        <w:rPr>
          <w:lang w:val="en-US"/>
        </w:rPr>
        <w:t xml:space="preserve">Wood, S., Coe, N.M. and Wrigley, N., 2016. Multi-scalar </w:t>
      </w:r>
      <w:proofErr w:type="spellStart"/>
      <w:r w:rsidRPr="002304A7">
        <w:rPr>
          <w:lang w:val="en-US"/>
        </w:rPr>
        <w:t>local</w:t>
      </w:r>
      <w:r w:rsidR="008D6E0A">
        <w:rPr>
          <w:lang w:val="en-US"/>
        </w:rPr>
        <w:t>is</w:t>
      </w:r>
      <w:r w:rsidRPr="002304A7">
        <w:rPr>
          <w:lang w:val="en-US"/>
        </w:rPr>
        <w:t>ation</w:t>
      </w:r>
      <w:proofErr w:type="spellEnd"/>
      <w:r w:rsidRPr="002304A7">
        <w:rPr>
          <w:lang w:val="en-US"/>
        </w:rPr>
        <w:t xml:space="preserve"> and capability transference: exploring embeddedness in the Asian retail expansion of Tesco. Regional Studies, 50(3), pp.475-495.</w:t>
      </w:r>
    </w:p>
    <w:p w:rsidRPr="002304A7" w:rsidR="00FF6D69" w:rsidP="005311C2" w:rsidRDefault="00FF6D69" w14:paraId="13498F5C" w14:textId="77777777">
      <w:pPr>
        <w:rPr>
          <w:lang w:val="en-US"/>
        </w:rPr>
      </w:pPr>
    </w:p>
    <w:p w:rsidRPr="003A493E" w:rsidR="003A493E" w:rsidP="005311C2" w:rsidRDefault="003A493E" w14:paraId="51A45180" w14:textId="77777777">
      <w:pPr>
        <w:rPr>
          <w:lang w:val="en-US"/>
        </w:rPr>
      </w:pPr>
    </w:p>
    <w:sectPr w:rsidRPr="003A493E" w:rsidR="003A493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C61F3" w:rsidP="00FA3B2E" w:rsidRDefault="00DC61F3" w14:paraId="3F787096" w14:textId="77777777">
      <w:pPr>
        <w:spacing w:after="0" w:line="240" w:lineRule="auto"/>
      </w:pPr>
      <w:r>
        <w:separator/>
      </w:r>
    </w:p>
  </w:endnote>
  <w:endnote w:type="continuationSeparator" w:id="0">
    <w:p w:rsidR="00DC61F3" w:rsidP="00FA3B2E" w:rsidRDefault="00DC61F3" w14:paraId="04B58D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C61F3" w:rsidP="00FA3B2E" w:rsidRDefault="00DC61F3" w14:paraId="639BE980" w14:textId="77777777">
      <w:pPr>
        <w:spacing w:after="0" w:line="240" w:lineRule="auto"/>
      </w:pPr>
      <w:r>
        <w:separator/>
      </w:r>
    </w:p>
  </w:footnote>
  <w:footnote w:type="continuationSeparator" w:id="0">
    <w:p w:rsidR="00DC61F3" w:rsidP="00FA3B2E" w:rsidRDefault="00DC61F3" w14:paraId="627AA4D0"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A0"/>
    <w:rsid w:val="000142F8"/>
    <w:rsid w:val="000942F2"/>
    <w:rsid w:val="00143C46"/>
    <w:rsid w:val="00176F07"/>
    <w:rsid w:val="001A0914"/>
    <w:rsid w:val="001A0BBA"/>
    <w:rsid w:val="00217A47"/>
    <w:rsid w:val="002304A7"/>
    <w:rsid w:val="0036430F"/>
    <w:rsid w:val="00397D0A"/>
    <w:rsid w:val="003A1941"/>
    <w:rsid w:val="003A493E"/>
    <w:rsid w:val="003B00DC"/>
    <w:rsid w:val="003B1DFF"/>
    <w:rsid w:val="003D6640"/>
    <w:rsid w:val="00453A6F"/>
    <w:rsid w:val="00471FF4"/>
    <w:rsid w:val="005311C2"/>
    <w:rsid w:val="005B7005"/>
    <w:rsid w:val="005D5A4C"/>
    <w:rsid w:val="007A648A"/>
    <w:rsid w:val="008603DE"/>
    <w:rsid w:val="00861924"/>
    <w:rsid w:val="008D6E0A"/>
    <w:rsid w:val="00A1748B"/>
    <w:rsid w:val="00B067B8"/>
    <w:rsid w:val="00B22927"/>
    <w:rsid w:val="00B77191"/>
    <w:rsid w:val="00BC7AF4"/>
    <w:rsid w:val="00BD6604"/>
    <w:rsid w:val="00BF3B44"/>
    <w:rsid w:val="00CB3339"/>
    <w:rsid w:val="00D001AB"/>
    <w:rsid w:val="00D41B62"/>
    <w:rsid w:val="00DC61F3"/>
    <w:rsid w:val="00DC7066"/>
    <w:rsid w:val="00E034A0"/>
    <w:rsid w:val="00E1407E"/>
    <w:rsid w:val="00F67E30"/>
    <w:rsid w:val="00FA3B2E"/>
    <w:rsid w:val="00FA709E"/>
    <w:rsid w:val="00FF6D69"/>
    <w:rsid w:val="0E5FDD92"/>
    <w:rsid w:val="4074FF1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4587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A709E"/>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autoRedefine/>
    <w:uiPriority w:val="9"/>
    <w:qFormat/>
    <w:rsid w:val="00FA709E"/>
    <w:pPr>
      <w:keepNext/>
      <w:keepLines/>
      <w:spacing w:before="240" w:after="0"/>
      <w:outlineLvl w:val="0"/>
    </w:pPr>
    <w:rPr>
      <w:rFonts w:eastAsiaTheme="majorEastAsia" w:cstheme="majorBidi"/>
      <w:b/>
      <w:kern w:val="2"/>
      <w:sz w:val="32"/>
      <w:szCs w:val="32"/>
      <w:lang w:val="en-US"/>
      <w14:ligatures w14:val="standardContextual"/>
    </w:rPr>
  </w:style>
  <w:style w:type="paragraph" w:styleId="Heading2">
    <w:name w:val="heading 2"/>
    <w:basedOn w:val="Normal"/>
    <w:next w:val="Normal"/>
    <w:link w:val="Heading2Char"/>
    <w:autoRedefine/>
    <w:uiPriority w:val="9"/>
    <w:unhideWhenUsed/>
    <w:qFormat/>
    <w:rsid w:val="00FA709E"/>
    <w:pPr>
      <w:keepNext/>
      <w:keepLines/>
      <w:spacing w:before="40" w:after="0"/>
      <w:outlineLvl w:val="1"/>
    </w:pPr>
    <w:rPr>
      <w:rFonts w:eastAsiaTheme="majorEastAsia" w:cstheme="majorBidi"/>
      <w:b/>
      <w:kern w:val="2"/>
      <w:sz w:val="28"/>
      <w:szCs w:val="26"/>
      <w:lang w:val="en-US"/>
      <w14:ligatures w14:val="standardContextual"/>
    </w:rPr>
  </w:style>
  <w:style w:type="paragraph" w:styleId="Heading3">
    <w:name w:val="heading 3"/>
    <w:basedOn w:val="Normal"/>
    <w:next w:val="Normal"/>
    <w:link w:val="Heading3Char"/>
    <w:autoRedefine/>
    <w:uiPriority w:val="9"/>
    <w:unhideWhenUsed/>
    <w:qFormat/>
    <w:rsid w:val="001A0914"/>
    <w:pPr>
      <w:keepNext/>
      <w:keepLines/>
      <w:spacing w:before="40" w:after="0"/>
      <w:outlineLvl w:val="2"/>
    </w:pPr>
    <w:rPr>
      <w:rFonts w:eastAsiaTheme="majorEastAsia" w:cstheme="majorBidi"/>
      <w:b/>
      <w:kern w:val="2"/>
      <w:szCs w:val="24"/>
      <w:lang w:val="en-US"/>
      <w14:ligatures w14:val="standardContextual"/>
    </w:rPr>
  </w:style>
  <w:style w:type="paragraph" w:styleId="Heading4">
    <w:name w:val="heading 4"/>
    <w:basedOn w:val="Normal"/>
    <w:next w:val="Normal"/>
    <w:link w:val="Heading4Char"/>
    <w:autoRedefine/>
    <w:uiPriority w:val="9"/>
    <w:unhideWhenUsed/>
    <w:qFormat/>
    <w:rsid w:val="00FA709E"/>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E034A0"/>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4A0"/>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4A0"/>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4A0"/>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4A0"/>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709E"/>
    <w:rPr>
      <w:rFonts w:ascii="Times New Roman" w:hAnsi="Times New Roman" w:eastAsiaTheme="majorEastAsia" w:cstheme="majorBidi"/>
      <w:b/>
      <w:sz w:val="32"/>
      <w:szCs w:val="32"/>
    </w:rPr>
  </w:style>
  <w:style w:type="character" w:styleId="Heading3Char" w:customStyle="1">
    <w:name w:val="Heading 3 Char"/>
    <w:basedOn w:val="DefaultParagraphFont"/>
    <w:link w:val="Heading3"/>
    <w:uiPriority w:val="9"/>
    <w:rsid w:val="001A0914"/>
    <w:rPr>
      <w:rFonts w:ascii="Times New Roman" w:hAnsi="Times New Roman" w:eastAsiaTheme="majorEastAsia" w:cstheme="majorBidi"/>
      <w:b/>
    </w:rPr>
  </w:style>
  <w:style w:type="character" w:styleId="Heading2Char" w:customStyle="1">
    <w:name w:val="Heading 2 Char"/>
    <w:basedOn w:val="DefaultParagraphFont"/>
    <w:link w:val="Heading2"/>
    <w:uiPriority w:val="9"/>
    <w:rsid w:val="00FA709E"/>
    <w:rPr>
      <w:rFonts w:ascii="Times New Roman" w:hAnsi="Times New Roman" w:eastAsiaTheme="majorEastAsia" w:cstheme="majorBidi"/>
      <w:b/>
      <w:sz w:val="28"/>
      <w:szCs w:val="26"/>
    </w:rPr>
  </w:style>
  <w:style w:type="character" w:styleId="Heading4Char" w:customStyle="1">
    <w:name w:val="Heading 4 Char"/>
    <w:basedOn w:val="DefaultParagraphFont"/>
    <w:link w:val="Heading4"/>
    <w:uiPriority w:val="9"/>
    <w:rsid w:val="00FA709E"/>
    <w:rPr>
      <w:rFonts w:ascii="Times New Roman" w:hAnsi="Times New Roman" w:eastAsiaTheme="majorEastAsia" w:cstheme="majorBidi"/>
      <w:b/>
      <w:i/>
      <w:iCs/>
      <w:kern w:val="0"/>
      <w:szCs w:val="22"/>
      <w:lang w:val="en-GB"/>
      <w14:ligatures w14:val="none"/>
    </w:rPr>
  </w:style>
  <w:style w:type="character" w:styleId="Heading5Char" w:customStyle="1">
    <w:name w:val="Heading 5 Char"/>
    <w:basedOn w:val="DefaultParagraphFont"/>
    <w:link w:val="Heading5"/>
    <w:uiPriority w:val="9"/>
    <w:semiHidden/>
    <w:rsid w:val="00E034A0"/>
    <w:rPr>
      <w:rFonts w:eastAsiaTheme="majorEastAsia" w:cstheme="majorBidi"/>
      <w:color w:val="0F4761" w:themeColor="accent1" w:themeShade="BF"/>
      <w:kern w:val="0"/>
      <w:szCs w:val="22"/>
      <w:lang w:val="en-GB"/>
      <w14:ligatures w14:val="none"/>
    </w:rPr>
  </w:style>
  <w:style w:type="character" w:styleId="Heading6Char" w:customStyle="1">
    <w:name w:val="Heading 6 Char"/>
    <w:basedOn w:val="DefaultParagraphFont"/>
    <w:link w:val="Heading6"/>
    <w:uiPriority w:val="9"/>
    <w:semiHidden/>
    <w:rsid w:val="00E034A0"/>
    <w:rPr>
      <w:rFonts w:eastAsiaTheme="majorEastAsia" w:cstheme="majorBidi"/>
      <w:i/>
      <w:iCs/>
      <w:color w:val="595959" w:themeColor="text1" w:themeTint="A6"/>
      <w:kern w:val="0"/>
      <w:szCs w:val="22"/>
      <w:lang w:val="en-GB"/>
      <w14:ligatures w14:val="none"/>
    </w:rPr>
  </w:style>
  <w:style w:type="character" w:styleId="Heading7Char" w:customStyle="1">
    <w:name w:val="Heading 7 Char"/>
    <w:basedOn w:val="DefaultParagraphFont"/>
    <w:link w:val="Heading7"/>
    <w:uiPriority w:val="9"/>
    <w:semiHidden/>
    <w:rsid w:val="00E034A0"/>
    <w:rPr>
      <w:rFonts w:eastAsiaTheme="majorEastAsia" w:cstheme="majorBidi"/>
      <w:color w:val="595959" w:themeColor="text1" w:themeTint="A6"/>
      <w:kern w:val="0"/>
      <w:szCs w:val="22"/>
      <w:lang w:val="en-GB"/>
      <w14:ligatures w14:val="none"/>
    </w:rPr>
  </w:style>
  <w:style w:type="character" w:styleId="Heading8Char" w:customStyle="1">
    <w:name w:val="Heading 8 Char"/>
    <w:basedOn w:val="DefaultParagraphFont"/>
    <w:link w:val="Heading8"/>
    <w:uiPriority w:val="9"/>
    <w:semiHidden/>
    <w:rsid w:val="00E034A0"/>
    <w:rPr>
      <w:rFonts w:eastAsiaTheme="majorEastAsia" w:cstheme="majorBidi"/>
      <w:i/>
      <w:iCs/>
      <w:color w:val="272727" w:themeColor="text1" w:themeTint="D8"/>
      <w:kern w:val="0"/>
      <w:szCs w:val="22"/>
      <w:lang w:val="en-GB"/>
      <w14:ligatures w14:val="none"/>
    </w:rPr>
  </w:style>
  <w:style w:type="character" w:styleId="Heading9Char" w:customStyle="1">
    <w:name w:val="Heading 9 Char"/>
    <w:basedOn w:val="DefaultParagraphFont"/>
    <w:link w:val="Heading9"/>
    <w:uiPriority w:val="9"/>
    <w:semiHidden/>
    <w:rsid w:val="00E034A0"/>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E034A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034A0"/>
    <w:rPr>
      <w:rFonts w:asciiTheme="majorHAnsi" w:hAnsiTheme="majorHAnsi" w:eastAsiaTheme="majorEastAsia"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E034A0"/>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034A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034A0"/>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034A0"/>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E034A0"/>
    <w:pPr>
      <w:ind w:left="720"/>
      <w:contextualSpacing/>
    </w:pPr>
  </w:style>
  <w:style w:type="character" w:styleId="IntenseEmphasis">
    <w:name w:val="Intense Emphasis"/>
    <w:basedOn w:val="DefaultParagraphFont"/>
    <w:uiPriority w:val="21"/>
    <w:qFormat/>
    <w:rsid w:val="00E034A0"/>
    <w:rPr>
      <w:i/>
      <w:iCs/>
      <w:color w:val="0F4761" w:themeColor="accent1" w:themeShade="BF"/>
    </w:rPr>
  </w:style>
  <w:style w:type="paragraph" w:styleId="IntenseQuote">
    <w:name w:val="Intense Quote"/>
    <w:basedOn w:val="Normal"/>
    <w:next w:val="Normal"/>
    <w:link w:val="IntenseQuoteChar"/>
    <w:uiPriority w:val="30"/>
    <w:qFormat/>
    <w:rsid w:val="00E034A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034A0"/>
    <w:rPr>
      <w:rFonts w:ascii="Times New Roman" w:hAnsi="Times New Roman"/>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E034A0"/>
    <w:rPr>
      <w:b/>
      <w:bCs/>
      <w:smallCaps/>
      <w:color w:val="0F4761" w:themeColor="accent1" w:themeShade="BF"/>
      <w:spacing w:val="5"/>
    </w:rPr>
  </w:style>
  <w:style w:type="paragraph" w:styleId="Header">
    <w:name w:val="header"/>
    <w:basedOn w:val="Normal"/>
    <w:link w:val="HeaderChar"/>
    <w:uiPriority w:val="99"/>
    <w:unhideWhenUsed/>
    <w:rsid w:val="00FA3B2E"/>
    <w:pPr>
      <w:tabs>
        <w:tab w:val="center" w:pos="4680"/>
        <w:tab w:val="right" w:pos="9360"/>
      </w:tabs>
      <w:spacing w:after="0" w:line="240" w:lineRule="auto"/>
    </w:pPr>
  </w:style>
  <w:style w:type="character" w:styleId="HeaderChar" w:customStyle="1">
    <w:name w:val="Header Char"/>
    <w:basedOn w:val="DefaultParagraphFont"/>
    <w:link w:val="Header"/>
    <w:uiPriority w:val="99"/>
    <w:rsid w:val="00FA3B2E"/>
    <w:rPr>
      <w:rFonts w:ascii="Times New Roman" w:hAnsi="Times New Roman"/>
      <w:kern w:val="0"/>
      <w:szCs w:val="22"/>
      <w:lang w:val="en-GB"/>
      <w14:ligatures w14:val="none"/>
    </w:rPr>
  </w:style>
  <w:style w:type="paragraph" w:styleId="Footer">
    <w:name w:val="footer"/>
    <w:basedOn w:val="Normal"/>
    <w:link w:val="FooterChar"/>
    <w:uiPriority w:val="99"/>
    <w:unhideWhenUsed/>
    <w:rsid w:val="00FA3B2E"/>
    <w:pPr>
      <w:tabs>
        <w:tab w:val="center" w:pos="4680"/>
        <w:tab w:val="right" w:pos="9360"/>
      </w:tabs>
      <w:spacing w:after="0" w:line="240" w:lineRule="auto"/>
    </w:pPr>
  </w:style>
  <w:style w:type="character" w:styleId="FooterChar" w:customStyle="1">
    <w:name w:val="Footer Char"/>
    <w:basedOn w:val="DefaultParagraphFont"/>
    <w:link w:val="Footer"/>
    <w:uiPriority w:val="99"/>
    <w:rsid w:val="00FA3B2E"/>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696891">
      <w:bodyDiv w:val="1"/>
      <w:marLeft w:val="0"/>
      <w:marRight w:val="0"/>
      <w:marTop w:val="0"/>
      <w:marBottom w:val="0"/>
      <w:divBdr>
        <w:top w:val="none" w:sz="0" w:space="0" w:color="auto"/>
        <w:left w:val="none" w:sz="0" w:space="0" w:color="auto"/>
        <w:bottom w:val="none" w:sz="0" w:space="0" w:color="auto"/>
        <w:right w:val="none" w:sz="0" w:space="0" w:color="auto"/>
      </w:divBdr>
    </w:div>
    <w:div w:id="391778649">
      <w:bodyDiv w:val="1"/>
      <w:marLeft w:val="0"/>
      <w:marRight w:val="0"/>
      <w:marTop w:val="0"/>
      <w:marBottom w:val="0"/>
      <w:divBdr>
        <w:top w:val="none" w:sz="0" w:space="0" w:color="auto"/>
        <w:left w:val="none" w:sz="0" w:space="0" w:color="auto"/>
        <w:bottom w:val="none" w:sz="0" w:space="0" w:color="auto"/>
        <w:right w:val="none" w:sz="0" w:space="0" w:color="auto"/>
      </w:divBdr>
      <w:divsChild>
        <w:div w:id="36977785">
          <w:marLeft w:val="0"/>
          <w:marRight w:val="0"/>
          <w:marTop w:val="0"/>
          <w:marBottom w:val="0"/>
          <w:divBdr>
            <w:top w:val="none" w:sz="0" w:space="0" w:color="auto"/>
            <w:left w:val="none" w:sz="0" w:space="0" w:color="auto"/>
            <w:bottom w:val="none" w:sz="0" w:space="0" w:color="auto"/>
            <w:right w:val="none" w:sz="0" w:space="0" w:color="auto"/>
          </w:divBdr>
          <w:divsChild>
            <w:div w:id="1162702949">
              <w:marLeft w:val="0"/>
              <w:marRight w:val="0"/>
              <w:marTop w:val="0"/>
              <w:marBottom w:val="0"/>
              <w:divBdr>
                <w:top w:val="none" w:sz="0" w:space="0" w:color="auto"/>
                <w:left w:val="none" w:sz="0" w:space="0" w:color="auto"/>
                <w:bottom w:val="none" w:sz="0" w:space="0" w:color="auto"/>
                <w:right w:val="none" w:sz="0" w:space="0" w:color="auto"/>
              </w:divBdr>
            </w:div>
            <w:div w:id="38870881">
              <w:marLeft w:val="0"/>
              <w:marRight w:val="0"/>
              <w:marTop w:val="0"/>
              <w:marBottom w:val="0"/>
              <w:divBdr>
                <w:top w:val="none" w:sz="0" w:space="0" w:color="auto"/>
                <w:left w:val="none" w:sz="0" w:space="0" w:color="auto"/>
                <w:bottom w:val="none" w:sz="0" w:space="0" w:color="auto"/>
                <w:right w:val="none" w:sz="0" w:space="0" w:color="auto"/>
              </w:divBdr>
            </w:div>
            <w:div w:id="1762212303">
              <w:marLeft w:val="0"/>
              <w:marRight w:val="0"/>
              <w:marTop w:val="0"/>
              <w:marBottom w:val="0"/>
              <w:divBdr>
                <w:top w:val="none" w:sz="0" w:space="0" w:color="auto"/>
                <w:left w:val="none" w:sz="0" w:space="0" w:color="auto"/>
                <w:bottom w:val="none" w:sz="0" w:space="0" w:color="auto"/>
                <w:right w:val="none" w:sz="0" w:space="0" w:color="auto"/>
              </w:divBdr>
            </w:div>
            <w:div w:id="1331248468">
              <w:marLeft w:val="0"/>
              <w:marRight w:val="0"/>
              <w:marTop w:val="0"/>
              <w:marBottom w:val="0"/>
              <w:divBdr>
                <w:top w:val="none" w:sz="0" w:space="0" w:color="auto"/>
                <w:left w:val="none" w:sz="0" w:space="0" w:color="auto"/>
                <w:bottom w:val="none" w:sz="0" w:space="0" w:color="auto"/>
                <w:right w:val="none" w:sz="0" w:space="0" w:color="auto"/>
              </w:divBdr>
            </w:div>
            <w:div w:id="1821533940">
              <w:marLeft w:val="0"/>
              <w:marRight w:val="0"/>
              <w:marTop w:val="0"/>
              <w:marBottom w:val="0"/>
              <w:divBdr>
                <w:top w:val="none" w:sz="0" w:space="0" w:color="auto"/>
                <w:left w:val="none" w:sz="0" w:space="0" w:color="auto"/>
                <w:bottom w:val="none" w:sz="0" w:space="0" w:color="auto"/>
                <w:right w:val="none" w:sz="0" w:space="0" w:color="auto"/>
              </w:divBdr>
            </w:div>
            <w:div w:id="1059283518">
              <w:marLeft w:val="0"/>
              <w:marRight w:val="0"/>
              <w:marTop w:val="0"/>
              <w:marBottom w:val="0"/>
              <w:divBdr>
                <w:top w:val="none" w:sz="0" w:space="0" w:color="auto"/>
                <w:left w:val="none" w:sz="0" w:space="0" w:color="auto"/>
                <w:bottom w:val="none" w:sz="0" w:space="0" w:color="auto"/>
                <w:right w:val="none" w:sz="0" w:space="0" w:color="auto"/>
              </w:divBdr>
            </w:div>
            <w:div w:id="243345197">
              <w:marLeft w:val="0"/>
              <w:marRight w:val="0"/>
              <w:marTop w:val="0"/>
              <w:marBottom w:val="0"/>
              <w:divBdr>
                <w:top w:val="none" w:sz="0" w:space="0" w:color="auto"/>
                <w:left w:val="none" w:sz="0" w:space="0" w:color="auto"/>
                <w:bottom w:val="none" w:sz="0" w:space="0" w:color="auto"/>
                <w:right w:val="none" w:sz="0" w:space="0" w:color="auto"/>
              </w:divBdr>
            </w:div>
            <w:div w:id="1971741405">
              <w:marLeft w:val="0"/>
              <w:marRight w:val="0"/>
              <w:marTop w:val="0"/>
              <w:marBottom w:val="0"/>
              <w:divBdr>
                <w:top w:val="none" w:sz="0" w:space="0" w:color="auto"/>
                <w:left w:val="none" w:sz="0" w:space="0" w:color="auto"/>
                <w:bottom w:val="none" w:sz="0" w:space="0" w:color="auto"/>
                <w:right w:val="none" w:sz="0" w:space="0" w:color="auto"/>
              </w:divBdr>
            </w:div>
            <w:div w:id="136435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49418">
      <w:bodyDiv w:val="1"/>
      <w:marLeft w:val="0"/>
      <w:marRight w:val="0"/>
      <w:marTop w:val="0"/>
      <w:marBottom w:val="0"/>
      <w:divBdr>
        <w:top w:val="none" w:sz="0" w:space="0" w:color="auto"/>
        <w:left w:val="none" w:sz="0" w:space="0" w:color="auto"/>
        <w:bottom w:val="none" w:sz="0" w:space="0" w:color="auto"/>
        <w:right w:val="none" w:sz="0" w:space="0" w:color="auto"/>
      </w:divBdr>
      <w:divsChild>
        <w:div w:id="1782333506">
          <w:marLeft w:val="0"/>
          <w:marRight w:val="0"/>
          <w:marTop w:val="0"/>
          <w:marBottom w:val="0"/>
          <w:divBdr>
            <w:top w:val="none" w:sz="0" w:space="0" w:color="auto"/>
            <w:left w:val="none" w:sz="0" w:space="0" w:color="auto"/>
            <w:bottom w:val="none" w:sz="0" w:space="0" w:color="auto"/>
            <w:right w:val="none" w:sz="0" w:space="0" w:color="auto"/>
          </w:divBdr>
          <w:divsChild>
            <w:div w:id="116142000">
              <w:marLeft w:val="0"/>
              <w:marRight w:val="0"/>
              <w:marTop w:val="0"/>
              <w:marBottom w:val="0"/>
              <w:divBdr>
                <w:top w:val="none" w:sz="0" w:space="0" w:color="auto"/>
                <w:left w:val="none" w:sz="0" w:space="0" w:color="auto"/>
                <w:bottom w:val="none" w:sz="0" w:space="0" w:color="auto"/>
                <w:right w:val="none" w:sz="0" w:space="0" w:color="auto"/>
              </w:divBdr>
            </w:div>
            <w:div w:id="54089420">
              <w:marLeft w:val="0"/>
              <w:marRight w:val="0"/>
              <w:marTop w:val="0"/>
              <w:marBottom w:val="0"/>
              <w:divBdr>
                <w:top w:val="none" w:sz="0" w:space="0" w:color="auto"/>
                <w:left w:val="none" w:sz="0" w:space="0" w:color="auto"/>
                <w:bottom w:val="none" w:sz="0" w:space="0" w:color="auto"/>
                <w:right w:val="none" w:sz="0" w:space="0" w:color="auto"/>
              </w:divBdr>
            </w:div>
            <w:div w:id="2141721740">
              <w:marLeft w:val="0"/>
              <w:marRight w:val="0"/>
              <w:marTop w:val="0"/>
              <w:marBottom w:val="0"/>
              <w:divBdr>
                <w:top w:val="none" w:sz="0" w:space="0" w:color="auto"/>
                <w:left w:val="none" w:sz="0" w:space="0" w:color="auto"/>
                <w:bottom w:val="none" w:sz="0" w:space="0" w:color="auto"/>
                <w:right w:val="none" w:sz="0" w:space="0" w:color="auto"/>
              </w:divBdr>
            </w:div>
            <w:div w:id="1212231515">
              <w:marLeft w:val="0"/>
              <w:marRight w:val="0"/>
              <w:marTop w:val="0"/>
              <w:marBottom w:val="0"/>
              <w:divBdr>
                <w:top w:val="none" w:sz="0" w:space="0" w:color="auto"/>
                <w:left w:val="none" w:sz="0" w:space="0" w:color="auto"/>
                <w:bottom w:val="none" w:sz="0" w:space="0" w:color="auto"/>
                <w:right w:val="none" w:sz="0" w:space="0" w:color="auto"/>
              </w:divBdr>
            </w:div>
            <w:div w:id="1206983113">
              <w:marLeft w:val="0"/>
              <w:marRight w:val="0"/>
              <w:marTop w:val="0"/>
              <w:marBottom w:val="0"/>
              <w:divBdr>
                <w:top w:val="none" w:sz="0" w:space="0" w:color="auto"/>
                <w:left w:val="none" w:sz="0" w:space="0" w:color="auto"/>
                <w:bottom w:val="none" w:sz="0" w:space="0" w:color="auto"/>
                <w:right w:val="none" w:sz="0" w:space="0" w:color="auto"/>
              </w:divBdr>
            </w:div>
            <w:div w:id="1343162338">
              <w:marLeft w:val="0"/>
              <w:marRight w:val="0"/>
              <w:marTop w:val="0"/>
              <w:marBottom w:val="0"/>
              <w:divBdr>
                <w:top w:val="none" w:sz="0" w:space="0" w:color="auto"/>
                <w:left w:val="none" w:sz="0" w:space="0" w:color="auto"/>
                <w:bottom w:val="none" w:sz="0" w:space="0" w:color="auto"/>
                <w:right w:val="none" w:sz="0" w:space="0" w:color="auto"/>
              </w:divBdr>
            </w:div>
            <w:div w:id="2129622624">
              <w:marLeft w:val="0"/>
              <w:marRight w:val="0"/>
              <w:marTop w:val="0"/>
              <w:marBottom w:val="0"/>
              <w:divBdr>
                <w:top w:val="none" w:sz="0" w:space="0" w:color="auto"/>
                <w:left w:val="none" w:sz="0" w:space="0" w:color="auto"/>
                <w:bottom w:val="none" w:sz="0" w:space="0" w:color="auto"/>
                <w:right w:val="none" w:sz="0" w:space="0" w:color="auto"/>
              </w:divBdr>
            </w:div>
            <w:div w:id="1838690451">
              <w:marLeft w:val="0"/>
              <w:marRight w:val="0"/>
              <w:marTop w:val="0"/>
              <w:marBottom w:val="0"/>
              <w:divBdr>
                <w:top w:val="none" w:sz="0" w:space="0" w:color="auto"/>
                <w:left w:val="none" w:sz="0" w:space="0" w:color="auto"/>
                <w:bottom w:val="none" w:sz="0" w:space="0" w:color="auto"/>
                <w:right w:val="none" w:sz="0" w:space="0" w:color="auto"/>
              </w:divBdr>
            </w:div>
            <w:div w:id="3341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Radostin Angelov</lastModifiedBy>
  <revision>2</revision>
  <dcterms:created xsi:type="dcterms:W3CDTF">2024-07-25T16:06:00.0000000Z</dcterms:created>
  <dcterms:modified xsi:type="dcterms:W3CDTF">2024-08-09T09:18:46.0304580Z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6ff91f4846f8be730cb20719406e796a71aba9b160118277d828cf6958006994</vt:lpwstr>
  </property>
</Properties>
</file>