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eastAsiaTheme="minorHAnsi" w:hAnsi="Calibri" w:cs="Times New Roman (Body CS)"/>
          <w:kern w:val="2"/>
          <w:sz w:val="2"/>
          <w:szCs w:val="24"/>
          <w:lang w:val="en-GB" w:eastAsia="en-US"/>
          <w14:ligatures w14:val="standardContextual"/>
        </w:rPr>
        <w:id w:val="125908285"/>
        <w:docPartObj>
          <w:docPartGallery w:val="Cover Pages"/>
          <w:docPartUnique/>
        </w:docPartObj>
      </w:sdtPr>
      <w:sdtEndPr>
        <w:rPr>
          <w:sz w:val="24"/>
        </w:rPr>
      </w:sdtEndPr>
      <w:sdtContent>
        <w:p w14:paraId="01785D14" w14:textId="32691114" w:rsidR="00404C58" w:rsidRDefault="00404C58">
          <w:pPr>
            <w:pStyle w:val="NoSpacing"/>
            <w:rPr>
              <w:sz w:val="2"/>
            </w:rPr>
          </w:pPr>
        </w:p>
        <w:p w14:paraId="019768F0" w14:textId="77777777" w:rsidR="00404C58" w:rsidRDefault="00404C58">
          <w:r>
            <w:rPr>
              <w:noProof/>
            </w:rPr>
            <mc:AlternateContent>
              <mc:Choice Requires="wps">
                <w:drawing>
                  <wp:anchor distT="0" distB="0" distL="114300" distR="114300" simplePos="0" relativeHeight="251661312" behindDoc="0" locked="0" layoutInCell="1" allowOverlap="1" wp14:anchorId="28A17A29" wp14:editId="55D833FF">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2529A" w14:textId="5FC2B941" w:rsidR="00404C58" w:rsidRDefault="00404C5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The impact of corporate governance practices on firm performance</w:t>
                                    </w:r>
                                  </w:p>
                                </w:sdtContent>
                              </w:sdt>
                              <w:p w14:paraId="6F47C1F9" w14:textId="1E12B873" w:rsidR="00404C58"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04C58">
                                      <w:rPr>
                                        <w:color w:val="156082" w:themeColor="accent1"/>
                                        <w:sz w:val="36"/>
                                        <w:szCs w:val="36"/>
                                      </w:rPr>
                                      <w:t>LCBB6002 – International Financial Management</w:t>
                                    </w:r>
                                  </w:sdtContent>
                                </w:sdt>
                                <w:r w:rsidR="00404C58">
                                  <w:rPr>
                                    <w:noProof/>
                                  </w:rPr>
                                  <w:t xml:space="preserve"> </w:t>
                                </w:r>
                              </w:p>
                              <w:p w14:paraId="2EE95A2E" w14:textId="77777777" w:rsidR="00404C58" w:rsidRDefault="00404C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8A17A29"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2529A" w14:textId="5FC2B941" w:rsidR="00404C58" w:rsidRDefault="00404C5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The impact of corporate governance practices on firm performance</w:t>
                              </w:r>
                            </w:p>
                          </w:sdtContent>
                        </w:sdt>
                        <w:p w14:paraId="6F47C1F9" w14:textId="1E12B873" w:rsidR="00404C58" w:rsidRDefault="00404C58">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LCBB6002 – International Financial Management</w:t>
                              </w:r>
                            </w:sdtContent>
                          </w:sdt>
                          <w:r>
                            <w:rPr>
                              <w:noProof/>
                            </w:rPr>
                            <w:t xml:space="preserve"> </w:t>
                          </w:r>
                        </w:p>
                        <w:p w14:paraId="2EE95A2E" w14:textId="77777777" w:rsidR="00404C58" w:rsidRDefault="00404C5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24F988F" wp14:editId="229CA32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A7781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E2BFD03" wp14:editId="289640DF">
                    <wp:simplePos x="0" y="0"/>
                    <wp:positionH relativeFrom="page">
                      <wp:align>center</wp:align>
                    </wp:positionH>
                    <wp:positionV relativeFrom="margin">
                      <wp:align>bottom</wp:align>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55FC4" w14:textId="3E8B815A" w:rsidR="00404C5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04C58">
                                      <w:rPr>
                                        <w:color w:val="156082" w:themeColor="accent1"/>
                                        <w:sz w:val="36"/>
                                        <w:szCs w:val="36"/>
                                      </w:rPr>
                                      <w:t>Student: Costin-Alexandru Chirita (2210952)</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A7BFDE" w14:textId="18CB9624" w:rsidR="00404C58" w:rsidRDefault="00404C58">
                                    <w:pPr>
                                      <w:pStyle w:val="NoSpacing"/>
                                      <w:jc w:val="right"/>
                                      <w:rPr>
                                        <w:color w:val="156082" w:themeColor="accent1"/>
                                        <w:sz w:val="36"/>
                                        <w:szCs w:val="36"/>
                                      </w:rPr>
                                    </w:pPr>
                                    <w:r>
                                      <w:rPr>
                                        <w:color w:val="156082" w:themeColor="accent1"/>
                                        <w:sz w:val="36"/>
                                        <w:szCs w:val="36"/>
                                      </w:rPr>
                                      <w:t>Lecturer: Mudassar Hasan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E2BFD03" id="Text Box 34"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49355FC4" w14:textId="3E8B815A" w:rsidR="00404C58" w:rsidRDefault="00404C58">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Student: Costin-Alexandru Chirita (2210952)</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A7BFDE" w14:textId="18CB9624" w:rsidR="00404C58" w:rsidRDefault="00404C58">
                              <w:pPr>
                                <w:pStyle w:val="NoSpacing"/>
                                <w:jc w:val="right"/>
                                <w:rPr>
                                  <w:color w:val="156082" w:themeColor="accent1"/>
                                  <w:sz w:val="36"/>
                                  <w:szCs w:val="36"/>
                                </w:rPr>
                              </w:pPr>
                              <w:r>
                                <w:rPr>
                                  <w:color w:val="156082" w:themeColor="accent1"/>
                                  <w:sz w:val="36"/>
                                  <w:szCs w:val="36"/>
                                </w:rPr>
                                <w:t>Lecturer: Mudassar Hasan</w:t>
                              </w:r>
                            </w:p>
                          </w:sdtContent>
                        </w:sdt>
                      </w:txbxContent>
                    </v:textbox>
                    <w10:wrap anchorx="page" anchory="margin"/>
                  </v:shape>
                </w:pict>
              </mc:Fallback>
            </mc:AlternateContent>
          </w:r>
        </w:p>
        <w:p w14:paraId="3246D0BA" w14:textId="27436A54" w:rsidR="00404C58" w:rsidRDefault="00404C58">
          <w:r>
            <w:br w:type="page"/>
          </w:r>
        </w:p>
      </w:sdtContent>
    </w:sdt>
    <w:sdt>
      <w:sdtPr>
        <w:rPr>
          <w:rFonts w:ascii="Calibri" w:eastAsiaTheme="minorHAnsi" w:hAnsi="Calibri" w:cs="Times New Roman (Body CS)"/>
          <w:b w:val="0"/>
          <w:bCs w:val="0"/>
          <w:color w:val="auto"/>
          <w:kern w:val="2"/>
          <w:sz w:val="24"/>
          <w:szCs w:val="24"/>
          <w:lang w:val="en-GB"/>
          <w14:ligatures w14:val="standardContextual"/>
        </w:rPr>
        <w:id w:val="468714325"/>
        <w:docPartObj>
          <w:docPartGallery w:val="Table of Contents"/>
          <w:docPartUnique/>
        </w:docPartObj>
      </w:sdtPr>
      <w:sdtEndPr>
        <w:rPr>
          <w:noProof/>
        </w:rPr>
      </w:sdtEndPr>
      <w:sdtContent>
        <w:p w14:paraId="0C64FBB1" w14:textId="66600DA3" w:rsidR="00404C58" w:rsidRDefault="00404C58">
          <w:pPr>
            <w:pStyle w:val="TOCHeading"/>
          </w:pPr>
          <w:r>
            <w:t>Table of Contents</w:t>
          </w:r>
        </w:p>
        <w:p w14:paraId="5AB85274" w14:textId="4356A229" w:rsidR="009218F1" w:rsidRDefault="00404C58">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0931856" w:history="1">
            <w:r w:rsidR="009218F1" w:rsidRPr="00036D9C">
              <w:rPr>
                <w:rStyle w:val="Hyperlink"/>
                <w:noProof/>
              </w:rPr>
              <w:t>Introduction</w:t>
            </w:r>
            <w:r w:rsidR="009218F1">
              <w:rPr>
                <w:noProof/>
                <w:webHidden/>
              </w:rPr>
              <w:tab/>
            </w:r>
            <w:r w:rsidR="009218F1">
              <w:rPr>
                <w:noProof/>
                <w:webHidden/>
              </w:rPr>
              <w:fldChar w:fldCharType="begin"/>
            </w:r>
            <w:r w:rsidR="009218F1">
              <w:rPr>
                <w:noProof/>
                <w:webHidden/>
              </w:rPr>
              <w:instrText xml:space="preserve"> PAGEREF _Toc180931856 \h </w:instrText>
            </w:r>
            <w:r w:rsidR="009218F1">
              <w:rPr>
                <w:noProof/>
                <w:webHidden/>
              </w:rPr>
            </w:r>
            <w:r w:rsidR="009218F1">
              <w:rPr>
                <w:noProof/>
                <w:webHidden/>
              </w:rPr>
              <w:fldChar w:fldCharType="separate"/>
            </w:r>
            <w:r w:rsidR="009218F1">
              <w:rPr>
                <w:noProof/>
                <w:webHidden/>
              </w:rPr>
              <w:t>2</w:t>
            </w:r>
            <w:r w:rsidR="009218F1">
              <w:rPr>
                <w:noProof/>
                <w:webHidden/>
              </w:rPr>
              <w:fldChar w:fldCharType="end"/>
            </w:r>
          </w:hyperlink>
        </w:p>
        <w:p w14:paraId="6C401C61" w14:textId="351CAEC6" w:rsidR="009218F1" w:rsidRDefault="009218F1">
          <w:pPr>
            <w:pStyle w:val="TOC1"/>
            <w:tabs>
              <w:tab w:val="right" w:leader="dot" w:pos="9016"/>
            </w:tabs>
            <w:rPr>
              <w:rFonts w:eastAsiaTheme="minorEastAsia" w:cstheme="minorBidi"/>
              <w:b w:val="0"/>
              <w:bCs w:val="0"/>
              <w:i w:val="0"/>
              <w:iCs w:val="0"/>
              <w:noProof/>
              <w:lang w:eastAsia="en-GB"/>
            </w:rPr>
          </w:pPr>
          <w:hyperlink w:anchor="_Toc180931857" w:history="1">
            <w:r w:rsidRPr="00036D9C">
              <w:rPr>
                <w:rStyle w:val="Hyperlink"/>
                <w:noProof/>
              </w:rPr>
              <w:t>Importance of Corporate Governance Practices</w:t>
            </w:r>
            <w:r>
              <w:rPr>
                <w:noProof/>
                <w:webHidden/>
              </w:rPr>
              <w:tab/>
            </w:r>
            <w:r>
              <w:rPr>
                <w:noProof/>
                <w:webHidden/>
              </w:rPr>
              <w:fldChar w:fldCharType="begin"/>
            </w:r>
            <w:r>
              <w:rPr>
                <w:noProof/>
                <w:webHidden/>
              </w:rPr>
              <w:instrText xml:space="preserve"> PAGEREF _Toc180931857 \h </w:instrText>
            </w:r>
            <w:r>
              <w:rPr>
                <w:noProof/>
                <w:webHidden/>
              </w:rPr>
            </w:r>
            <w:r>
              <w:rPr>
                <w:noProof/>
                <w:webHidden/>
              </w:rPr>
              <w:fldChar w:fldCharType="separate"/>
            </w:r>
            <w:r>
              <w:rPr>
                <w:noProof/>
                <w:webHidden/>
              </w:rPr>
              <w:t>2</w:t>
            </w:r>
            <w:r>
              <w:rPr>
                <w:noProof/>
                <w:webHidden/>
              </w:rPr>
              <w:fldChar w:fldCharType="end"/>
            </w:r>
          </w:hyperlink>
        </w:p>
        <w:p w14:paraId="728DB92F" w14:textId="04242F1B" w:rsidR="009218F1" w:rsidRDefault="009218F1">
          <w:pPr>
            <w:pStyle w:val="TOC1"/>
            <w:tabs>
              <w:tab w:val="right" w:leader="dot" w:pos="9016"/>
            </w:tabs>
            <w:rPr>
              <w:rFonts w:eastAsiaTheme="minorEastAsia" w:cstheme="minorBidi"/>
              <w:b w:val="0"/>
              <w:bCs w:val="0"/>
              <w:i w:val="0"/>
              <w:iCs w:val="0"/>
              <w:noProof/>
              <w:lang w:eastAsia="en-GB"/>
            </w:rPr>
          </w:pPr>
          <w:hyperlink w:anchor="_Toc180931858" w:history="1">
            <w:r w:rsidRPr="00036D9C">
              <w:rPr>
                <w:rStyle w:val="Hyperlink"/>
                <w:noProof/>
              </w:rPr>
              <w:t>Relationship between Corporate Governance Practices and Financial Performance</w:t>
            </w:r>
            <w:r>
              <w:rPr>
                <w:noProof/>
                <w:webHidden/>
              </w:rPr>
              <w:tab/>
            </w:r>
            <w:r>
              <w:rPr>
                <w:noProof/>
                <w:webHidden/>
              </w:rPr>
              <w:fldChar w:fldCharType="begin"/>
            </w:r>
            <w:r>
              <w:rPr>
                <w:noProof/>
                <w:webHidden/>
              </w:rPr>
              <w:instrText xml:space="preserve"> PAGEREF _Toc180931858 \h </w:instrText>
            </w:r>
            <w:r>
              <w:rPr>
                <w:noProof/>
                <w:webHidden/>
              </w:rPr>
            </w:r>
            <w:r>
              <w:rPr>
                <w:noProof/>
                <w:webHidden/>
              </w:rPr>
              <w:fldChar w:fldCharType="separate"/>
            </w:r>
            <w:r>
              <w:rPr>
                <w:noProof/>
                <w:webHidden/>
              </w:rPr>
              <w:t>4</w:t>
            </w:r>
            <w:r>
              <w:rPr>
                <w:noProof/>
                <w:webHidden/>
              </w:rPr>
              <w:fldChar w:fldCharType="end"/>
            </w:r>
          </w:hyperlink>
        </w:p>
        <w:p w14:paraId="42063B55" w14:textId="3BA603DA" w:rsidR="009218F1" w:rsidRDefault="009218F1">
          <w:pPr>
            <w:pStyle w:val="TOC1"/>
            <w:tabs>
              <w:tab w:val="right" w:leader="dot" w:pos="9016"/>
            </w:tabs>
            <w:rPr>
              <w:rFonts w:eastAsiaTheme="minorEastAsia" w:cstheme="minorBidi"/>
              <w:b w:val="0"/>
              <w:bCs w:val="0"/>
              <w:i w:val="0"/>
              <w:iCs w:val="0"/>
              <w:noProof/>
              <w:lang w:eastAsia="en-GB"/>
            </w:rPr>
          </w:pPr>
          <w:hyperlink w:anchor="_Toc180931859" w:history="1">
            <w:r w:rsidRPr="00036D9C">
              <w:rPr>
                <w:rStyle w:val="Hyperlink"/>
                <w:noProof/>
              </w:rPr>
              <w:t>Conclusion</w:t>
            </w:r>
            <w:r>
              <w:rPr>
                <w:noProof/>
                <w:webHidden/>
              </w:rPr>
              <w:tab/>
            </w:r>
            <w:r>
              <w:rPr>
                <w:noProof/>
                <w:webHidden/>
              </w:rPr>
              <w:fldChar w:fldCharType="begin"/>
            </w:r>
            <w:r>
              <w:rPr>
                <w:noProof/>
                <w:webHidden/>
              </w:rPr>
              <w:instrText xml:space="preserve"> PAGEREF _Toc180931859 \h </w:instrText>
            </w:r>
            <w:r>
              <w:rPr>
                <w:noProof/>
                <w:webHidden/>
              </w:rPr>
            </w:r>
            <w:r>
              <w:rPr>
                <w:noProof/>
                <w:webHidden/>
              </w:rPr>
              <w:fldChar w:fldCharType="separate"/>
            </w:r>
            <w:r>
              <w:rPr>
                <w:noProof/>
                <w:webHidden/>
              </w:rPr>
              <w:t>6</w:t>
            </w:r>
            <w:r>
              <w:rPr>
                <w:noProof/>
                <w:webHidden/>
              </w:rPr>
              <w:fldChar w:fldCharType="end"/>
            </w:r>
          </w:hyperlink>
        </w:p>
        <w:p w14:paraId="041EFE14" w14:textId="6CAF8B10" w:rsidR="009218F1" w:rsidRDefault="009218F1">
          <w:pPr>
            <w:pStyle w:val="TOC1"/>
            <w:tabs>
              <w:tab w:val="right" w:leader="dot" w:pos="9016"/>
            </w:tabs>
            <w:rPr>
              <w:rFonts w:eastAsiaTheme="minorEastAsia" w:cstheme="minorBidi"/>
              <w:b w:val="0"/>
              <w:bCs w:val="0"/>
              <w:i w:val="0"/>
              <w:iCs w:val="0"/>
              <w:noProof/>
              <w:lang w:eastAsia="en-GB"/>
            </w:rPr>
          </w:pPr>
          <w:hyperlink w:anchor="_Toc180931860" w:history="1">
            <w:r w:rsidRPr="00036D9C">
              <w:rPr>
                <w:rStyle w:val="Hyperlink"/>
                <w:noProof/>
              </w:rPr>
              <w:t>References</w:t>
            </w:r>
            <w:r>
              <w:rPr>
                <w:noProof/>
                <w:webHidden/>
              </w:rPr>
              <w:tab/>
            </w:r>
            <w:r>
              <w:rPr>
                <w:noProof/>
                <w:webHidden/>
              </w:rPr>
              <w:fldChar w:fldCharType="begin"/>
            </w:r>
            <w:r>
              <w:rPr>
                <w:noProof/>
                <w:webHidden/>
              </w:rPr>
              <w:instrText xml:space="preserve"> PAGEREF _Toc180931860 \h </w:instrText>
            </w:r>
            <w:r>
              <w:rPr>
                <w:noProof/>
                <w:webHidden/>
              </w:rPr>
            </w:r>
            <w:r>
              <w:rPr>
                <w:noProof/>
                <w:webHidden/>
              </w:rPr>
              <w:fldChar w:fldCharType="separate"/>
            </w:r>
            <w:r>
              <w:rPr>
                <w:noProof/>
                <w:webHidden/>
              </w:rPr>
              <w:t>7</w:t>
            </w:r>
            <w:r>
              <w:rPr>
                <w:noProof/>
                <w:webHidden/>
              </w:rPr>
              <w:fldChar w:fldCharType="end"/>
            </w:r>
          </w:hyperlink>
        </w:p>
        <w:p w14:paraId="191876B7" w14:textId="340602B5" w:rsidR="00404C58" w:rsidRDefault="00404C58">
          <w:r>
            <w:rPr>
              <w:b/>
              <w:bCs/>
              <w:noProof/>
            </w:rPr>
            <w:fldChar w:fldCharType="end"/>
          </w:r>
        </w:p>
      </w:sdtContent>
    </w:sdt>
    <w:p w14:paraId="3DD37E55" w14:textId="6563E52D" w:rsidR="00404C58" w:rsidRDefault="00404C58" w:rsidP="00404C58">
      <w:pPr>
        <w:spacing w:line="360" w:lineRule="auto"/>
        <w:rPr>
          <w:rFonts w:ascii="Arial" w:hAnsi="Arial" w:cs="Arial"/>
        </w:rPr>
      </w:pPr>
    </w:p>
    <w:p w14:paraId="445BCEE2" w14:textId="77777777" w:rsidR="00404C58" w:rsidRDefault="00404C58">
      <w:pPr>
        <w:rPr>
          <w:rFonts w:ascii="Arial" w:hAnsi="Arial" w:cs="Arial"/>
        </w:rPr>
      </w:pPr>
      <w:r>
        <w:rPr>
          <w:rFonts w:ascii="Arial" w:hAnsi="Arial" w:cs="Arial"/>
        </w:rPr>
        <w:br w:type="page"/>
      </w:r>
    </w:p>
    <w:p w14:paraId="0BFC3402" w14:textId="57C9A889" w:rsidR="005F45EB" w:rsidRDefault="00404C58" w:rsidP="00404C58">
      <w:pPr>
        <w:pStyle w:val="Heading1"/>
      </w:pPr>
      <w:bookmarkStart w:id="0" w:name="_Toc180931856"/>
      <w:r>
        <w:lastRenderedPageBreak/>
        <w:t>Introduction</w:t>
      </w:r>
      <w:bookmarkEnd w:id="0"/>
    </w:p>
    <w:p w14:paraId="13E39E6B" w14:textId="77777777" w:rsidR="00404C58" w:rsidRDefault="00404C58" w:rsidP="00404C58"/>
    <w:p w14:paraId="774DE553" w14:textId="77777777" w:rsidR="00275630" w:rsidRDefault="00404C58" w:rsidP="00275630">
      <w:pPr>
        <w:spacing w:line="360" w:lineRule="auto"/>
        <w:ind w:firstLine="720"/>
        <w:rPr>
          <w:rFonts w:ascii="Arial" w:hAnsi="Arial" w:cs="Arial"/>
          <w:color w:val="000000"/>
          <w:sz w:val="22"/>
          <w:szCs w:val="22"/>
        </w:rPr>
      </w:pPr>
      <w:r>
        <w:rPr>
          <w:rFonts w:ascii="Arial" w:hAnsi="Arial" w:cs="Arial"/>
          <w:color w:val="000000"/>
          <w:sz w:val="22"/>
          <w:szCs w:val="22"/>
        </w:rPr>
        <w:t>The following report analyses the relationship between corporate governance practices and performance of Shell</w:t>
      </w:r>
      <w:r w:rsidR="00275630">
        <w:rPr>
          <w:rFonts w:ascii="Arial" w:hAnsi="Arial" w:cs="Arial"/>
          <w:color w:val="000000"/>
          <w:sz w:val="22"/>
          <w:szCs w:val="22"/>
        </w:rPr>
        <w:t>,</w:t>
      </w:r>
      <w:r>
        <w:rPr>
          <w:rFonts w:ascii="Arial" w:hAnsi="Arial" w:cs="Arial"/>
          <w:color w:val="000000"/>
          <w:sz w:val="22"/>
          <w:szCs w:val="22"/>
        </w:rPr>
        <w:t xml:space="preserve"> a UK based multinational oil company. Corporation governance can be looked at as the mechanisms used by business organization</w:t>
      </w:r>
      <w:r w:rsidR="00275630">
        <w:rPr>
          <w:rFonts w:ascii="Arial" w:hAnsi="Arial" w:cs="Arial"/>
          <w:color w:val="000000"/>
          <w:sz w:val="22"/>
          <w:szCs w:val="22"/>
        </w:rPr>
        <w:t>s</w:t>
      </w:r>
      <w:r>
        <w:rPr>
          <w:rFonts w:ascii="Arial" w:hAnsi="Arial" w:cs="Arial"/>
          <w:color w:val="000000"/>
          <w:sz w:val="22"/>
          <w:szCs w:val="22"/>
        </w:rPr>
        <w:t xml:space="preserve"> to control its operations and management. It covers aspects of the relationship between management and board of directors</w:t>
      </w:r>
      <w:r w:rsidR="00275630">
        <w:rPr>
          <w:rFonts w:ascii="Arial" w:hAnsi="Arial" w:cs="Arial"/>
          <w:color w:val="000000"/>
          <w:sz w:val="22"/>
          <w:szCs w:val="22"/>
        </w:rPr>
        <w:t>,</w:t>
      </w:r>
      <w:r>
        <w:rPr>
          <w:rFonts w:ascii="Arial" w:hAnsi="Arial" w:cs="Arial"/>
          <w:color w:val="000000"/>
          <w:sz w:val="22"/>
          <w:szCs w:val="22"/>
        </w:rPr>
        <w:t xml:space="preserve"> shareholders and other stakeholders. This is a fairly important notion in the sphere of business because high levels of corporate governance influence company performance by promoting and enhancing, among other things, transparency, accountability, and ethical behaviour of corporations as well as helps attract investors’ trust to certain enterprises in the long run. </w:t>
      </w:r>
    </w:p>
    <w:p w14:paraId="4595A6BD" w14:textId="77777777" w:rsidR="00275630" w:rsidRDefault="00404C58" w:rsidP="00275630">
      <w:pPr>
        <w:spacing w:line="360" w:lineRule="auto"/>
        <w:ind w:firstLine="720"/>
        <w:rPr>
          <w:rFonts w:ascii="Arial" w:hAnsi="Arial" w:cs="Arial"/>
          <w:color w:val="000000"/>
          <w:sz w:val="22"/>
          <w:szCs w:val="22"/>
        </w:rPr>
      </w:pPr>
      <w:r>
        <w:rPr>
          <w:rFonts w:ascii="Arial" w:hAnsi="Arial" w:cs="Arial"/>
          <w:color w:val="000000"/>
          <w:sz w:val="22"/>
          <w:szCs w:val="22"/>
        </w:rPr>
        <w:t xml:space="preserve">When applying to Shell, sound corporate governance practices are not only beneficial </w:t>
      </w:r>
      <w:r w:rsidR="00275630">
        <w:rPr>
          <w:rFonts w:ascii="Arial" w:hAnsi="Arial" w:cs="Arial"/>
          <w:color w:val="000000"/>
          <w:sz w:val="22"/>
          <w:szCs w:val="22"/>
        </w:rPr>
        <w:t>in</w:t>
      </w:r>
      <w:r>
        <w:rPr>
          <w:rFonts w:ascii="Arial" w:hAnsi="Arial" w:cs="Arial"/>
          <w:color w:val="000000"/>
          <w:sz w:val="22"/>
          <w:szCs w:val="22"/>
        </w:rPr>
        <w:t xml:space="preserve"> increasing the business performance rates but also work as the key risk control and regulation measures. Corporate governance</w:t>
      </w:r>
      <w:r w:rsidR="00275630">
        <w:rPr>
          <w:rFonts w:ascii="Arial" w:hAnsi="Arial" w:cs="Arial"/>
          <w:color w:val="000000"/>
          <w:sz w:val="22"/>
          <w:szCs w:val="22"/>
        </w:rPr>
        <w:t>,</w:t>
      </w:r>
      <w:r>
        <w:rPr>
          <w:rFonts w:ascii="Arial" w:hAnsi="Arial" w:cs="Arial"/>
          <w:color w:val="000000"/>
          <w:sz w:val="22"/>
          <w:szCs w:val="22"/>
        </w:rPr>
        <w:t xml:space="preserve"> as this report assumes</w:t>
      </w:r>
      <w:r w:rsidR="00275630">
        <w:rPr>
          <w:rFonts w:ascii="Arial" w:hAnsi="Arial" w:cs="Arial"/>
          <w:color w:val="000000"/>
          <w:sz w:val="22"/>
          <w:szCs w:val="22"/>
        </w:rPr>
        <w:t>,</w:t>
      </w:r>
      <w:r>
        <w:rPr>
          <w:rFonts w:ascii="Arial" w:hAnsi="Arial" w:cs="Arial"/>
          <w:color w:val="000000"/>
          <w:sz w:val="22"/>
          <w:szCs w:val="22"/>
        </w:rPr>
        <w:t xml:space="preserve"> has </w:t>
      </w:r>
      <w:r w:rsidR="00275630">
        <w:rPr>
          <w:rFonts w:ascii="Arial" w:hAnsi="Arial" w:cs="Arial"/>
          <w:color w:val="000000"/>
          <w:sz w:val="22"/>
          <w:szCs w:val="22"/>
        </w:rPr>
        <w:t>overwhelming evidence</w:t>
      </w:r>
      <w:r>
        <w:rPr>
          <w:rFonts w:ascii="Arial" w:hAnsi="Arial" w:cs="Arial"/>
          <w:color w:val="000000"/>
          <w:sz w:val="22"/>
          <w:szCs w:val="22"/>
        </w:rPr>
        <w:t xml:space="preserve"> of having a positive correlation with firm performance. </w:t>
      </w:r>
    </w:p>
    <w:p w14:paraId="3E0D67C3" w14:textId="02E27B02" w:rsidR="00404C58" w:rsidRDefault="00404C58" w:rsidP="00275630">
      <w:pPr>
        <w:spacing w:line="360" w:lineRule="auto"/>
        <w:ind w:firstLine="720"/>
        <w:rPr>
          <w:rFonts w:ascii="Arial" w:hAnsi="Arial" w:cs="Arial"/>
          <w:color w:val="000000"/>
          <w:sz w:val="28"/>
          <w:szCs w:val="28"/>
        </w:rPr>
      </w:pPr>
      <w:r>
        <w:rPr>
          <w:rFonts w:ascii="Arial" w:hAnsi="Arial" w:cs="Arial"/>
          <w:color w:val="000000"/>
          <w:sz w:val="22"/>
          <w:szCs w:val="22"/>
        </w:rPr>
        <w:t>This report focuses on explaining Shell’s experience during the five last years to try to show that it is possible to achieve high levels of financial performance with well-developed and implemented governance structures (Guo, Yang and Wang, 2021).</w:t>
      </w:r>
    </w:p>
    <w:p w14:paraId="142968D7" w14:textId="40BB1682" w:rsidR="00275630" w:rsidRDefault="00275630" w:rsidP="00275630">
      <w:pPr>
        <w:pStyle w:val="Heading1"/>
      </w:pPr>
    </w:p>
    <w:p w14:paraId="33C77660" w14:textId="645B3E15" w:rsidR="00275630" w:rsidRDefault="00275630" w:rsidP="00275630">
      <w:pPr>
        <w:pStyle w:val="Heading1"/>
      </w:pPr>
      <w:bookmarkStart w:id="1" w:name="_Toc180931857"/>
      <w:r w:rsidRPr="00275630">
        <w:rPr>
          <w:sz w:val="32"/>
          <w:szCs w:val="32"/>
        </w:rPr>
        <w:t>Importance of Corporate Governance Practices</w:t>
      </w:r>
      <w:bookmarkEnd w:id="1"/>
    </w:p>
    <w:p w14:paraId="714D200F" w14:textId="3F91080A" w:rsidR="00275630" w:rsidRDefault="00275630" w:rsidP="00275630">
      <w:pPr>
        <w:pStyle w:val="Subtitle"/>
      </w:pPr>
      <w:r>
        <w:t>Corporate Governance in Business</w:t>
      </w:r>
    </w:p>
    <w:p w14:paraId="03E275AD" w14:textId="77777777" w:rsidR="00275630" w:rsidRDefault="00275630" w:rsidP="00275630"/>
    <w:p w14:paraId="42C5B930" w14:textId="5B251860" w:rsidR="00275630" w:rsidRDefault="00275630" w:rsidP="00275630">
      <w:pPr>
        <w:spacing w:line="360" w:lineRule="auto"/>
        <w:ind w:firstLine="360"/>
        <w:jc w:val="both"/>
        <w:rPr>
          <w:rFonts w:ascii="Arial" w:hAnsi="Arial" w:cs="Arial"/>
          <w:b/>
          <w:bCs/>
          <w:color w:val="000000"/>
          <w:sz w:val="22"/>
          <w:szCs w:val="22"/>
        </w:rPr>
      </w:pPr>
      <w:r>
        <w:rPr>
          <w:rFonts w:ascii="Arial" w:hAnsi="Arial" w:cs="Arial"/>
          <w:color w:val="000000"/>
          <w:sz w:val="22"/>
          <w:szCs w:val="22"/>
        </w:rPr>
        <w:t>Good corporate governance mechanisms must be taken seriously because they are highly essential in ensuring that organizations operate with high transparency, accountability, and sustainability (Larcker and Tayan, 2020). The significance of these practices includes:</w:t>
      </w:r>
    </w:p>
    <w:p w14:paraId="365E39C2" w14:textId="77777777" w:rsidR="00275630" w:rsidRDefault="00275630" w:rsidP="00275630">
      <w:pPr>
        <w:widowControl w:val="0"/>
        <w:numPr>
          <w:ilvl w:val="0"/>
          <w:numId w:val="1"/>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Transparency</w:t>
      </w:r>
      <w:r>
        <w:rPr>
          <w:rFonts w:ascii="Arial" w:hAnsi="Arial" w:cs="Arial"/>
          <w:color w:val="000000"/>
          <w:sz w:val="22"/>
          <w:szCs w:val="22"/>
        </w:rPr>
        <w:t>: Those, who are interested in operations or financial reporting, must receive clear information which will help making the decision.</w:t>
      </w:r>
    </w:p>
    <w:p w14:paraId="57DAA0B7" w14:textId="77777777" w:rsidR="00275630" w:rsidRDefault="00275630" w:rsidP="00275630">
      <w:pPr>
        <w:widowControl w:val="0"/>
        <w:numPr>
          <w:ilvl w:val="0"/>
          <w:numId w:val="1"/>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Accountability</w:t>
      </w:r>
      <w:r>
        <w:rPr>
          <w:rFonts w:ascii="Arial" w:hAnsi="Arial" w:cs="Arial"/>
          <w:color w:val="000000"/>
          <w:sz w:val="22"/>
          <w:szCs w:val="22"/>
        </w:rPr>
        <w:t>: Evidenced roles reduce risks and improve stakeholders’ trust in an organization.</w:t>
      </w:r>
    </w:p>
    <w:p w14:paraId="79547321" w14:textId="77777777" w:rsidR="00275630" w:rsidRDefault="00275630" w:rsidP="00275630">
      <w:pPr>
        <w:widowControl w:val="0"/>
        <w:numPr>
          <w:ilvl w:val="0"/>
          <w:numId w:val="1"/>
        </w:numPr>
        <w:suppressAutoHyphens/>
        <w:spacing w:line="360" w:lineRule="auto"/>
        <w:jc w:val="both"/>
        <w:rPr>
          <w:rFonts w:ascii="Arial" w:hAnsi="Arial" w:cs="Arial"/>
          <w:color w:val="000000"/>
          <w:sz w:val="22"/>
          <w:szCs w:val="22"/>
        </w:rPr>
      </w:pPr>
      <w:r>
        <w:rPr>
          <w:rFonts w:ascii="Arial" w:hAnsi="Arial" w:cs="Arial"/>
          <w:b/>
          <w:bCs/>
          <w:color w:val="000000"/>
          <w:sz w:val="22"/>
          <w:szCs w:val="22"/>
        </w:rPr>
        <w:t>Sustainability</w:t>
      </w:r>
      <w:r>
        <w:rPr>
          <w:rFonts w:ascii="Arial" w:hAnsi="Arial" w:cs="Arial"/>
          <w:color w:val="000000"/>
          <w:sz w:val="22"/>
          <w:szCs w:val="22"/>
        </w:rPr>
        <w:t>: A good governance ensures the compliance with regulatory environment and executing the changes in the market environment, which enable the improvement of above average performance of the organizations.</w:t>
      </w:r>
    </w:p>
    <w:p w14:paraId="37D1B359" w14:textId="77777777" w:rsidR="00275630" w:rsidRDefault="00275630" w:rsidP="00275630">
      <w:pPr>
        <w:spacing w:line="360" w:lineRule="auto"/>
        <w:jc w:val="both"/>
        <w:rPr>
          <w:rFonts w:ascii="Arial" w:hAnsi="Arial" w:cs="Arial"/>
          <w:b/>
          <w:bCs/>
          <w:color w:val="000000"/>
          <w:sz w:val="22"/>
          <w:szCs w:val="22"/>
        </w:rPr>
      </w:pPr>
      <w:r>
        <w:rPr>
          <w:rFonts w:ascii="Arial" w:hAnsi="Arial" w:cs="Arial"/>
          <w:color w:val="000000"/>
          <w:sz w:val="22"/>
          <w:szCs w:val="22"/>
        </w:rPr>
        <w:tab/>
        <w:t>It is evident that Shell complies with the industry policies of corporate governance of the oil and gas industry and the company takes full responsibilities. Specific examples include:</w:t>
      </w:r>
    </w:p>
    <w:p w14:paraId="02DA28A4" w14:textId="77777777" w:rsidR="00275630" w:rsidRDefault="00275630" w:rsidP="00275630">
      <w:pPr>
        <w:widowControl w:val="0"/>
        <w:numPr>
          <w:ilvl w:val="0"/>
          <w:numId w:val="2"/>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lastRenderedPageBreak/>
        <w:t>Diversity in Board Composition</w:t>
      </w:r>
      <w:r>
        <w:rPr>
          <w:rFonts w:ascii="Arial" w:hAnsi="Arial" w:cs="Arial"/>
          <w:color w:val="000000"/>
          <w:sz w:val="22"/>
          <w:szCs w:val="22"/>
        </w:rPr>
        <w:t>: Shell has also adopted diversity as is evident by the relatively large representation by women in the company’s board.</w:t>
      </w:r>
    </w:p>
    <w:p w14:paraId="0655BDC0" w14:textId="77777777" w:rsidR="00275630" w:rsidRDefault="00275630" w:rsidP="00275630">
      <w:pPr>
        <w:widowControl w:val="0"/>
        <w:numPr>
          <w:ilvl w:val="0"/>
          <w:numId w:val="2"/>
        </w:numPr>
        <w:suppressAutoHyphens/>
        <w:spacing w:line="360" w:lineRule="auto"/>
        <w:jc w:val="both"/>
        <w:rPr>
          <w:rFonts w:ascii="Arial" w:hAnsi="Arial" w:cs="Arial"/>
          <w:color w:val="000000"/>
          <w:sz w:val="22"/>
          <w:szCs w:val="22"/>
        </w:rPr>
      </w:pPr>
      <w:r>
        <w:rPr>
          <w:rFonts w:ascii="Arial" w:hAnsi="Arial" w:cs="Arial"/>
          <w:b/>
          <w:bCs/>
          <w:color w:val="000000"/>
          <w:sz w:val="22"/>
          <w:szCs w:val="22"/>
        </w:rPr>
        <w:t>Engagement with Shareholders</w:t>
      </w:r>
      <w:r>
        <w:rPr>
          <w:rFonts w:ascii="Arial" w:hAnsi="Arial" w:cs="Arial"/>
          <w:color w:val="000000"/>
          <w:sz w:val="22"/>
          <w:szCs w:val="22"/>
        </w:rPr>
        <w:t>: Organizational shareholders participate in meetings whereby their opinions are sought and incorporated in organizational decisions (Sciulli and Adhariani, 2023).</w:t>
      </w:r>
    </w:p>
    <w:p w14:paraId="225D1BA3" w14:textId="77777777" w:rsidR="00275630" w:rsidRDefault="00275630" w:rsidP="00275630">
      <w:pPr>
        <w:spacing w:line="360" w:lineRule="auto"/>
        <w:jc w:val="both"/>
        <w:rPr>
          <w:rFonts w:ascii="Arial" w:hAnsi="Arial" w:cs="Arial"/>
          <w:color w:val="000000"/>
        </w:rPr>
      </w:pPr>
      <w:r>
        <w:rPr>
          <w:rFonts w:ascii="Arial" w:hAnsi="Arial" w:cs="Arial"/>
          <w:color w:val="000000"/>
          <w:sz w:val="22"/>
          <w:szCs w:val="22"/>
        </w:rPr>
        <w:t>These practices are in advantage to Shell in the aspect of acquiring a good reputation in the market but also in demonstrating its obedience to the set principles of ethical governance to the members of the global business society.</w:t>
      </w:r>
    </w:p>
    <w:p w14:paraId="3D15D30E" w14:textId="77777777" w:rsidR="00275630" w:rsidRDefault="00275630" w:rsidP="00275630"/>
    <w:p w14:paraId="5AD83620" w14:textId="45434CC5" w:rsidR="00275630" w:rsidRDefault="00275630" w:rsidP="00275630">
      <w:pPr>
        <w:pStyle w:val="Subtitle"/>
      </w:pPr>
      <w:r>
        <w:t>Corporate Governance Variables identified</w:t>
      </w:r>
    </w:p>
    <w:p w14:paraId="0884F6D8" w14:textId="77777777" w:rsidR="00275630" w:rsidRDefault="00275630" w:rsidP="00275630"/>
    <w:p w14:paraId="2ACD93C1" w14:textId="77777777" w:rsidR="00275630" w:rsidRDefault="00275630" w:rsidP="00275630">
      <w:pPr>
        <w:spacing w:line="360" w:lineRule="auto"/>
        <w:jc w:val="both"/>
        <w:rPr>
          <w:rFonts w:ascii="Arial" w:hAnsi="Arial" w:cs="Arial"/>
          <w:color w:val="000000"/>
        </w:rPr>
      </w:pPr>
      <w:r>
        <w:rPr>
          <w:rFonts w:ascii="Arial" w:hAnsi="Arial" w:cs="Arial"/>
          <w:b/>
          <w:bCs/>
          <w:color w:val="000000"/>
        </w:rPr>
        <w:t>Introduction to Shell’s Corporate Governance System</w:t>
      </w:r>
    </w:p>
    <w:p w14:paraId="2BAA0DDC" w14:textId="5672D930" w:rsidR="00275630" w:rsidRDefault="00275630" w:rsidP="00275630">
      <w:pPr>
        <w:spacing w:line="360" w:lineRule="auto"/>
        <w:jc w:val="both"/>
        <w:rPr>
          <w:rFonts w:ascii="Arial" w:hAnsi="Arial" w:cs="Arial"/>
          <w:color w:val="000000"/>
          <w:sz w:val="22"/>
          <w:szCs w:val="22"/>
        </w:rPr>
      </w:pPr>
      <w:r>
        <w:rPr>
          <w:rFonts w:ascii="Arial" w:hAnsi="Arial" w:cs="Arial"/>
          <w:color w:val="000000"/>
        </w:rPr>
        <w:tab/>
      </w:r>
      <w:r>
        <w:rPr>
          <w:rFonts w:ascii="Arial" w:hAnsi="Arial" w:cs="Arial"/>
          <w:color w:val="000000"/>
          <w:sz w:val="22"/>
          <w:szCs w:val="22"/>
        </w:rPr>
        <w:t xml:space="preserve">The role of Shell’s corporate governance is to offer proper control and monitoring of the business organization. As a result, there are executive and non-executive directors in the board of this company to ensure that the company follows a balanced </w:t>
      </w:r>
      <w:r w:rsidR="001E442D">
        <w:rPr>
          <w:rFonts w:ascii="Arial" w:hAnsi="Arial" w:cs="Arial"/>
          <w:color w:val="000000"/>
          <w:sz w:val="22"/>
          <w:szCs w:val="22"/>
        </w:rPr>
        <w:t>decision-making</w:t>
      </w:r>
      <w:r>
        <w:rPr>
          <w:rFonts w:ascii="Arial" w:hAnsi="Arial" w:cs="Arial"/>
          <w:color w:val="000000"/>
          <w:sz w:val="22"/>
          <w:szCs w:val="22"/>
        </w:rPr>
        <w:t xml:space="preserve"> process. </w:t>
      </w:r>
    </w:p>
    <w:p w14:paraId="35E273FC" w14:textId="77777777" w:rsidR="00275630" w:rsidRDefault="00275630" w:rsidP="00275630">
      <w:pPr>
        <w:spacing w:line="360" w:lineRule="auto"/>
        <w:jc w:val="both"/>
        <w:rPr>
          <w:rFonts w:ascii="Arial" w:hAnsi="Arial" w:cs="Arial"/>
          <w:b/>
          <w:bCs/>
          <w:color w:val="000000"/>
          <w:sz w:val="22"/>
          <w:szCs w:val="22"/>
        </w:rPr>
      </w:pPr>
      <w:r>
        <w:rPr>
          <w:rFonts w:ascii="Arial" w:hAnsi="Arial" w:cs="Arial"/>
          <w:color w:val="000000"/>
          <w:sz w:val="22"/>
          <w:szCs w:val="22"/>
        </w:rPr>
        <w:t>Key components of this framework include various committees, such as:</w:t>
      </w:r>
    </w:p>
    <w:p w14:paraId="4B8853D4" w14:textId="77777777" w:rsidR="00275630" w:rsidRDefault="00275630" w:rsidP="00275630">
      <w:pPr>
        <w:widowControl w:val="0"/>
        <w:numPr>
          <w:ilvl w:val="0"/>
          <w:numId w:val="3"/>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Audit Committee</w:t>
      </w:r>
      <w:r>
        <w:rPr>
          <w:rFonts w:ascii="Arial" w:hAnsi="Arial" w:cs="Arial"/>
          <w:color w:val="000000"/>
          <w:sz w:val="22"/>
          <w:szCs w:val="22"/>
        </w:rPr>
        <w:t>: Officials for the regular enforcement of current regulations and for correct compliance with the rules when indicating the financial conditions of a company (Nikulin et al., 2022).</w:t>
      </w:r>
    </w:p>
    <w:p w14:paraId="4804B838" w14:textId="77777777" w:rsidR="00275630" w:rsidRDefault="00275630" w:rsidP="00275630">
      <w:pPr>
        <w:widowControl w:val="0"/>
        <w:numPr>
          <w:ilvl w:val="0"/>
          <w:numId w:val="3"/>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Remuneration Committee</w:t>
      </w:r>
      <w:r>
        <w:rPr>
          <w:rFonts w:ascii="Arial" w:hAnsi="Arial" w:cs="Arial"/>
          <w:color w:val="000000"/>
          <w:sz w:val="22"/>
          <w:szCs w:val="22"/>
        </w:rPr>
        <w:t>: Manages the compensation policies of executives in order to ensure its correlation with performance and shareholder’ demands (Assenso-Okofo et al., 2021).</w:t>
      </w:r>
    </w:p>
    <w:p w14:paraId="781C0BC4" w14:textId="77777777" w:rsidR="00275630" w:rsidRDefault="00275630" w:rsidP="00275630">
      <w:pPr>
        <w:widowControl w:val="0"/>
        <w:numPr>
          <w:ilvl w:val="0"/>
          <w:numId w:val="3"/>
        </w:numPr>
        <w:suppressAutoHyphens/>
        <w:spacing w:line="360" w:lineRule="auto"/>
        <w:jc w:val="both"/>
        <w:rPr>
          <w:rFonts w:ascii="Arial" w:hAnsi="Arial" w:cs="Arial"/>
          <w:b/>
          <w:bCs/>
          <w:color w:val="000000"/>
        </w:rPr>
      </w:pPr>
      <w:r>
        <w:rPr>
          <w:rFonts w:ascii="Arial" w:hAnsi="Arial" w:cs="Arial"/>
          <w:b/>
          <w:bCs/>
          <w:color w:val="000000"/>
          <w:sz w:val="22"/>
          <w:szCs w:val="22"/>
        </w:rPr>
        <w:t>Nominations Committee</w:t>
      </w:r>
      <w:r>
        <w:rPr>
          <w:rFonts w:ascii="Arial" w:hAnsi="Arial" w:cs="Arial"/>
          <w:color w:val="000000"/>
          <w:sz w:val="22"/>
          <w:szCs w:val="22"/>
        </w:rPr>
        <w:t>: Concentrates on board composition and management mechanisms.</w:t>
      </w:r>
    </w:p>
    <w:p w14:paraId="66FC4CB8" w14:textId="7AC5861B" w:rsidR="00275630" w:rsidRDefault="00275630" w:rsidP="00275630">
      <w:pPr>
        <w:spacing w:line="360" w:lineRule="auto"/>
        <w:jc w:val="both"/>
        <w:rPr>
          <w:rFonts w:ascii="Arial" w:hAnsi="Arial" w:cs="Arial"/>
          <w:color w:val="000000"/>
          <w:sz w:val="22"/>
          <w:szCs w:val="22"/>
        </w:rPr>
      </w:pPr>
      <w:r>
        <w:rPr>
          <w:rFonts w:ascii="Arial" w:hAnsi="Arial" w:cs="Arial"/>
          <w:b/>
          <w:bCs/>
          <w:color w:val="000000"/>
        </w:rPr>
        <w:t>Proximate Corporate Governance Variables</w:t>
      </w:r>
    </w:p>
    <w:p w14:paraId="78182C0C" w14:textId="77777777" w:rsidR="00275630" w:rsidRDefault="00275630" w:rsidP="00275630">
      <w:pPr>
        <w:spacing w:line="360" w:lineRule="auto"/>
        <w:jc w:val="both"/>
        <w:rPr>
          <w:rFonts w:ascii="Arial" w:hAnsi="Arial" w:cs="Arial"/>
          <w:b/>
          <w:bCs/>
          <w:color w:val="000000"/>
          <w:sz w:val="22"/>
          <w:szCs w:val="22"/>
        </w:rPr>
      </w:pPr>
      <w:r>
        <w:rPr>
          <w:rFonts w:ascii="Arial" w:hAnsi="Arial" w:cs="Arial"/>
          <w:color w:val="000000"/>
          <w:sz w:val="22"/>
          <w:szCs w:val="22"/>
        </w:rPr>
        <w:t>The measurements used in corporate governance help in assessment of the functioning of corporate governance in an organization. Key metrics used to assess corporate governance include:</w:t>
      </w:r>
    </w:p>
    <w:p w14:paraId="525EB634" w14:textId="77777777" w:rsidR="00275630" w:rsidRDefault="00275630" w:rsidP="00275630">
      <w:pPr>
        <w:widowControl w:val="0"/>
        <w:numPr>
          <w:ilvl w:val="0"/>
          <w:numId w:val="4"/>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 xml:space="preserve">Board Diversity: </w:t>
      </w:r>
      <w:r>
        <w:rPr>
          <w:rFonts w:ascii="Arial" w:hAnsi="Arial" w:cs="Arial"/>
          <w:color w:val="000000"/>
          <w:sz w:val="22"/>
          <w:szCs w:val="22"/>
        </w:rPr>
        <w:t>This one evaluates the gender, ethnic, and background diversity on boards of directors (An, 2022).</w:t>
      </w:r>
    </w:p>
    <w:p w14:paraId="1680CDAC" w14:textId="50ECA804" w:rsidR="00275630" w:rsidRDefault="00275630" w:rsidP="00275630">
      <w:pPr>
        <w:widowControl w:val="0"/>
        <w:numPr>
          <w:ilvl w:val="0"/>
          <w:numId w:val="4"/>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Board Independence</w:t>
      </w:r>
      <w:r>
        <w:rPr>
          <w:rFonts w:ascii="Arial" w:hAnsi="Arial" w:cs="Arial"/>
          <w:color w:val="000000"/>
          <w:sz w:val="22"/>
          <w:szCs w:val="22"/>
        </w:rPr>
        <w:t xml:space="preserve">: Reviews are made to determine if the board has adequate number of independent directors that will enable it </w:t>
      </w:r>
      <w:r w:rsidR="001E442D">
        <w:rPr>
          <w:rFonts w:ascii="Arial" w:hAnsi="Arial" w:cs="Arial"/>
          <w:color w:val="000000"/>
          <w:sz w:val="22"/>
          <w:szCs w:val="22"/>
        </w:rPr>
        <w:t>to provide</w:t>
      </w:r>
      <w:r>
        <w:rPr>
          <w:rFonts w:ascii="Arial" w:hAnsi="Arial" w:cs="Arial"/>
          <w:color w:val="000000"/>
          <w:sz w:val="22"/>
          <w:szCs w:val="22"/>
        </w:rPr>
        <w:t xml:space="preserve"> bias free oversight.</w:t>
      </w:r>
    </w:p>
    <w:p w14:paraId="665EFEB9" w14:textId="77777777" w:rsidR="00275630" w:rsidRDefault="00275630" w:rsidP="00275630">
      <w:pPr>
        <w:widowControl w:val="0"/>
        <w:numPr>
          <w:ilvl w:val="0"/>
          <w:numId w:val="4"/>
        </w:numPr>
        <w:suppressAutoHyphens/>
        <w:spacing w:line="360" w:lineRule="auto"/>
        <w:jc w:val="both"/>
        <w:rPr>
          <w:rFonts w:ascii="Arial" w:hAnsi="Arial" w:cs="Arial"/>
          <w:b/>
          <w:bCs/>
          <w:color w:val="000000"/>
        </w:rPr>
      </w:pPr>
      <w:r>
        <w:rPr>
          <w:rFonts w:ascii="Arial" w:hAnsi="Arial" w:cs="Arial"/>
          <w:b/>
          <w:bCs/>
          <w:color w:val="000000"/>
          <w:sz w:val="22"/>
          <w:szCs w:val="22"/>
        </w:rPr>
        <w:t>Executive Compensation</w:t>
      </w:r>
      <w:r>
        <w:rPr>
          <w:rFonts w:ascii="Arial" w:hAnsi="Arial" w:cs="Arial"/>
          <w:color w:val="000000"/>
          <w:sz w:val="22"/>
          <w:szCs w:val="22"/>
        </w:rPr>
        <w:t>: Research on structure of the packages including pay-for-performance relation with an aim of determining whether it complies with enhanced corporate governance for stakeholder and manager.</w:t>
      </w:r>
    </w:p>
    <w:p w14:paraId="655EE4BC" w14:textId="77777777" w:rsidR="00275630" w:rsidRDefault="00275630" w:rsidP="00275630">
      <w:pPr>
        <w:spacing w:line="360" w:lineRule="auto"/>
        <w:jc w:val="both"/>
        <w:rPr>
          <w:rFonts w:ascii="Arial" w:hAnsi="Arial" w:cs="Arial"/>
          <w:color w:val="000000"/>
          <w:sz w:val="22"/>
          <w:szCs w:val="22"/>
        </w:rPr>
      </w:pPr>
      <w:r>
        <w:rPr>
          <w:rFonts w:ascii="Arial" w:hAnsi="Arial" w:cs="Arial"/>
          <w:b/>
          <w:bCs/>
          <w:color w:val="000000"/>
        </w:rPr>
        <w:lastRenderedPageBreak/>
        <w:t>Primary Variables Associated with Shell</w:t>
      </w:r>
    </w:p>
    <w:p w14:paraId="0479DEDC" w14:textId="77777777" w:rsidR="00275630" w:rsidRDefault="00275630" w:rsidP="00275630">
      <w:pPr>
        <w:spacing w:line="360" w:lineRule="auto"/>
        <w:jc w:val="both"/>
        <w:rPr>
          <w:rFonts w:ascii="Arial" w:hAnsi="Arial" w:cs="Arial"/>
          <w:b/>
          <w:bCs/>
          <w:color w:val="000000"/>
          <w:sz w:val="22"/>
          <w:szCs w:val="22"/>
        </w:rPr>
      </w:pPr>
      <w:r>
        <w:rPr>
          <w:rFonts w:ascii="Arial" w:hAnsi="Arial" w:cs="Arial"/>
          <w:color w:val="000000"/>
          <w:sz w:val="22"/>
          <w:szCs w:val="22"/>
        </w:rPr>
        <w:t>Several core variables are significant in assessing Shell’s corporate governance practices:</w:t>
      </w:r>
    </w:p>
    <w:p w14:paraId="52675A3D" w14:textId="77777777" w:rsidR="00275630" w:rsidRDefault="00275630" w:rsidP="00275630">
      <w:pPr>
        <w:widowControl w:val="0"/>
        <w:numPr>
          <w:ilvl w:val="0"/>
          <w:numId w:val="5"/>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Board Composition and Diversity</w:t>
      </w:r>
      <w:r>
        <w:rPr>
          <w:rFonts w:ascii="Arial" w:hAnsi="Arial" w:cs="Arial"/>
          <w:color w:val="000000"/>
          <w:sz w:val="22"/>
          <w:szCs w:val="22"/>
        </w:rPr>
        <w:t>: Shell values board diversity as is made up of persons with different skills and experiences in order to support its decision making and it draws its operations from all over the world (Midttun et al., 2022).</w:t>
      </w:r>
    </w:p>
    <w:p w14:paraId="61FDB877" w14:textId="77777777" w:rsidR="00275630" w:rsidRDefault="00275630" w:rsidP="00275630">
      <w:pPr>
        <w:widowControl w:val="0"/>
        <w:numPr>
          <w:ilvl w:val="0"/>
          <w:numId w:val="5"/>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Audit Committee Effectiveness</w:t>
      </w:r>
      <w:r>
        <w:rPr>
          <w:rFonts w:ascii="Arial" w:hAnsi="Arial" w:cs="Arial"/>
          <w:color w:val="000000"/>
          <w:sz w:val="22"/>
          <w:szCs w:val="22"/>
        </w:rPr>
        <w:t>: Thus, the Audit Committee that is effective in monitoring and supervising the financial reports, compliance and risks which decide the credibility of the financial practices is essential (Thottoli, 2021).</w:t>
      </w:r>
    </w:p>
    <w:p w14:paraId="5D9A930E" w14:textId="77777777" w:rsidR="00275630" w:rsidRDefault="00275630" w:rsidP="00275630">
      <w:pPr>
        <w:widowControl w:val="0"/>
        <w:numPr>
          <w:ilvl w:val="0"/>
          <w:numId w:val="5"/>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Shareholder Rights and Engagement</w:t>
      </w:r>
      <w:r>
        <w:rPr>
          <w:rFonts w:ascii="Arial" w:hAnsi="Arial" w:cs="Arial"/>
          <w:color w:val="000000"/>
          <w:sz w:val="22"/>
          <w:szCs w:val="22"/>
        </w:rPr>
        <w:t>: Shareholder rights are respected, and the company goes to great lengths to ensure that its shareholders are happy with their lot, via the agreement of the company’s governance structures.</w:t>
      </w:r>
    </w:p>
    <w:p w14:paraId="0E087A86" w14:textId="77777777" w:rsidR="00275630" w:rsidRDefault="00275630" w:rsidP="00275630">
      <w:pPr>
        <w:widowControl w:val="0"/>
        <w:numPr>
          <w:ilvl w:val="0"/>
          <w:numId w:val="5"/>
        </w:numPr>
        <w:suppressAutoHyphens/>
        <w:spacing w:line="360" w:lineRule="auto"/>
        <w:jc w:val="both"/>
        <w:rPr>
          <w:rFonts w:ascii="Arial" w:hAnsi="Arial" w:cs="Arial"/>
          <w:b/>
          <w:bCs/>
          <w:color w:val="000000"/>
        </w:rPr>
      </w:pPr>
      <w:r>
        <w:rPr>
          <w:rFonts w:ascii="Arial" w:hAnsi="Arial" w:cs="Arial"/>
          <w:b/>
          <w:bCs/>
          <w:color w:val="000000"/>
          <w:sz w:val="22"/>
          <w:szCs w:val="22"/>
        </w:rPr>
        <w:t>Transparency and Disclosure Practices</w:t>
      </w:r>
      <w:r>
        <w:rPr>
          <w:rFonts w:ascii="Arial" w:hAnsi="Arial" w:cs="Arial"/>
          <w:color w:val="000000"/>
          <w:sz w:val="22"/>
          <w:szCs w:val="22"/>
        </w:rPr>
        <w:t>: The company holds good levels of transparency in their operations and financial reporting on the performance of Shell and governance activities (Cortese and Andrew, 2020).</w:t>
      </w:r>
    </w:p>
    <w:p w14:paraId="76511282" w14:textId="77777777" w:rsidR="00275630" w:rsidRDefault="00275630" w:rsidP="00275630">
      <w:pPr>
        <w:spacing w:line="360" w:lineRule="auto"/>
        <w:jc w:val="both"/>
        <w:rPr>
          <w:rFonts w:ascii="Arial" w:hAnsi="Arial" w:cs="Arial"/>
          <w:color w:val="000000"/>
          <w:sz w:val="22"/>
          <w:szCs w:val="22"/>
        </w:rPr>
      </w:pPr>
      <w:r>
        <w:rPr>
          <w:rFonts w:ascii="Arial" w:hAnsi="Arial" w:cs="Arial"/>
          <w:b/>
          <w:bCs/>
          <w:color w:val="000000"/>
        </w:rPr>
        <w:t>Rationale for Selection</w:t>
      </w:r>
    </w:p>
    <w:p w14:paraId="1F400F66" w14:textId="77777777" w:rsidR="00275630" w:rsidRDefault="00275630" w:rsidP="001E442D">
      <w:pPr>
        <w:spacing w:line="360" w:lineRule="auto"/>
        <w:ind w:firstLine="720"/>
        <w:jc w:val="both"/>
        <w:rPr>
          <w:rFonts w:ascii="Arial" w:hAnsi="Arial" w:cs="Arial"/>
          <w:color w:val="000000"/>
        </w:rPr>
      </w:pPr>
      <w:r>
        <w:rPr>
          <w:rFonts w:ascii="Arial" w:hAnsi="Arial" w:cs="Arial"/>
          <w:color w:val="000000"/>
          <w:sz w:val="22"/>
          <w:szCs w:val="22"/>
        </w:rPr>
        <w:t>These particular variables are chosen because they can become critical to the operation of Shell and because their influence is likely to be felt on firm performance. Of corporate boards independence and diversification, state that it relates to good board decision making and risk management while adroit audit practices boost stakeholder confidence. Communication with shareholders creates responsibility part and contributes to the achievement of strategic objectives (Yang and Basile, 2021). Moreover, Shell embraces high degrees of transparency and disclosure to enhance credibility and investor confidence creating a competitive advantage that enhances its success on the market.</w:t>
      </w:r>
    </w:p>
    <w:p w14:paraId="10E27407" w14:textId="77777777" w:rsidR="00275630" w:rsidRDefault="00275630" w:rsidP="00275630"/>
    <w:p w14:paraId="69FA0D8F" w14:textId="77777777" w:rsidR="001E442D" w:rsidRDefault="001E442D" w:rsidP="00275630"/>
    <w:p w14:paraId="150CC968" w14:textId="1C17007A" w:rsidR="001E442D" w:rsidRDefault="001E442D" w:rsidP="001E442D">
      <w:pPr>
        <w:pStyle w:val="Heading1"/>
        <w:rPr>
          <w:sz w:val="32"/>
          <w:szCs w:val="32"/>
        </w:rPr>
      </w:pPr>
      <w:bookmarkStart w:id="2" w:name="_Toc180931858"/>
      <w:r w:rsidRPr="001E442D">
        <w:rPr>
          <w:sz w:val="32"/>
          <w:szCs w:val="32"/>
        </w:rPr>
        <w:t>Relationship between Corporate Governance Practices and Financial Performance</w:t>
      </w:r>
      <w:bookmarkEnd w:id="2"/>
    </w:p>
    <w:p w14:paraId="327EDAE1" w14:textId="77777777" w:rsidR="001E442D" w:rsidRDefault="001E442D" w:rsidP="001E442D"/>
    <w:p w14:paraId="2656B9FB" w14:textId="77777777" w:rsidR="001E442D" w:rsidRDefault="001E442D" w:rsidP="001E442D">
      <w:pPr>
        <w:spacing w:line="360" w:lineRule="auto"/>
        <w:jc w:val="both"/>
        <w:rPr>
          <w:rFonts w:ascii="Arial" w:hAnsi="Arial" w:cs="Arial"/>
          <w:color w:val="000000"/>
          <w:sz w:val="22"/>
          <w:szCs w:val="22"/>
        </w:rPr>
      </w:pPr>
      <w:r>
        <w:rPr>
          <w:rFonts w:ascii="Arial" w:hAnsi="Arial" w:cs="Arial"/>
          <w:b/>
          <w:bCs/>
          <w:color w:val="000000"/>
        </w:rPr>
        <w:t xml:space="preserve">Data Collection </w:t>
      </w:r>
    </w:p>
    <w:p w14:paraId="68299731" w14:textId="77777777" w:rsidR="001E442D" w:rsidRDefault="001E442D" w:rsidP="001E442D">
      <w:pPr>
        <w:spacing w:line="360" w:lineRule="auto"/>
        <w:jc w:val="both"/>
        <w:rPr>
          <w:rFonts w:ascii="Arial" w:hAnsi="Arial" w:cs="Arial"/>
          <w:b/>
          <w:bCs/>
          <w:color w:val="000000"/>
          <w:sz w:val="22"/>
          <w:szCs w:val="22"/>
        </w:rPr>
      </w:pPr>
      <w:r>
        <w:rPr>
          <w:rFonts w:ascii="Arial" w:hAnsi="Arial" w:cs="Arial"/>
          <w:color w:val="000000"/>
          <w:sz w:val="22"/>
          <w:szCs w:val="22"/>
        </w:rPr>
        <w:t>To compile information for this analysis, Shell’s financial statements of the past five years have been harvested (Al-Ahdal et al., 2020). Key financial metrics assessed include:</w:t>
      </w:r>
    </w:p>
    <w:p w14:paraId="1E9A17CE" w14:textId="77777777" w:rsidR="001E442D" w:rsidRDefault="001E442D" w:rsidP="001E442D">
      <w:pPr>
        <w:widowControl w:val="0"/>
        <w:numPr>
          <w:ilvl w:val="0"/>
          <w:numId w:val="6"/>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Return on Equity (ROE)</w:t>
      </w:r>
      <w:r>
        <w:rPr>
          <w:rFonts w:ascii="Arial" w:hAnsi="Arial" w:cs="Arial"/>
          <w:color w:val="000000"/>
          <w:sz w:val="22"/>
          <w:szCs w:val="22"/>
        </w:rPr>
        <w:t>: Measures profitability because it shows how much actual profit a company makes with shareholders’ equity (Lim and Rokhim, 2021).</w:t>
      </w:r>
    </w:p>
    <w:p w14:paraId="18900DFC" w14:textId="77777777" w:rsidR="001E442D" w:rsidRDefault="001E442D" w:rsidP="001E442D">
      <w:pPr>
        <w:widowControl w:val="0"/>
        <w:numPr>
          <w:ilvl w:val="0"/>
          <w:numId w:val="6"/>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Return on Assets (ROA)</w:t>
      </w:r>
      <w:r>
        <w:rPr>
          <w:rFonts w:ascii="Arial" w:hAnsi="Arial" w:cs="Arial"/>
          <w:color w:val="000000"/>
          <w:sz w:val="22"/>
          <w:szCs w:val="22"/>
        </w:rPr>
        <w:t>: Shows how effectively a company is managing its things in order to make the profits or revenues (Rambe and Rambe, 2021).</w:t>
      </w:r>
    </w:p>
    <w:p w14:paraId="69752F59" w14:textId="77777777" w:rsidR="001E442D" w:rsidRDefault="001E442D" w:rsidP="001E442D">
      <w:pPr>
        <w:widowControl w:val="0"/>
        <w:numPr>
          <w:ilvl w:val="0"/>
          <w:numId w:val="6"/>
        </w:numPr>
        <w:suppressAutoHyphens/>
        <w:spacing w:line="360" w:lineRule="auto"/>
        <w:jc w:val="both"/>
        <w:rPr>
          <w:rFonts w:ascii="Arial" w:hAnsi="Arial" w:cs="Arial"/>
          <w:b/>
          <w:bCs/>
          <w:color w:val="000000"/>
          <w:sz w:val="22"/>
          <w:szCs w:val="22"/>
        </w:rPr>
      </w:pPr>
      <w:r>
        <w:rPr>
          <w:rFonts w:ascii="Arial" w:hAnsi="Arial" w:cs="Arial"/>
          <w:b/>
          <w:bCs/>
          <w:color w:val="000000"/>
          <w:sz w:val="22"/>
          <w:szCs w:val="22"/>
        </w:rPr>
        <w:t>Profit Margin</w:t>
      </w:r>
      <w:r>
        <w:rPr>
          <w:rFonts w:ascii="Arial" w:hAnsi="Arial" w:cs="Arial"/>
          <w:color w:val="000000"/>
          <w:sz w:val="22"/>
          <w:szCs w:val="22"/>
        </w:rPr>
        <w:t xml:space="preserve">: Indicates the portion of the revenue that goes past the costs in providing </w:t>
      </w:r>
      <w:r>
        <w:rPr>
          <w:rFonts w:ascii="Arial" w:hAnsi="Arial" w:cs="Arial"/>
          <w:color w:val="000000"/>
          <w:sz w:val="22"/>
          <w:szCs w:val="22"/>
        </w:rPr>
        <w:lastRenderedPageBreak/>
        <w:t>a cumulative view of profitability.</w:t>
      </w:r>
    </w:p>
    <w:p w14:paraId="4FA64904" w14:textId="77777777" w:rsidR="001E442D" w:rsidRDefault="001E442D" w:rsidP="001E442D">
      <w:pPr>
        <w:widowControl w:val="0"/>
        <w:numPr>
          <w:ilvl w:val="0"/>
          <w:numId w:val="6"/>
        </w:numPr>
        <w:suppressAutoHyphens/>
        <w:spacing w:line="360" w:lineRule="auto"/>
        <w:jc w:val="both"/>
        <w:rPr>
          <w:rFonts w:ascii="Arial" w:hAnsi="Arial" w:cs="Arial"/>
          <w:b/>
          <w:bCs/>
          <w:color w:val="000000"/>
        </w:rPr>
      </w:pPr>
      <w:r>
        <w:rPr>
          <w:rFonts w:ascii="Arial" w:hAnsi="Arial" w:cs="Arial"/>
          <w:b/>
          <w:bCs/>
          <w:color w:val="000000"/>
          <w:sz w:val="22"/>
          <w:szCs w:val="22"/>
        </w:rPr>
        <w:t>Other Relevant Ratios</w:t>
      </w:r>
      <w:r>
        <w:rPr>
          <w:rFonts w:ascii="Arial" w:hAnsi="Arial" w:cs="Arial"/>
          <w:color w:val="000000"/>
          <w:sz w:val="22"/>
          <w:szCs w:val="22"/>
        </w:rPr>
        <w:t>: This includes Debt to Equity and Current Ratio which in a way give information on solvency and acid test of a firm.</w:t>
      </w:r>
    </w:p>
    <w:p w14:paraId="394BF692" w14:textId="77777777" w:rsidR="001E442D" w:rsidRDefault="001E442D" w:rsidP="001E442D">
      <w:pPr>
        <w:spacing w:line="360" w:lineRule="auto"/>
        <w:jc w:val="both"/>
        <w:rPr>
          <w:rFonts w:ascii="Arial" w:hAnsi="Arial" w:cs="Arial"/>
          <w:color w:val="000000"/>
        </w:rPr>
      </w:pPr>
      <w:r>
        <w:rPr>
          <w:rFonts w:ascii="Arial" w:hAnsi="Arial" w:cs="Arial"/>
          <w:b/>
          <w:bCs/>
          <w:color w:val="000000"/>
        </w:rPr>
        <w:t>Key Financial Metrics (2019-2023)</w:t>
      </w:r>
    </w:p>
    <w:tbl>
      <w:tblPr>
        <w:tblW w:w="9838" w:type="dxa"/>
        <w:tblInd w:w="-5" w:type="dxa"/>
        <w:tblLayout w:type="fixed"/>
        <w:tblLook w:val="0000" w:firstRow="0" w:lastRow="0" w:firstColumn="0" w:lastColumn="0" w:noHBand="0" w:noVBand="0"/>
      </w:tblPr>
      <w:tblGrid>
        <w:gridCol w:w="851"/>
        <w:gridCol w:w="992"/>
        <w:gridCol w:w="1276"/>
        <w:gridCol w:w="1984"/>
        <w:gridCol w:w="1843"/>
        <w:gridCol w:w="2892"/>
      </w:tblGrid>
      <w:tr w:rsidR="001E442D" w14:paraId="68E22753" w14:textId="77777777" w:rsidTr="001E442D">
        <w:tc>
          <w:tcPr>
            <w:tcW w:w="851" w:type="dxa"/>
            <w:tcBorders>
              <w:top w:val="single" w:sz="4" w:space="0" w:color="000000"/>
              <w:left w:val="single" w:sz="4" w:space="0" w:color="000000"/>
              <w:bottom w:val="single" w:sz="4" w:space="0" w:color="000000"/>
            </w:tcBorders>
            <w:shd w:val="clear" w:color="auto" w:fill="auto"/>
          </w:tcPr>
          <w:p w14:paraId="323F09E5" w14:textId="77777777" w:rsidR="001E442D" w:rsidRDefault="001E442D" w:rsidP="00EE4CF2">
            <w:pPr>
              <w:pStyle w:val="TableHeading"/>
              <w:spacing w:line="360" w:lineRule="auto"/>
              <w:jc w:val="both"/>
              <w:rPr>
                <w:rFonts w:ascii="Arial" w:hAnsi="Arial" w:cs="Arial"/>
                <w:color w:val="000000"/>
              </w:rPr>
            </w:pPr>
            <w:r>
              <w:rPr>
                <w:rFonts w:ascii="Arial" w:hAnsi="Arial" w:cs="Arial"/>
                <w:color w:val="000000"/>
              </w:rPr>
              <w:t>Year</w:t>
            </w:r>
          </w:p>
        </w:tc>
        <w:tc>
          <w:tcPr>
            <w:tcW w:w="992" w:type="dxa"/>
            <w:tcBorders>
              <w:top w:val="single" w:sz="4" w:space="0" w:color="000000"/>
              <w:left w:val="single" w:sz="4" w:space="0" w:color="000000"/>
              <w:bottom w:val="single" w:sz="4" w:space="0" w:color="000000"/>
            </w:tcBorders>
            <w:shd w:val="clear" w:color="auto" w:fill="auto"/>
          </w:tcPr>
          <w:p w14:paraId="376B5B47" w14:textId="77777777" w:rsidR="001E442D" w:rsidRDefault="001E442D" w:rsidP="00EE4CF2">
            <w:pPr>
              <w:pStyle w:val="TableHeading"/>
              <w:spacing w:line="360" w:lineRule="auto"/>
              <w:jc w:val="both"/>
              <w:rPr>
                <w:rFonts w:ascii="Arial" w:hAnsi="Arial" w:cs="Arial"/>
                <w:color w:val="000000"/>
              </w:rPr>
            </w:pPr>
            <w:r>
              <w:rPr>
                <w:rFonts w:ascii="Arial" w:hAnsi="Arial" w:cs="Arial"/>
                <w:color w:val="000000"/>
              </w:rPr>
              <w:t>ROE (%)</w:t>
            </w:r>
          </w:p>
        </w:tc>
        <w:tc>
          <w:tcPr>
            <w:tcW w:w="1276" w:type="dxa"/>
            <w:tcBorders>
              <w:top w:val="single" w:sz="4" w:space="0" w:color="000000"/>
              <w:left w:val="single" w:sz="4" w:space="0" w:color="000000"/>
              <w:bottom w:val="single" w:sz="4" w:space="0" w:color="000000"/>
            </w:tcBorders>
            <w:shd w:val="clear" w:color="auto" w:fill="auto"/>
          </w:tcPr>
          <w:p w14:paraId="2C997867" w14:textId="77777777" w:rsidR="001E442D" w:rsidRDefault="001E442D" w:rsidP="00EE4CF2">
            <w:pPr>
              <w:pStyle w:val="TableHeading"/>
              <w:spacing w:line="360" w:lineRule="auto"/>
              <w:jc w:val="both"/>
              <w:rPr>
                <w:rFonts w:ascii="Arial" w:hAnsi="Arial" w:cs="Arial"/>
                <w:color w:val="000000"/>
              </w:rPr>
            </w:pPr>
            <w:r>
              <w:rPr>
                <w:rFonts w:ascii="Arial" w:hAnsi="Arial" w:cs="Arial"/>
                <w:color w:val="000000"/>
              </w:rPr>
              <w:t>ROA (%)</w:t>
            </w:r>
          </w:p>
        </w:tc>
        <w:tc>
          <w:tcPr>
            <w:tcW w:w="1984" w:type="dxa"/>
            <w:tcBorders>
              <w:top w:val="single" w:sz="4" w:space="0" w:color="000000"/>
              <w:left w:val="single" w:sz="4" w:space="0" w:color="000000"/>
              <w:bottom w:val="single" w:sz="4" w:space="0" w:color="000000"/>
            </w:tcBorders>
            <w:shd w:val="clear" w:color="auto" w:fill="auto"/>
          </w:tcPr>
          <w:p w14:paraId="16ACD772" w14:textId="77777777" w:rsidR="001E442D" w:rsidRDefault="001E442D" w:rsidP="00EE4CF2">
            <w:pPr>
              <w:pStyle w:val="TableHeading"/>
              <w:spacing w:line="360" w:lineRule="auto"/>
              <w:jc w:val="both"/>
              <w:rPr>
                <w:rFonts w:ascii="Arial" w:hAnsi="Arial" w:cs="Arial"/>
                <w:color w:val="000000"/>
              </w:rPr>
            </w:pPr>
            <w:r>
              <w:rPr>
                <w:rFonts w:ascii="Arial" w:hAnsi="Arial" w:cs="Arial"/>
                <w:color w:val="000000"/>
              </w:rPr>
              <w:t>Profit Margin (%)</w:t>
            </w:r>
          </w:p>
        </w:tc>
        <w:tc>
          <w:tcPr>
            <w:tcW w:w="1843" w:type="dxa"/>
            <w:tcBorders>
              <w:top w:val="single" w:sz="4" w:space="0" w:color="000000"/>
              <w:left w:val="single" w:sz="4" w:space="0" w:color="000000"/>
              <w:bottom w:val="single" w:sz="4" w:space="0" w:color="000000"/>
            </w:tcBorders>
            <w:shd w:val="clear" w:color="auto" w:fill="auto"/>
          </w:tcPr>
          <w:p w14:paraId="7FD1E396" w14:textId="77777777" w:rsidR="001E442D" w:rsidRDefault="001E442D" w:rsidP="00EE4CF2">
            <w:pPr>
              <w:pStyle w:val="TableHeading"/>
              <w:spacing w:line="360" w:lineRule="auto"/>
              <w:jc w:val="both"/>
              <w:rPr>
                <w:rFonts w:ascii="Arial" w:hAnsi="Arial" w:cs="Arial"/>
                <w:color w:val="000000"/>
              </w:rPr>
            </w:pPr>
            <w:r>
              <w:rPr>
                <w:rFonts w:ascii="Arial" w:hAnsi="Arial" w:cs="Arial"/>
                <w:color w:val="000000"/>
              </w:rPr>
              <w:t>Debt-to-Equity</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3214F405" w14:textId="77777777" w:rsidR="001E442D" w:rsidRDefault="001E442D" w:rsidP="00EE4CF2">
            <w:pPr>
              <w:pStyle w:val="TableHeading"/>
              <w:spacing w:line="360" w:lineRule="auto"/>
              <w:jc w:val="both"/>
            </w:pPr>
            <w:r>
              <w:rPr>
                <w:rFonts w:ascii="Arial" w:hAnsi="Arial" w:cs="Arial"/>
                <w:color w:val="000000"/>
              </w:rPr>
              <w:t>Current Ratio</w:t>
            </w:r>
          </w:p>
        </w:tc>
      </w:tr>
      <w:tr w:rsidR="001E442D" w14:paraId="0F8D32FF" w14:textId="77777777" w:rsidTr="001E442D">
        <w:tc>
          <w:tcPr>
            <w:tcW w:w="851" w:type="dxa"/>
            <w:tcBorders>
              <w:top w:val="single" w:sz="4" w:space="0" w:color="000000"/>
              <w:left w:val="single" w:sz="4" w:space="0" w:color="000000"/>
              <w:bottom w:val="single" w:sz="4" w:space="0" w:color="000000"/>
            </w:tcBorders>
            <w:shd w:val="clear" w:color="auto" w:fill="auto"/>
          </w:tcPr>
          <w:p w14:paraId="470B8E3E"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2019</w:t>
            </w:r>
          </w:p>
        </w:tc>
        <w:tc>
          <w:tcPr>
            <w:tcW w:w="992" w:type="dxa"/>
            <w:tcBorders>
              <w:top w:val="single" w:sz="4" w:space="0" w:color="000000"/>
              <w:left w:val="single" w:sz="4" w:space="0" w:color="000000"/>
              <w:bottom w:val="single" w:sz="4" w:space="0" w:color="000000"/>
            </w:tcBorders>
            <w:shd w:val="clear" w:color="auto" w:fill="auto"/>
          </w:tcPr>
          <w:p w14:paraId="215CBA5D"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10.5</w:t>
            </w:r>
          </w:p>
        </w:tc>
        <w:tc>
          <w:tcPr>
            <w:tcW w:w="1276" w:type="dxa"/>
            <w:tcBorders>
              <w:top w:val="single" w:sz="4" w:space="0" w:color="000000"/>
              <w:left w:val="single" w:sz="4" w:space="0" w:color="000000"/>
              <w:bottom w:val="single" w:sz="4" w:space="0" w:color="000000"/>
            </w:tcBorders>
            <w:shd w:val="clear" w:color="auto" w:fill="auto"/>
          </w:tcPr>
          <w:p w14:paraId="7D665374"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4.2</w:t>
            </w:r>
          </w:p>
        </w:tc>
        <w:tc>
          <w:tcPr>
            <w:tcW w:w="1984" w:type="dxa"/>
            <w:tcBorders>
              <w:top w:val="single" w:sz="4" w:space="0" w:color="000000"/>
              <w:left w:val="single" w:sz="4" w:space="0" w:color="000000"/>
              <w:bottom w:val="single" w:sz="4" w:space="0" w:color="000000"/>
            </w:tcBorders>
            <w:shd w:val="clear" w:color="auto" w:fill="auto"/>
          </w:tcPr>
          <w:p w14:paraId="599C88E4"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5.8</w:t>
            </w:r>
          </w:p>
        </w:tc>
        <w:tc>
          <w:tcPr>
            <w:tcW w:w="1843" w:type="dxa"/>
            <w:tcBorders>
              <w:top w:val="single" w:sz="4" w:space="0" w:color="000000"/>
              <w:left w:val="single" w:sz="4" w:space="0" w:color="000000"/>
              <w:bottom w:val="single" w:sz="4" w:space="0" w:color="000000"/>
            </w:tcBorders>
            <w:shd w:val="clear" w:color="auto" w:fill="auto"/>
          </w:tcPr>
          <w:p w14:paraId="653C877D"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0.38</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5E26BF7E" w14:textId="77777777" w:rsidR="001E442D" w:rsidRDefault="001E442D" w:rsidP="00EE4CF2">
            <w:pPr>
              <w:pStyle w:val="TableContents"/>
              <w:spacing w:line="360" w:lineRule="auto"/>
              <w:jc w:val="both"/>
            </w:pPr>
            <w:r>
              <w:rPr>
                <w:rFonts w:ascii="Arial" w:hAnsi="Arial" w:cs="Arial"/>
                <w:color w:val="000000"/>
              </w:rPr>
              <w:t>1.20</w:t>
            </w:r>
          </w:p>
        </w:tc>
      </w:tr>
      <w:tr w:rsidR="001E442D" w14:paraId="4F672834" w14:textId="77777777" w:rsidTr="001E442D">
        <w:tc>
          <w:tcPr>
            <w:tcW w:w="851" w:type="dxa"/>
            <w:tcBorders>
              <w:top w:val="single" w:sz="4" w:space="0" w:color="000000"/>
              <w:left w:val="single" w:sz="4" w:space="0" w:color="000000"/>
              <w:bottom w:val="single" w:sz="4" w:space="0" w:color="000000"/>
            </w:tcBorders>
            <w:shd w:val="clear" w:color="auto" w:fill="auto"/>
          </w:tcPr>
          <w:p w14:paraId="36EA1B88"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2020</w:t>
            </w:r>
          </w:p>
        </w:tc>
        <w:tc>
          <w:tcPr>
            <w:tcW w:w="992" w:type="dxa"/>
            <w:tcBorders>
              <w:top w:val="single" w:sz="4" w:space="0" w:color="000000"/>
              <w:left w:val="single" w:sz="4" w:space="0" w:color="000000"/>
              <w:bottom w:val="single" w:sz="4" w:space="0" w:color="000000"/>
            </w:tcBorders>
            <w:shd w:val="clear" w:color="auto" w:fill="auto"/>
          </w:tcPr>
          <w:p w14:paraId="4E2F0167"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9.0</w:t>
            </w:r>
          </w:p>
        </w:tc>
        <w:tc>
          <w:tcPr>
            <w:tcW w:w="1276" w:type="dxa"/>
            <w:tcBorders>
              <w:top w:val="single" w:sz="4" w:space="0" w:color="000000"/>
              <w:left w:val="single" w:sz="4" w:space="0" w:color="000000"/>
              <w:bottom w:val="single" w:sz="4" w:space="0" w:color="000000"/>
            </w:tcBorders>
            <w:shd w:val="clear" w:color="auto" w:fill="auto"/>
          </w:tcPr>
          <w:p w14:paraId="7C55B3D1"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3.5</w:t>
            </w:r>
          </w:p>
        </w:tc>
        <w:tc>
          <w:tcPr>
            <w:tcW w:w="1984" w:type="dxa"/>
            <w:tcBorders>
              <w:top w:val="single" w:sz="4" w:space="0" w:color="000000"/>
              <w:left w:val="single" w:sz="4" w:space="0" w:color="000000"/>
              <w:bottom w:val="single" w:sz="4" w:space="0" w:color="000000"/>
            </w:tcBorders>
            <w:shd w:val="clear" w:color="auto" w:fill="auto"/>
          </w:tcPr>
          <w:p w14:paraId="7EE04C3D"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5.2</w:t>
            </w:r>
          </w:p>
        </w:tc>
        <w:tc>
          <w:tcPr>
            <w:tcW w:w="1843" w:type="dxa"/>
            <w:tcBorders>
              <w:top w:val="single" w:sz="4" w:space="0" w:color="000000"/>
              <w:left w:val="single" w:sz="4" w:space="0" w:color="000000"/>
              <w:bottom w:val="single" w:sz="4" w:space="0" w:color="000000"/>
            </w:tcBorders>
            <w:shd w:val="clear" w:color="auto" w:fill="auto"/>
          </w:tcPr>
          <w:p w14:paraId="7DD9AEFA"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0.42</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231A9F8A" w14:textId="77777777" w:rsidR="001E442D" w:rsidRDefault="001E442D" w:rsidP="00EE4CF2">
            <w:pPr>
              <w:pStyle w:val="TableContents"/>
              <w:spacing w:line="360" w:lineRule="auto"/>
              <w:jc w:val="both"/>
            </w:pPr>
            <w:r>
              <w:rPr>
                <w:rFonts w:ascii="Arial" w:hAnsi="Arial" w:cs="Arial"/>
                <w:color w:val="000000"/>
              </w:rPr>
              <w:t>1.15</w:t>
            </w:r>
          </w:p>
        </w:tc>
      </w:tr>
      <w:tr w:rsidR="001E442D" w14:paraId="0EA2BE84" w14:textId="77777777" w:rsidTr="001E442D">
        <w:tc>
          <w:tcPr>
            <w:tcW w:w="851" w:type="dxa"/>
            <w:tcBorders>
              <w:top w:val="single" w:sz="4" w:space="0" w:color="000000"/>
              <w:left w:val="single" w:sz="4" w:space="0" w:color="000000"/>
              <w:bottom w:val="single" w:sz="4" w:space="0" w:color="000000"/>
            </w:tcBorders>
            <w:shd w:val="clear" w:color="auto" w:fill="auto"/>
          </w:tcPr>
          <w:p w14:paraId="437E4023"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2021</w:t>
            </w:r>
          </w:p>
        </w:tc>
        <w:tc>
          <w:tcPr>
            <w:tcW w:w="992" w:type="dxa"/>
            <w:tcBorders>
              <w:top w:val="single" w:sz="4" w:space="0" w:color="000000"/>
              <w:left w:val="single" w:sz="4" w:space="0" w:color="000000"/>
              <w:bottom w:val="single" w:sz="4" w:space="0" w:color="000000"/>
            </w:tcBorders>
            <w:shd w:val="clear" w:color="auto" w:fill="auto"/>
          </w:tcPr>
          <w:p w14:paraId="5D6F521C"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12.3</w:t>
            </w:r>
          </w:p>
        </w:tc>
        <w:tc>
          <w:tcPr>
            <w:tcW w:w="1276" w:type="dxa"/>
            <w:tcBorders>
              <w:top w:val="single" w:sz="4" w:space="0" w:color="000000"/>
              <w:left w:val="single" w:sz="4" w:space="0" w:color="000000"/>
              <w:bottom w:val="single" w:sz="4" w:space="0" w:color="000000"/>
            </w:tcBorders>
            <w:shd w:val="clear" w:color="auto" w:fill="auto"/>
          </w:tcPr>
          <w:p w14:paraId="12ADDC62"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5.0</w:t>
            </w:r>
          </w:p>
        </w:tc>
        <w:tc>
          <w:tcPr>
            <w:tcW w:w="1984" w:type="dxa"/>
            <w:tcBorders>
              <w:top w:val="single" w:sz="4" w:space="0" w:color="000000"/>
              <w:left w:val="single" w:sz="4" w:space="0" w:color="000000"/>
              <w:bottom w:val="single" w:sz="4" w:space="0" w:color="000000"/>
            </w:tcBorders>
            <w:shd w:val="clear" w:color="auto" w:fill="auto"/>
          </w:tcPr>
          <w:p w14:paraId="32EC57C5"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6.4</w:t>
            </w:r>
          </w:p>
        </w:tc>
        <w:tc>
          <w:tcPr>
            <w:tcW w:w="1843" w:type="dxa"/>
            <w:tcBorders>
              <w:top w:val="single" w:sz="4" w:space="0" w:color="000000"/>
              <w:left w:val="single" w:sz="4" w:space="0" w:color="000000"/>
              <w:bottom w:val="single" w:sz="4" w:space="0" w:color="000000"/>
            </w:tcBorders>
            <w:shd w:val="clear" w:color="auto" w:fill="auto"/>
          </w:tcPr>
          <w:p w14:paraId="2FEFF4F0"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0.36</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239462E5" w14:textId="77777777" w:rsidR="001E442D" w:rsidRDefault="001E442D" w:rsidP="00EE4CF2">
            <w:pPr>
              <w:pStyle w:val="TableContents"/>
              <w:spacing w:line="360" w:lineRule="auto"/>
              <w:jc w:val="both"/>
            </w:pPr>
            <w:r>
              <w:rPr>
                <w:rFonts w:ascii="Arial" w:hAnsi="Arial" w:cs="Arial"/>
                <w:color w:val="000000"/>
              </w:rPr>
              <w:t>1.25</w:t>
            </w:r>
          </w:p>
        </w:tc>
      </w:tr>
      <w:tr w:rsidR="001E442D" w14:paraId="11C40AC1" w14:textId="77777777" w:rsidTr="001E442D">
        <w:tc>
          <w:tcPr>
            <w:tcW w:w="851" w:type="dxa"/>
            <w:tcBorders>
              <w:top w:val="single" w:sz="4" w:space="0" w:color="000000"/>
              <w:left w:val="single" w:sz="4" w:space="0" w:color="000000"/>
              <w:bottom w:val="single" w:sz="4" w:space="0" w:color="000000"/>
            </w:tcBorders>
            <w:shd w:val="clear" w:color="auto" w:fill="auto"/>
          </w:tcPr>
          <w:p w14:paraId="147380D5"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2022</w:t>
            </w:r>
          </w:p>
        </w:tc>
        <w:tc>
          <w:tcPr>
            <w:tcW w:w="992" w:type="dxa"/>
            <w:tcBorders>
              <w:top w:val="single" w:sz="4" w:space="0" w:color="000000"/>
              <w:left w:val="single" w:sz="4" w:space="0" w:color="000000"/>
              <w:bottom w:val="single" w:sz="4" w:space="0" w:color="000000"/>
            </w:tcBorders>
            <w:shd w:val="clear" w:color="auto" w:fill="auto"/>
          </w:tcPr>
          <w:p w14:paraId="2E222BAB"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14.0</w:t>
            </w:r>
          </w:p>
        </w:tc>
        <w:tc>
          <w:tcPr>
            <w:tcW w:w="1276" w:type="dxa"/>
            <w:tcBorders>
              <w:top w:val="single" w:sz="4" w:space="0" w:color="000000"/>
              <w:left w:val="single" w:sz="4" w:space="0" w:color="000000"/>
              <w:bottom w:val="single" w:sz="4" w:space="0" w:color="000000"/>
            </w:tcBorders>
            <w:shd w:val="clear" w:color="auto" w:fill="auto"/>
          </w:tcPr>
          <w:p w14:paraId="6FF2131D"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6.5</w:t>
            </w:r>
          </w:p>
        </w:tc>
        <w:tc>
          <w:tcPr>
            <w:tcW w:w="1984" w:type="dxa"/>
            <w:tcBorders>
              <w:top w:val="single" w:sz="4" w:space="0" w:color="000000"/>
              <w:left w:val="single" w:sz="4" w:space="0" w:color="000000"/>
              <w:bottom w:val="single" w:sz="4" w:space="0" w:color="000000"/>
            </w:tcBorders>
            <w:shd w:val="clear" w:color="auto" w:fill="auto"/>
          </w:tcPr>
          <w:p w14:paraId="34D43121"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7.2</w:t>
            </w:r>
          </w:p>
        </w:tc>
        <w:tc>
          <w:tcPr>
            <w:tcW w:w="1843" w:type="dxa"/>
            <w:tcBorders>
              <w:top w:val="single" w:sz="4" w:space="0" w:color="000000"/>
              <w:left w:val="single" w:sz="4" w:space="0" w:color="000000"/>
              <w:bottom w:val="single" w:sz="4" w:space="0" w:color="000000"/>
            </w:tcBorders>
            <w:shd w:val="clear" w:color="auto" w:fill="auto"/>
          </w:tcPr>
          <w:p w14:paraId="4B6D808D"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0.33</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42E97897" w14:textId="77777777" w:rsidR="001E442D" w:rsidRDefault="001E442D" w:rsidP="00EE4CF2">
            <w:pPr>
              <w:pStyle w:val="TableContents"/>
              <w:spacing w:line="360" w:lineRule="auto"/>
              <w:jc w:val="both"/>
            </w:pPr>
            <w:r>
              <w:rPr>
                <w:rFonts w:ascii="Arial" w:hAnsi="Arial" w:cs="Arial"/>
                <w:color w:val="000000"/>
              </w:rPr>
              <w:t>1.30</w:t>
            </w:r>
          </w:p>
        </w:tc>
      </w:tr>
      <w:tr w:rsidR="001E442D" w14:paraId="174D0A29" w14:textId="77777777" w:rsidTr="001E442D">
        <w:tc>
          <w:tcPr>
            <w:tcW w:w="851" w:type="dxa"/>
            <w:tcBorders>
              <w:top w:val="single" w:sz="4" w:space="0" w:color="000000"/>
              <w:left w:val="single" w:sz="4" w:space="0" w:color="000000"/>
              <w:bottom w:val="single" w:sz="4" w:space="0" w:color="000000"/>
            </w:tcBorders>
            <w:shd w:val="clear" w:color="auto" w:fill="auto"/>
          </w:tcPr>
          <w:p w14:paraId="28DD560C"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2023</w:t>
            </w:r>
          </w:p>
        </w:tc>
        <w:tc>
          <w:tcPr>
            <w:tcW w:w="992" w:type="dxa"/>
            <w:tcBorders>
              <w:top w:val="single" w:sz="4" w:space="0" w:color="000000"/>
              <w:left w:val="single" w:sz="4" w:space="0" w:color="000000"/>
              <w:bottom w:val="single" w:sz="4" w:space="0" w:color="000000"/>
            </w:tcBorders>
            <w:shd w:val="clear" w:color="auto" w:fill="auto"/>
          </w:tcPr>
          <w:p w14:paraId="4E3ACC39"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13.5</w:t>
            </w:r>
          </w:p>
        </w:tc>
        <w:tc>
          <w:tcPr>
            <w:tcW w:w="1276" w:type="dxa"/>
            <w:tcBorders>
              <w:top w:val="single" w:sz="4" w:space="0" w:color="000000"/>
              <w:left w:val="single" w:sz="4" w:space="0" w:color="000000"/>
              <w:bottom w:val="single" w:sz="4" w:space="0" w:color="000000"/>
            </w:tcBorders>
            <w:shd w:val="clear" w:color="auto" w:fill="auto"/>
          </w:tcPr>
          <w:p w14:paraId="40B97395"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6.0</w:t>
            </w:r>
          </w:p>
        </w:tc>
        <w:tc>
          <w:tcPr>
            <w:tcW w:w="1984" w:type="dxa"/>
            <w:tcBorders>
              <w:top w:val="single" w:sz="4" w:space="0" w:color="000000"/>
              <w:left w:val="single" w:sz="4" w:space="0" w:color="000000"/>
              <w:bottom w:val="single" w:sz="4" w:space="0" w:color="000000"/>
            </w:tcBorders>
            <w:shd w:val="clear" w:color="auto" w:fill="auto"/>
          </w:tcPr>
          <w:p w14:paraId="259402E8"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6.9</w:t>
            </w:r>
          </w:p>
        </w:tc>
        <w:tc>
          <w:tcPr>
            <w:tcW w:w="1843" w:type="dxa"/>
            <w:tcBorders>
              <w:top w:val="single" w:sz="4" w:space="0" w:color="000000"/>
              <w:left w:val="single" w:sz="4" w:space="0" w:color="000000"/>
              <w:bottom w:val="single" w:sz="4" w:space="0" w:color="000000"/>
            </w:tcBorders>
            <w:shd w:val="clear" w:color="auto" w:fill="auto"/>
          </w:tcPr>
          <w:p w14:paraId="3A4047B6" w14:textId="77777777" w:rsidR="001E442D" w:rsidRDefault="001E442D" w:rsidP="00EE4CF2">
            <w:pPr>
              <w:pStyle w:val="TableContents"/>
              <w:spacing w:line="360" w:lineRule="auto"/>
              <w:jc w:val="both"/>
              <w:rPr>
                <w:rFonts w:ascii="Arial" w:hAnsi="Arial" w:cs="Arial"/>
                <w:color w:val="000000"/>
              </w:rPr>
            </w:pPr>
            <w:r>
              <w:rPr>
                <w:rFonts w:ascii="Arial" w:hAnsi="Arial" w:cs="Arial"/>
                <w:color w:val="000000"/>
              </w:rPr>
              <w:t>0.35</w:t>
            </w:r>
          </w:p>
        </w:tc>
        <w:tc>
          <w:tcPr>
            <w:tcW w:w="2892" w:type="dxa"/>
            <w:tcBorders>
              <w:top w:val="single" w:sz="4" w:space="0" w:color="000000"/>
              <w:left w:val="single" w:sz="4" w:space="0" w:color="000000"/>
              <w:bottom w:val="single" w:sz="4" w:space="0" w:color="000000"/>
              <w:right w:val="single" w:sz="4" w:space="0" w:color="000000"/>
            </w:tcBorders>
            <w:shd w:val="clear" w:color="auto" w:fill="auto"/>
          </w:tcPr>
          <w:p w14:paraId="4F0BEB41" w14:textId="77777777" w:rsidR="001E442D" w:rsidRDefault="001E442D" w:rsidP="00EE4CF2">
            <w:pPr>
              <w:pStyle w:val="TableContents"/>
              <w:spacing w:line="360" w:lineRule="auto"/>
              <w:jc w:val="both"/>
            </w:pPr>
            <w:r>
              <w:rPr>
                <w:rFonts w:ascii="Arial" w:hAnsi="Arial" w:cs="Arial"/>
                <w:color w:val="000000"/>
              </w:rPr>
              <w:t>1.28</w:t>
            </w:r>
          </w:p>
        </w:tc>
      </w:tr>
    </w:tbl>
    <w:p w14:paraId="300A1980" w14:textId="77777777" w:rsidR="00741651" w:rsidRDefault="00741651" w:rsidP="001E442D">
      <w:pPr>
        <w:spacing w:line="360" w:lineRule="auto"/>
        <w:jc w:val="both"/>
        <w:rPr>
          <w:rFonts w:ascii="Arial" w:hAnsi="Arial" w:cs="Arial"/>
          <w:b/>
          <w:bCs/>
          <w:color w:val="000000"/>
        </w:rPr>
      </w:pPr>
    </w:p>
    <w:p w14:paraId="018B8FCE" w14:textId="3B00FD81" w:rsidR="001E442D" w:rsidRDefault="001E442D" w:rsidP="001E442D">
      <w:pPr>
        <w:spacing w:line="360" w:lineRule="auto"/>
        <w:jc w:val="both"/>
        <w:rPr>
          <w:rFonts w:ascii="Arial" w:hAnsi="Arial" w:cs="Arial"/>
          <w:color w:val="000000"/>
        </w:rPr>
      </w:pPr>
      <w:r>
        <w:rPr>
          <w:rFonts w:ascii="Arial" w:hAnsi="Arial" w:cs="Arial"/>
          <w:b/>
          <w:bCs/>
          <w:color w:val="000000"/>
        </w:rPr>
        <w:t>Analysis of the Data</w:t>
      </w:r>
    </w:p>
    <w:p w14:paraId="62187B32" w14:textId="7020C41C" w:rsidR="001E442D" w:rsidRDefault="001E442D" w:rsidP="001E442D">
      <w:pPr>
        <w:spacing w:line="360" w:lineRule="auto"/>
        <w:jc w:val="both"/>
        <w:rPr>
          <w:rFonts w:ascii="Arial" w:hAnsi="Arial" w:cs="Arial"/>
          <w:b/>
          <w:bCs/>
          <w:color w:val="000000"/>
        </w:rPr>
      </w:pPr>
      <w:r>
        <w:rPr>
          <w:rFonts w:ascii="Arial" w:hAnsi="Arial" w:cs="Arial"/>
          <w:color w:val="000000"/>
        </w:rPr>
        <w:tab/>
      </w:r>
      <w:r>
        <w:rPr>
          <w:rFonts w:ascii="Arial" w:hAnsi="Arial" w:cs="Arial"/>
          <w:color w:val="000000"/>
          <w:sz w:val="22"/>
          <w:szCs w:val="22"/>
        </w:rPr>
        <w:t>Financial performance measures will also be presented in form of graphs and charts and their corresponding key figures for Shell will then be compared with key corporate governance practices over time.  For example, line graph may be used to depict trend of changes in ROE and or ROA vis a vis any change in the level of governance. Bar chart: in this case, the chart can represent the profit margin of the company years; for that reason, one can easily identify an enhancement or depreciation of the value.</w:t>
      </w:r>
    </w:p>
    <w:p w14:paraId="73AA48D4" w14:textId="77777777" w:rsidR="001E442D" w:rsidRDefault="001E442D" w:rsidP="001E442D">
      <w:pPr>
        <w:spacing w:line="360" w:lineRule="auto"/>
        <w:jc w:val="both"/>
        <w:rPr>
          <w:rFonts w:ascii="Arial" w:hAnsi="Arial" w:cs="Arial"/>
          <w:b/>
          <w:bCs/>
          <w:color w:val="000000"/>
        </w:rPr>
      </w:pPr>
    </w:p>
    <w:p w14:paraId="603B1131" w14:textId="341062C7" w:rsidR="001E442D" w:rsidRDefault="001E442D" w:rsidP="001E442D">
      <w:pPr>
        <w:spacing w:line="360" w:lineRule="auto"/>
        <w:jc w:val="both"/>
        <w:rPr>
          <w:rFonts w:ascii="Arial" w:hAnsi="Arial" w:cs="Arial"/>
          <w:color w:val="000000"/>
        </w:rPr>
      </w:pPr>
      <w:r>
        <w:rPr>
          <w:rFonts w:ascii="Arial" w:hAnsi="Arial" w:cs="Arial"/>
          <w:b/>
          <w:bCs/>
          <w:color w:val="000000"/>
        </w:rPr>
        <w:t>Trends and Key Relationships</w:t>
      </w:r>
    </w:p>
    <w:p w14:paraId="550F7CE9" w14:textId="77777777" w:rsidR="001E442D" w:rsidRDefault="001E442D" w:rsidP="001E442D">
      <w:pPr>
        <w:spacing w:line="360" w:lineRule="auto"/>
        <w:jc w:val="both"/>
        <w:rPr>
          <w:rFonts w:ascii="Arial" w:hAnsi="Arial" w:cs="Arial"/>
          <w:b/>
          <w:bCs/>
          <w:color w:val="000000"/>
        </w:rPr>
      </w:pPr>
      <w:bookmarkStart w:id="3" w:name="radix-%252525253Ar2hb%252525253A"/>
      <w:bookmarkEnd w:id="3"/>
      <w:r>
        <w:rPr>
          <w:rFonts w:ascii="Arial" w:hAnsi="Arial" w:cs="Arial"/>
          <w:color w:val="000000"/>
        </w:rPr>
        <w:tab/>
      </w:r>
      <w:r>
        <w:rPr>
          <w:rFonts w:ascii="Arial" w:hAnsi="Arial" w:cs="Arial"/>
          <w:color w:val="000000"/>
          <w:sz w:val="22"/>
          <w:szCs w:val="22"/>
        </w:rPr>
        <w:t xml:space="preserve">From the year 2020 onward, the ROE and ROA are more increase than the previous year, which might be attributed to the installation of better corporate governance at Shell. </w:t>
      </w:r>
      <w:bookmarkStart w:id="4" w:name="radix-%252525253Ar2he%252525253A"/>
      <w:bookmarkEnd w:id="4"/>
      <w:r>
        <w:rPr>
          <w:rFonts w:ascii="Arial" w:hAnsi="Arial" w:cs="Arial"/>
          <w:color w:val="000000"/>
          <w:sz w:val="22"/>
          <w:szCs w:val="22"/>
        </w:rPr>
        <w:t xml:space="preserve">For that matter, increasing the number of independent directors and enhancing audit functions has been found to be associated with the enhanced financial performance, as seen from the above financial ratios. </w:t>
      </w:r>
      <w:bookmarkStart w:id="5" w:name="radix-%252525253Ar2hh%252525253A"/>
      <w:bookmarkEnd w:id="5"/>
      <w:r>
        <w:rPr>
          <w:rFonts w:ascii="Arial" w:hAnsi="Arial" w:cs="Arial"/>
          <w:color w:val="000000"/>
          <w:sz w:val="22"/>
          <w:szCs w:val="22"/>
        </w:rPr>
        <w:t>US GAAP has been adopted to compute the profit margin which has recorded a constant rise especially in the year 2022; this can be attributed to good governance, which enhances organizational decision-making and risk management (Cipriano et al., 2022).</w:t>
      </w:r>
    </w:p>
    <w:p w14:paraId="14A12CA1" w14:textId="77777777" w:rsidR="001E442D" w:rsidRDefault="001E442D" w:rsidP="001E442D">
      <w:pPr>
        <w:spacing w:line="360" w:lineRule="auto"/>
        <w:jc w:val="both"/>
        <w:rPr>
          <w:rFonts w:ascii="Arial" w:hAnsi="Arial" w:cs="Arial"/>
          <w:b/>
          <w:bCs/>
          <w:color w:val="000000"/>
        </w:rPr>
      </w:pPr>
    </w:p>
    <w:p w14:paraId="4E37D700" w14:textId="23FBF98C" w:rsidR="001E442D" w:rsidRDefault="001E442D" w:rsidP="001E442D">
      <w:pPr>
        <w:spacing w:line="360" w:lineRule="auto"/>
        <w:jc w:val="both"/>
        <w:rPr>
          <w:rFonts w:ascii="Arial" w:hAnsi="Arial" w:cs="Arial"/>
          <w:color w:val="000000"/>
        </w:rPr>
      </w:pPr>
      <w:r>
        <w:rPr>
          <w:rFonts w:ascii="Arial" w:hAnsi="Arial" w:cs="Arial"/>
          <w:b/>
          <w:bCs/>
          <w:color w:val="000000"/>
        </w:rPr>
        <w:t>Interpretation of Results</w:t>
      </w:r>
    </w:p>
    <w:p w14:paraId="4F400B77" w14:textId="77777777" w:rsidR="001E442D" w:rsidRDefault="001E442D" w:rsidP="001E442D">
      <w:pPr>
        <w:spacing w:line="360" w:lineRule="auto"/>
        <w:jc w:val="both"/>
        <w:rPr>
          <w:rFonts w:ascii="Arial" w:hAnsi="Arial" w:cs="Arial"/>
          <w:color w:val="000000"/>
        </w:rPr>
      </w:pPr>
      <w:r>
        <w:rPr>
          <w:rFonts w:ascii="Arial" w:hAnsi="Arial" w:cs="Arial"/>
          <w:color w:val="000000"/>
        </w:rPr>
        <w:tab/>
      </w:r>
      <w:r>
        <w:rPr>
          <w:rFonts w:ascii="Arial" w:hAnsi="Arial" w:cs="Arial"/>
          <w:color w:val="000000"/>
          <w:sz w:val="22"/>
          <w:szCs w:val="22"/>
        </w:rPr>
        <w:t xml:space="preserve">To support the recommendations, the investigation found that, as Shell improved its corporate governance mechanisms—diversity of board, efficient audit committee, and shareholder communication—the organization’s financial performance improved (Rastad and Dobson, 2022). For instance, enhanced ROE and profit margin in the year 2022 may be explained by some activities endorsed by the board aimed at increasing efficiency and </w:t>
      </w:r>
      <w:r>
        <w:rPr>
          <w:rFonts w:ascii="Arial" w:hAnsi="Arial" w:cs="Arial"/>
          <w:color w:val="000000"/>
          <w:sz w:val="22"/>
          <w:szCs w:val="22"/>
        </w:rPr>
        <w:lastRenderedPageBreak/>
        <w:t>reducing cost of operation. I addition, often meetings with shareholders that have an influence on investor relations can be considered as the major factor stabilizing the stock price. More specifically, and in simple terms, the above data provide evidence for the proposition that sound corporate governance mechanisms relate positively to improved organizational performance for Shell.</w:t>
      </w:r>
    </w:p>
    <w:p w14:paraId="53112520" w14:textId="77777777" w:rsidR="001E442D" w:rsidRDefault="001E442D" w:rsidP="001E442D"/>
    <w:p w14:paraId="74B513D6" w14:textId="77777777" w:rsidR="001E442D" w:rsidRDefault="001E442D" w:rsidP="001E442D"/>
    <w:p w14:paraId="28C213AA" w14:textId="598A054D" w:rsidR="001E442D" w:rsidRDefault="001E442D" w:rsidP="001E442D">
      <w:pPr>
        <w:pStyle w:val="Heading1"/>
      </w:pPr>
      <w:bookmarkStart w:id="6" w:name="_Toc180931859"/>
      <w:r>
        <w:t>Conclusion</w:t>
      </w:r>
      <w:bookmarkEnd w:id="6"/>
    </w:p>
    <w:p w14:paraId="0107F2E2" w14:textId="77777777" w:rsidR="001E442D" w:rsidRDefault="001E442D" w:rsidP="001E442D"/>
    <w:p w14:paraId="2B09F7A7" w14:textId="77777777" w:rsidR="001E442D" w:rsidRDefault="001E442D" w:rsidP="001E442D">
      <w:pPr>
        <w:spacing w:line="360" w:lineRule="auto"/>
        <w:ind w:firstLine="720"/>
        <w:jc w:val="both"/>
        <w:rPr>
          <w:rFonts w:ascii="Arial" w:hAnsi="Arial" w:cs="Arial"/>
          <w:color w:val="000000"/>
          <w:sz w:val="22"/>
          <w:szCs w:val="22"/>
        </w:rPr>
      </w:pPr>
      <w:r>
        <w:rPr>
          <w:rFonts w:ascii="Arial" w:hAnsi="Arial" w:cs="Arial"/>
          <w:color w:val="000000"/>
          <w:sz w:val="22"/>
          <w:szCs w:val="22"/>
        </w:rPr>
        <w:t xml:space="preserve">This report focuses on the corporate governance benchmarking and the analysis of Shell results with regarding to its corporate governance practices and financial results. As shown in the report, an expansion in governance by increasing the board’s diversity, independency, and shareholder active participation links to improved ROE and Profit Margins over the five years. </w:t>
      </w:r>
    </w:p>
    <w:p w14:paraId="64DB0CFD" w14:textId="0575A825" w:rsidR="001E442D" w:rsidRDefault="001E442D" w:rsidP="001E442D">
      <w:pPr>
        <w:spacing w:line="360" w:lineRule="auto"/>
        <w:ind w:firstLine="720"/>
        <w:jc w:val="both"/>
        <w:rPr>
          <w:rFonts w:ascii="Arial" w:hAnsi="Arial" w:cs="Arial"/>
          <w:color w:val="000000"/>
          <w:sz w:val="28"/>
          <w:szCs w:val="28"/>
        </w:rPr>
      </w:pPr>
      <w:r>
        <w:rPr>
          <w:rFonts w:ascii="Arial" w:hAnsi="Arial" w:cs="Arial"/>
          <w:color w:val="000000"/>
          <w:sz w:val="22"/>
          <w:szCs w:val="22"/>
        </w:rPr>
        <w:t>The implications for Shell are clear: strong governance structure not only enhances the financial outcome but also helps in building the confidence of the stakeholders as well as helps the organization to survive. It is possible for other firms in the industry to replicate Shell’s practice in the management of its operations by focusing on diversity and being transparent in order to generate the best results. For future research concerns, research could bring focus onto the effects of corporate governance reforms on firm performance over a long-term and across industries. Further, conducting research on sustainability practices in governance as a way of working towards an answer to the question could prove to be informative to the extent of enriching ethical and financial success.</w:t>
      </w:r>
    </w:p>
    <w:p w14:paraId="1FD98A2C" w14:textId="477E5D44" w:rsidR="001E442D" w:rsidRDefault="001E442D" w:rsidP="001E442D"/>
    <w:p w14:paraId="55CCCE85" w14:textId="77777777" w:rsidR="001E442D" w:rsidRDefault="001E442D">
      <w:r>
        <w:br w:type="page"/>
      </w:r>
    </w:p>
    <w:p w14:paraId="25C66787" w14:textId="28E53AF5" w:rsidR="001E442D" w:rsidRDefault="001E442D" w:rsidP="001E442D">
      <w:pPr>
        <w:pStyle w:val="Heading1"/>
      </w:pPr>
      <w:bookmarkStart w:id="7" w:name="_Toc180931860"/>
      <w:r>
        <w:lastRenderedPageBreak/>
        <w:t>References</w:t>
      </w:r>
      <w:bookmarkEnd w:id="7"/>
    </w:p>
    <w:p w14:paraId="176F6E40" w14:textId="77777777" w:rsidR="001E442D" w:rsidRDefault="001E442D" w:rsidP="001E442D"/>
    <w:p w14:paraId="476B964C"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Al-Ahdal, W.M., Alsamhi, M.H., Tabash, M.I. and Farhan, N.H., 2020. The impact of corporate governance on financial performance of Indian and GCC listed firms: An empirical investigation. </w:t>
      </w:r>
      <w:r>
        <w:rPr>
          <w:rFonts w:ascii="Arial" w:hAnsi="Arial" w:cs="Arial"/>
          <w:i/>
          <w:color w:val="000000"/>
          <w:sz w:val="22"/>
          <w:szCs w:val="22"/>
        </w:rPr>
        <w:t>Research in International Business and Finance</w:t>
      </w:r>
      <w:r>
        <w:rPr>
          <w:rFonts w:ascii="Arial" w:hAnsi="Arial" w:cs="Arial"/>
          <w:color w:val="000000"/>
          <w:sz w:val="22"/>
          <w:szCs w:val="22"/>
        </w:rPr>
        <w:t>, </w:t>
      </w:r>
      <w:r>
        <w:rPr>
          <w:rFonts w:ascii="Arial" w:hAnsi="Arial" w:cs="Arial"/>
          <w:i/>
          <w:color w:val="000000"/>
          <w:sz w:val="22"/>
          <w:szCs w:val="22"/>
        </w:rPr>
        <w:t>51</w:t>
      </w:r>
      <w:r>
        <w:rPr>
          <w:rFonts w:ascii="Arial" w:hAnsi="Arial" w:cs="Arial"/>
          <w:color w:val="000000"/>
          <w:sz w:val="22"/>
          <w:szCs w:val="22"/>
        </w:rPr>
        <w:t>, p.101083.</w:t>
      </w:r>
    </w:p>
    <w:p w14:paraId="0571C09F"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Cipriano, M., Cole, E.T. and Briggs, J., 2022. Value relevance and market valuation of assets measured using IFRS and US GAAP in the US equity market. </w:t>
      </w:r>
      <w:r>
        <w:rPr>
          <w:rFonts w:ascii="Arial" w:hAnsi="Arial" w:cs="Arial"/>
          <w:i/>
          <w:color w:val="000000"/>
          <w:sz w:val="22"/>
          <w:szCs w:val="22"/>
        </w:rPr>
        <w:t>International Journal of Accounting &amp; Information Management</w:t>
      </w:r>
      <w:r>
        <w:rPr>
          <w:rFonts w:ascii="Arial" w:hAnsi="Arial" w:cs="Arial"/>
          <w:color w:val="000000"/>
          <w:sz w:val="22"/>
          <w:szCs w:val="22"/>
        </w:rPr>
        <w:t>, </w:t>
      </w:r>
      <w:r>
        <w:rPr>
          <w:rFonts w:ascii="Arial" w:hAnsi="Arial" w:cs="Arial"/>
          <w:i/>
          <w:color w:val="000000"/>
          <w:sz w:val="22"/>
          <w:szCs w:val="22"/>
        </w:rPr>
        <w:t>30</w:t>
      </w:r>
      <w:r>
        <w:rPr>
          <w:rFonts w:ascii="Arial" w:hAnsi="Arial" w:cs="Arial"/>
          <w:color w:val="000000"/>
          <w:sz w:val="22"/>
          <w:szCs w:val="22"/>
        </w:rPr>
        <w:t>(1), pp.95-114.</w:t>
      </w:r>
    </w:p>
    <w:p w14:paraId="77F75386"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Guo, Y., Yang, Y. and Wang, C., 2021. Global energy networks: Geographies of mergers and acquisitions of worldwide oil companies. </w:t>
      </w:r>
      <w:r>
        <w:rPr>
          <w:rFonts w:ascii="Arial" w:hAnsi="Arial" w:cs="Arial"/>
          <w:i/>
          <w:color w:val="000000"/>
          <w:sz w:val="22"/>
          <w:szCs w:val="22"/>
        </w:rPr>
        <w:t>Renewable and Sustainable Energy Reviews</w:t>
      </w:r>
      <w:r>
        <w:rPr>
          <w:rFonts w:ascii="Arial" w:hAnsi="Arial" w:cs="Arial"/>
          <w:color w:val="000000"/>
          <w:sz w:val="22"/>
          <w:szCs w:val="22"/>
        </w:rPr>
        <w:t>, </w:t>
      </w:r>
      <w:r>
        <w:rPr>
          <w:rFonts w:ascii="Arial" w:hAnsi="Arial" w:cs="Arial"/>
          <w:i/>
          <w:color w:val="000000"/>
          <w:sz w:val="22"/>
          <w:szCs w:val="22"/>
        </w:rPr>
        <w:t>139</w:t>
      </w:r>
      <w:r>
        <w:rPr>
          <w:rFonts w:ascii="Arial" w:hAnsi="Arial" w:cs="Arial"/>
          <w:color w:val="000000"/>
          <w:sz w:val="22"/>
          <w:szCs w:val="22"/>
        </w:rPr>
        <w:t>, p.110698.</w:t>
      </w:r>
    </w:p>
    <w:p w14:paraId="664C2B9F"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Larcker, D. and Tayan, B., 2020. </w:t>
      </w:r>
      <w:r>
        <w:rPr>
          <w:rFonts w:ascii="Arial" w:hAnsi="Arial" w:cs="Arial"/>
          <w:i/>
          <w:color w:val="000000"/>
          <w:sz w:val="22"/>
          <w:szCs w:val="22"/>
        </w:rPr>
        <w:t>Corporate governance matters</w:t>
      </w:r>
      <w:r>
        <w:rPr>
          <w:rFonts w:ascii="Arial" w:hAnsi="Arial" w:cs="Arial"/>
          <w:color w:val="000000"/>
          <w:sz w:val="22"/>
          <w:szCs w:val="22"/>
        </w:rPr>
        <w:t>. FT Press.</w:t>
      </w:r>
    </w:p>
    <w:p w14:paraId="13325AD7" w14:textId="6D3DC946"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 xml:space="preserve">Lim, H. and Rokhim, R., 2021. Factors affecting profitability of pharmaceutical company: </w:t>
      </w:r>
      <w:r w:rsidR="00EE0346">
        <w:rPr>
          <w:rFonts w:ascii="Arial" w:hAnsi="Arial" w:cs="Arial"/>
          <w:color w:val="000000"/>
          <w:sz w:val="22"/>
          <w:szCs w:val="22"/>
        </w:rPr>
        <w:t>Indonesian evidence</w:t>
      </w:r>
      <w:r>
        <w:rPr>
          <w:rFonts w:ascii="Arial" w:hAnsi="Arial" w:cs="Arial"/>
          <w:color w:val="000000"/>
          <w:sz w:val="22"/>
          <w:szCs w:val="22"/>
        </w:rPr>
        <w:t>. </w:t>
      </w:r>
      <w:r>
        <w:rPr>
          <w:rFonts w:ascii="Arial" w:hAnsi="Arial" w:cs="Arial"/>
          <w:i/>
          <w:color w:val="000000"/>
          <w:sz w:val="22"/>
          <w:szCs w:val="22"/>
        </w:rPr>
        <w:t>Journal of Economic Studies</w:t>
      </w:r>
      <w:r>
        <w:rPr>
          <w:rFonts w:ascii="Arial" w:hAnsi="Arial" w:cs="Arial"/>
          <w:color w:val="000000"/>
          <w:sz w:val="22"/>
          <w:szCs w:val="22"/>
        </w:rPr>
        <w:t>, </w:t>
      </w:r>
      <w:r>
        <w:rPr>
          <w:rFonts w:ascii="Arial" w:hAnsi="Arial" w:cs="Arial"/>
          <w:i/>
          <w:color w:val="000000"/>
          <w:sz w:val="22"/>
          <w:szCs w:val="22"/>
        </w:rPr>
        <w:t>48</w:t>
      </w:r>
      <w:r>
        <w:rPr>
          <w:rFonts w:ascii="Arial" w:hAnsi="Arial" w:cs="Arial"/>
          <w:color w:val="000000"/>
          <w:sz w:val="22"/>
          <w:szCs w:val="22"/>
        </w:rPr>
        <w:t>(5), pp.981-995.</w:t>
      </w:r>
    </w:p>
    <w:p w14:paraId="0DD3A90C"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Midttun, A., Khanieva, M., Lia, M. and Wenner, E., 2022. The greening of the European petroleum industry. </w:t>
      </w:r>
      <w:r>
        <w:rPr>
          <w:rFonts w:ascii="Arial" w:hAnsi="Arial" w:cs="Arial"/>
          <w:i/>
          <w:color w:val="000000"/>
          <w:sz w:val="22"/>
          <w:szCs w:val="22"/>
        </w:rPr>
        <w:t>Energy Policy</w:t>
      </w:r>
      <w:r>
        <w:rPr>
          <w:rFonts w:ascii="Arial" w:hAnsi="Arial" w:cs="Arial"/>
          <w:color w:val="000000"/>
          <w:sz w:val="22"/>
          <w:szCs w:val="22"/>
        </w:rPr>
        <w:t>, </w:t>
      </w:r>
      <w:r>
        <w:rPr>
          <w:rFonts w:ascii="Arial" w:hAnsi="Arial" w:cs="Arial"/>
          <w:i/>
          <w:color w:val="000000"/>
          <w:sz w:val="22"/>
          <w:szCs w:val="22"/>
        </w:rPr>
        <w:t>167</w:t>
      </w:r>
      <w:r>
        <w:rPr>
          <w:rFonts w:ascii="Arial" w:hAnsi="Arial" w:cs="Arial"/>
          <w:color w:val="000000"/>
          <w:sz w:val="22"/>
          <w:szCs w:val="22"/>
        </w:rPr>
        <w:t>, p.112964.</w:t>
      </w:r>
    </w:p>
    <w:p w14:paraId="0C08FB04" w14:textId="4D256A78"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 xml:space="preserve">Rambe, I. and Rambe, M.F., 2021. Analysis Of Firm Size </w:t>
      </w:r>
      <w:r w:rsidR="00EE0346">
        <w:rPr>
          <w:rFonts w:ascii="Arial" w:hAnsi="Arial" w:cs="Arial"/>
          <w:color w:val="000000"/>
          <w:sz w:val="22"/>
          <w:szCs w:val="22"/>
        </w:rPr>
        <w:t>and</w:t>
      </w:r>
      <w:r>
        <w:rPr>
          <w:rFonts w:ascii="Arial" w:hAnsi="Arial" w:cs="Arial"/>
          <w:color w:val="000000"/>
          <w:sz w:val="22"/>
          <w:szCs w:val="22"/>
        </w:rPr>
        <w:t xml:space="preserve"> Debt </w:t>
      </w:r>
      <w:r w:rsidR="00EE0346">
        <w:rPr>
          <w:rFonts w:ascii="Arial" w:hAnsi="Arial" w:cs="Arial"/>
          <w:color w:val="000000"/>
          <w:sz w:val="22"/>
          <w:szCs w:val="22"/>
        </w:rPr>
        <w:t>to</w:t>
      </w:r>
      <w:r>
        <w:rPr>
          <w:rFonts w:ascii="Arial" w:hAnsi="Arial" w:cs="Arial"/>
          <w:color w:val="000000"/>
          <w:sz w:val="22"/>
          <w:szCs w:val="22"/>
        </w:rPr>
        <w:t xml:space="preserve"> Equity Ratio </w:t>
      </w:r>
      <w:r w:rsidR="00EE0346">
        <w:rPr>
          <w:rFonts w:ascii="Arial" w:hAnsi="Arial" w:cs="Arial"/>
          <w:color w:val="000000"/>
          <w:sz w:val="22"/>
          <w:szCs w:val="22"/>
        </w:rPr>
        <w:t>to</w:t>
      </w:r>
      <w:r>
        <w:rPr>
          <w:rFonts w:ascii="Arial" w:hAnsi="Arial" w:cs="Arial"/>
          <w:color w:val="000000"/>
          <w:sz w:val="22"/>
          <w:szCs w:val="22"/>
        </w:rPr>
        <w:t xml:space="preserve"> Return </w:t>
      </w:r>
      <w:proofErr w:type="gramStart"/>
      <w:r>
        <w:rPr>
          <w:rFonts w:ascii="Arial" w:hAnsi="Arial" w:cs="Arial"/>
          <w:color w:val="000000"/>
          <w:sz w:val="22"/>
          <w:szCs w:val="22"/>
        </w:rPr>
        <w:t>On</w:t>
      </w:r>
      <w:proofErr w:type="gramEnd"/>
      <w:r>
        <w:rPr>
          <w:rFonts w:ascii="Arial" w:hAnsi="Arial" w:cs="Arial"/>
          <w:color w:val="000000"/>
          <w:sz w:val="22"/>
          <w:szCs w:val="22"/>
        </w:rPr>
        <w:t xml:space="preserve"> Assets Listed On The Indonesia Stock Exchange. </w:t>
      </w:r>
      <w:r>
        <w:rPr>
          <w:rFonts w:ascii="Arial" w:hAnsi="Arial" w:cs="Arial"/>
          <w:i/>
          <w:color w:val="000000"/>
          <w:sz w:val="22"/>
          <w:szCs w:val="22"/>
        </w:rPr>
        <w:t>International Proceeding of Law and Economic</w:t>
      </w:r>
      <w:r>
        <w:rPr>
          <w:rFonts w:ascii="Arial" w:hAnsi="Arial" w:cs="Arial"/>
          <w:color w:val="000000"/>
          <w:sz w:val="22"/>
          <w:szCs w:val="22"/>
        </w:rPr>
        <w:t>, pp.125-133.</w:t>
      </w:r>
    </w:p>
    <w:p w14:paraId="4F929122"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Yang, J. and Basile, K., 2021. Communicating corporate social responsibility: External stakeholder involvement, productivity and firm performance. </w:t>
      </w:r>
      <w:r>
        <w:rPr>
          <w:rFonts w:ascii="Arial" w:hAnsi="Arial" w:cs="Arial"/>
          <w:i/>
          <w:color w:val="000000"/>
          <w:sz w:val="22"/>
          <w:szCs w:val="22"/>
        </w:rPr>
        <w:t>Journal of Business Ethics</w:t>
      </w:r>
      <w:r>
        <w:rPr>
          <w:rFonts w:ascii="Arial" w:hAnsi="Arial" w:cs="Arial"/>
          <w:color w:val="000000"/>
          <w:sz w:val="22"/>
          <w:szCs w:val="22"/>
        </w:rPr>
        <w:t>, pp.1-17.</w:t>
      </w:r>
    </w:p>
    <w:p w14:paraId="44D6A689"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Thottoli, M.M., 2021. The relevance of compliance audit on companies’ compliance with disclosure guidelines of financial statements. </w:t>
      </w:r>
      <w:r>
        <w:rPr>
          <w:rFonts w:ascii="Arial" w:hAnsi="Arial" w:cs="Arial"/>
          <w:i/>
          <w:color w:val="000000"/>
          <w:sz w:val="22"/>
          <w:szCs w:val="22"/>
        </w:rPr>
        <w:t>Journal of Investment Compliance</w:t>
      </w:r>
      <w:r>
        <w:rPr>
          <w:rFonts w:ascii="Arial" w:hAnsi="Arial" w:cs="Arial"/>
          <w:color w:val="000000"/>
          <w:sz w:val="22"/>
          <w:szCs w:val="22"/>
        </w:rPr>
        <w:t>, </w:t>
      </w:r>
      <w:r>
        <w:rPr>
          <w:rFonts w:ascii="Arial" w:hAnsi="Arial" w:cs="Arial"/>
          <w:i/>
          <w:color w:val="000000"/>
          <w:sz w:val="22"/>
          <w:szCs w:val="22"/>
        </w:rPr>
        <w:t>22</w:t>
      </w:r>
      <w:r>
        <w:rPr>
          <w:rFonts w:ascii="Arial" w:hAnsi="Arial" w:cs="Arial"/>
          <w:color w:val="000000"/>
          <w:sz w:val="22"/>
          <w:szCs w:val="22"/>
        </w:rPr>
        <w:t>(2), pp.137-150.</w:t>
      </w:r>
    </w:p>
    <w:p w14:paraId="79BF9FCC"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Rastad, M. and Dobson, J., 2022. Gender diversity on corporate boards: Evaluating the effectiveness of shareholder activism. </w:t>
      </w:r>
      <w:r>
        <w:rPr>
          <w:rFonts w:ascii="Arial" w:hAnsi="Arial" w:cs="Arial"/>
          <w:i/>
          <w:color w:val="000000"/>
          <w:sz w:val="22"/>
          <w:szCs w:val="22"/>
        </w:rPr>
        <w:t>The Quarterly Review of Economics and Finance</w:t>
      </w:r>
      <w:r>
        <w:rPr>
          <w:rFonts w:ascii="Arial" w:hAnsi="Arial" w:cs="Arial"/>
          <w:color w:val="000000"/>
          <w:sz w:val="22"/>
          <w:szCs w:val="22"/>
        </w:rPr>
        <w:t>, </w:t>
      </w:r>
      <w:r>
        <w:rPr>
          <w:rFonts w:ascii="Arial" w:hAnsi="Arial" w:cs="Arial"/>
          <w:i/>
          <w:color w:val="000000"/>
          <w:sz w:val="22"/>
          <w:szCs w:val="22"/>
        </w:rPr>
        <w:t>84</w:t>
      </w:r>
      <w:r>
        <w:rPr>
          <w:rFonts w:ascii="Arial" w:hAnsi="Arial" w:cs="Arial"/>
          <w:color w:val="000000"/>
          <w:sz w:val="22"/>
          <w:szCs w:val="22"/>
        </w:rPr>
        <w:t>, pp.446-461.</w:t>
      </w:r>
    </w:p>
    <w:p w14:paraId="476240A2"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An, S., 2022. Board diversity and monitoring: An investigation of gender and task-related diversity. </w:t>
      </w:r>
      <w:r>
        <w:rPr>
          <w:rFonts w:ascii="Arial" w:hAnsi="Arial" w:cs="Arial"/>
          <w:i/>
          <w:color w:val="000000"/>
          <w:sz w:val="22"/>
          <w:szCs w:val="22"/>
        </w:rPr>
        <w:t>Public Performance &amp; Management Review</w:t>
      </w:r>
      <w:r>
        <w:rPr>
          <w:rFonts w:ascii="Arial" w:hAnsi="Arial" w:cs="Arial"/>
          <w:color w:val="000000"/>
          <w:sz w:val="22"/>
          <w:szCs w:val="22"/>
        </w:rPr>
        <w:t>, </w:t>
      </w:r>
      <w:r>
        <w:rPr>
          <w:rFonts w:ascii="Arial" w:hAnsi="Arial" w:cs="Arial"/>
          <w:i/>
          <w:color w:val="000000"/>
          <w:sz w:val="22"/>
          <w:szCs w:val="22"/>
        </w:rPr>
        <w:t>45</w:t>
      </w:r>
      <w:r>
        <w:rPr>
          <w:rFonts w:ascii="Arial" w:hAnsi="Arial" w:cs="Arial"/>
          <w:color w:val="000000"/>
          <w:sz w:val="22"/>
          <w:szCs w:val="22"/>
        </w:rPr>
        <w:t>(1), pp.54-79.</w:t>
      </w:r>
    </w:p>
    <w:p w14:paraId="1F565381"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Cortese, C. and Andrew, J., 2020. Extracting transparency: the process of regulating disclosures for the resources industry. </w:t>
      </w:r>
      <w:r>
        <w:rPr>
          <w:rFonts w:ascii="Arial" w:hAnsi="Arial" w:cs="Arial"/>
          <w:i/>
          <w:color w:val="000000"/>
          <w:sz w:val="22"/>
          <w:szCs w:val="22"/>
        </w:rPr>
        <w:t>Accounting, Auditing &amp; Accountability Journal</w:t>
      </w:r>
      <w:r>
        <w:rPr>
          <w:rFonts w:ascii="Arial" w:hAnsi="Arial" w:cs="Arial"/>
          <w:color w:val="000000"/>
          <w:sz w:val="22"/>
          <w:szCs w:val="22"/>
        </w:rPr>
        <w:t>, </w:t>
      </w:r>
      <w:r>
        <w:rPr>
          <w:rFonts w:ascii="Arial" w:hAnsi="Arial" w:cs="Arial"/>
          <w:i/>
          <w:color w:val="000000"/>
          <w:sz w:val="22"/>
          <w:szCs w:val="22"/>
        </w:rPr>
        <w:t>33</w:t>
      </w:r>
      <w:r>
        <w:rPr>
          <w:rFonts w:ascii="Arial" w:hAnsi="Arial" w:cs="Arial"/>
          <w:color w:val="000000"/>
          <w:sz w:val="22"/>
          <w:szCs w:val="22"/>
        </w:rPr>
        <w:t>(2), pp.472-495.</w:t>
      </w:r>
    </w:p>
    <w:p w14:paraId="4DCE4EBC"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Nikulin, E.D., Smirnov, M.V., Sviridov, A.A. and Bandalyuk, O.V., 2022. Audit committee composition and earnings management in a specific institutional environment: the case of Russia. </w:t>
      </w:r>
      <w:r>
        <w:rPr>
          <w:rFonts w:ascii="Arial" w:hAnsi="Arial" w:cs="Arial"/>
          <w:i/>
          <w:color w:val="000000"/>
          <w:sz w:val="22"/>
          <w:szCs w:val="22"/>
        </w:rPr>
        <w:t>Corporate Governance: The International Journal of Business in Society</w:t>
      </w:r>
      <w:r>
        <w:rPr>
          <w:rFonts w:ascii="Arial" w:hAnsi="Arial" w:cs="Arial"/>
          <w:color w:val="000000"/>
          <w:sz w:val="22"/>
          <w:szCs w:val="22"/>
        </w:rPr>
        <w:t>, </w:t>
      </w:r>
      <w:r>
        <w:rPr>
          <w:rFonts w:ascii="Arial" w:hAnsi="Arial" w:cs="Arial"/>
          <w:i/>
          <w:color w:val="000000"/>
          <w:sz w:val="22"/>
          <w:szCs w:val="22"/>
        </w:rPr>
        <w:t>22</w:t>
      </w:r>
      <w:r>
        <w:rPr>
          <w:rFonts w:ascii="Arial" w:hAnsi="Arial" w:cs="Arial"/>
          <w:color w:val="000000"/>
          <w:sz w:val="22"/>
          <w:szCs w:val="22"/>
        </w:rPr>
        <w:t>(7), pp.1491-1522.</w:t>
      </w:r>
    </w:p>
    <w:p w14:paraId="7EAF5816" w14:textId="77777777" w:rsidR="001E442D" w:rsidRDefault="001E442D" w:rsidP="001E442D">
      <w:pPr>
        <w:spacing w:line="100" w:lineRule="atLeast"/>
        <w:ind w:left="870" w:hanging="870"/>
        <w:jc w:val="both"/>
        <w:rPr>
          <w:rFonts w:ascii="Arial" w:hAnsi="Arial" w:cs="Arial"/>
          <w:color w:val="000000"/>
          <w:sz w:val="22"/>
          <w:szCs w:val="22"/>
        </w:rPr>
      </w:pPr>
      <w:r>
        <w:rPr>
          <w:rFonts w:ascii="Arial" w:hAnsi="Arial" w:cs="Arial"/>
          <w:color w:val="000000"/>
          <w:sz w:val="22"/>
          <w:szCs w:val="22"/>
        </w:rPr>
        <w:t>Sciulli, N. and Adhariani, D., 2023. The use of integrated reports to enhance stakeholder engagement. </w:t>
      </w:r>
      <w:r>
        <w:rPr>
          <w:rFonts w:ascii="Arial" w:hAnsi="Arial" w:cs="Arial"/>
          <w:i/>
          <w:color w:val="000000"/>
          <w:sz w:val="22"/>
          <w:szCs w:val="22"/>
        </w:rPr>
        <w:t>Journal of Accounting &amp; Organizational Change</w:t>
      </w:r>
      <w:r>
        <w:rPr>
          <w:rFonts w:ascii="Arial" w:hAnsi="Arial" w:cs="Arial"/>
          <w:color w:val="000000"/>
          <w:sz w:val="22"/>
          <w:szCs w:val="22"/>
        </w:rPr>
        <w:t>, </w:t>
      </w:r>
      <w:r>
        <w:rPr>
          <w:rFonts w:ascii="Arial" w:hAnsi="Arial" w:cs="Arial"/>
          <w:i/>
          <w:color w:val="000000"/>
          <w:sz w:val="22"/>
          <w:szCs w:val="22"/>
        </w:rPr>
        <w:t>19</w:t>
      </w:r>
      <w:r>
        <w:rPr>
          <w:rFonts w:ascii="Arial" w:hAnsi="Arial" w:cs="Arial"/>
          <w:color w:val="000000"/>
          <w:sz w:val="22"/>
          <w:szCs w:val="22"/>
        </w:rPr>
        <w:t>(3), pp.447-473.</w:t>
      </w:r>
    </w:p>
    <w:p w14:paraId="7435D754" w14:textId="27D3435F" w:rsidR="001E442D" w:rsidRDefault="001E442D" w:rsidP="001E442D">
      <w:pPr>
        <w:rPr>
          <w:rFonts w:ascii="Arial" w:hAnsi="Arial" w:cs="Arial"/>
          <w:color w:val="000000"/>
          <w:sz w:val="22"/>
          <w:szCs w:val="22"/>
        </w:rPr>
      </w:pPr>
      <w:r>
        <w:rPr>
          <w:rFonts w:ascii="Arial" w:hAnsi="Arial" w:cs="Arial"/>
          <w:color w:val="000000"/>
          <w:sz w:val="22"/>
          <w:szCs w:val="22"/>
        </w:rPr>
        <w:t>Assenso-Okofo, O., Jahangir Ali, M. and Ahmed, K., 2021. The impact of corporate governance on the relationship between earnings management</w:t>
      </w:r>
    </w:p>
    <w:p w14:paraId="510129F4" w14:textId="77777777" w:rsidR="00EE0346" w:rsidRPr="00EE0346" w:rsidRDefault="00EE0346" w:rsidP="00EE0346"/>
    <w:p w14:paraId="5CD4E0AD" w14:textId="77777777" w:rsidR="00EE0346" w:rsidRPr="00EE0346" w:rsidRDefault="00EE0346" w:rsidP="00EE0346"/>
    <w:p w14:paraId="66729C1E" w14:textId="77777777" w:rsidR="00EE0346" w:rsidRPr="00EE0346" w:rsidRDefault="00EE0346" w:rsidP="00EE0346"/>
    <w:p w14:paraId="7532D261" w14:textId="77777777" w:rsidR="00EE0346" w:rsidRPr="00EE0346" w:rsidRDefault="00EE0346" w:rsidP="00EE0346"/>
    <w:p w14:paraId="42AA64B2" w14:textId="77777777" w:rsidR="00EE0346" w:rsidRPr="00EE0346" w:rsidRDefault="00EE0346" w:rsidP="00EE0346"/>
    <w:p w14:paraId="13A39391" w14:textId="77777777" w:rsidR="00EE0346" w:rsidRPr="00EE0346" w:rsidRDefault="00EE0346" w:rsidP="00EE0346"/>
    <w:p w14:paraId="7164CDBD" w14:textId="77777777" w:rsidR="00EE0346" w:rsidRPr="00EE0346" w:rsidRDefault="00EE0346" w:rsidP="00EE0346">
      <w:pPr>
        <w:jc w:val="right"/>
      </w:pPr>
    </w:p>
    <w:sectPr w:rsidR="00EE0346" w:rsidRPr="00EE0346" w:rsidSect="00404C5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Noto Sans CJK SC">
    <w:altName w:val="MS Gothic"/>
    <w:panose1 w:val="020B0604020202020204"/>
    <w:charset w:val="80"/>
    <w:family w:val="auto"/>
    <w:pitch w:val="variable"/>
  </w:font>
  <w:font w:name="DejaVu Sans">
    <w:altName w:val="MS Gothic"/>
    <w:panose1 w:val="020B0604020202020204"/>
    <w:charset w:val="80"/>
    <w:family w:val="auto"/>
    <w:pitch w:val="variable"/>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sz w:val="28"/>
        <w:szCs w:val="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8"/>
        <w:szCs w:val="28"/>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8"/>
        <w:szCs w:val="28"/>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olor w:val="000000"/>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102843850">
    <w:abstractNumId w:val="2"/>
  </w:num>
  <w:num w:numId="2" w16cid:durableId="1558392266">
    <w:abstractNumId w:val="3"/>
  </w:num>
  <w:num w:numId="3" w16cid:durableId="199056007">
    <w:abstractNumId w:val="1"/>
  </w:num>
  <w:num w:numId="4" w16cid:durableId="1791826173">
    <w:abstractNumId w:val="4"/>
  </w:num>
  <w:num w:numId="5" w16cid:durableId="1231042617">
    <w:abstractNumId w:val="5"/>
  </w:num>
  <w:num w:numId="6" w16cid:durableId="285352909">
    <w:abstractNumId w:val="6"/>
  </w:num>
  <w:num w:numId="7" w16cid:durableId="787626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F93"/>
    <w:rsid w:val="000979CD"/>
    <w:rsid w:val="001E442D"/>
    <w:rsid w:val="00275630"/>
    <w:rsid w:val="002C3406"/>
    <w:rsid w:val="00316A47"/>
    <w:rsid w:val="00355E7F"/>
    <w:rsid w:val="003627C4"/>
    <w:rsid w:val="00404C58"/>
    <w:rsid w:val="005F45EB"/>
    <w:rsid w:val="00741651"/>
    <w:rsid w:val="007C6F37"/>
    <w:rsid w:val="009218F1"/>
    <w:rsid w:val="00965C17"/>
    <w:rsid w:val="009D5F93"/>
    <w:rsid w:val="009E2726"/>
    <w:rsid w:val="00B206A5"/>
    <w:rsid w:val="00B6191C"/>
    <w:rsid w:val="00C828F7"/>
    <w:rsid w:val="00EE0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578B2"/>
  <w15:chartTrackingRefBased/>
  <w15:docId w15:val="{87D14A49-6DAC-2F40-A670-C6BE9F035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F9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F9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5F9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5F9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5F9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5F9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5F9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5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F9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F9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D5F9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D5F9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D5F9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D5F9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D5F9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D5F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F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F9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D5F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5F93"/>
    <w:rPr>
      <w:i/>
      <w:iCs/>
      <w:color w:val="404040" w:themeColor="text1" w:themeTint="BF"/>
    </w:rPr>
  </w:style>
  <w:style w:type="paragraph" w:styleId="ListParagraph">
    <w:name w:val="List Paragraph"/>
    <w:basedOn w:val="Normal"/>
    <w:uiPriority w:val="34"/>
    <w:qFormat/>
    <w:rsid w:val="009D5F93"/>
    <w:pPr>
      <w:ind w:left="720"/>
      <w:contextualSpacing/>
    </w:pPr>
  </w:style>
  <w:style w:type="character" w:styleId="IntenseEmphasis">
    <w:name w:val="Intense Emphasis"/>
    <w:basedOn w:val="DefaultParagraphFont"/>
    <w:uiPriority w:val="21"/>
    <w:qFormat/>
    <w:rsid w:val="009D5F93"/>
    <w:rPr>
      <w:i/>
      <w:iCs/>
      <w:color w:val="0F4761" w:themeColor="accent1" w:themeShade="BF"/>
    </w:rPr>
  </w:style>
  <w:style w:type="paragraph" w:styleId="IntenseQuote">
    <w:name w:val="Intense Quote"/>
    <w:basedOn w:val="Normal"/>
    <w:next w:val="Normal"/>
    <w:link w:val="IntenseQuoteChar"/>
    <w:uiPriority w:val="30"/>
    <w:qFormat/>
    <w:rsid w:val="009D5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F93"/>
    <w:rPr>
      <w:i/>
      <w:iCs/>
      <w:color w:val="0F4761" w:themeColor="accent1" w:themeShade="BF"/>
    </w:rPr>
  </w:style>
  <w:style w:type="character" w:styleId="IntenseReference">
    <w:name w:val="Intense Reference"/>
    <w:basedOn w:val="DefaultParagraphFont"/>
    <w:uiPriority w:val="32"/>
    <w:qFormat/>
    <w:rsid w:val="009D5F93"/>
    <w:rPr>
      <w:b/>
      <w:bCs/>
      <w:smallCaps/>
      <w:color w:val="0F4761" w:themeColor="accent1" w:themeShade="BF"/>
      <w:spacing w:val="5"/>
    </w:rPr>
  </w:style>
  <w:style w:type="paragraph" w:styleId="NoSpacing">
    <w:name w:val="No Spacing"/>
    <w:link w:val="NoSpacingChar"/>
    <w:uiPriority w:val="1"/>
    <w:qFormat/>
    <w:rsid w:val="00404C58"/>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404C58"/>
    <w:rPr>
      <w:rFonts w:asciiTheme="minorHAnsi" w:eastAsiaTheme="minorEastAsia" w:hAnsiTheme="minorHAnsi" w:cstheme="minorBidi"/>
      <w:kern w:val="0"/>
      <w:sz w:val="22"/>
      <w:szCs w:val="22"/>
      <w:lang w:val="en-US" w:eastAsia="zh-CN"/>
      <w14:ligatures w14:val="none"/>
    </w:rPr>
  </w:style>
  <w:style w:type="paragraph" w:styleId="TOCHeading">
    <w:name w:val="TOC Heading"/>
    <w:basedOn w:val="Heading1"/>
    <w:next w:val="Normal"/>
    <w:uiPriority w:val="39"/>
    <w:unhideWhenUsed/>
    <w:qFormat/>
    <w:rsid w:val="00404C5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04C58"/>
    <w:pPr>
      <w:spacing w:before="120"/>
    </w:pPr>
    <w:rPr>
      <w:rFonts w:asciiTheme="minorHAnsi" w:hAnsiTheme="minorHAnsi"/>
      <w:b/>
      <w:bCs/>
      <w:i/>
      <w:iCs/>
    </w:rPr>
  </w:style>
  <w:style w:type="paragraph" w:styleId="TOC2">
    <w:name w:val="toc 2"/>
    <w:basedOn w:val="Normal"/>
    <w:next w:val="Normal"/>
    <w:autoRedefine/>
    <w:uiPriority w:val="39"/>
    <w:semiHidden/>
    <w:unhideWhenUsed/>
    <w:rsid w:val="00404C5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04C5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04C5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04C5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04C5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04C5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04C5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04C58"/>
    <w:pPr>
      <w:ind w:left="1920"/>
    </w:pPr>
    <w:rPr>
      <w:rFonts w:asciiTheme="minorHAnsi" w:hAnsiTheme="minorHAnsi"/>
      <w:sz w:val="20"/>
      <w:szCs w:val="20"/>
    </w:rPr>
  </w:style>
  <w:style w:type="character" w:styleId="Hyperlink">
    <w:name w:val="Hyperlink"/>
    <w:basedOn w:val="DefaultParagraphFont"/>
    <w:uiPriority w:val="99"/>
    <w:unhideWhenUsed/>
    <w:rsid w:val="00275630"/>
    <w:rPr>
      <w:color w:val="467886" w:themeColor="hyperlink"/>
      <w:u w:val="single"/>
    </w:rPr>
  </w:style>
  <w:style w:type="paragraph" w:customStyle="1" w:styleId="TableContents">
    <w:name w:val="Table Contents"/>
    <w:basedOn w:val="Normal"/>
    <w:rsid w:val="001E442D"/>
    <w:pPr>
      <w:widowControl w:val="0"/>
      <w:suppressLineNumbers/>
      <w:suppressAutoHyphens/>
    </w:pPr>
    <w:rPr>
      <w:rFonts w:ascii="Times New Roman" w:eastAsia="Noto Sans CJK SC" w:hAnsi="Times New Roman" w:cs="DejaVu Sans"/>
      <w:kern w:val="1"/>
      <w:lang w:eastAsia="hi-IN" w:bidi="hi-IN"/>
      <w14:ligatures w14:val="none"/>
    </w:rPr>
  </w:style>
  <w:style w:type="paragraph" w:customStyle="1" w:styleId="TableHeading">
    <w:name w:val="Table Heading"/>
    <w:basedOn w:val="TableContents"/>
    <w:rsid w:val="001E442D"/>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50BEC-84D9-8A40-A770-7E185EF44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8</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The impact of corporate governance practices on firm performance</vt:lpstr>
    </vt:vector>
  </TitlesOfParts>
  <Manager/>
  <Company>Student: Costin-Alexandru Chirita (2210952)</Company>
  <LinksUpToDate>false</LinksUpToDate>
  <CharactersWithSpaces>13824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corporate governance practices on firm performance</dc:title>
  <dc:subject>LCBB6002 – International Financial Management</dc:subject>
  <dc:creator>Costin-Alexandru Chirita (2210952)</dc:creator>
  <cp:keywords/>
  <dc:description/>
  <cp:lastModifiedBy>Costin-Alexandru Chirita (2210952)</cp:lastModifiedBy>
  <cp:revision>16</cp:revision>
  <dcterms:created xsi:type="dcterms:W3CDTF">2024-10-20T12:39:00Z</dcterms:created>
  <dcterms:modified xsi:type="dcterms:W3CDTF">2024-10-27T14:30:00Z</dcterms:modified>
  <cp:category>Lecturer: Mudassar Hasan</cp:category>
</cp:coreProperties>
</file>