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jc w:val="center"/>
        <w:rPr>
          <w:caps w:val="0"/>
          <w:smallCaps w:val="0"/>
          <w:sz w:val="32"/>
          <w:szCs w:val="32"/>
        </w:rPr>
      </w:pPr>
      <w:r>
        <w:rPr>
          <w:caps w:val="0"/>
          <w:smallCaps w:val="0"/>
          <w:sz w:val="32"/>
          <w:szCs w:val="32"/>
          <w:rtl w:val="0"/>
          <w:lang w:val="en-US"/>
        </w:rPr>
        <w:t>How the use of boats and seafaring as tools for social movement had great political impact in the Bronze Age Mediterranean.</w:t>
      </w:r>
    </w:p>
    <w:p>
      <w:pPr>
        <w:pStyle w:val="Body 2"/>
        <w:bidi w:val="0"/>
      </w:pPr>
    </w:p>
    <w:p>
      <w:pPr>
        <w:pStyle w:val="Body"/>
        <w:jc w:val="both"/>
        <w:rPr>
          <w:sz w:val="22"/>
          <w:szCs w:val="22"/>
        </w:rPr>
      </w:pPr>
      <w:r>
        <w:rPr>
          <w:sz w:val="22"/>
          <w:szCs w:val="22"/>
          <w:rtl w:val="0"/>
          <w:lang w:val="en-US"/>
        </w:rPr>
        <w:t xml:space="preserve">The Bronze Age was a pivotal era for the Mediterranean, sometimes described as a time of </w:t>
      </w:r>
      <w:r>
        <w:rPr>
          <w:sz w:val="22"/>
          <w:szCs w:val="22"/>
          <w:rtl w:val="0"/>
          <w:lang w:val="en-US"/>
        </w:rPr>
        <w:t>“</w:t>
      </w:r>
      <w:r>
        <w:rPr>
          <w:sz w:val="22"/>
          <w:szCs w:val="22"/>
          <w:rtl w:val="0"/>
          <w:lang w:val="en-US"/>
        </w:rPr>
        <w:t>chaotic transition</w:t>
      </w:r>
      <w:r>
        <w:rPr>
          <w:sz w:val="22"/>
          <w:szCs w:val="22"/>
          <w:rtl w:val="0"/>
          <w:lang w:val="en-US"/>
        </w:rPr>
        <w:t xml:space="preserve">” </w:t>
      </w:r>
      <w:r>
        <w:rPr>
          <w:sz w:val="22"/>
          <w:szCs w:val="22"/>
          <w:rtl w:val="0"/>
          <w:lang w:val="en-US"/>
        </w:rPr>
        <w:t xml:space="preserve">(Emanuel, 2016, pp. 265) with the development of civilisation and extensive trade networks that allowed for widespread communication and transference of ideas. It can be identified by development of new technologies that had a symbiotic relationship with increased, wide scale trade </w:t>
      </w:r>
      <w:r>
        <w:rPr>
          <w:sz w:val="22"/>
          <w:szCs w:val="22"/>
          <w:rtl w:val="0"/>
          <w:lang w:val="it-IT"/>
        </w:rPr>
        <w:t>(Emanuel, 2016)</w:t>
      </w:r>
      <w:r>
        <w:rPr>
          <w:sz w:val="22"/>
          <w:szCs w:val="22"/>
          <w:rtl w:val="0"/>
          <w:lang w:val="en-US"/>
        </w:rPr>
        <w:t xml:space="preserve">. This in turn had an effect on economic and political structures of communities as well as their relationships with one another. With the ever increasing wealth of polities along trade routes as well as the displaced </w:t>
      </w:r>
      <w:r>
        <w:rPr>
          <w:sz w:val="22"/>
          <w:szCs w:val="22"/>
          <w:rtl w:val="0"/>
          <w:lang w:val="en-US"/>
        </w:rPr>
        <w:t>‘</w:t>
      </w:r>
      <w:r>
        <w:rPr>
          <w:sz w:val="22"/>
          <w:szCs w:val="22"/>
          <w:rtl w:val="0"/>
          <w:lang w:val="en-US"/>
        </w:rPr>
        <w:t>Sea People</w:t>
      </w:r>
      <w:r>
        <w:rPr>
          <w:sz w:val="22"/>
          <w:szCs w:val="22"/>
          <w:rtl w:val="0"/>
          <w:lang w:val="en-US"/>
        </w:rPr>
        <w:t>’</w:t>
      </w:r>
      <w:r>
        <w:rPr>
          <w:sz w:val="22"/>
          <w:szCs w:val="22"/>
          <w:rtl w:val="0"/>
          <w:lang w:val="en-US"/>
        </w:rPr>
        <w:t xml:space="preserve">, towards the end of the Bronze Age saw a marked rise in the savagery and effectiveness of sea-based attacks, be it piracy, raiding or naval battles </w:t>
      </w:r>
      <w:r>
        <w:rPr>
          <w:sz w:val="22"/>
          <w:szCs w:val="22"/>
          <w:rtl w:val="0"/>
          <w:lang w:val="it-IT"/>
        </w:rPr>
        <w:t>(Emanuel, 2016)</w:t>
      </w:r>
      <w:r>
        <w:rPr>
          <w:sz w:val="22"/>
          <w:szCs w:val="22"/>
          <w:rtl w:val="0"/>
          <w:lang w:val="en-US"/>
        </w:rPr>
        <w:t>. This could be due to the development of new sailing technologies that made ships faster and more agile as well as more operable in varied weather conditions</w:t>
      </w:r>
      <w:r>
        <w:rPr>
          <w:sz w:val="22"/>
          <w:szCs w:val="22"/>
          <w:rtl w:val="0"/>
          <w:lang w:val="it-IT"/>
        </w:rPr>
        <w:t>(Emanuel, 2016)</w:t>
      </w:r>
      <w:r>
        <w:rPr>
          <w:sz w:val="22"/>
          <w:szCs w:val="22"/>
          <w:rtl w:val="0"/>
          <w:lang w:val="en-US"/>
        </w:rPr>
        <w:t>. In this essay I will explore how these ships have been depicted or referenced and their potential political impact, especially as agents for the transport of peoples.</w:t>
      </w:r>
    </w:p>
    <w:p>
      <w:pPr>
        <w:pStyle w:val="Body"/>
        <w:jc w:val="both"/>
        <w:rPr>
          <w:sz w:val="22"/>
          <w:szCs w:val="22"/>
        </w:rPr>
      </w:pPr>
      <w:r>
        <w:rPr>
          <w:sz w:val="22"/>
          <w:szCs w:val="22"/>
          <w:rtl w:val="0"/>
        </w:rPr>
        <w:tab/>
        <w:t xml:space="preserve">A lot of research looks at the impact of ships in warfare or trade and how that has affected societies on land, which I will focus on in the first half of my essay, whereas the second half will instead focus on how ancient communities have communicated the more violent exploitation of seafaring for economic and political gain. I will explore double edged sword of seafaring; both a marvel that brings wealth and knowledge and as a potentially devastating agent of destruction that is entirely dependent the people behind the ropes. </w:t>
      </w:r>
    </w:p>
    <w:p>
      <w:pPr>
        <w:pStyle w:val="Body"/>
        <w:jc w:val="both"/>
        <w:rPr>
          <w:sz w:val="22"/>
          <w:szCs w:val="22"/>
        </w:rPr>
      </w:pPr>
    </w:p>
    <w:p>
      <w:pPr>
        <w:pStyle w:val="Body"/>
        <w:jc w:val="both"/>
        <w:rPr>
          <w:sz w:val="22"/>
          <w:szCs w:val="22"/>
        </w:rPr>
      </w:pPr>
      <w:r>
        <w:rPr>
          <w:sz w:val="22"/>
          <w:szCs w:val="22"/>
          <w:rtl w:val="0"/>
          <w:lang w:val="en-US"/>
        </w:rPr>
        <w:t>Kristian &amp; Larson (2005) identify that networks of mobility need agents with motivation to travel, technologies of mobility to support them and institutions to provide social security. All of these can be seen in Bronze Age trade networks, in particular the palatial exchange system, however building upon this with Emanuel</w:t>
      </w:r>
      <w:r>
        <w:rPr>
          <w:sz w:val="22"/>
          <w:szCs w:val="22"/>
          <w:rtl w:val="0"/>
          <w:lang w:val="en-US"/>
        </w:rPr>
        <w:t>’</w:t>
      </w:r>
      <w:r>
        <w:rPr>
          <w:sz w:val="22"/>
          <w:szCs w:val="22"/>
          <w:rtl w:val="0"/>
          <w:lang w:val="en-US"/>
        </w:rPr>
        <w:t xml:space="preserve">s (2016) explanations of transference it is important to recognise ships not just has technologies of mobility but also as agents of transference. There can be no doubt that ships had an important role in the formation of cities and states within the Mediterranean, in particular the expansion toward the Aegean, facilitated by Phoenician expeditions (Scott, 2018). The geography of the Mediterranean meant that some regions were heavily trafficked as crossroads between polities and people, which became known as </w:t>
      </w:r>
      <w:r>
        <w:rPr>
          <w:sz w:val="22"/>
          <w:szCs w:val="22"/>
          <w:rtl w:val="0"/>
          <w:lang w:val="en-US"/>
        </w:rPr>
        <w:t>‘</w:t>
      </w:r>
      <w:r>
        <w:rPr>
          <w:sz w:val="22"/>
          <w:szCs w:val="22"/>
          <w:rtl w:val="0"/>
          <w:lang w:val="en-US"/>
        </w:rPr>
        <w:t>zones of transference</w:t>
      </w:r>
      <w:r>
        <w:rPr>
          <w:sz w:val="22"/>
          <w:szCs w:val="22"/>
          <w:rtl w:val="0"/>
          <w:lang w:val="en-US"/>
        </w:rPr>
        <w:t xml:space="preserve">’ </w:t>
      </w:r>
      <w:r>
        <w:rPr>
          <w:sz w:val="22"/>
          <w:szCs w:val="22"/>
          <w:rtl w:val="0"/>
          <w:lang w:val="en-US"/>
        </w:rPr>
        <w:t xml:space="preserve">(Emanuel, 2016). In these areas ideas, technologies and knowledge could be exchanged as well as material goods, allowing cultural transference that in turn had political implications. </w:t>
      </w:r>
    </w:p>
    <w:p>
      <w:pPr>
        <w:pStyle w:val="Body"/>
        <w:jc w:val="both"/>
        <w:rPr>
          <w:sz w:val="22"/>
          <w:szCs w:val="22"/>
        </w:rPr>
      </w:pPr>
      <w:r>
        <w:rPr>
          <w:sz w:val="22"/>
          <w:szCs w:val="22"/>
          <w:rtl w:val="0"/>
        </w:rPr>
        <w:tab/>
        <w:t xml:space="preserve">There is a tendency to explain the spreading of Near Eastern bureaucratic models through trade as a result of Worlds System Theory, wherein the urban states of Mesopotamia and Egypt are the </w:t>
      </w:r>
      <w:r>
        <w:rPr>
          <w:sz w:val="22"/>
          <w:szCs w:val="22"/>
          <w:rtl w:val="0"/>
          <w:lang w:val="en-US"/>
        </w:rPr>
        <w:t>‘</w:t>
      </w:r>
      <w:r>
        <w:rPr>
          <w:sz w:val="22"/>
          <w:szCs w:val="22"/>
          <w:rtl w:val="0"/>
          <w:lang w:val="en-US"/>
        </w:rPr>
        <w:t xml:space="preserve">cores' that influence the less developed </w:t>
      </w:r>
      <w:r>
        <w:rPr>
          <w:sz w:val="22"/>
          <w:szCs w:val="22"/>
          <w:rtl w:val="0"/>
          <w:lang w:val="en-US"/>
        </w:rPr>
        <w:t>‘</w:t>
      </w:r>
      <w:r>
        <w:rPr>
          <w:sz w:val="22"/>
          <w:szCs w:val="22"/>
          <w:rtl w:val="0"/>
          <w:lang w:val="en-US"/>
        </w:rPr>
        <w:t>peripheries</w:t>
      </w:r>
      <w:r>
        <w:rPr>
          <w:sz w:val="22"/>
          <w:szCs w:val="22"/>
          <w:rtl w:val="0"/>
          <w:lang w:val="en-US"/>
        </w:rPr>
        <w:t xml:space="preserve">’ </w:t>
      </w:r>
      <w:r>
        <w:rPr>
          <w:sz w:val="22"/>
          <w:szCs w:val="22"/>
          <w:rtl w:val="0"/>
          <w:lang w:val="en-US"/>
        </w:rPr>
        <w:t xml:space="preserve">in the Aegean. Although a limited model, this explains the adoption of Near Eastern bureaucratic practices such as monumental buildings, bureaucratic administration and the storage of surplus agricultural goods all of which is evidence of </w:t>
      </w:r>
      <w:r>
        <w:rPr>
          <w:sz w:val="22"/>
          <w:szCs w:val="22"/>
          <w:rtl w:val="0"/>
          <w:lang w:val="en-US"/>
        </w:rPr>
        <w:t>“</w:t>
      </w:r>
      <w:r>
        <w:rPr>
          <w:sz w:val="22"/>
          <w:szCs w:val="22"/>
          <w:rtl w:val="0"/>
          <w:lang w:val="en-US"/>
        </w:rPr>
        <w:t>political affiliations with, and considerate influence from the Near East</w:t>
      </w:r>
      <w:r>
        <w:rPr>
          <w:sz w:val="22"/>
          <w:szCs w:val="22"/>
          <w:rtl w:val="0"/>
          <w:lang w:val="en-US"/>
        </w:rPr>
        <w:t xml:space="preserve">” </w:t>
      </w:r>
      <w:r>
        <w:rPr>
          <w:sz w:val="22"/>
          <w:szCs w:val="22"/>
          <w:rtl w:val="0"/>
          <w:lang w:val="en-US"/>
        </w:rPr>
        <w:t xml:space="preserve">(Papadimitriou and Kriga, 2013).  It is important to identify the agents of transference of these ideas as the individuals who travel and partake in trade to form a chain of communication that allowed for these ideas to be indirectly transferred to the elites and their societies (Emanuel, 2016).  Vessels themselves were agents of transference, bearing both foreign goods and technologies from multiple cultures at a time as well as knowledge and ideas of the crew, who could also be from  multiple, different cultures (Emanuel, 2016). It is the transference of ideas that lead to political redevelopment and in some places the emergence of centralised power, perhaps the best examples of this being the adoption of kingship iconography in the cylinder seals used within the emerging bureaucracy in Cyprus (Smith, 2018) and the palatial systems at Crete (Papadimitrious and Kriga, 2013). In turn it is these palatial systems allowed for extensive long distance trade by founding connections with other palaces through the gifting of luxury goods (Kristiansen, 2016) an early form of international diplomacy. </w:t>
      </w:r>
    </w:p>
    <w:p>
      <w:pPr>
        <w:pStyle w:val="Body"/>
        <w:jc w:val="both"/>
        <w:rPr>
          <w:sz w:val="22"/>
          <w:szCs w:val="22"/>
        </w:rPr>
      </w:pPr>
      <w:r>
        <w:rPr>
          <w:sz w:val="22"/>
          <w:szCs w:val="22"/>
          <w:rtl w:val="0"/>
        </w:rPr>
        <w:tab/>
        <w:t xml:space="preserve">If we adhere to the world-systems approach we can expect a directional influence from the more technologically advanced, urbanised </w:t>
      </w:r>
      <w:r>
        <w:rPr>
          <w:sz w:val="22"/>
          <w:szCs w:val="22"/>
          <w:rtl w:val="0"/>
          <w:lang w:val="en-US"/>
        </w:rPr>
        <w:t>‘</w:t>
      </w:r>
      <w:r>
        <w:rPr>
          <w:sz w:val="22"/>
          <w:szCs w:val="22"/>
          <w:rtl w:val="0"/>
          <w:lang w:val="en-US"/>
        </w:rPr>
        <w:t>cores</w:t>
      </w:r>
      <w:r>
        <w:rPr>
          <w:sz w:val="22"/>
          <w:szCs w:val="22"/>
          <w:rtl w:val="0"/>
          <w:lang w:val="en-US"/>
        </w:rPr>
        <w:t xml:space="preserve">’ </w:t>
      </w:r>
      <w:r>
        <w:rPr>
          <w:sz w:val="22"/>
          <w:szCs w:val="22"/>
          <w:rtl w:val="0"/>
          <w:lang w:val="en-US"/>
        </w:rPr>
        <w:t xml:space="preserve">such as Egypt and Mesopotamia to the peripheral zones through semi-periphery agents (Scott, 2018). These </w:t>
      </w:r>
      <w:r>
        <w:rPr>
          <w:sz w:val="22"/>
          <w:szCs w:val="22"/>
          <w:rtl w:val="0"/>
          <w:lang w:val="en-US"/>
        </w:rPr>
        <w:t>“</w:t>
      </w:r>
      <w:r>
        <w:rPr>
          <w:sz w:val="22"/>
          <w:szCs w:val="22"/>
          <w:rtl w:val="0"/>
          <w:lang w:val="en-US"/>
        </w:rPr>
        <w:t>semi-peripheries</w:t>
      </w:r>
      <w:r>
        <w:rPr>
          <w:sz w:val="22"/>
          <w:szCs w:val="22"/>
          <w:rtl w:val="0"/>
          <w:lang w:val="en-US"/>
        </w:rPr>
        <w:t xml:space="preserve">” </w:t>
      </w:r>
      <w:r>
        <w:rPr>
          <w:sz w:val="22"/>
          <w:szCs w:val="22"/>
          <w:rtl w:val="0"/>
          <w:lang w:val="en-US"/>
        </w:rPr>
        <w:t>would be capitalist polities that conducted trade between the cores and underdeveloped peripheries, an example being the Phoenicians, whose mercantilism prompted European state formation in the Aegean, Italy and Spain (Scott, 2018). As Braudel (2001) states, t</w:t>
      </w:r>
      <w:r>
        <w:rPr>
          <w:sz w:val="22"/>
          <w:szCs w:val="22"/>
          <w:rtl w:val="0"/>
          <w:lang w:val="en-US"/>
        </w:rPr>
        <w:t xml:space="preserve">he voyages of the Phoenicians </w:t>
      </w:r>
      <w:r>
        <w:rPr>
          <w:sz w:val="22"/>
          <w:szCs w:val="22"/>
          <w:rtl w:val="0"/>
          <w:lang w:val="en-US"/>
        </w:rPr>
        <w:t>were</w:t>
      </w:r>
      <w:r>
        <w:rPr>
          <w:sz w:val="22"/>
          <w:szCs w:val="22"/>
          <w:rtl w:val="0"/>
          <w:lang w:val="en-US"/>
        </w:rPr>
        <w:t xml:space="preserve"> the </w:t>
      </w:r>
      <w:r>
        <w:rPr>
          <w:sz w:val="22"/>
          <w:szCs w:val="22"/>
          <w:rtl w:val="0"/>
        </w:rPr>
        <w:t>“</w:t>
      </w:r>
      <w:r>
        <w:rPr>
          <w:sz w:val="22"/>
          <w:szCs w:val="22"/>
          <w:rtl w:val="0"/>
          <w:lang w:val="en-US"/>
        </w:rPr>
        <w:t>first systematic use of the sea</w:t>
      </w:r>
      <w:r>
        <w:rPr>
          <w:sz w:val="22"/>
          <w:szCs w:val="22"/>
          <w:rtl w:val="0"/>
        </w:rPr>
        <w:t>”</w:t>
      </w:r>
      <w:r>
        <w:rPr>
          <w:sz w:val="22"/>
          <w:szCs w:val="22"/>
          <w:rtl w:val="0"/>
          <w:lang w:val="en-US"/>
        </w:rPr>
        <w:t xml:space="preserve"> (pp. 188). It was the seafaring Phoenicians who provided a link between the cultures of the ancient Near East and relatively isolated West (Pritchard, 1974). However the exploration of the previously unknown West was relatively peaceful, based on trade and economy as opposed to political or territorial gain (Scott, 2018). They became the </w:t>
      </w:r>
      <w:r>
        <w:rPr>
          <w:sz w:val="22"/>
          <w:szCs w:val="22"/>
          <w:rtl w:val="0"/>
          <w:lang w:val="en-US"/>
        </w:rPr>
        <w:t>‘</w:t>
      </w:r>
      <w:r>
        <w:rPr>
          <w:sz w:val="22"/>
          <w:szCs w:val="22"/>
          <w:rtl w:val="0"/>
          <w:lang w:val="en-US"/>
        </w:rPr>
        <w:t>bridge</w:t>
      </w:r>
      <w:r>
        <w:rPr>
          <w:sz w:val="22"/>
          <w:szCs w:val="22"/>
          <w:rtl w:val="0"/>
          <w:lang w:val="en-US"/>
        </w:rPr>
        <w:t xml:space="preserve">’ </w:t>
      </w:r>
      <w:r>
        <w:rPr>
          <w:sz w:val="22"/>
          <w:szCs w:val="22"/>
          <w:rtl w:val="0"/>
          <w:lang w:val="en-US"/>
        </w:rPr>
        <w:t>between the East and the West, a cultural role shared by Minoan Crete (Braudel, 2001), that used seafaring to establish trade networks and therefore open up the West to the East. Ultimately it was the Phoenicians</w:t>
      </w:r>
      <w:r>
        <w:rPr>
          <w:sz w:val="22"/>
          <w:szCs w:val="22"/>
          <w:rtl w:val="0"/>
          <w:lang w:val="en-US"/>
        </w:rPr>
        <w:t xml:space="preserve">’ </w:t>
      </w:r>
      <w:r>
        <w:rPr>
          <w:sz w:val="22"/>
          <w:szCs w:val="22"/>
          <w:rtl w:val="0"/>
          <w:lang w:val="en-US"/>
        </w:rPr>
        <w:t xml:space="preserve">use of seafaring that played a formative role in the foundation of Western civilisation, adopting and transferring important Eastern concepts, including advanced sailing ships and administrative models (Scott, 2018). </w:t>
      </w:r>
      <w:r>
        <w:rPr>
          <w:sz w:val="22"/>
          <w:szCs w:val="22"/>
          <w:rtl w:val="0"/>
          <w:lang w:val="en-US"/>
        </w:rPr>
        <w:t xml:space="preserve">Indeed it is not just the distance that these people travelled, opening up new </w:t>
      </w:r>
      <w:r>
        <w:rPr>
          <w:sz w:val="22"/>
          <w:szCs w:val="22"/>
          <w:rtl w:val="0"/>
          <w:lang w:val="en-US"/>
        </w:rPr>
        <w:t xml:space="preserve">channels </w:t>
      </w:r>
      <w:r>
        <w:rPr>
          <w:sz w:val="22"/>
          <w:szCs w:val="22"/>
          <w:rtl w:val="0"/>
          <w:lang w:val="en-US"/>
        </w:rPr>
        <w:t>of communication, but it is the transference of ideas from the Eastern world to the West, upon which many civilisations were built.</w:t>
      </w:r>
      <w:r>
        <w:rPr>
          <w:sz w:val="22"/>
          <w:szCs w:val="22"/>
          <w:rtl w:val="0"/>
          <w:lang w:val="en-US"/>
        </w:rPr>
        <w:t xml:space="preserve"> Towards the end of the Bronze Age when the Hittite Empire and Ugarit fell, Egypt began to decline and the displaced Sea Peoples began raiding with increasing savagery, it was the Phoenicians that kept a steady trade connection between the Eastern and Western Mediterranean (Scott, 2018). Therefore it is not just the potential of sea vessels to transport foreign goods that impacts civilisations but the people who operated these ships and the ideas they transfer with their social movement that lead to political changes. </w:t>
      </w:r>
    </w:p>
    <w:p>
      <w:pPr>
        <w:pStyle w:val="Body"/>
        <w:jc w:val="both"/>
        <w:rPr>
          <w:sz w:val="22"/>
          <w:szCs w:val="22"/>
        </w:rPr>
      </w:pPr>
    </w:p>
    <w:p>
      <w:pPr>
        <w:pStyle w:val="Body"/>
        <w:jc w:val="both"/>
        <w:rPr>
          <w:sz w:val="22"/>
          <w:szCs w:val="22"/>
        </w:rPr>
      </w:pPr>
      <w:r>
        <w:rPr>
          <w:sz w:val="22"/>
          <w:szCs w:val="22"/>
          <w:rtl w:val="0"/>
          <w:lang w:val="en-US"/>
        </w:rPr>
        <w:t xml:space="preserve">However the double edged sword of seafaring comes to light when the increased wealth and accessibility of seafaring simultaneously increases the risks of piracy, raiding and seaborne attacks (Emanuel, 2016). It is also suggested that the displacement of the </w:t>
      </w:r>
      <w:r>
        <w:rPr>
          <w:sz w:val="22"/>
          <w:szCs w:val="22"/>
          <w:rtl w:val="0"/>
          <w:lang w:val="en-US"/>
        </w:rPr>
        <w:t>‘</w:t>
      </w:r>
      <w:r>
        <w:rPr>
          <w:sz w:val="22"/>
          <w:szCs w:val="22"/>
          <w:rtl w:val="0"/>
          <w:lang w:val="en-US"/>
        </w:rPr>
        <w:t>Sea Peoples</w:t>
      </w:r>
      <w:r>
        <w:rPr>
          <w:sz w:val="22"/>
          <w:szCs w:val="22"/>
          <w:rtl w:val="0"/>
          <w:lang w:val="en-US"/>
        </w:rPr>
        <w:t xml:space="preserve">’ </w:t>
      </w:r>
      <w:r>
        <w:rPr>
          <w:sz w:val="22"/>
          <w:szCs w:val="22"/>
          <w:rtl w:val="0"/>
          <w:lang w:val="en-US"/>
        </w:rPr>
        <w:t xml:space="preserve">lead to the increased scale of ship based hostilities, combined with the new technologies that made ships faster and more manoeuvrable which enabled more effective seaborne warfare, looting and piracy which increased the severity of seaborne attacks from the 13th century onwards (Emanuel, 2016). Coastal cities, such as Ugarit, often had a naval fleet, however they tended to be smaller than merchant fleet and were responsible for defending coastal waters from pirates or invaders and escorting valuable shipments across the seas (Emanuel, 2016) rather than warfare. The increasingly effective pirate activity was a significant threat to the economy and also international affairs should they successfully loot ships bearing gifts for a foreign king or queen as part of a diplomatic exchange (Emanuel, 2016). Key technological developments at this time included a new vessel type: the long-hulled, oared galley, and a new rig with a loose footed sail, brailing lines for sail control as well as the top-mounted crows nest (Emanuel, 2016). The loose footed rig gave the boat more manoeuvrability and also allowed the ship to sail closer to the wind (Roberts, 1991), whilst the lack of a lower boom freed up deck space which could accommodate more troops (Monroe, 1990), ultimately making the ships well suited to naval warfare.  </w:t>
      </w:r>
    </w:p>
    <w:p>
      <w:pPr>
        <w:pStyle w:val="Body"/>
        <w:jc w:val="both"/>
        <w:rPr>
          <w:sz w:val="22"/>
          <w:szCs w:val="22"/>
        </w:rPr>
      </w:pPr>
      <w:r>
        <w:rPr>
          <w:sz w:val="22"/>
          <w:szCs w:val="22"/>
          <w:rtl w:val="0"/>
        </w:rPr>
        <w:tab/>
        <w:t>These new boat types became more frequently depicted suggesting both their popularity and iconographic purpose in naval scenes (Wachsmann 1998) such as that in the naval scene relief at the temple at Medinet Habu. Another potential reason for the increasing depiction of these boats is their association with the powerful, chaotic imagery of fast moving ships appearing as if from nowhere, conducting swift but destructive raids and then disappearing, gaining a reputation of confusion and fear (Emanuel, 2016). In fact it may be this reputation of these ships that influences artists depictions of ships, in the case of the naval battle scene at Medinet Habu, the carver only depicts this type of ship, despite the accompanying hieroglyphs listing at least 3 different types of vessel used in the battle (Nelson, 1943). It has further been suggested that the increased activity itself impacted the world of art as scenes of ships, naval combat and warrior bearing vessels became increasingly popular in Helladic vases (Emanuel, 2016).</w:t>
      </w:r>
    </w:p>
    <w:p>
      <w:pPr>
        <w:pStyle w:val="Body"/>
        <w:jc w:val="both"/>
        <w:rPr>
          <w:sz w:val="22"/>
          <w:szCs w:val="22"/>
        </w:rPr>
      </w:pPr>
      <w:r>
        <w:rPr>
          <w:sz w:val="22"/>
          <w:szCs w:val="22"/>
          <w:rtl w:val="0"/>
        </w:rPr>
        <w:tab/>
        <w:t>It is proposed that these depictions of militant use of boats could represent a shifting power balance in the Eastern Mediterranean (Emanuel, 2016), however the exaggerated and propagandic nature of these representations must be considered. For example the state of Egypt was slowly declining, despite Rameses III</w:t>
      </w:r>
      <w:r>
        <w:rPr>
          <w:sz w:val="22"/>
          <w:szCs w:val="22"/>
          <w:rtl w:val="0"/>
          <w:lang w:val="en-US"/>
        </w:rPr>
        <w:t>’</w:t>
      </w:r>
      <w:r>
        <w:rPr>
          <w:sz w:val="22"/>
          <w:szCs w:val="22"/>
          <w:rtl w:val="0"/>
          <w:lang w:val="en-US"/>
        </w:rPr>
        <w:t xml:space="preserve">s victory against the invading Notherners, which may have caused a need for iconography to bolster the position of the Pharaoh through reliefs showing military conquests. One such relief showing both the increasingly aggressive exploitation of ships and their powerful iconography in warfare is the naval battle relief at the temple at Medinet Habu. It depicts a naval between the Egyptians and the invading </w:t>
      </w:r>
      <w:r>
        <w:rPr>
          <w:sz w:val="22"/>
          <w:szCs w:val="22"/>
          <w:rtl w:val="0"/>
          <w:lang w:val="en-US"/>
        </w:rPr>
        <w:t>‘</w:t>
      </w:r>
      <w:r>
        <w:rPr>
          <w:sz w:val="22"/>
          <w:szCs w:val="22"/>
          <w:rtl w:val="0"/>
          <w:lang w:val="en-US"/>
        </w:rPr>
        <w:t>Northerners</w:t>
      </w:r>
      <w:r>
        <w:rPr>
          <w:sz w:val="22"/>
          <w:szCs w:val="22"/>
          <w:rtl w:val="0"/>
          <w:lang w:val="en-US"/>
        </w:rPr>
        <w:t>’</w:t>
      </w:r>
      <w:r>
        <w:rPr>
          <w:sz w:val="22"/>
          <w:szCs w:val="22"/>
          <w:rtl w:val="0"/>
          <w:lang w:val="en-US"/>
        </w:rPr>
        <w:t xml:space="preserve">, a confederation of different cultures, identified as the </w:t>
      </w:r>
      <w:r>
        <w:rPr>
          <w:sz w:val="22"/>
          <w:szCs w:val="22"/>
          <w:rtl w:val="0"/>
          <w:lang w:val="en-US"/>
        </w:rPr>
        <w:t>“</w:t>
      </w:r>
      <w:r>
        <w:rPr>
          <w:sz w:val="22"/>
          <w:szCs w:val="22"/>
          <w:rtl w:val="0"/>
        </w:rPr>
        <w:t>Pelest</w:t>
      </w:r>
      <w:r>
        <w:rPr>
          <w:sz w:val="22"/>
          <w:szCs w:val="22"/>
          <w:rtl w:val="0"/>
        </w:rPr>
        <w:t>”</w:t>
      </w:r>
      <w:r>
        <w:rPr>
          <w:sz w:val="22"/>
          <w:szCs w:val="22"/>
          <w:rtl w:val="0"/>
        </w:rPr>
        <w:t xml:space="preserve">, </w:t>
      </w:r>
      <w:r>
        <w:rPr>
          <w:sz w:val="22"/>
          <w:szCs w:val="22"/>
          <w:rtl w:val="0"/>
        </w:rPr>
        <w:t>“</w:t>
      </w:r>
      <w:r>
        <w:rPr>
          <w:sz w:val="22"/>
          <w:szCs w:val="22"/>
          <w:rtl w:val="0"/>
        </w:rPr>
        <w:t>Denyen</w:t>
      </w:r>
      <w:r>
        <w:rPr>
          <w:sz w:val="22"/>
          <w:szCs w:val="22"/>
          <w:rtl w:val="0"/>
        </w:rPr>
        <w:t>”</w:t>
      </w:r>
      <w:r>
        <w:rPr>
          <w:sz w:val="22"/>
          <w:szCs w:val="22"/>
          <w:rtl w:val="0"/>
        </w:rPr>
        <w:t xml:space="preserve">, </w:t>
      </w:r>
      <w:r>
        <w:rPr>
          <w:sz w:val="22"/>
          <w:szCs w:val="22"/>
          <w:rtl w:val="0"/>
        </w:rPr>
        <w:t>“</w:t>
      </w:r>
      <w:r>
        <w:rPr>
          <w:sz w:val="22"/>
          <w:szCs w:val="22"/>
          <w:rtl w:val="0"/>
          <w:lang w:val="nl-NL"/>
        </w:rPr>
        <w:t>Shekelesh</w:t>
      </w:r>
      <w:r>
        <w:rPr>
          <w:sz w:val="22"/>
          <w:szCs w:val="22"/>
          <w:rtl w:val="0"/>
        </w:rPr>
        <w:t>”</w:t>
      </w:r>
      <w:r>
        <w:rPr>
          <w:sz w:val="22"/>
          <w:szCs w:val="22"/>
          <w:rtl w:val="0"/>
          <w:lang w:val="en-US"/>
        </w:rPr>
        <w:t xml:space="preserve"> and </w:t>
      </w:r>
      <w:r>
        <w:rPr>
          <w:sz w:val="22"/>
          <w:szCs w:val="22"/>
          <w:rtl w:val="0"/>
          <w:lang w:val="en-US"/>
        </w:rPr>
        <w:t>“</w:t>
      </w:r>
      <w:r>
        <w:rPr>
          <w:sz w:val="22"/>
          <w:szCs w:val="22"/>
          <w:rtl w:val="0"/>
        </w:rPr>
        <w:t>Thekker</w:t>
      </w:r>
      <w:r>
        <w:rPr>
          <w:sz w:val="22"/>
          <w:szCs w:val="22"/>
          <w:rtl w:val="0"/>
        </w:rPr>
        <w:t>”</w:t>
      </w:r>
      <w:r>
        <w:rPr>
          <w:sz w:val="22"/>
          <w:szCs w:val="22"/>
          <w:rtl w:val="0"/>
          <w:lang w:val="en-US"/>
        </w:rPr>
        <w:t xml:space="preserve"> (Nelson, 1943). The exact purpose of this raid is unknown, whether for economic benefit from robbing, political move to overthrow the Egyptian state or just territorially displaced people trying to claim land. The accompanying hieroglyphs to the relief describe the invaders as </w:t>
      </w:r>
      <w:r>
        <w:rPr>
          <w:sz w:val="22"/>
          <w:szCs w:val="22"/>
          <w:rtl w:val="0"/>
          <w:lang w:val="en-US"/>
        </w:rPr>
        <w:t>“</w:t>
      </w:r>
      <w:r>
        <w:rPr>
          <w:sz w:val="22"/>
          <w:szCs w:val="22"/>
          <w:rtl w:val="0"/>
          <w:lang w:val="en-US"/>
        </w:rPr>
        <w:t>cut off from their land, coming, their spirit broken</w:t>
      </w:r>
      <w:r>
        <w:rPr>
          <w:sz w:val="22"/>
          <w:szCs w:val="22"/>
          <w:rtl w:val="0"/>
          <w:lang w:val="en-US"/>
        </w:rPr>
        <w:t xml:space="preserve">” </w:t>
      </w:r>
      <w:r>
        <w:rPr>
          <w:sz w:val="22"/>
          <w:szCs w:val="22"/>
          <w:rtl w:val="0"/>
          <w:lang w:val="en-US"/>
        </w:rPr>
        <w:t>(Edgerton and Wilson, 1936). It should be considered that war reliefs were never intended to give an accurate historical account of war but to illustrate the narratives of the accompanying inscriptions (Wreszinski, 1923</w:t>
      </w:r>
      <w:r>
        <w:rPr>
          <w:i w:val="1"/>
          <w:iCs w:val="1"/>
          <w:sz w:val="22"/>
          <w:szCs w:val="22"/>
          <w:rtl w:val="0"/>
          <w:lang w:val="en-US"/>
        </w:rPr>
        <w:t xml:space="preserve">). </w:t>
      </w:r>
      <w:r>
        <w:rPr>
          <w:sz w:val="22"/>
          <w:szCs w:val="22"/>
          <w:rtl w:val="0"/>
          <w:lang w:val="en-US"/>
        </w:rPr>
        <w:t xml:space="preserve">Sometimes the pictures contain details representative of information not communicated through text, or reduce information to symbolic portrayals, such as the identity of the invaders in the relief (Nelson, 1943). From the text alone it is conveyed that the Egyptians were forewarned of the approaching enemy fleet and thus prepared a trap for them, their defensive fleet consisting of gathered ships and a strong force on land to prevent the enemy from fleeing, likened to a </w:t>
      </w:r>
      <w:r>
        <w:rPr>
          <w:sz w:val="22"/>
          <w:szCs w:val="22"/>
          <w:rtl w:val="0"/>
          <w:lang w:val="en-US"/>
        </w:rPr>
        <w:t>“</w:t>
      </w:r>
      <w:r>
        <w:rPr>
          <w:sz w:val="22"/>
          <w:szCs w:val="22"/>
          <w:rtl w:val="0"/>
          <w:lang w:val="en-US"/>
        </w:rPr>
        <w:t>net</w:t>
      </w:r>
      <w:r>
        <w:rPr>
          <w:sz w:val="22"/>
          <w:szCs w:val="22"/>
          <w:rtl w:val="0"/>
          <w:lang w:val="en-US"/>
        </w:rPr>
        <w:t xml:space="preserve">” </w:t>
      </w:r>
      <w:r>
        <w:rPr>
          <w:sz w:val="22"/>
          <w:szCs w:val="22"/>
          <w:rtl w:val="0"/>
          <w:lang w:val="en-US"/>
        </w:rPr>
        <w:t>(Edgerton &amp; Wilson, 1936). The narrative follows that the enemies then fell into the Egyptian</w:t>
      </w:r>
      <w:r>
        <w:rPr>
          <w:sz w:val="22"/>
          <w:szCs w:val="22"/>
          <w:rtl w:val="0"/>
          <w:lang w:val="en-US"/>
        </w:rPr>
        <w:t>’</w:t>
      </w:r>
      <w:r>
        <w:rPr>
          <w:sz w:val="22"/>
          <w:szCs w:val="22"/>
          <w:rtl w:val="0"/>
          <w:lang w:val="en-US"/>
        </w:rPr>
        <w:t>s trap, wrecking their ships, losing their weapons in the water and being washed up on shore, where they were slain or made captive (Nelson, 1943). The relief holistically recounts the entire battle, however it is divided into 4 narratives: the naval battle, the capture of prisoners on land, the pharaoh and the army on shore (Nelson, 1943). It is the naval battle proper that I will be focussing on which consists of 5 enemy ships and 4 Egyptian ones. The enemy ships are distinguished by a bird head at the prow and stern, whereas the Egyptian ships have a lioness head at the prow, suggested to be Sekhmet, that in one case is depicted as grasping the head of the enemy in her mouth (Nelson, 1943). The representative nature of Egyptian reduces the scale of the battle to these 9 ships in total, and stylistically represents all the ships as the same type, long-hulled, oared with loose fitted sails and a crows-nest, a discrepancy when applying the accompanying narrative (Nelson, 1943). I believe this is to better enable a comparison between the enemies and the Egyptian tactics when engaged combat; the Northerners</w:t>
      </w:r>
      <w:r>
        <w:rPr>
          <w:sz w:val="22"/>
          <w:szCs w:val="22"/>
          <w:rtl w:val="0"/>
          <w:lang w:val="en-US"/>
        </w:rPr>
        <w:t xml:space="preserve">’ </w:t>
      </w:r>
      <w:r>
        <w:rPr>
          <w:sz w:val="22"/>
          <w:szCs w:val="22"/>
          <w:rtl w:val="0"/>
          <w:lang w:val="en-US"/>
        </w:rPr>
        <w:t xml:space="preserve">ships are portrayed as chaotic, unprepared to manoeuvre with their sails furled and only engaging the rear oar used to steer (Nelson, 1943). Furthermore they are pointed in opposite directions and one is overturned thus creating an image of confusion and chaos (Nelson, 1943). When compared to the Egyptian ships, who have all their oars engaged and attacking in an orderly manner with all prows depicted towards the enemy there is a conscious representation of the two armies that successfully convey the intended message of not only Egyptian victory but general superiority in combat (Nelson, 1943). Unfortunately due to the reductionist nature of Egyptian art, there are only two types of costume worn by the Northerners, which although conveys the mixed origins of the fleet it does not represent all nationalities mentioned in the text (Nelson, 1943).  Perhaps the most symbolic representation in the relief is the ship nearest the pharaoh that depicts the men losing their courage at the sight of the pharaoh and are shown to be falling or jumping from their ship, thus commending the Pharaoh as the defender of the Egyptian state (Nelson, 1943). Overall this relief is a key example of how the representations of ships as well as the people who use them not only communicates their political impact, but also tells the narrative of the implications of social movement as well as how these images themselves can be used as political propaganda. </w:t>
      </w:r>
    </w:p>
    <w:p>
      <w:pPr>
        <w:pStyle w:val="Body"/>
        <w:jc w:val="both"/>
        <w:rPr>
          <w:sz w:val="22"/>
          <w:szCs w:val="22"/>
        </w:rPr>
      </w:pPr>
      <w:r>
        <w:rPr>
          <w:sz w:val="22"/>
          <w:szCs w:val="22"/>
          <w:rtl w:val="0"/>
          <w:lang w:val="en-US"/>
        </w:rPr>
        <w:t>To conclude, the increasing use of ships and seafaring meant the Bronze Age was a time of unprecedented growth and expansion, with states and cities accumulating ever increasing wealth through international trade available and facilitated by people such as the Phoenicians. The trade networks established allowed for the movement of both material goods and seafarers that</w:t>
      </w:r>
      <w:r>
        <w:rPr>
          <w:i w:val="1"/>
          <w:iCs w:val="1"/>
          <w:sz w:val="22"/>
          <w:szCs w:val="22"/>
          <w:rtl w:val="0"/>
          <w:lang w:val="en-US"/>
        </w:rPr>
        <w:t xml:space="preserve"> "lay the groundwork for a multidirectional, multilayered diffusion of technologies and cultural influence</w:t>
      </w:r>
      <w:r>
        <w:rPr>
          <w:i w:val="1"/>
          <w:iCs w:val="1"/>
          <w:sz w:val="22"/>
          <w:szCs w:val="22"/>
          <w:rtl w:val="0"/>
          <w:lang w:val="en-US"/>
        </w:rPr>
        <w:t>”</w:t>
      </w:r>
      <w:r>
        <w:rPr>
          <w:sz w:val="22"/>
          <w:szCs w:val="22"/>
          <w:rtl w:val="0"/>
          <w:lang w:val="en-US"/>
        </w:rPr>
        <w:t xml:space="preserve"> (Emanuel, 2016, pp.269) which in turn would greatly impact the development of societies in the Western Mediterranean. Although it is assumed seaborne attacks were a constant problem to coastal polities, there was a noticeable increase in severity and effectiveness from the 13</w:t>
      </w:r>
      <w:r>
        <w:rPr>
          <w:sz w:val="22"/>
          <w:szCs w:val="22"/>
          <w:vertAlign w:val="superscript"/>
          <w:rtl w:val="0"/>
          <w:lang w:val="en-US"/>
        </w:rPr>
        <w:t>th</w:t>
      </w:r>
      <w:r>
        <w:rPr>
          <w:sz w:val="22"/>
          <w:szCs w:val="22"/>
          <w:rtl w:val="0"/>
          <w:lang w:val="en-US"/>
        </w:rPr>
        <w:t xml:space="preserve"> century onwards (Emanuel, 2016). The increased violence and pirate activity on the seas meant naval vessels and armed mercenaries often accompanied trade vessels, particularly when those ships were bearing wealthy cargo (Emanuel, 2016). This could leave the home cities less protected and therefore more vulnerable to seaborne attacks and raids. From the 18</w:t>
      </w:r>
      <w:r>
        <w:rPr>
          <w:sz w:val="22"/>
          <w:szCs w:val="22"/>
          <w:vertAlign w:val="superscript"/>
          <w:rtl w:val="0"/>
          <w:lang w:val="en-US"/>
        </w:rPr>
        <w:t>th</w:t>
      </w:r>
      <w:r>
        <w:rPr>
          <w:sz w:val="22"/>
          <w:szCs w:val="22"/>
          <w:rtl w:val="0"/>
          <w:lang w:val="en-US"/>
        </w:rPr>
        <w:t xml:space="preserve"> dynasty onwards there was evidence of regular attacks by seaborne raiders, in particularly in Egypt and Cyprus (Emanuel, 2016). </w:t>
      </w:r>
      <w:r>
        <w:rPr>
          <w:sz w:val="22"/>
          <w:szCs w:val="22"/>
          <w:rtl w:val="0"/>
          <w:lang w:val="en-US"/>
        </w:rPr>
        <w:t>Within the larger timeframe it should be marked that the increasing sea raiding and naval battles appear to be toward the turn into the iron-age, a tumultuous period marked by the collapse of cities and displacement of whole communities</w:t>
      </w:r>
      <w:r>
        <w:rPr>
          <w:sz w:val="22"/>
          <w:szCs w:val="22"/>
          <w:rtl w:val="0"/>
          <w:lang w:val="en-US"/>
        </w:rPr>
        <w:t xml:space="preserve"> (Emanuel, 2016)</w:t>
      </w:r>
      <w:r>
        <w:rPr>
          <w:sz w:val="22"/>
          <w:szCs w:val="22"/>
          <w:rtl w:val="0"/>
        </w:rPr>
        <w:t>.</w:t>
      </w:r>
      <w:r>
        <w:rPr>
          <w:sz w:val="22"/>
          <w:szCs w:val="22"/>
          <w:rtl w:val="0"/>
          <w:lang w:val="en-US"/>
        </w:rPr>
        <w:t xml:space="preserve"> Thus with the advancement of ships and seafaring knowledge came the opportunity for economic growth, communication of political models and social movement whilst simultaneously enabling the exploitation of this wealth through piracy and raiding. The increasingly aggressive use of boats did allow for a new level of propaganda to convey ideas of power and military skill through the iconographic depiction of ships, thus showing their multivalent agency for political impact. </w:t>
      </w:r>
    </w:p>
    <w:p>
      <w:pPr>
        <w:pStyle w:val="Body"/>
        <w:jc w:val="both"/>
      </w:pPr>
      <w:r>
        <w:rPr>
          <w:rFonts w:ascii="Arial Unicode MS" w:cs="Arial Unicode MS" w:hAnsi="Arial Unicode MS" w:eastAsia="Arial Unicode MS"/>
          <w:b w:val="0"/>
          <w:bCs w:val="0"/>
          <w:i w:val="0"/>
          <w:iCs w:val="0"/>
        </w:rPr>
        <w:br w:type="page"/>
      </w:r>
    </w:p>
    <w:p>
      <w:pPr>
        <w:pStyle w:val="Subject"/>
        <w:bidi w:val="0"/>
      </w:pPr>
      <w:r>
        <w:rPr>
          <w:rtl w:val="0"/>
        </w:rPr>
        <w:t xml:space="preserve">Bibliography </w:t>
      </w:r>
    </w:p>
    <w:p>
      <w:pPr>
        <w:pStyle w:val="Default"/>
        <w:bidi w:val="0"/>
        <w:spacing w:after="240" w:line="320" w:lineRule="atLeast"/>
        <w:ind w:left="0" w:right="0" w:firstLine="0"/>
        <w:jc w:val="left"/>
        <w:rPr>
          <w:rtl w:val="0"/>
        </w:rPr>
      </w:pPr>
      <w:r>
        <w:rPr>
          <w:rtl w:val="0"/>
        </w:rPr>
        <w:t xml:space="preserve">Braudel, </w:t>
      </w:r>
      <w:r>
        <w:rPr>
          <w:rtl w:val="0"/>
          <w:lang w:val="en-US"/>
        </w:rPr>
        <w:t xml:space="preserve">F. (2001). </w:t>
      </w:r>
      <w:r>
        <w:rPr>
          <w:i w:val="1"/>
          <w:iCs w:val="1"/>
          <w:rtl w:val="0"/>
          <w:lang w:val="en-US"/>
        </w:rPr>
        <w:t>Memory and Mediterranean</w:t>
      </w:r>
      <w:r>
        <w:rPr>
          <w:i w:val="1"/>
          <w:iCs w:val="1"/>
          <w:rtl w:val="0"/>
          <w:lang w:val="en-US"/>
        </w:rPr>
        <w:t>.</w:t>
      </w:r>
      <w:r>
        <w:rPr>
          <w:rtl w:val="0"/>
          <w:lang w:val="en-US"/>
        </w:rPr>
        <w:t xml:space="preserve"> Sian Reynolds </w:t>
      </w:r>
      <w:r>
        <w:rPr>
          <w:rtl w:val="0"/>
          <w:lang w:val="en-US"/>
        </w:rPr>
        <w:t xml:space="preserve">(trans.) </w:t>
      </w:r>
      <w:r>
        <w:rPr>
          <w:rtl w:val="0"/>
          <w:lang w:val="en-US"/>
        </w:rPr>
        <w:t>New York</w:t>
      </w:r>
      <w:r>
        <w:rPr>
          <w:rtl w:val="0"/>
          <w:lang w:val="en-US"/>
        </w:rPr>
        <w:t xml:space="preserve">. </w:t>
      </w:r>
      <w:r>
        <w:rPr>
          <w:rtl w:val="0"/>
          <w:lang w:val="da-DK"/>
        </w:rPr>
        <w:t>Alfred A. Knopf</w:t>
      </w:r>
      <w:r>
        <w:rPr>
          <w:rtl w:val="0"/>
          <w:lang w:val="en-US"/>
        </w:rPr>
        <w:t xml:space="preserve">. </w:t>
      </w:r>
    </w:p>
    <w:p>
      <w:pPr>
        <w:pStyle w:val="Body"/>
        <w:rPr>
          <w:i w:val="1"/>
          <w:iCs w:val="1"/>
          <w:sz w:val="22"/>
          <w:szCs w:val="22"/>
        </w:rPr>
      </w:pPr>
      <w:r>
        <w:rPr>
          <w:sz w:val="22"/>
          <w:szCs w:val="22"/>
          <w:rtl w:val="0"/>
          <w:lang w:val="en-US"/>
        </w:rPr>
        <w:t xml:space="preserve">Edgerton, W. F. and J. A. Wilson (1936) </w:t>
      </w:r>
      <w:r>
        <w:rPr>
          <w:sz w:val="22"/>
          <w:szCs w:val="22"/>
          <w:rtl w:val="0"/>
          <w:lang w:val="en-US"/>
        </w:rPr>
        <w:t>‘</w:t>
      </w:r>
      <w:r>
        <w:rPr>
          <w:sz w:val="22"/>
          <w:szCs w:val="22"/>
          <w:rtl w:val="0"/>
          <w:lang w:val="en-US"/>
        </w:rPr>
        <w:t>Historical Records of Ramses III: The Texts in</w:t>
      </w:r>
      <w:r>
        <w:rPr>
          <w:sz w:val="22"/>
          <w:szCs w:val="22"/>
          <w:rtl w:val="0"/>
          <w:lang w:val="en-US"/>
        </w:rPr>
        <w:t xml:space="preserve"> </w:t>
      </w:r>
      <w:r>
        <w:rPr>
          <w:sz w:val="22"/>
          <w:szCs w:val="22"/>
          <w:rtl w:val="0"/>
          <w:lang w:val="en-US"/>
        </w:rPr>
        <w:t>Medinet Habu Volumes 1 and 2</w:t>
      </w:r>
      <w:r>
        <w:rPr>
          <w:sz w:val="22"/>
          <w:szCs w:val="22"/>
          <w:rtl w:val="0"/>
          <w:lang w:val="en-US"/>
        </w:rPr>
        <w:t xml:space="preserve">’ </w:t>
      </w:r>
      <w:r>
        <w:rPr>
          <w:sz w:val="22"/>
          <w:szCs w:val="22"/>
          <w:rtl w:val="0"/>
          <w:lang w:val="en-US"/>
        </w:rPr>
        <w:t xml:space="preserve">in </w:t>
      </w:r>
      <w:r>
        <w:rPr>
          <w:i w:val="1"/>
          <w:iCs w:val="1"/>
          <w:sz w:val="22"/>
          <w:szCs w:val="22"/>
          <w:rtl w:val="0"/>
          <w:lang w:val="en-US"/>
        </w:rPr>
        <w:t xml:space="preserve">Studies of Ancient Oriental Civilisation. </w:t>
      </w:r>
      <w:r>
        <w:rPr>
          <w:sz w:val="22"/>
          <w:szCs w:val="22"/>
          <w:rtl w:val="0"/>
          <w:lang w:val="en-US"/>
        </w:rPr>
        <w:t xml:space="preserve">Chicago. Chicago University Press </w:t>
      </w:r>
      <w:r>
        <w:rPr>
          <w:i w:val="1"/>
          <w:iCs w:val="1"/>
          <w:sz w:val="22"/>
          <w:szCs w:val="22"/>
        </w:rPr>
        <w:br w:type="textWrapping"/>
      </w:r>
    </w:p>
    <w:p>
      <w:pPr>
        <w:pStyle w:val="Body"/>
        <w:rPr>
          <w:sz w:val="22"/>
          <w:szCs w:val="22"/>
        </w:rPr>
      </w:pPr>
      <w:r>
        <w:rPr>
          <w:sz w:val="22"/>
          <w:szCs w:val="22"/>
          <w:rtl w:val="0"/>
          <w:lang w:val="en-US"/>
        </w:rPr>
        <w:t>Emanuel, J. P. (2016).</w:t>
      </w:r>
      <w:r>
        <w:rPr>
          <w:i w:val="1"/>
          <w:iCs w:val="1"/>
          <w:sz w:val="22"/>
          <w:szCs w:val="22"/>
          <w:rtl w:val="0"/>
          <w:lang w:val="en-US"/>
        </w:rPr>
        <w:t xml:space="preserve"> Maritime Worlds Collide: Agents of Transferrence and The Metastasis of Seaborne Threats at the End of the Bronze Age</w:t>
      </w:r>
      <w:r>
        <w:rPr>
          <w:sz w:val="22"/>
          <w:szCs w:val="22"/>
          <w:rtl w:val="0"/>
          <w:lang w:val="en-US"/>
        </w:rPr>
        <w:t>. Palestine Exploration Quarterly, 148,4 (2016) pp.265-280.</w:t>
      </w:r>
    </w:p>
    <w:p>
      <w:pPr>
        <w:pStyle w:val="Body"/>
        <w:spacing w:before="0" w:line="240" w:lineRule="auto"/>
        <w:rPr>
          <w:sz w:val="22"/>
          <w:szCs w:val="22"/>
        </w:rPr>
      </w:pPr>
    </w:p>
    <w:p>
      <w:pPr>
        <w:pStyle w:val="Body"/>
        <w:spacing w:before="0" w:line="240" w:lineRule="auto"/>
        <w:rPr>
          <w:sz w:val="22"/>
          <w:szCs w:val="22"/>
        </w:rPr>
      </w:pPr>
      <w:r>
        <w:rPr>
          <w:sz w:val="22"/>
          <w:szCs w:val="22"/>
          <w:rtl w:val="0"/>
          <w:lang w:val="en-US"/>
        </w:rPr>
        <w:t xml:space="preserve">Kristiansen, K. (2016). </w:t>
      </w:r>
      <w:r>
        <w:rPr>
          <w:sz w:val="22"/>
          <w:szCs w:val="22"/>
          <w:rtl w:val="0"/>
          <w:lang w:val="en-US"/>
        </w:rPr>
        <w:t>‘</w:t>
      </w:r>
      <w:r>
        <w:rPr>
          <w:sz w:val="22"/>
          <w:szCs w:val="22"/>
          <w:rtl w:val="0"/>
          <w:lang w:val="en-US"/>
        </w:rPr>
        <w:t>Interpreting Bronze Age Trade and Migration</w:t>
      </w:r>
      <w:r>
        <w:rPr>
          <w:sz w:val="22"/>
          <w:szCs w:val="22"/>
          <w:rtl w:val="0"/>
          <w:lang w:val="en-US"/>
        </w:rPr>
        <w:t xml:space="preserve">’ </w:t>
      </w:r>
      <w:r>
        <w:rPr>
          <w:sz w:val="22"/>
          <w:szCs w:val="22"/>
          <w:rtl w:val="0"/>
          <w:lang w:val="en-US"/>
        </w:rPr>
        <w:t xml:space="preserve">in E. Kiriatzi &amp; C. Knappett (Eds.), </w:t>
      </w:r>
      <w:r>
        <w:rPr>
          <w:i w:val="1"/>
          <w:iCs w:val="1"/>
          <w:sz w:val="22"/>
          <w:szCs w:val="22"/>
          <w:rtl w:val="0"/>
          <w:lang w:val="en-US"/>
        </w:rPr>
        <w:t>Human Mobility and Technological Transfer in the Prehistoric Mediterranean</w:t>
      </w:r>
      <w:r>
        <w:rPr>
          <w:sz w:val="22"/>
          <w:szCs w:val="22"/>
          <w:rtl w:val="0"/>
          <w:lang w:val="en-US"/>
        </w:rPr>
        <w:t xml:space="preserve"> (British School at Athens Studies in Greek Antiquity, pp. 154-180). Cambridge. Cambridge University Press</w:t>
      </w:r>
    </w:p>
    <w:p>
      <w:pPr>
        <w:pStyle w:val="Body"/>
        <w:spacing w:before="0" w:line="240" w:lineRule="auto"/>
        <w:rPr>
          <w:sz w:val="22"/>
          <w:szCs w:val="22"/>
        </w:rPr>
      </w:pPr>
    </w:p>
    <w:p>
      <w:pPr>
        <w:pStyle w:val="Default"/>
        <w:bidi w:val="0"/>
        <w:spacing w:after="240" w:line="260" w:lineRule="atLeast"/>
        <w:ind w:left="0" w:right="0" w:firstLine="0"/>
        <w:jc w:val="left"/>
        <w:rPr>
          <w:rtl w:val="0"/>
        </w:rPr>
      </w:pPr>
      <w:r>
        <w:rPr>
          <w:rtl w:val="0"/>
          <w:lang w:val="en-US"/>
        </w:rPr>
        <w:t xml:space="preserve">Monroe, C. M.,(1990). </w:t>
      </w:r>
      <w:r>
        <w:rPr>
          <w:i w:val="1"/>
          <w:iCs w:val="1"/>
          <w:rtl w:val="0"/>
          <w:lang w:val="en-US"/>
        </w:rPr>
        <w:t>Th</w:t>
      </w:r>
      <w:r>
        <w:rPr>
          <w:i w:val="1"/>
          <w:iCs w:val="1"/>
          <w:rtl w:val="0"/>
          <w:lang w:val="en-US"/>
        </w:rPr>
        <w:t>e Boatbuilding Industry of New Kingdom Egypt</w:t>
      </w:r>
      <w:r>
        <w:rPr>
          <w:rtl w:val="0"/>
          <w:lang w:val="en-US"/>
        </w:rPr>
        <w:t>(unpublished masters thesis), Texas A&amp;M University.</w:t>
      </w:r>
    </w:p>
    <w:p>
      <w:pPr>
        <w:pStyle w:val="Default"/>
        <w:bidi w:val="0"/>
        <w:spacing w:after="240" w:line="260" w:lineRule="atLeast"/>
        <w:ind w:left="0" w:right="0" w:firstLine="0"/>
        <w:jc w:val="left"/>
        <w:rPr>
          <w:rtl w:val="0"/>
        </w:rPr>
      </w:pPr>
      <w:r>
        <w:rPr>
          <w:rtl w:val="0"/>
          <w:lang w:val="en-US"/>
        </w:rPr>
        <w:t xml:space="preserve">Nelson, H. H. (1943) </w:t>
      </w:r>
      <w:r>
        <w:rPr>
          <w:rtl w:val="0"/>
          <w:lang w:val="en-US"/>
        </w:rPr>
        <w:t>‘</w:t>
      </w:r>
      <w:r>
        <w:rPr>
          <w:rtl w:val="0"/>
          <w:lang w:val="en-US"/>
        </w:rPr>
        <w:t>The Naval Battle Pictured at Medinet Habu</w:t>
      </w:r>
      <w:r>
        <w:rPr>
          <w:rtl w:val="0"/>
          <w:lang w:val="en-US"/>
        </w:rPr>
        <w:t xml:space="preserve">” </w:t>
      </w:r>
      <w:r>
        <w:rPr>
          <w:rtl w:val="0"/>
          <w:lang w:val="en-US"/>
        </w:rPr>
        <w:t xml:space="preserve">in </w:t>
      </w:r>
      <w:r>
        <w:rPr>
          <w:i w:val="1"/>
          <w:iCs w:val="1"/>
          <w:rtl w:val="0"/>
          <w:lang w:val="en-US"/>
        </w:rPr>
        <w:t>Journal of Near Eastern Studies</w:t>
      </w:r>
      <w:r>
        <w:rPr>
          <w:rtl w:val="0"/>
          <w:lang w:val="en-US"/>
        </w:rPr>
        <w:t>, Vol. 2, No. 1. Pp 40-55. Chicago. University of Chicago Press</w:t>
      </w:r>
    </w:p>
    <w:p>
      <w:pPr>
        <w:pStyle w:val="Body"/>
        <w:rPr>
          <w:sz w:val="22"/>
          <w:szCs w:val="22"/>
        </w:rPr>
      </w:pPr>
      <w:r>
        <w:rPr>
          <w:sz w:val="22"/>
          <w:szCs w:val="22"/>
          <w:rtl w:val="0"/>
          <w:lang w:val="en-US"/>
        </w:rPr>
        <w:t xml:space="preserve">Papadmitrious, N. and Kriga, D. (2013). </w:t>
      </w:r>
      <w:r>
        <w:rPr>
          <w:sz w:val="22"/>
          <w:szCs w:val="22"/>
          <w:rtl w:val="0"/>
          <w:lang w:val="en-US"/>
        </w:rPr>
        <w:t>“’</w:t>
      </w:r>
      <w:r>
        <w:rPr>
          <w:sz w:val="22"/>
          <w:szCs w:val="22"/>
          <w:rtl w:val="0"/>
          <w:lang w:val="en-US"/>
        </w:rPr>
        <w:t>Peripheries</w:t>
      </w:r>
      <w:r>
        <w:rPr>
          <w:sz w:val="22"/>
          <w:szCs w:val="22"/>
          <w:rtl w:val="0"/>
          <w:lang w:val="en-US"/>
        </w:rPr>
        <w:t xml:space="preserve">’ </w:t>
      </w:r>
      <w:r>
        <w:rPr>
          <w:sz w:val="22"/>
          <w:szCs w:val="22"/>
          <w:rtl w:val="0"/>
          <w:lang w:val="en-US"/>
        </w:rPr>
        <w:t xml:space="preserve">versus </w:t>
      </w:r>
      <w:r>
        <w:rPr>
          <w:sz w:val="22"/>
          <w:szCs w:val="22"/>
          <w:rtl w:val="0"/>
          <w:lang w:val="en-US"/>
        </w:rPr>
        <w:t>‘</w:t>
      </w:r>
      <w:r>
        <w:rPr>
          <w:sz w:val="22"/>
          <w:szCs w:val="22"/>
          <w:rtl w:val="0"/>
          <w:lang w:val="en-US"/>
        </w:rPr>
        <w:t>Core</w:t>
      </w:r>
      <w:r>
        <w:rPr>
          <w:sz w:val="22"/>
          <w:szCs w:val="22"/>
          <w:rtl w:val="0"/>
          <w:lang w:val="en-US"/>
        </w:rPr>
        <w:t>’</w:t>
      </w:r>
      <w:r>
        <w:rPr>
          <w:sz w:val="22"/>
          <w:szCs w:val="22"/>
          <w:rtl w:val="0"/>
          <w:lang w:val="en-US"/>
        </w:rPr>
        <w:t>: The Integration of Secondary States into the World System of the Eastern Mediterranean and the Near East in the Late Bronze Age (1600-1200 BC),</w:t>
      </w:r>
      <w:r>
        <w:rPr>
          <w:sz w:val="22"/>
          <w:szCs w:val="22"/>
          <w:rtl w:val="0"/>
          <w:lang w:val="en-US"/>
        </w:rPr>
        <w:t xml:space="preserve">” </w:t>
      </w:r>
      <w:r>
        <w:rPr>
          <w:sz w:val="22"/>
          <w:szCs w:val="22"/>
          <w:rtl w:val="0"/>
          <w:lang w:val="en-US"/>
        </w:rPr>
        <w:t xml:space="preserve">in </w:t>
      </w:r>
      <w:r>
        <w:rPr>
          <w:i w:val="1"/>
          <w:iCs w:val="1"/>
          <w:sz w:val="22"/>
          <w:szCs w:val="22"/>
          <w:rtl w:val="0"/>
          <w:lang w:val="en-US"/>
        </w:rPr>
        <w:t>Exchange Networks and Local Transformations</w:t>
      </w:r>
      <w:r>
        <w:rPr>
          <w:sz w:val="22"/>
          <w:szCs w:val="22"/>
          <w:rtl w:val="0"/>
          <w:lang w:val="en-US"/>
        </w:rPr>
        <w:t xml:space="preserve">, Maria Emanuela Alberti and Serena Sabatini (eds.) Oxford. Oxbow Books.  Pp. 10-11 </w:t>
      </w:r>
    </w:p>
    <w:p>
      <w:pPr>
        <w:pStyle w:val="Body"/>
        <w:jc w:val="both"/>
        <w:rPr>
          <w:sz w:val="22"/>
          <w:szCs w:val="22"/>
        </w:rPr>
      </w:pPr>
      <w:r>
        <w:rPr>
          <w:sz w:val="22"/>
          <w:szCs w:val="22"/>
          <w:rtl w:val="0"/>
          <w:lang w:val="en-US"/>
        </w:rPr>
        <w:t xml:space="preserve">Pritchard, J. B. (1974) </w:t>
      </w:r>
      <w:r>
        <w:rPr>
          <w:sz w:val="22"/>
          <w:szCs w:val="22"/>
          <w:rtl w:val="0"/>
          <w:lang w:val="en-US"/>
        </w:rPr>
        <w:t>‘</w:t>
      </w:r>
      <w:r>
        <w:rPr>
          <w:sz w:val="22"/>
          <w:szCs w:val="22"/>
          <w:rtl w:val="0"/>
          <w:lang w:val="en-US"/>
        </w:rPr>
        <w:t>Introduction</w:t>
      </w:r>
      <w:r>
        <w:rPr>
          <w:sz w:val="22"/>
          <w:szCs w:val="22"/>
          <w:rtl w:val="0"/>
          <w:lang w:val="en-US"/>
        </w:rPr>
        <w:t xml:space="preserve">’ </w:t>
      </w:r>
      <w:r>
        <w:rPr>
          <w:sz w:val="22"/>
          <w:szCs w:val="22"/>
          <w:rtl w:val="0"/>
          <w:lang w:val="en-US"/>
        </w:rPr>
        <w:t xml:space="preserve">to </w:t>
      </w:r>
      <w:r>
        <w:rPr>
          <w:i w:val="1"/>
          <w:iCs w:val="1"/>
          <w:sz w:val="22"/>
          <w:szCs w:val="22"/>
          <w:rtl w:val="0"/>
          <w:lang w:val="en-US"/>
        </w:rPr>
        <w:t>The Sea Traders</w:t>
      </w:r>
      <w:r>
        <w:rPr>
          <w:sz w:val="22"/>
          <w:szCs w:val="22"/>
          <w:rtl w:val="0"/>
          <w:lang w:val="en-US"/>
        </w:rPr>
        <w:t>, by Maitland A. Edey. New York. Time-Life Books, pp.7.</w:t>
      </w:r>
    </w:p>
    <w:p>
      <w:pPr>
        <w:pStyle w:val="Body"/>
        <w:rPr>
          <w:sz w:val="22"/>
          <w:szCs w:val="22"/>
        </w:rPr>
      </w:pPr>
      <w:r>
        <w:rPr>
          <w:sz w:val="22"/>
          <w:szCs w:val="22"/>
          <w:rtl w:val="0"/>
          <w:lang w:val="en-US"/>
        </w:rPr>
        <w:t xml:space="preserve">Roberts 1991Roberts, O. T. P. (1991). </w:t>
      </w:r>
      <w:r>
        <w:rPr>
          <w:sz w:val="22"/>
          <w:szCs w:val="22"/>
          <w:rtl w:val="0"/>
          <w:lang w:val="en-US"/>
        </w:rPr>
        <w:t>‘</w:t>
      </w:r>
      <w:r>
        <w:rPr>
          <w:sz w:val="22"/>
          <w:szCs w:val="22"/>
          <w:rtl w:val="0"/>
          <w:lang w:val="en-US"/>
        </w:rPr>
        <w:t>The Development of the Brail into a Viable Sail Control for Aegean Boats of the Bronze Age</w:t>
      </w:r>
      <w:r>
        <w:rPr>
          <w:sz w:val="22"/>
          <w:szCs w:val="22"/>
          <w:rtl w:val="0"/>
          <w:lang w:val="en-US"/>
        </w:rPr>
        <w:t>’</w:t>
      </w:r>
      <w:r>
        <w:rPr>
          <w:sz w:val="22"/>
          <w:szCs w:val="22"/>
          <w:rtl w:val="0"/>
          <w:lang w:val="en-US"/>
        </w:rPr>
        <w:t xml:space="preserve">, in </w:t>
      </w:r>
      <w:r>
        <w:rPr>
          <w:sz w:val="22"/>
          <w:szCs w:val="22"/>
          <w:rtl w:val="0"/>
          <w:lang w:val="en-US"/>
        </w:rPr>
        <w:t xml:space="preserve">R. Laffineur and L. Basch (eds), </w:t>
      </w:r>
      <w:r>
        <w:rPr>
          <w:i w:val="1"/>
          <w:iCs w:val="1"/>
          <w:sz w:val="22"/>
          <w:szCs w:val="22"/>
          <w:rtl w:val="0"/>
          <w:lang w:val="en-US"/>
        </w:rPr>
        <w:t>Thalassa: l</w:t>
      </w:r>
      <w:r>
        <w:rPr>
          <w:i w:val="1"/>
          <w:iCs w:val="1"/>
          <w:sz w:val="22"/>
          <w:szCs w:val="22"/>
          <w:rtl w:val="0"/>
          <w:lang w:val="en-US"/>
        </w:rPr>
        <w:t>’</w:t>
      </w:r>
      <w:r>
        <w:rPr>
          <w:i w:val="1"/>
          <w:iCs w:val="1"/>
          <w:sz w:val="22"/>
          <w:szCs w:val="22"/>
          <w:rtl w:val="0"/>
          <w:lang w:val="en-US"/>
        </w:rPr>
        <w:t>Eg</w:t>
      </w:r>
      <w:r>
        <w:rPr>
          <w:i w:val="1"/>
          <w:iCs w:val="1"/>
          <w:sz w:val="22"/>
          <w:szCs w:val="22"/>
          <w:rtl w:val="0"/>
          <w:lang w:val="en-US"/>
        </w:rPr>
        <w:t>é</w:t>
      </w:r>
      <w:r>
        <w:rPr>
          <w:i w:val="1"/>
          <w:iCs w:val="1"/>
          <w:sz w:val="22"/>
          <w:szCs w:val="22"/>
          <w:rtl w:val="0"/>
          <w:lang w:val="en-US"/>
        </w:rPr>
        <w:t>e Pr</w:t>
      </w:r>
      <w:r>
        <w:rPr>
          <w:i w:val="1"/>
          <w:iCs w:val="1"/>
          <w:sz w:val="22"/>
          <w:szCs w:val="22"/>
          <w:rtl w:val="0"/>
          <w:lang w:val="en-US"/>
        </w:rPr>
        <w:t>é</w:t>
      </w:r>
      <w:r>
        <w:rPr>
          <w:i w:val="1"/>
          <w:iCs w:val="1"/>
          <w:sz w:val="22"/>
          <w:szCs w:val="22"/>
          <w:rtl w:val="0"/>
          <w:lang w:val="en-US"/>
        </w:rPr>
        <w:t>historique et la Mer</w:t>
      </w:r>
      <w:r>
        <w:rPr>
          <w:sz w:val="22"/>
          <w:szCs w:val="22"/>
          <w:rtl w:val="0"/>
          <w:lang w:val="en-US"/>
        </w:rPr>
        <w:t>, Aegaeum 7. Li</w:t>
      </w:r>
      <w:r>
        <w:rPr>
          <w:sz w:val="22"/>
          <w:szCs w:val="22"/>
          <w:rtl w:val="0"/>
          <w:lang w:val="en-US"/>
        </w:rPr>
        <w:t>è</w:t>
      </w:r>
      <w:r>
        <w:rPr>
          <w:sz w:val="22"/>
          <w:szCs w:val="22"/>
          <w:rtl w:val="0"/>
          <w:lang w:val="en-US"/>
        </w:rPr>
        <w:t>ge. Universit</w:t>
      </w:r>
      <w:r>
        <w:rPr>
          <w:sz w:val="22"/>
          <w:szCs w:val="22"/>
          <w:rtl w:val="0"/>
          <w:lang w:val="en-US"/>
        </w:rPr>
        <w:t xml:space="preserve">é </w:t>
      </w:r>
      <w:r>
        <w:rPr>
          <w:sz w:val="22"/>
          <w:szCs w:val="22"/>
          <w:rtl w:val="0"/>
          <w:lang w:val="en-US"/>
        </w:rPr>
        <w:t>de Li</w:t>
      </w:r>
      <w:r>
        <w:rPr>
          <w:sz w:val="22"/>
          <w:szCs w:val="22"/>
          <w:rtl w:val="0"/>
          <w:lang w:val="en-US"/>
        </w:rPr>
        <w:t>è</w:t>
      </w:r>
      <w:r>
        <w:rPr>
          <w:sz w:val="22"/>
          <w:szCs w:val="22"/>
          <w:rtl w:val="0"/>
          <w:lang w:val="en-US"/>
        </w:rPr>
        <w:t>ge, pp. 55-64.</w:t>
      </w:r>
    </w:p>
    <w:p>
      <w:pPr>
        <w:pStyle w:val="Body"/>
        <w:rPr>
          <w:sz w:val="22"/>
          <w:szCs w:val="22"/>
        </w:rPr>
      </w:pPr>
    </w:p>
    <w:p>
      <w:pPr>
        <w:pStyle w:val="Body"/>
        <w:spacing w:before="0" w:line="240" w:lineRule="auto"/>
        <w:rPr>
          <w:sz w:val="22"/>
          <w:szCs w:val="22"/>
        </w:rPr>
      </w:pPr>
      <w:r>
        <w:rPr>
          <w:sz w:val="22"/>
          <w:szCs w:val="22"/>
          <w:rtl w:val="0"/>
          <w:lang w:val="en-US"/>
        </w:rPr>
        <w:t xml:space="preserve">Smith, J. S. (2018). </w:t>
      </w:r>
      <w:r>
        <w:rPr>
          <w:sz w:val="22"/>
          <w:szCs w:val="22"/>
          <w:rtl w:val="0"/>
          <w:lang w:val="en-US"/>
        </w:rPr>
        <w:t>‘</w:t>
      </w:r>
      <w:r>
        <w:rPr>
          <w:sz w:val="22"/>
          <w:szCs w:val="22"/>
          <w:rtl w:val="0"/>
          <w:lang w:val="en-US"/>
        </w:rPr>
        <w:t>Authenticit, Seal Recarving and Authority in the Ancient Near East and Eastern Mediterranean</w:t>
      </w:r>
      <w:r>
        <w:rPr>
          <w:sz w:val="22"/>
          <w:szCs w:val="22"/>
          <w:rtl w:val="0"/>
          <w:lang w:val="en-US"/>
        </w:rPr>
        <w:t xml:space="preserve">’ </w:t>
      </w:r>
      <w:r>
        <w:rPr>
          <w:sz w:val="22"/>
          <w:szCs w:val="22"/>
          <w:rtl w:val="0"/>
          <w:lang w:val="en-US"/>
        </w:rPr>
        <w:t>in M. Amery, S.K. Costello, G. Jamison &amp; S. J, Scott (eds.)</w:t>
      </w:r>
      <w:r>
        <w:rPr>
          <w:i w:val="1"/>
          <w:iCs w:val="1"/>
          <w:sz w:val="22"/>
          <w:szCs w:val="22"/>
          <w:rtl w:val="0"/>
          <w:lang w:val="en-US"/>
        </w:rPr>
        <w:t xml:space="preserve"> Seals and Sealing in the Ancient Worlds</w:t>
      </w:r>
      <w:r>
        <w:rPr>
          <w:sz w:val="22"/>
          <w:szCs w:val="22"/>
          <w:rtl w:val="0"/>
          <w:lang w:val="en-US"/>
        </w:rPr>
        <w:t>. Cambridge. Cambridge University Press. Pp. 96-124</w:t>
      </w:r>
    </w:p>
    <w:p>
      <w:pPr>
        <w:pStyle w:val="Body"/>
        <w:spacing w:before="0" w:line="240" w:lineRule="auto"/>
        <w:rPr>
          <w:sz w:val="22"/>
          <w:szCs w:val="22"/>
        </w:rPr>
      </w:pPr>
    </w:p>
    <w:p>
      <w:pPr>
        <w:pStyle w:val="Body"/>
        <w:spacing w:before="0" w:line="240" w:lineRule="auto"/>
        <w:rPr>
          <w:sz w:val="22"/>
          <w:szCs w:val="22"/>
        </w:rPr>
      </w:pPr>
      <w:r>
        <w:rPr>
          <w:sz w:val="22"/>
          <w:szCs w:val="22"/>
          <w:rtl w:val="0"/>
          <w:lang w:val="en-US"/>
        </w:rPr>
        <w:t xml:space="preserve">Scott, J. C. (2018). </w:t>
      </w:r>
      <w:r>
        <w:rPr>
          <w:sz w:val="22"/>
          <w:szCs w:val="22"/>
          <w:rtl w:val="0"/>
          <w:lang w:val="en-US"/>
        </w:rPr>
        <w:t>‘</w:t>
      </w:r>
      <w:r>
        <w:rPr>
          <w:sz w:val="22"/>
          <w:szCs w:val="22"/>
          <w:rtl w:val="0"/>
          <w:lang w:val="en-US"/>
        </w:rPr>
        <w:t>The Phoenicieans and the Formation of the Western World</w:t>
      </w:r>
      <w:r>
        <w:rPr>
          <w:sz w:val="22"/>
          <w:szCs w:val="22"/>
          <w:rtl w:val="0"/>
          <w:lang w:val="en-US"/>
        </w:rPr>
        <w:t xml:space="preserve">’  </w:t>
      </w:r>
      <w:r>
        <w:rPr>
          <w:sz w:val="22"/>
          <w:szCs w:val="22"/>
          <w:rtl w:val="0"/>
          <w:lang w:val="en-US"/>
        </w:rPr>
        <w:t xml:space="preserve">in </w:t>
      </w:r>
      <w:r>
        <w:rPr>
          <w:i w:val="1"/>
          <w:iCs w:val="1"/>
          <w:sz w:val="22"/>
          <w:szCs w:val="22"/>
          <w:rtl w:val="0"/>
          <w:lang w:val="en-US"/>
        </w:rPr>
        <w:t>Comparative Civilisations Review</w:t>
      </w:r>
      <w:r>
        <w:rPr>
          <w:sz w:val="22"/>
          <w:szCs w:val="22"/>
          <w:rtl w:val="0"/>
          <w:lang w:val="en-US"/>
        </w:rPr>
        <w:t xml:space="preserve"> No.78</w:t>
      </w:r>
    </w:p>
    <w:p>
      <w:pPr>
        <w:pStyle w:val="Body"/>
        <w:rPr>
          <w:sz w:val="22"/>
          <w:szCs w:val="22"/>
        </w:rPr>
      </w:pPr>
      <w:r>
        <w:rPr>
          <w:sz w:val="22"/>
          <w:szCs w:val="22"/>
          <w:rtl w:val="0"/>
          <w:lang w:val="en-US"/>
        </w:rPr>
        <w:t xml:space="preserve">Wachsmann, S. (1998) </w:t>
      </w:r>
      <w:r>
        <w:rPr>
          <w:i w:val="1"/>
          <w:iCs w:val="1"/>
          <w:sz w:val="22"/>
          <w:szCs w:val="22"/>
          <w:rtl w:val="0"/>
          <w:lang w:val="en-US"/>
        </w:rPr>
        <w:t xml:space="preserve">Seagoing Ships and Seamanship in the Bronze Age Levant. </w:t>
      </w:r>
      <w:r>
        <w:rPr>
          <w:sz w:val="22"/>
          <w:szCs w:val="22"/>
          <w:rtl w:val="0"/>
          <w:lang w:val="en-US"/>
        </w:rPr>
        <w:t>College Station. Texas A&amp;M University Press.</w:t>
      </w:r>
    </w:p>
    <w:p>
      <w:pPr>
        <w:pStyle w:val="Body"/>
      </w:pPr>
      <w:r>
        <w:rPr>
          <w:sz w:val="22"/>
          <w:szCs w:val="22"/>
          <w:rtl w:val="0"/>
          <w:lang w:val="en-US"/>
        </w:rPr>
        <w:t xml:space="preserve">Wreszinski,W. (1923) </w:t>
      </w:r>
      <w:r>
        <w:rPr>
          <w:i w:val="1"/>
          <w:iCs w:val="1"/>
          <w:sz w:val="22"/>
          <w:szCs w:val="22"/>
          <w:rtl w:val="0"/>
          <w:lang w:val="de-DE"/>
        </w:rPr>
        <w:t>Atlas zur altaegyptischen Kulturgeschichte</w:t>
      </w:r>
      <w:r>
        <w:rPr>
          <w:i w:val="1"/>
          <w:iCs w:val="1"/>
          <w:sz w:val="22"/>
          <w:szCs w:val="22"/>
          <w:rtl w:val="0"/>
          <w:lang w:val="en-US"/>
        </w:rPr>
        <w:t xml:space="preserve">. </w:t>
      </w:r>
      <w:r>
        <w:rPr>
          <w:sz w:val="22"/>
          <w:szCs w:val="22"/>
          <w:rtl w:val="0"/>
          <w:lang w:val="de-DE"/>
        </w:rPr>
        <w:t>Leipzig</w:t>
      </w:r>
      <w:r>
        <w:rPr>
          <w:sz w:val="22"/>
          <w:szCs w:val="22"/>
          <w:rtl w:val="0"/>
          <w:lang w:val="en-US"/>
        </w:rPr>
        <w:t xml:space="preserve">. </w:t>
      </w:r>
      <w:r>
        <w:rPr>
          <w:sz w:val="22"/>
          <w:szCs w:val="22"/>
          <w:rtl w:val="0"/>
          <w:lang w:val="de-DE"/>
        </w:rPr>
        <w:t>J. C. Hinrich</w:t>
      </w:r>
      <w:r>
        <w:rPr>
          <w:sz w:val="22"/>
          <w:szCs w:val="22"/>
          <w:rtl w:val="0"/>
          <w:lang w:val="en-US"/>
        </w:rPr>
        <w:t>.</w:t>
      </w:r>
    </w:p>
    <w:sectPr>
      <w:headerReference w:type="default" r:id="rId4"/>
      <w:footerReference w:type="default" r:id="rId5"/>
      <w:pgSz w:w="11906" w:h="16838" w:orient="portrait"/>
      <w:pgMar w:top="1598" w:right="1440" w:bottom="1440" w:left="1440" w:header="1195"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513"/>
        <w:tab w:val="right" w:pos="9026"/>
        <w:tab w:val="clear" w:pos="9020"/>
      </w:tabs>
      <w:jc w:val="left"/>
    </w:pPr>
    <w:r>
      <w:rPr/>
      <w:fldChar w:fldCharType="begin" w:fldLock="0"/>
    </w:r>
    <w:r>
      <w:instrText xml:space="preserve"> PAGE </w:instrText>
    </w:r>
    <w:r>
      <w:rPr/>
      <w:fldChar w:fldCharType="separate" w:fldLock="0"/>
    </w:r>
    <w:r>
      <w:t>1</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Title">
    <w:name w:val="Title"/>
    <w:next w:val="Body 2"/>
    <w:pPr>
      <w:keepNext w:val="1"/>
      <w:keepLines w:val="0"/>
      <w:pageBreakBefore w:val="0"/>
      <w:widowControl w:val="1"/>
      <w:shd w:val="clear" w:color="auto" w:fill="auto"/>
      <w:suppressAutoHyphens w:val="0"/>
      <w:bidi w:val="0"/>
      <w:spacing w:before="200" w:after="20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434343"/>
      <w:spacing w:val="0"/>
      <w:kern w:val="0"/>
      <w:position w:val="0"/>
      <w:sz w:val="36"/>
      <w:szCs w:val="36"/>
      <w:u w:val="none"/>
      <w:vertAlign w:val="baseline"/>
      <w:lang w:val="en-US"/>
      <w14:textOutline>
        <w14:noFill/>
      </w14:textOutline>
      <w14:textFill>
        <w14:solidFill>
          <w14:srgbClr w14:val="444444"/>
        </w14:solidFill>
      </w14:textFill>
    </w:rPr>
  </w:style>
  <w:style w:type="paragraph" w:styleId="Body 2">
    <w:name w:val="Body 2"/>
    <w:next w:val="Body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14:textOutline>
        <w14:noFill/>
      </w14:textOutline>
      <w14:textFill>
        <w14:solidFill>
          <w14:srgbClr w14:val="000000"/>
        </w14:solidFill>
      </w14:textFill>
    </w:rPr>
  </w:style>
  <w:style w:type="paragraph" w:styleId="Subject">
    <w:name w:val="Subject"/>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00000"/>
      <w:spacing w:val="5"/>
      <w:kern w:val="0"/>
      <w:position w:val="0"/>
      <w:sz w:val="28"/>
      <w:szCs w:val="28"/>
      <w:u w:val="none"/>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0_Note-taking">
  <a:themeElements>
    <a:clrScheme name="00_Note-taking">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00_Note-taking">
      <a:majorFont>
        <a:latin typeface="Helvetica Neue"/>
        <a:ea typeface="Helvetica Neue"/>
        <a:cs typeface="Helvetica Neue"/>
      </a:majorFont>
      <a:minorFont>
        <a:latin typeface="Helvetica Neue"/>
        <a:ea typeface="Helvetica Neue"/>
        <a:cs typeface="Helvetica Neue"/>
      </a:minorFont>
    </a:fontScheme>
    <a:fmtScheme name="00_Note-taking">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