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jc w:val="center"/>
        <w:rPr>
          <w:sz w:val="18"/>
          <w:szCs w:val="18"/>
          <w:highlight w:val="white"/>
        </w:rPr>
      </w:pPr>
      <w:r w:rsidDel="00000000" w:rsidR="00000000" w:rsidRPr="00000000">
        <w:rPr>
          <w:sz w:val="18"/>
          <w:szCs w:val="18"/>
          <w:highlight w:val="white"/>
          <w:rtl w:val="0"/>
        </w:rPr>
        <w:t xml:space="preserve">Occupiers are always liable for accidents that occur on their property. Discuss the extent to which the above statement is correct.</w:t>
      </w:r>
    </w:p>
    <w:p w:rsidR="00000000" w:rsidDel="00000000" w:rsidP="00000000" w:rsidRDefault="00000000" w:rsidRPr="00000000" w14:paraId="00000002">
      <w:pPr>
        <w:spacing w:after="240" w:before="240" w:lineRule="auto"/>
        <w:rPr>
          <w:sz w:val="18"/>
          <w:szCs w:val="18"/>
          <w:highlight w:val="white"/>
        </w:rPr>
      </w:pPr>
      <w:r w:rsidDel="00000000" w:rsidR="00000000" w:rsidRPr="00000000">
        <w:rPr>
          <w:rtl w:val="0"/>
        </w:rPr>
      </w:r>
    </w:p>
    <w:p w:rsidR="00000000" w:rsidDel="00000000" w:rsidP="00000000" w:rsidRDefault="00000000" w:rsidRPr="00000000" w14:paraId="00000003">
      <w:pPr>
        <w:spacing w:after="240" w:before="240" w:lineRule="auto"/>
        <w:ind w:left="0" w:firstLine="0"/>
        <w:rPr>
          <w:sz w:val="18"/>
          <w:szCs w:val="18"/>
          <w:highlight w:val="white"/>
        </w:rPr>
      </w:pPr>
      <w:r w:rsidDel="00000000" w:rsidR="00000000" w:rsidRPr="00000000">
        <w:rPr>
          <w:rtl w:val="0"/>
        </w:rPr>
      </w:r>
    </w:p>
    <w:p w:rsidR="00000000" w:rsidDel="00000000" w:rsidP="00000000" w:rsidRDefault="00000000" w:rsidRPr="00000000" w14:paraId="00000004">
      <w:pPr>
        <w:spacing w:after="240" w:before="240" w:lineRule="auto"/>
        <w:ind w:left="0" w:firstLine="0"/>
        <w:rPr>
          <w:sz w:val="18"/>
          <w:szCs w:val="18"/>
          <w:highlight w:val="white"/>
        </w:rPr>
      </w:pPr>
      <w:r w:rsidDel="00000000" w:rsidR="00000000" w:rsidRPr="00000000">
        <w:rPr>
          <w:sz w:val="18"/>
          <w:szCs w:val="18"/>
          <w:highlight w:val="white"/>
          <w:rtl w:val="0"/>
        </w:rPr>
        <w:t xml:space="preserve">Occupiers are almost always liable for accidents that occur on their property as they have the responsibility to ensure the safety of others, except in certain circumstances that would not make them liable such as a child being injured when in the company of their parent/ guardian, someone who injuries themself while trespassing on the grounds, and by giving sufficient warnings about certain elements that could harm visitors or other people on the property. The safety of lawful visitors is always the responsibility of the occupier as defined in the occupiers liability act 1957 which adds to the argument that the occupier is always liable for accidents that occur on their property. Occupiers can still be held accountable for the safety of those who enter the premises in an unlawful manner and in some circumstances are responsible for the safety of the trespassers. The acts that were introduced in 1957 and 1984 both help make the argument that occupiers are always liable for accidents that occur on their property as they both help to bring claims against the occupier and state out the different tests that are needed and the circumstances that must be met to ensure a claim can be brought against the occupier. </w:t>
      </w:r>
    </w:p>
    <w:p w:rsidR="00000000" w:rsidDel="00000000" w:rsidP="00000000" w:rsidRDefault="00000000" w:rsidRPr="00000000" w14:paraId="00000005">
      <w:pPr>
        <w:spacing w:after="240" w:before="240" w:lineRule="auto"/>
        <w:rPr>
          <w:sz w:val="18"/>
          <w:szCs w:val="18"/>
          <w:highlight w:val="white"/>
        </w:rPr>
      </w:pPr>
      <w:r w:rsidDel="00000000" w:rsidR="00000000" w:rsidRPr="00000000">
        <w:rPr>
          <w:sz w:val="18"/>
          <w:szCs w:val="18"/>
          <w:highlight w:val="white"/>
          <w:rtl w:val="0"/>
        </w:rPr>
        <w:t xml:space="preserve">An occupier is defined as someone who lives or works in a particular room, building, or piece of land, or someone who is using it (Davies 2023). The occupier's premise must include elements such as cranes and scaffolding and will also cover boats, caravans and other </w:t>
      </w:r>
      <w:r w:rsidDel="00000000" w:rsidR="00000000" w:rsidRPr="00000000">
        <w:rPr>
          <w:sz w:val="18"/>
          <w:szCs w:val="18"/>
          <w:highlight w:val="white"/>
          <w:rtl w:val="0"/>
        </w:rPr>
        <w:t xml:space="preserve">elements</w:t>
      </w:r>
      <w:r w:rsidDel="00000000" w:rsidR="00000000" w:rsidRPr="00000000">
        <w:rPr>
          <w:sz w:val="18"/>
          <w:szCs w:val="18"/>
          <w:highlight w:val="white"/>
          <w:rtl w:val="0"/>
        </w:rPr>
        <w:t xml:space="preserve"> fixed to the ground. The occupiers liability act 1957 provides that an occupier is someone who would have been treated as such at common law. The leading case to support this is Wheat v Lacon 1966 in which the defendants were owners of a public house that they entrusted the management of to an outside manager. Wheat fell down an unlit and defective staircase and Wheat’s wife then sued the defendants. The house of lords held that in determining who the occupier of the house was, the important question to ask was who had control of the premise such that they should make sure the safety of others is looked after. Applying this test the court held that the defendants were responsible and were to be treated as occupiers for the purpose of the act. The occupiers liability act 1957 was first introduced to set out the foundation that the occupiers should be held accountable for the lawful visitors that enter their property. This act allowed for visitors to bring claims against the occupier if they were ever injured or hurt while being allowed onto the property. The fault with this act was that it only covered lawful or invited visitors and so if there was anyone who went onto the property that was legally uninvited then they would not be able to bring a claim, until the occupiers liability act 1984 was introduced. This act furthered the previous act and allowed for the occupier to have a duty of care towards those who were either uninvited to the property or trespassing. The significance of this is that the case of Thomas v British railway board 1976 was one that helped introduce this act as there was a public footpath that had a gap in it with a broken stile and so the little girl was able to wander onto the track and was struck by the train. The importance of this case was that the railway owed a duty of care to trespassers and anyone else who used this public footpath and walked on to the track through the broken stile. The duty of the railway was to ensure that there was no broken stile and so the danger would have been averted. An occupier can be liable when there is a clear duty of care owed to the person who has injured themself and when it is clear that the occupier should have done something that could have prevented the harm done to them. As shown in both of the occupiers acts, the liability will almost always fall on the occupier as it is their duty to ensure the safety of others.  </w:t>
      </w:r>
    </w:p>
    <w:p w:rsidR="00000000" w:rsidDel="00000000" w:rsidP="00000000" w:rsidRDefault="00000000" w:rsidRPr="00000000" w14:paraId="00000006">
      <w:pPr>
        <w:spacing w:after="240" w:before="240" w:lineRule="auto"/>
        <w:rPr>
          <w:sz w:val="18"/>
          <w:szCs w:val="18"/>
          <w:highlight w:val="white"/>
        </w:rPr>
      </w:pPr>
      <w:r w:rsidDel="00000000" w:rsidR="00000000" w:rsidRPr="00000000">
        <w:rPr>
          <w:sz w:val="18"/>
          <w:szCs w:val="18"/>
          <w:highlight w:val="white"/>
          <w:rtl w:val="0"/>
        </w:rPr>
        <w:t xml:space="preserve">Trespassers used to not be able to bring a claim against occupiers before the 1984 act as the law did not favour those who were trespassing and ended up becoming injured however there was a need for change as those considered to be trespassing were not always breaking the law by being on the property and so these certain circumstances ensured that the occupiers liability act 1984 covered those who were injured on the property even if they were not invited or if they were considered to be trespassing. Both of the acts add to the argument that the occupier is always liable when accidents occur on their property as the acts outline that it is their responsibility to have safety measures in place for visitors who are both invited and uninvited (Smith 2023) . Another example of how occupiers are liable for the visitors who enter their grounds is in the case of Lowery v Walker 1911 in which the defendant let a horse roam a field even though they knew the horse could cause serious harm to others if it came in contact with them. The field in which the horse was put was used frequently to get to the railway station and also as a pathway to the defendant as he sold milk to customers. The claimant was walking across the field and attacked by the horse and was bitten and stomped on and sued for damages claiming that the defendant created this danger. The defendant tried to claim that they were trespassing as they were using it as a shortcut but the court ruled that as many people had been using the pathway for some time and also he was allowing other people to use it to buy milk from him that the claimant was not trespassing and that the defendant was liable for the injuries caused to the claimant. </w:t>
      </w:r>
    </w:p>
    <w:p w:rsidR="00000000" w:rsidDel="00000000" w:rsidP="00000000" w:rsidRDefault="00000000" w:rsidRPr="00000000" w14:paraId="00000007">
      <w:pPr>
        <w:spacing w:after="240" w:before="240" w:lineRule="auto"/>
        <w:rPr>
          <w:sz w:val="18"/>
          <w:szCs w:val="18"/>
          <w:highlight w:val="white"/>
        </w:rPr>
      </w:pPr>
      <w:r w:rsidDel="00000000" w:rsidR="00000000" w:rsidRPr="00000000">
        <w:rPr>
          <w:sz w:val="18"/>
          <w:szCs w:val="18"/>
          <w:highlight w:val="white"/>
          <w:rtl w:val="0"/>
        </w:rPr>
        <w:t xml:space="preserve">Occupiers need to have the knowledge that children will not behave the same as adults and therefore will be at more risk of having damage done to them if it is not safe. It is the responsibility of the occupier to ensure that the children are reasonably safe unless the child has their parent or guardian with them, in which case the blame will either be placed onto the parent/guardian or the blame could be shared between them and the occupier (Davies 2023). The case of Glasgow corporation v Taylor 1922 showed the responsibility that occupiers have when it comes to children as in this case the child was able to eat the poisonous berries from the tree as it was not closed off properly and there were no warning signs against doing so. The garden where it happened was a place that was frequently passed by people and so for it to not be properly looked after, especially in the presence of children, allowed the court to rule against the defendant. The court claimed that the defendants knew about the danger that the berries could cause and did not do anything to prevent the situation from occurring. Occupiers liability is different for children aged in different age groups. For example, the case of Jolley v Sutton London Borough Council 2000 was a case in which the defendant did not move their boat from the beach and even after warning signs were posted, two young teenagers tried to fully restore the boat and eventually it fell and landed on one of them causing serious injuries. The court originally found for the claimant however the court of appeal overturned this with the reason that young children could have been hurt but it was not foreseeable that the young teenagers would try to fully restore the boat and therefore those damages could not be foreseen. The house of lords then overturned this decision and ruled that it did not matter whether or not the teenage boys were going to fully restore the boat or not, there was the potential for damage and the defendant did not act appropriately and could have prevented the damage done to the teenagers. </w:t>
      </w:r>
    </w:p>
    <w:p w:rsidR="00000000" w:rsidDel="00000000" w:rsidP="00000000" w:rsidRDefault="00000000" w:rsidRPr="00000000" w14:paraId="00000008">
      <w:pPr>
        <w:spacing w:after="240" w:before="240" w:lineRule="auto"/>
        <w:rPr>
          <w:sz w:val="18"/>
          <w:szCs w:val="18"/>
          <w:highlight w:val="white"/>
        </w:rPr>
      </w:pPr>
      <w:r w:rsidDel="00000000" w:rsidR="00000000" w:rsidRPr="00000000">
        <w:rPr>
          <w:sz w:val="18"/>
          <w:szCs w:val="18"/>
          <w:highlight w:val="white"/>
          <w:rtl w:val="0"/>
        </w:rPr>
        <w:t xml:space="preserve">In some situations, there are people who enter a premise with the knowledge that they are either trespassing or could be harmed as there are warning signs posted around the area. However, if someone trespasses onto the property it does not give the occupier the right to treat them like an outlaw as shown in the case of Revill v Newbery 1996. In this case, Newbery slept in his shed so that he could protect his property at night and Revill and his partner trespassed on to the property and were met with a shot from a shotgun fired by Newbery in an attempt to warn them off his property. The shot landed in Revill and he then sued for personal injuries and claimed Newbery was negligent and in breach of section 1 of the occupiers liability act 1984. The court held that even though Revill was trespassing, it is not in the law for Newbery to treat him like an outlaw and fire a shot at him and so the ruling was in favour of Revill but with reduced damages as he contributed to his own injuries.The occupiers liability act 1957 had some flaws in it as it did not account for a lot of circumstances such as uninvited visitors or trespassers and so it was needed that another act should come into place to help support claims against occupiers when there is negligence and a clear violation of their responsibility to ensure the safety of others when on their property. The occupiers liability act 1984 gave claimants an even better foundation for bringing claims against occupiers when they had an accident on their property even if they should not have been there.</w:t>
      </w:r>
    </w:p>
    <w:p w:rsidR="00000000" w:rsidDel="00000000" w:rsidP="00000000" w:rsidRDefault="00000000" w:rsidRPr="00000000" w14:paraId="00000009">
      <w:pPr>
        <w:spacing w:after="240" w:before="240" w:lineRule="auto"/>
        <w:rPr>
          <w:sz w:val="18"/>
          <w:szCs w:val="18"/>
          <w:highlight w:val="white"/>
        </w:rPr>
      </w:pPr>
      <w:r w:rsidDel="00000000" w:rsidR="00000000" w:rsidRPr="00000000">
        <w:rPr>
          <w:sz w:val="18"/>
          <w:szCs w:val="18"/>
          <w:highlight w:val="white"/>
          <w:rtl w:val="0"/>
        </w:rPr>
        <w:t xml:space="preserve">There are many different arguments that are to be made when discussing occupiers liability as occupiers are almost always liable for accidents that occur on their property as they have the responsibility to ensure the safety of others, except in certain circumstances that would not make them liable such as a child being injured when in the company of their parent/ guardian, someone who injuries themself while trespassing on the grounds, and by giving sufficient warnings about certain elements that could harm visitors or other people on the property. The occupier has the responsibility to keep the property maintained to a high enough degree that there are no safety concerns and so that any visitors on the property do not have any accidents. Although there are some instances where the occupier is not liable for the accidents that occur on their property, the cases demonstrated and both of the occupier liability acts show that the occupier is held accountable in most cases and has the responsibility to upkeep their property so that no one is harmed.  </w:t>
      </w:r>
    </w:p>
    <w:p w:rsidR="00000000" w:rsidDel="00000000" w:rsidP="00000000" w:rsidRDefault="00000000" w:rsidRPr="00000000" w14:paraId="0000000A">
      <w:pPr>
        <w:spacing w:after="240" w:before="240" w:lineRule="auto"/>
        <w:ind w:left="720" w:firstLine="0"/>
        <w:rPr>
          <w:sz w:val="18"/>
          <w:szCs w:val="18"/>
          <w:highlight w:val="white"/>
        </w:rPr>
      </w:pPr>
      <w:r w:rsidDel="00000000" w:rsidR="00000000" w:rsidRPr="00000000">
        <w:rPr>
          <w:rtl w:val="0"/>
        </w:rPr>
      </w:r>
    </w:p>
    <w:p w:rsidR="00000000" w:rsidDel="00000000" w:rsidP="00000000" w:rsidRDefault="00000000" w:rsidRPr="00000000" w14:paraId="0000000B">
      <w:pPr>
        <w:spacing w:after="240" w:before="240" w:lineRule="auto"/>
        <w:ind w:left="720" w:firstLine="0"/>
        <w:rPr>
          <w:sz w:val="18"/>
          <w:szCs w:val="18"/>
          <w:highlight w:val="white"/>
        </w:rPr>
      </w:pPr>
      <w:r w:rsidDel="00000000" w:rsidR="00000000" w:rsidRPr="00000000">
        <w:rPr>
          <w:rtl w:val="0"/>
        </w:rPr>
      </w:r>
    </w:p>
    <w:p w:rsidR="00000000" w:rsidDel="00000000" w:rsidP="00000000" w:rsidRDefault="00000000" w:rsidRPr="00000000" w14:paraId="0000000C">
      <w:pPr>
        <w:spacing w:after="240" w:before="240" w:lineRule="auto"/>
        <w:ind w:left="0" w:firstLine="0"/>
        <w:rPr>
          <w:sz w:val="18"/>
          <w:szCs w:val="18"/>
          <w:highlight w:val="white"/>
        </w:rPr>
      </w:pPr>
      <w:r w:rsidDel="00000000" w:rsidR="00000000" w:rsidRPr="00000000">
        <w:rPr>
          <w:rtl w:val="0"/>
        </w:rPr>
      </w:r>
    </w:p>
    <w:p w:rsidR="00000000" w:rsidDel="00000000" w:rsidP="00000000" w:rsidRDefault="00000000" w:rsidRPr="00000000" w14:paraId="0000000D">
      <w:pPr>
        <w:spacing w:after="240" w:before="240" w:lineRule="auto"/>
        <w:ind w:left="720" w:firstLine="0"/>
        <w:jc w:val="center"/>
        <w:rPr>
          <w:sz w:val="18"/>
          <w:szCs w:val="18"/>
          <w:highlight w:val="white"/>
          <w:u w:val="single"/>
        </w:rPr>
      </w:pPr>
      <w:r w:rsidDel="00000000" w:rsidR="00000000" w:rsidRPr="00000000">
        <w:rPr>
          <w:sz w:val="18"/>
          <w:szCs w:val="18"/>
          <w:highlight w:val="white"/>
          <w:u w:val="single"/>
          <w:rtl w:val="0"/>
        </w:rPr>
        <w:t xml:space="preserve">References </w:t>
      </w:r>
    </w:p>
    <w:p w:rsidR="00000000" w:rsidDel="00000000" w:rsidP="00000000" w:rsidRDefault="00000000" w:rsidRPr="00000000" w14:paraId="0000000E">
      <w:pPr>
        <w:spacing w:after="240" w:before="240" w:lineRule="auto"/>
        <w:ind w:left="0" w:firstLine="0"/>
        <w:jc w:val="left"/>
        <w:rPr>
          <w:color w:val="333333"/>
          <w:sz w:val="18"/>
          <w:szCs w:val="18"/>
          <w:shd w:fill="fbfbfb" w:val="clear"/>
        </w:rPr>
      </w:pPr>
      <w:r w:rsidDel="00000000" w:rsidR="00000000" w:rsidRPr="00000000">
        <w:rPr>
          <w:i w:val="1"/>
          <w:color w:val="333333"/>
          <w:sz w:val="18"/>
          <w:szCs w:val="18"/>
          <w:highlight w:val="white"/>
          <w:rtl w:val="0"/>
        </w:rPr>
        <w:t xml:space="preserve">Occupier's liability</w:t>
      </w:r>
      <w:r w:rsidDel="00000000" w:rsidR="00000000" w:rsidRPr="00000000">
        <w:rPr>
          <w:color w:val="333333"/>
          <w:sz w:val="18"/>
          <w:szCs w:val="18"/>
          <w:shd w:fill="fbfbfb" w:val="clear"/>
          <w:rtl w:val="0"/>
        </w:rPr>
        <w:t xml:space="preserve"> (2023) Available at: </w:t>
      </w:r>
      <w:hyperlink r:id="rId6">
        <w:r w:rsidDel="00000000" w:rsidR="00000000" w:rsidRPr="00000000">
          <w:rPr>
            <w:color w:val="1155cc"/>
            <w:sz w:val="18"/>
            <w:szCs w:val="18"/>
            <w:u w:val="single"/>
            <w:shd w:fill="fbfbfb" w:val="clear"/>
            <w:rtl w:val="0"/>
          </w:rPr>
          <w:t xml:space="preserve">https://www.lexisnexis.com/uk/lexispsl/personalinjury/document/393870/55KG-FP91-F18H-K0R1-00000-00/Occupiers__liability_overview</w:t>
        </w:r>
      </w:hyperlink>
      <w:r w:rsidDel="00000000" w:rsidR="00000000" w:rsidRPr="00000000">
        <w:rPr>
          <w:color w:val="333333"/>
          <w:sz w:val="18"/>
          <w:szCs w:val="18"/>
          <w:shd w:fill="fbfbfb" w:val="clear"/>
          <w:rtl w:val="0"/>
        </w:rPr>
        <w:t xml:space="preserve"> (Accessed: 10/11/23).</w:t>
      </w:r>
    </w:p>
    <w:p w:rsidR="00000000" w:rsidDel="00000000" w:rsidP="00000000" w:rsidRDefault="00000000" w:rsidRPr="00000000" w14:paraId="0000000F">
      <w:pPr>
        <w:spacing w:after="240" w:before="240" w:lineRule="auto"/>
        <w:ind w:left="0" w:firstLine="0"/>
        <w:jc w:val="left"/>
        <w:rPr>
          <w:color w:val="333333"/>
          <w:sz w:val="18"/>
          <w:szCs w:val="18"/>
          <w:shd w:fill="fbfbfb" w:val="clear"/>
        </w:rPr>
      </w:pPr>
      <w:r w:rsidDel="00000000" w:rsidR="00000000" w:rsidRPr="00000000">
        <w:rPr>
          <w:i w:val="1"/>
          <w:color w:val="333333"/>
          <w:sz w:val="18"/>
          <w:szCs w:val="18"/>
          <w:shd w:fill="fbfbfb" w:val="clear"/>
          <w:rtl w:val="0"/>
        </w:rPr>
        <w:t xml:space="preserve">Occupier's liability</w:t>
      </w:r>
      <w:r w:rsidDel="00000000" w:rsidR="00000000" w:rsidRPr="00000000">
        <w:rPr>
          <w:color w:val="333333"/>
          <w:sz w:val="18"/>
          <w:szCs w:val="18"/>
          <w:shd w:fill="fbfbfb" w:val="clear"/>
          <w:rtl w:val="0"/>
        </w:rPr>
        <w:t xml:space="preserve"> (2023) Available at: Occupier's liability (2023) Available at: </w:t>
      </w:r>
      <w:hyperlink r:id="rId7">
        <w:r w:rsidDel="00000000" w:rsidR="00000000" w:rsidRPr="00000000">
          <w:rPr>
            <w:color w:val="1155cc"/>
            <w:sz w:val="18"/>
            <w:szCs w:val="18"/>
            <w:u w:val="single"/>
            <w:shd w:fill="fbfbfb" w:val="clear"/>
            <w:rtl w:val="0"/>
          </w:rPr>
          <w:t xml:space="preserve">https://www.lexisnexis.com/uk/lexispsl/personalinjury/document/393870/55KG-FP91-F18H-K0R1-00000-00/Occupiers__liability_overview</w:t>
        </w:r>
      </w:hyperlink>
      <w:r w:rsidDel="00000000" w:rsidR="00000000" w:rsidRPr="00000000">
        <w:rPr>
          <w:color w:val="333333"/>
          <w:sz w:val="18"/>
          <w:szCs w:val="18"/>
          <w:shd w:fill="fbfbfb" w:val="clear"/>
          <w:rtl w:val="0"/>
        </w:rPr>
        <w:t xml:space="preserve">  (Accessed: 10/11/23).</w:t>
      </w:r>
      <w:r w:rsidDel="00000000" w:rsidR="00000000" w:rsidRPr="00000000">
        <w:rPr>
          <w:color w:val="333333"/>
          <w:sz w:val="23"/>
          <w:szCs w:val="23"/>
          <w:shd w:fill="fbfbfb" w:val="clear"/>
          <w:rtl w:val="0"/>
        </w:rPr>
        <w:t xml:space="preserve"> </w:t>
      </w:r>
      <w:r w:rsidDel="00000000" w:rsidR="00000000" w:rsidRPr="00000000">
        <w:rPr>
          <w:rtl w:val="0"/>
        </w:rPr>
      </w:r>
    </w:p>
    <w:p w:rsidR="00000000" w:rsidDel="00000000" w:rsidP="00000000" w:rsidRDefault="00000000" w:rsidRPr="00000000" w14:paraId="00000010">
      <w:pPr>
        <w:spacing w:after="240" w:before="240" w:lineRule="auto"/>
        <w:ind w:left="0" w:firstLine="0"/>
        <w:jc w:val="left"/>
        <w:rPr>
          <w:sz w:val="18"/>
          <w:szCs w:val="18"/>
          <w:highlight w:val="white"/>
        </w:rPr>
      </w:pPr>
      <w:r w:rsidDel="00000000" w:rsidR="00000000" w:rsidRPr="00000000">
        <w:rPr>
          <w:i w:val="1"/>
          <w:color w:val="333333"/>
          <w:sz w:val="18"/>
          <w:szCs w:val="18"/>
          <w:highlight w:val="white"/>
          <w:rtl w:val="0"/>
        </w:rPr>
        <w:t xml:space="preserve">Occupier's liability act 1957</w:t>
      </w:r>
      <w:r w:rsidDel="00000000" w:rsidR="00000000" w:rsidRPr="00000000">
        <w:rPr>
          <w:color w:val="333333"/>
          <w:sz w:val="18"/>
          <w:szCs w:val="18"/>
          <w:highlight w:val="white"/>
          <w:rtl w:val="0"/>
        </w:rPr>
        <w:t xml:space="preserve"> (2023) Available at:</w:t>
      </w:r>
      <w:hyperlink r:id="rId8">
        <w:r w:rsidDel="00000000" w:rsidR="00000000" w:rsidRPr="00000000">
          <w:rPr>
            <w:color w:val="1155cc"/>
            <w:sz w:val="18"/>
            <w:szCs w:val="18"/>
            <w:highlight w:val="white"/>
            <w:u w:val="single"/>
            <w:rtl w:val="0"/>
          </w:rPr>
          <w:t xml:space="preserve">https://resource.download.wjec.co.uk/vtc/2020-21/el20-21_8-37/batch_4/WJEC/2-3_occupiers_liability.pdf</w:t>
        </w:r>
      </w:hyperlink>
      <w:r w:rsidDel="00000000" w:rsidR="00000000" w:rsidRPr="00000000">
        <w:rPr>
          <w:color w:val="333333"/>
          <w:sz w:val="18"/>
          <w:szCs w:val="18"/>
          <w:highlight w:val="white"/>
          <w:rtl w:val="0"/>
        </w:rPr>
        <w:t xml:space="preserve">  (Accessed: 10/11/23).</w:t>
      </w:r>
      <w:r w:rsidDel="00000000" w:rsidR="00000000" w:rsidRPr="00000000">
        <w:rPr>
          <w:rtl w:val="0"/>
        </w:rPr>
      </w:r>
    </w:p>
    <w:p w:rsidR="00000000" w:rsidDel="00000000" w:rsidP="00000000" w:rsidRDefault="00000000" w:rsidRPr="00000000" w14:paraId="00000011">
      <w:pPr>
        <w:spacing w:after="240" w:before="240" w:lineRule="auto"/>
        <w:ind w:left="720" w:firstLine="0"/>
        <w:jc w:val="center"/>
        <w:rPr>
          <w:sz w:val="18"/>
          <w:szCs w:val="18"/>
          <w:highlight w:val="white"/>
          <w:u w:val="single"/>
        </w:rPr>
      </w:pPr>
      <w:r w:rsidDel="00000000" w:rsidR="00000000" w:rsidRPr="00000000">
        <w:rPr>
          <w:sz w:val="18"/>
          <w:szCs w:val="18"/>
          <w:highlight w:val="white"/>
          <w:u w:val="single"/>
          <w:rtl w:val="0"/>
        </w:rPr>
        <w:t xml:space="preserve">Case law </w:t>
      </w:r>
    </w:p>
    <w:p w:rsidR="00000000" w:rsidDel="00000000" w:rsidP="00000000" w:rsidRDefault="00000000" w:rsidRPr="00000000" w14:paraId="00000012">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Wheat v Lacon 1966 AC552 </w:t>
      </w:r>
    </w:p>
    <w:p w:rsidR="00000000" w:rsidDel="00000000" w:rsidP="00000000" w:rsidRDefault="00000000" w:rsidRPr="00000000" w14:paraId="00000013">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Thomas v British Railway Board 1976 VLEX 793259565</w:t>
      </w:r>
    </w:p>
    <w:p w:rsidR="00000000" w:rsidDel="00000000" w:rsidP="00000000" w:rsidRDefault="00000000" w:rsidRPr="00000000" w14:paraId="00000014">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Glasgow Corporation v Taylor 1922 1 AC 44</w:t>
      </w:r>
    </w:p>
    <w:p w:rsidR="00000000" w:rsidDel="00000000" w:rsidP="00000000" w:rsidRDefault="00000000" w:rsidRPr="00000000" w14:paraId="00000015">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Lowery v walker 1911 AC10</w:t>
      </w:r>
    </w:p>
    <w:p w:rsidR="00000000" w:rsidDel="00000000" w:rsidP="00000000" w:rsidRDefault="00000000" w:rsidRPr="00000000" w14:paraId="00000016">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Jolley v Sutton London Borough Council 2000 1 WLR 1082</w:t>
      </w:r>
    </w:p>
    <w:p w:rsidR="00000000" w:rsidDel="00000000" w:rsidP="00000000" w:rsidRDefault="00000000" w:rsidRPr="00000000" w14:paraId="00000017">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Revill v Newbery 1996 WLR 239 </w:t>
      </w:r>
    </w:p>
    <w:p w:rsidR="00000000" w:rsidDel="00000000" w:rsidP="00000000" w:rsidRDefault="00000000" w:rsidRPr="00000000" w14:paraId="00000018">
      <w:pPr>
        <w:spacing w:after="240" w:before="240" w:lineRule="auto"/>
        <w:ind w:left="720" w:firstLine="0"/>
        <w:jc w:val="center"/>
        <w:rPr>
          <w:sz w:val="18"/>
          <w:szCs w:val="18"/>
          <w:highlight w:val="white"/>
        </w:rPr>
      </w:pPr>
      <w:r w:rsidDel="00000000" w:rsidR="00000000" w:rsidRPr="00000000">
        <w:rPr>
          <w:rtl w:val="0"/>
        </w:rPr>
      </w:r>
    </w:p>
    <w:p w:rsidR="00000000" w:rsidDel="00000000" w:rsidP="00000000" w:rsidRDefault="00000000" w:rsidRPr="00000000" w14:paraId="00000019">
      <w:pPr>
        <w:spacing w:after="240" w:before="240" w:lineRule="auto"/>
        <w:ind w:left="720" w:firstLine="0"/>
        <w:jc w:val="center"/>
        <w:rPr>
          <w:sz w:val="18"/>
          <w:szCs w:val="18"/>
          <w:highlight w:val="white"/>
          <w:u w:val="single"/>
        </w:rPr>
      </w:pPr>
      <w:r w:rsidDel="00000000" w:rsidR="00000000" w:rsidRPr="00000000">
        <w:rPr>
          <w:sz w:val="18"/>
          <w:szCs w:val="18"/>
          <w:highlight w:val="white"/>
          <w:u w:val="single"/>
          <w:rtl w:val="0"/>
        </w:rPr>
        <w:t xml:space="preserve">Legislation </w:t>
      </w:r>
    </w:p>
    <w:p w:rsidR="00000000" w:rsidDel="00000000" w:rsidP="00000000" w:rsidRDefault="00000000" w:rsidRPr="00000000" w14:paraId="0000001A">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Occupier’s liability act (1957) available at: </w:t>
      </w:r>
      <w:hyperlink r:id="rId9">
        <w:r w:rsidDel="00000000" w:rsidR="00000000" w:rsidRPr="00000000">
          <w:rPr>
            <w:color w:val="1155cc"/>
            <w:sz w:val="18"/>
            <w:szCs w:val="18"/>
            <w:highlight w:val="white"/>
            <w:u w:val="single"/>
            <w:rtl w:val="0"/>
          </w:rPr>
          <w:t xml:space="preserve">https://www.legislation.gov.uk/ukpga/Eliz2/5-6/31/contents</w:t>
        </w:r>
      </w:hyperlink>
      <w:r w:rsidDel="00000000" w:rsidR="00000000" w:rsidRPr="00000000">
        <w:rPr>
          <w:rtl w:val="0"/>
        </w:rPr>
      </w:r>
    </w:p>
    <w:p w:rsidR="00000000" w:rsidDel="00000000" w:rsidP="00000000" w:rsidRDefault="00000000" w:rsidRPr="00000000" w14:paraId="0000001B">
      <w:pPr>
        <w:spacing w:after="240" w:before="240" w:lineRule="auto"/>
        <w:ind w:left="0" w:firstLine="0"/>
        <w:jc w:val="left"/>
        <w:rPr>
          <w:sz w:val="18"/>
          <w:szCs w:val="18"/>
          <w:highlight w:val="white"/>
        </w:rPr>
      </w:pPr>
      <w:r w:rsidDel="00000000" w:rsidR="00000000" w:rsidRPr="00000000">
        <w:rPr>
          <w:sz w:val="18"/>
          <w:szCs w:val="18"/>
          <w:highlight w:val="white"/>
          <w:rtl w:val="0"/>
        </w:rPr>
        <w:t xml:space="preserve">Occupier’s liability act (1984) available at: </w:t>
      </w:r>
      <w:hyperlink r:id="rId10">
        <w:r w:rsidDel="00000000" w:rsidR="00000000" w:rsidRPr="00000000">
          <w:rPr>
            <w:color w:val="1155cc"/>
            <w:sz w:val="18"/>
            <w:szCs w:val="18"/>
            <w:highlight w:val="white"/>
            <w:u w:val="single"/>
            <w:rtl w:val="0"/>
          </w:rPr>
          <w:t xml:space="preserve">https://www.legislation.gov.uk/ukpga/1984/3</w:t>
        </w:r>
      </w:hyperlink>
      <w:r w:rsidDel="00000000" w:rsidR="00000000" w:rsidRPr="00000000">
        <w:rPr>
          <w:rtl w:val="0"/>
        </w:rPr>
      </w:r>
    </w:p>
    <w:p w:rsidR="00000000" w:rsidDel="00000000" w:rsidP="00000000" w:rsidRDefault="00000000" w:rsidRPr="00000000" w14:paraId="0000001C">
      <w:pPr>
        <w:spacing w:after="240" w:before="240" w:lineRule="auto"/>
        <w:ind w:left="720" w:firstLine="0"/>
        <w:jc w:val="left"/>
        <w:rPr>
          <w:sz w:val="18"/>
          <w:szCs w:val="18"/>
          <w:highlight w:val="white"/>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legislation.gov.uk/ukpga/1984/3" TargetMode="External"/><Relationship Id="rId9" Type="http://schemas.openxmlformats.org/officeDocument/2006/relationships/hyperlink" Target="https://www.legislation.gov.uk/ukpga/Eliz2/5-6/31/contents" TargetMode="External"/><Relationship Id="rId5" Type="http://schemas.openxmlformats.org/officeDocument/2006/relationships/styles" Target="styles.xml"/><Relationship Id="rId6" Type="http://schemas.openxmlformats.org/officeDocument/2006/relationships/hyperlink" Target="https://www.lexisnexis.com/uk/lexispsl/personalinjury/document/393870/55KG-FP91-F18H-K0R1-00000-00/Occupiers__liability_overview" TargetMode="External"/><Relationship Id="rId7" Type="http://schemas.openxmlformats.org/officeDocument/2006/relationships/hyperlink" Target="https://www.lexisnexis.com/uk/lexispsl/personalinjury/document/393870/55KG-FP91-F18H-K0R1-00000-00/Occupiers__liability_overview" TargetMode="External"/><Relationship Id="rId8" Type="http://schemas.openxmlformats.org/officeDocument/2006/relationships/hyperlink" Target="https://resource.download.wjec.co.uk/vtc/2020-21/el20-21_8-37/batch_4/WJEC/2-3_occupiers_li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