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484C" w:rsidRPr="00A85BFE" w:rsidRDefault="000E484C" w:rsidP="000E484C">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64384" behindDoc="0" locked="0" layoutInCell="1" allowOverlap="1" wp14:anchorId="5A8C3A88" wp14:editId="50AE4E5E">
            <wp:simplePos x="457200" y="457200"/>
            <wp:positionH relativeFrom="column">
              <wp:align>left</wp:align>
            </wp:positionH>
            <wp:positionV relativeFrom="paragraph">
              <wp:align>top</wp:align>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rsidR="000E484C" w:rsidRPr="00A406E5" w:rsidRDefault="000E484C" w:rsidP="000E484C">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0E484C" w:rsidRPr="00A406E5" w:rsidTr="00C96C81">
        <w:tc>
          <w:tcPr>
            <w:tcW w:w="9922" w:type="dxa"/>
            <w:shd w:val="clear" w:color="auto" w:fill="C0C0C0"/>
          </w:tcPr>
          <w:p w:rsidR="000E484C" w:rsidRPr="00A406E5" w:rsidRDefault="000E484C" w:rsidP="00C96C81">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rsidR="000E484C" w:rsidRPr="00A406E5" w:rsidRDefault="000E484C" w:rsidP="000E484C">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E484C" w:rsidRPr="00A406E5" w:rsidTr="00C96C81">
        <w:tc>
          <w:tcPr>
            <w:tcW w:w="2093" w:type="dxa"/>
            <w:shd w:val="pct15" w:color="auto" w:fill="auto"/>
          </w:tcPr>
          <w:p w:rsidR="000E484C" w:rsidRPr="00A406E5" w:rsidRDefault="000E484C" w:rsidP="00C96C81">
            <w:pPr>
              <w:spacing w:before="120" w:after="120"/>
              <w:jc w:val="both"/>
              <w:rPr>
                <w:rFonts w:ascii="Arial" w:hAnsi="Arial" w:cs="Arial"/>
                <w:b/>
              </w:rPr>
            </w:pPr>
            <w:r w:rsidRPr="00A406E5">
              <w:rPr>
                <w:rFonts w:ascii="Arial" w:hAnsi="Arial" w:cs="Arial"/>
                <w:b/>
              </w:rPr>
              <w:t>Student name:</w:t>
            </w:r>
          </w:p>
        </w:tc>
        <w:tc>
          <w:tcPr>
            <w:tcW w:w="3293" w:type="dxa"/>
          </w:tcPr>
          <w:p w:rsidR="000E484C" w:rsidRPr="00A406E5" w:rsidRDefault="000E484C" w:rsidP="00C96C81">
            <w:pPr>
              <w:spacing w:before="120" w:after="120"/>
              <w:jc w:val="both"/>
              <w:rPr>
                <w:rFonts w:ascii="Arial" w:hAnsi="Arial" w:cs="Arial"/>
                <w:b/>
              </w:rPr>
            </w:pPr>
            <w:r>
              <w:rPr>
                <w:rFonts w:ascii="Arial" w:hAnsi="Arial" w:cs="Arial"/>
                <w:b/>
              </w:rPr>
              <w:t>Leonie Barnett</w:t>
            </w:r>
          </w:p>
        </w:tc>
        <w:tc>
          <w:tcPr>
            <w:tcW w:w="2268" w:type="dxa"/>
            <w:shd w:val="clear" w:color="auto" w:fill="D9D9D9"/>
          </w:tcPr>
          <w:p w:rsidR="000E484C" w:rsidRPr="00A406E5" w:rsidRDefault="000E484C" w:rsidP="00C96C81">
            <w:pPr>
              <w:spacing w:before="120" w:after="120"/>
              <w:jc w:val="both"/>
              <w:rPr>
                <w:rFonts w:ascii="Arial" w:hAnsi="Arial" w:cs="Arial"/>
                <w:b/>
              </w:rPr>
            </w:pPr>
            <w:r w:rsidRPr="00A406E5">
              <w:rPr>
                <w:rFonts w:ascii="Arial" w:hAnsi="Arial" w:cs="Arial"/>
                <w:b/>
              </w:rPr>
              <w:t>Student ID number:</w:t>
            </w:r>
          </w:p>
        </w:tc>
        <w:tc>
          <w:tcPr>
            <w:tcW w:w="2268" w:type="dxa"/>
          </w:tcPr>
          <w:p w:rsidR="000E484C" w:rsidRPr="00A406E5" w:rsidRDefault="000E484C" w:rsidP="00C96C81">
            <w:pPr>
              <w:spacing w:before="120" w:after="120"/>
              <w:jc w:val="both"/>
              <w:rPr>
                <w:rFonts w:ascii="Arial" w:hAnsi="Arial" w:cs="Arial"/>
                <w:b/>
              </w:rPr>
            </w:pPr>
            <w:r>
              <w:rPr>
                <w:rFonts w:ascii="Arial" w:hAnsi="Arial" w:cs="Arial"/>
                <w:b/>
              </w:rPr>
              <w:t>1805147</w:t>
            </w:r>
          </w:p>
        </w:tc>
      </w:tr>
      <w:tr w:rsidR="000E484C" w:rsidRPr="00A406E5" w:rsidTr="00C96C81">
        <w:tc>
          <w:tcPr>
            <w:tcW w:w="2093" w:type="dxa"/>
            <w:shd w:val="pct15" w:color="auto" w:fill="auto"/>
          </w:tcPr>
          <w:p w:rsidR="000E484C" w:rsidRPr="00A406E5" w:rsidRDefault="000E484C" w:rsidP="00C96C81">
            <w:pPr>
              <w:spacing w:before="120" w:after="120"/>
              <w:jc w:val="both"/>
              <w:rPr>
                <w:rFonts w:ascii="Arial" w:hAnsi="Arial" w:cs="Arial"/>
                <w:b/>
              </w:rPr>
            </w:pPr>
            <w:r w:rsidRPr="00A406E5">
              <w:rPr>
                <w:rFonts w:ascii="Arial" w:hAnsi="Arial" w:cs="Arial"/>
                <w:b/>
              </w:rPr>
              <w:t>Programme:</w:t>
            </w:r>
          </w:p>
        </w:tc>
        <w:tc>
          <w:tcPr>
            <w:tcW w:w="7829" w:type="dxa"/>
            <w:gridSpan w:val="3"/>
          </w:tcPr>
          <w:p w:rsidR="000E484C" w:rsidRPr="00A406E5" w:rsidRDefault="000E484C" w:rsidP="00C96C81">
            <w:pPr>
              <w:spacing w:before="120" w:after="120"/>
              <w:jc w:val="both"/>
              <w:rPr>
                <w:rFonts w:ascii="Arial" w:hAnsi="Arial" w:cs="Arial"/>
                <w:b/>
              </w:rPr>
            </w:pPr>
            <w:r>
              <w:rPr>
                <w:rFonts w:ascii="Arial" w:hAnsi="Arial" w:cs="Arial"/>
                <w:b/>
              </w:rPr>
              <w:t>Secondary PGCE</w:t>
            </w:r>
          </w:p>
        </w:tc>
      </w:tr>
      <w:tr w:rsidR="000E484C" w:rsidRPr="00A406E5" w:rsidTr="00C96C81">
        <w:tc>
          <w:tcPr>
            <w:tcW w:w="2093" w:type="dxa"/>
            <w:shd w:val="pct15" w:color="auto" w:fill="auto"/>
          </w:tcPr>
          <w:p w:rsidR="000E484C" w:rsidRPr="00A406E5" w:rsidRDefault="000E484C" w:rsidP="00C96C81">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000E484C" w:rsidRPr="00F63C8B" w:rsidRDefault="000E484C" w:rsidP="00C96C81">
            <w:pPr>
              <w:pStyle w:val="NormalWeb"/>
              <w:rPr>
                <w:sz w:val="22"/>
                <w:szCs w:val="22"/>
              </w:rPr>
            </w:pPr>
            <w:r w:rsidRPr="00F63C8B">
              <w:rPr>
                <w:rFonts w:ascii="Arial" w:hAnsi="Arial" w:cs="Arial"/>
                <w:b/>
                <w:bCs/>
                <w:sz w:val="22"/>
                <w:szCs w:val="22"/>
              </w:rPr>
              <w:t xml:space="preserve">Curriculum Development and Enhancement </w:t>
            </w:r>
          </w:p>
          <w:p w:rsidR="000E484C" w:rsidRPr="00F63C8B" w:rsidRDefault="000E484C" w:rsidP="00C96C81">
            <w:pPr>
              <w:spacing w:before="120" w:after="120"/>
              <w:jc w:val="both"/>
              <w:rPr>
                <w:rFonts w:ascii="Arial" w:hAnsi="Arial" w:cs="Arial"/>
                <w:b/>
              </w:rPr>
            </w:pPr>
          </w:p>
        </w:tc>
      </w:tr>
      <w:tr w:rsidR="000E484C" w:rsidRPr="00A406E5" w:rsidTr="00C96C81">
        <w:tc>
          <w:tcPr>
            <w:tcW w:w="2093" w:type="dxa"/>
            <w:shd w:val="pct15" w:color="auto" w:fill="auto"/>
          </w:tcPr>
          <w:p w:rsidR="000E484C" w:rsidRPr="00A406E5" w:rsidRDefault="000E484C" w:rsidP="00C96C81">
            <w:pPr>
              <w:spacing w:before="120" w:after="120"/>
              <w:jc w:val="both"/>
              <w:rPr>
                <w:rFonts w:ascii="Arial" w:hAnsi="Arial" w:cs="Arial"/>
                <w:b/>
              </w:rPr>
            </w:pPr>
            <w:r w:rsidRPr="00A406E5">
              <w:rPr>
                <w:rFonts w:ascii="Arial" w:hAnsi="Arial" w:cs="Arial"/>
                <w:b/>
              </w:rPr>
              <w:t>Module code:</w:t>
            </w:r>
          </w:p>
        </w:tc>
        <w:tc>
          <w:tcPr>
            <w:tcW w:w="3293" w:type="dxa"/>
          </w:tcPr>
          <w:p w:rsidR="000E484C" w:rsidRPr="00A406E5" w:rsidRDefault="000E484C" w:rsidP="00C96C81">
            <w:pPr>
              <w:spacing w:before="120" w:after="120"/>
              <w:jc w:val="both"/>
              <w:rPr>
                <w:rFonts w:ascii="Arial" w:hAnsi="Arial" w:cs="Arial"/>
                <w:b/>
              </w:rPr>
            </w:pPr>
            <w:r>
              <w:rPr>
                <w:rFonts w:ascii="Arial" w:hAnsi="Arial" w:cs="Arial"/>
                <w:b/>
              </w:rPr>
              <w:t>ECSP7002</w:t>
            </w:r>
          </w:p>
        </w:tc>
        <w:tc>
          <w:tcPr>
            <w:tcW w:w="2268" w:type="dxa"/>
            <w:shd w:val="clear" w:color="auto" w:fill="D9D9D9"/>
          </w:tcPr>
          <w:p w:rsidR="000E484C" w:rsidRPr="004D5E9B" w:rsidRDefault="000E484C" w:rsidP="00C96C81">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0E484C" w:rsidRPr="00A406E5" w:rsidRDefault="000E484C" w:rsidP="00C96C81">
            <w:pPr>
              <w:spacing w:before="120" w:after="120"/>
              <w:jc w:val="both"/>
              <w:rPr>
                <w:rFonts w:ascii="Arial" w:hAnsi="Arial" w:cs="Arial"/>
                <w:b/>
              </w:rPr>
            </w:pPr>
            <w:r>
              <w:rPr>
                <w:rFonts w:ascii="Arial" w:hAnsi="Arial" w:cs="Arial"/>
                <w:b/>
              </w:rPr>
              <w:t>100%</w:t>
            </w:r>
          </w:p>
        </w:tc>
      </w:tr>
      <w:tr w:rsidR="000E484C" w:rsidRPr="00A406E5" w:rsidTr="00C96C81">
        <w:tc>
          <w:tcPr>
            <w:tcW w:w="2093" w:type="dxa"/>
            <w:shd w:val="pct15" w:color="auto" w:fill="auto"/>
          </w:tcPr>
          <w:p w:rsidR="000E484C" w:rsidRPr="00A406E5" w:rsidRDefault="000E484C" w:rsidP="00C96C81">
            <w:pPr>
              <w:spacing w:before="120" w:after="120"/>
              <w:jc w:val="both"/>
              <w:rPr>
                <w:rFonts w:ascii="Arial" w:hAnsi="Arial" w:cs="Arial"/>
                <w:b/>
              </w:rPr>
            </w:pPr>
            <w:r w:rsidRPr="00A406E5">
              <w:rPr>
                <w:rFonts w:ascii="Arial" w:hAnsi="Arial" w:cs="Arial"/>
                <w:b/>
              </w:rPr>
              <w:t>Lecturer:</w:t>
            </w:r>
          </w:p>
        </w:tc>
        <w:tc>
          <w:tcPr>
            <w:tcW w:w="3293" w:type="dxa"/>
          </w:tcPr>
          <w:p w:rsidR="000E484C" w:rsidRPr="00A406E5" w:rsidRDefault="000E484C" w:rsidP="00C96C81">
            <w:pPr>
              <w:spacing w:before="120" w:after="120"/>
              <w:jc w:val="both"/>
              <w:rPr>
                <w:rFonts w:ascii="Arial" w:hAnsi="Arial" w:cs="Arial"/>
                <w:b/>
              </w:rPr>
            </w:pPr>
            <w:r>
              <w:rPr>
                <w:rFonts w:ascii="Arial" w:hAnsi="Arial" w:cs="Arial"/>
                <w:b/>
              </w:rPr>
              <w:t>Helen Denny</w:t>
            </w:r>
          </w:p>
        </w:tc>
        <w:tc>
          <w:tcPr>
            <w:tcW w:w="2268" w:type="dxa"/>
            <w:shd w:val="clear" w:color="auto" w:fill="D9D9D9"/>
          </w:tcPr>
          <w:p w:rsidR="000E484C" w:rsidRPr="00A406E5" w:rsidRDefault="000E484C" w:rsidP="00C96C81">
            <w:pPr>
              <w:spacing w:before="120" w:after="120"/>
              <w:jc w:val="both"/>
              <w:rPr>
                <w:rFonts w:ascii="Arial" w:hAnsi="Arial" w:cs="Arial"/>
                <w:b/>
              </w:rPr>
            </w:pPr>
            <w:r w:rsidRPr="00A406E5">
              <w:rPr>
                <w:rFonts w:ascii="Arial" w:hAnsi="Arial" w:cs="Arial"/>
                <w:b/>
              </w:rPr>
              <w:t>Internal Verifier:</w:t>
            </w:r>
          </w:p>
        </w:tc>
        <w:tc>
          <w:tcPr>
            <w:tcW w:w="2268" w:type="dxa"/>
          </w:tcPr>
          <w:p w:rsidR="000E484C" w:rsidRPr="00A406E5" w:rsidRDefault="000E484C" w:rsidP="00C96C81">
            <w:pPr>
              <w:spacing w:before="120" w:after="120"/>
              <w:jc w:val="both"/>
              <w:rPr>
                <w:rFonts w:ascii="Arial" w:hAnsi="Arial" w:cs="Arial"/>
                <w:b/>
              </w:rPr>
            </w:pPr>
          </w:p>
        </w:tc>
      </w:tr>
      <w:tr w:rsidR="000E484C" w:rsidRPr="00A406E5" w:rsidTr="00C96C81">
        <w:tc>
          <w:tcPr>
            <w:tcW w:w="2093" w:type="dxa"/>
            <w:shd w:val="pct15" w:color="auto" w:fill="auto"/>
          </w:tcPr>
          <w:p w:rsidR="000E484C" w:rsidRPr="00A406E5" w:rsidRDefault="000E484C" w:rsidP="00C96C81">
            <w:pPr>
              <w:spacing w:before="120" w:after="120"/>
              <w:jc w:val="both"/>
              <w:rPr>
                <w:rFonts w:ascii="Arial" w:hAnsi="Arial" w:cs="Arial"/>
                <w:b/>
              </w:rPr>
            </w:pPr>
            <w:r w:rsidRPr="00A406E5">
              <w:rPr>
                <w:rFonts w:ascii="Arial" w:hAnsi="Arial" w:cs="Arial"/>
                <w:b/>
              </w:rPr>
              <w:t>Assignment Title:</w:t>
            </w:r>
          </w:p>
        </w:tc>
        <w:tc>
          <w:tcPr>
            <w:tcW w:w="3293" w:type="dxa"/>
          </w:tcPr>
          <w:p w:rsidR="000E484C" w:rsidRDefault="000E484C" w:rsidP="00C96C81">
            <w:pPr>
              <w:pStyle w:val="NormalWeb"/>
            </w:pPr>
            <w:r>
              <w:rPr>
                <w:rFonts w:ascii="Arial" w:hAnsi="Arial" w:cs="Arial"/>
                <w:b/>
                <w:bCs/>
                <w:sz w:val="22"/>
                <w:szCs w:val="22"/>
              </w:rPr>
              <w:t xml:space="preserve">Research Study including Ethics Form </w:t>
            </w:r>
          </w:p>
          <w:p w:rsidR="000E484C" w:rsidRPr="00A406E5" w:rsidRDefault="000E484C" w:rsidP="00C96C81">
            <w:pPr>
              <w:spacing w:before="120" w:after="120"/>
              <w:jc w:val="both"/>
              <w:rPr>
                <w:rFonts w:ascii="Arial" w:hAnsi="Arial" w:cs="Arial"/>
                <w:b/>
              </w:rPr>
            </w:pPr>
          </w:p>
        </w:tc>
        <w:tc>
          <w:tcPr>
            <w:tcW w:w="2268" w:type="dxa"/>
            <w:shd w:val="pct15" w:color="auto" w:fill="auto"/>
          </w:tcPr>
          <w:p w:rsidR="000E484C" w:rsidRPr="00A406E5" w:rsidRDefault="000E484C" w:rsidP="00C96C81">
            <w:pPr>
              <w:spacing w:before="120" w:after="120"/>
              <w:jc w:val="both"/>
              <w:rPr>
                <w:rFonts w:ascii="Arial" w:hAnsi="Arial" w:cs="Arial"/>
                <w:b/>
              </w:rPr>
            </w:pPr>
            <w:r>
              <w:rPr>
                <w:rFonts w:ascii="Arial" w:hAnsi="Arial" w:cs="Arial"/>
                <w:b/>
              </w:rPr>
              <w:t>Word count (or equivalent):</w:t>
            </w:r>
          </w:p>
        </w:tc>
        <w:tc>
          <w:tcPr>
            <w:tcW w:w="2268" w:type="dxa"/>
          </w:tcPr>
          <w:p w:rsidR="000E484C" w:rsidRDefault="000E484C" w:rsidP="00C96C81">
            <w:pPr>
              <w:pStyle w:val="NormalWeb"/>
            </w:pPr>
            <w:r>
              <w:rPr>
                <w:rFonts w:ascii="Arial" w:hAnsi="Arial" w:cs="Arial"/>
                <w:b/>
                <w:bCs/>
                <w:sz w:val="22"/>
                <w:szCs w:val="22"/>
              </w:rPr>
              <w:t>10.000 words in total including an Ethics form (to be given in on January 11</w:t>
            </w:r>
            <w:proofErr w:type="spellStart"/>
            <w:r>
              <w:rPr>
                <w:rFonts w:ascii="Arial" w:hAnsi="Arial" w:cs="Arial"/>
                <w:b/>
                <w:bCs/>
                <w:position w:val="10"/>
                <w:sz w:val="14"/>
                <w:szCs w:val="14"/>
              </w:rPr>
              <w:t>th</w:t>
            </w:r>
            <w:proofErr w:type="spellEnd"/>
            <w:r>
              <w:rPr>
                <w:rFonts w:ascii="Arial" w:hAnsi="Arial" w:cs="Arial"/>
                <w:b/>
                <w:bCs/>
                <w:position w:val="10"/>
                <w:sz w:val="14"/>
                <w:szCs w:val="14"/>
              </w:rPr>
              <w:t xml:space="preserve"> </w:t>
            </w:r>
            <w:r>
              <w:rPr>
                <w:rFonts w:ascii="Arial" w:hAnsi="Arial" w:cs="Arial"/>
                <w:b/>
                <w:bCs/>
                <w:sz w:val="22"/>
                <w:szCs w:val="22"/>
              </w:rPr>
              <w:t xml:space="preserve">2019) </w:t>
            </w:r>
          </w:p>
          <w:p w:rsidR="000E484C" w:rsidRPr="00A406E5" w:rsidRDefault="000E484C" w:rsidP="00C96C81">
            <w:pPr>
              <w:spacing w:before="120" w:after="120"/>
              <w:jc w:val="both"/>
              <w:rPr>
                <w:rFonts w:ascii="Arial" w:hAnsi="Arial" w:cs="Arial"/>
                <w:b/>
              </w:rPr>
            </w:pPr>
          </w:p>
        </w:tc>
      </w:tr>
      <w:tr w:rsidR="000E484C" w:rsidRPr="00A406E5" w:rsidTr="00C96C81">
        <w:tc>
          <w:tcPr>
            <w:tcW w:w="2093" w:type="dxa"/>
            <w:shd w:val="pct15" w:color="auto" w:fill="auto"/>
          </w:tcPr>
          <w:p w:rsidR="000E484C" w:rsidRPr="00A406E5" w:rsidRDefault="000E484C" w:rsidP="00C96C81">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rsidR="000E484C" w:rsidRDefault="000E484C" w:rsidP="00C96C81">
            <w:pPr>
              <w:pStyle w:val="NormalWeb"/>
            </w:pPr>
            <w:r>
              <w:rPr>
                <w:rFonts w:ascii="Arial" w:hAnsi="Arial" w:cs="Arial"/>
                <w:b/>
                <w:bCs/>
                <w:sz w:val="22"/>
                <w:szCs w:val="22"/>
              </w:rPr>
              <w:t>May 13</w:t>
            </w:r>
            <w:proofErr w:type="spellStart"/>
            <w:r>
              <w:rPr>
                <w:rFonts w:ascii="Arial" w:hAnsi="Arial" w:cs="Arial"/>
                <w:b/>
                <w:bCs/>
                <w:position w:val="10"/>
                <w:sz w:val="14"/>
                <w:szCs w:val="14"/>
              </w:rPr>
              <w:t>th</w:t>
            </w:r>
            <w:proofErr w:type="spellEnd"/>
            <w:r>
              <w:rPr>
                <w:rFonts w:ascii="Arial" w:hAnsi="Arial" w:cs="Arial"/>
                <w:b/>
                <w:bCs/>
                <w:position w:val="10"/>
                <w:sz w:val="14"/>
                <w:szCs w:val="14"/>
              </w:rPr>
              <w:t xml:space="preserve"> </w:t>
            </w:r>
            <w:r>
              <w:rPr>
                <w:rFonts w:ascii="Arial" w:hAnsi="Arial" w:cs="Arial"/>
                <w:b/>
                <w:bCs/>
                <w:sz w:val="22"/>
                <w:szCs w:val="22"/>
              </w:rPr>
              <w:t xml:space="preserve">2019 </w:t>
            </w:r>
          </w:p>
          <w:p w:rsidR="000E484C" w:rsidRPr="00A406E5" w:rsidRDefault="000E484C" w:rsidP="00C96C81">
            <w:pPr>
              <w:spacing w:before="120" w:after="120"/>
              <w:jc w:val="both"/>
              <w:rPr>
                <w:rFonts w:ascii="Arial" w:hAnsi="Arial" w:cs="Arial"/>
                <w:b/>
              </w:rPr>
            </w:pPr>
          </w:p>
        </w:tc>
        <w:tc>
          <w:tcPr>
            <w:tcW w:w="2268" w:type="dxa"/>
            <w:shd w:val="pct15" w:color="auto" w:fill="auto"/>
          </w:tcPr>
          <w:p w:rsidR="000E484C" w:rsidRPr="00A406E5" w:rsidRDefault="000E484C" w:rsidP="00C96C81">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rsidR="000E484C" w:rsidRDefault="000E484C" w:rsidP="00C96C81">
            <w:pPr>
              <w:pStyle w:val="NormalWeb"/>
            </w:pPr>
            <w:r>
              <w:rPr>
                <w:rFonts w:ascii="Arial" w:hAnsi="Arial" w:cs="Arial"/>
                <w:b/>
                <w:bCs/>
                <w:sz w:val="22"/>
                <w:szCs w:val="22"/>
              </w:rPr>
              <w:t>June 10</w:t>
            </w:r>
            <w:proofErr w:type="spellStart"/>
            <w:r>
              <w:rPr>
                <w:rFonts w:ascii="Arial" w:hAnsi="Arial" w:cs="Arial"/>
                <w:b/>
                <w:bCs/>
                <w:position w:val="10"/>
                <w:sz w:val="14"/>
                <w:szCs w:val="14"/>
              </w:rPr>
              <w:t>th</w:t>
            </w:r>
            <w:proofErr w:type="spellEnd"/>
            <w:r>
              <w:rPr>
                <w:rFonts w:ascii="Arial" w:hAnsi="Arial" w:cs="Arial"/>
                <w:b/>
                <w:bCs/>
                <w:position w:val="10"/>
                <w:sz w:val="14"/>
                <w:szCs w:val="14"/>
              </w:rPr>
              <w:t xml:space="preserve"> </w:t>
            </w:r>
            <w:r>
              <w:rPr>
                <w:rFonts w:ascii="Arial" w:hAnsi="Arial" w:cs="Arial"/>
                <w:b/>
                <w:bCs/>
                <w:sz w:val="22"/>
                <w:szCs w:val="22"/>
              </w:rPr>
              <w:t xml:space="preserve">2019 </w:t>
            </w:r>
          </w:p>
          <w:p w:rsidR="000E484C" w:rsidRPr="00A406E5" w:rsidRDefault="000E484C" w:rsidP="00C96C81">
            <w:pPr>
              <w:spacing w:before="120" w:after="120"/>
              <w:jc w:val="both"/>
              <w:rPr>
                <w:rFonts w:ascii="Arial" w:hAnsi="Arial" w:cs="Arial"/>
                <w:b/>
              </w:rPr>
            </w:pPr>
          </w:p>
        </w:tc>
      </w:tr>
      <w:tr w:rsidR="000E484C" w:rsidRPr="00A406E5" w:rsidTr="00C96C81">
        <w:tc>
          <w:tcPr>
            <w:tcW w:w="2093" w:type="dxa"/>
            <w:shd w:val="pct15" w:color="auto" w:fill="auto"/>
          </w:tcPr>
          <w:p w:rsidR="000E484C" w:rsidRPr="00A406E5" w:rsidRDefault="000E484C" w:rsidP="00C96C81">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000E484C" w:rsidRPr="00A406E5" w:rsidRDefault="000E484C" w:rsidP="00C96C81">
            <w:pPr>
              <w:rPr>
                <w:rFonts w:ascii="Arial" w:hAnsi="Arial" w:cs="Arial"/>
              </w:rPr>
            </w:pPr>
            <w:r w:rsidRPr="00A406E5">
              <w:rPr>
                <w:rFonts w:ascii="Arial" w:hAnsi="Arial" w:cs="Arial"/>
              </w:rPr>
              <w:t xml:space="preserve">All written assessments, where practical and possible, must be submitted via </w:t>
            </w:r>
            <w:proofErr w:type="spellStart"/>
            <w:r w:rsidRPr="00A406E5">
              <w:rPr>
                <w:rFonts w:ascii="Arial" w:hAnsi="Arial" w:cs="Arial"/>
              </w:rPr>
              <w:t>Turnitin</w:t>
            </w:r>
            <w:proofErr w:type="spellEnd"/>
            <w:r w:rsidRPr="00A406E5">
              <w:rPr>
                <w:rFonts w:ascii="Arial" w:hAnsi="Arial" w:cs="Arial"/>
              </w:rPr>
              <w:t xml:space="preserve"> unless otherwise instructed by the Lecturer. (Please DO NOT put this assessment specification into </w:t>
            </w:r>
            <w:proofErr w:type="spellStart"/>
            <w:r w:rsidRPr="00A406E5">
              <w:rPr>
                <w:rFonts w:ascii="Arial" w:hAnsi="Arial" w:cs="Arial"/>
              </w:rPr>
              <w:t>Turnitin</w:t>
            </w:r>
            <w:proofErr w:type="spellEnd"/>
            <w:r w:rsidRPr="00A406E5">
              <w:rPr>
                <w:rFonts w:ascii="Arial" w:hAnsi="Arial" w:cs="Arial"/>
              </w:rPr>
              <w:t xml:space="preserve"> or it will match many similarities with other students’ submissions.)</w:t>
            </w:r>
          </w:p>
          <w:p w:rsidR="000E484C" w:rsidRPr="00A406E5" w:rsidRDefault="000E484C" w:rsidP="00C96C81">
            <w:pPr>
              <w:spacing w:before="120" w:after="120"/>
              <w:jc w:val="both"/>
              <w:rPr>
                <w:rFonts w:ascii="Arial" w:hAnsi="Arial" w:cs="Arial"/>
                <w:b/>
              </w:rPr>
            </w:pPr>
            <w:r w:rsidRPr="00A406E5">
              <w:rPr>
                <w:rFonts w:ascii="Arial" w:hAnsi="Arial" w:cs="Arial"/>
                <w:b/>
              </w:rPr>
              <w:t xml:space="preserve">Alternative submission method (if applicable): </w:t>
            </w:r>
          </w:p>
          <w:p w:rsidR="000E484C" w:rsidRPr="00A406E5" w:rsidRDefault="000E484C" w:rsidP="00C96C81">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0E484C" w:rsidRPr="00A406E5" w:rsidTr="00C96C81">
        <w:tc>
          <w:tcPr>
            <w:tcW w:w="2093" w:type="dxa"/>
            <w:shd w:val="pct15" w:color="auto" w:fill="auto"/>
          </w:tcPr>
          <w:p w:rsidR="000E484C" w:rsidRPr="00A406E5" w:rsidRDefault="000E484C" w:rsidP="00C96C81">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rsidR="000E484C" w:rsidRPr="00A406E5" w:rsidRDefault="000E484C" w:rsidP="00C96C81">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rsidR="000E484C" w:rsidRDefault="000E484C" w:rsidP="00F95B6A">
      <w:pPr>
        <w:jc w:val="center"/>
        <w:rPr>
          <w:rFonts w:ascii="Arial" w:hAnsi="Arial" w:cs="Arial"/>
          <w:b/>
          <w:color w:val="000000" w:themeColor="text1"/>
        </w:rPr>
      </w:pPr>
    </w:p>
    <w:p w:rsidR="007B7370" w:rsidRPr="00F95B6A" w:rsidRDefault="00990913" w:rsidP="00F95B6A">
      <w:pPr>
        <w:jc w:val="center"/>
        <w:rPr>
          <w:rFonts w:ascii="Arial" w:hAnsi="Arial" w:cs="Arial"/>
          <w:b/>
          <w:color w:val="000000" w:themeColor="text1"/>
        </w:rPr>
      </w:pPr>
      <w:r w:rsidRPr="00F95B6A">
        <w:rPr>
          <w:rFonts w:ascii="Arial" w:hAnsi="Arial" w:cs="Arial"/>
          <w:b/>
          <w:color w:val="000000" w:themeColor="text1"/>
        </w:rPr>
        <w:lastRenderedPageBreak/>
        <w:t>‘Assessing the impact</w:t>
      </w:r>
      <w:r w:rsidR="0070007C" w:rsidRPr="00F95B6A">
        <w:rPr>
          <w:rFonts w:ascii="Arial" w:hAnsi="Arial" w:cs="Arial"/>
          <w:b/>
          <w:color w:val="000000" w:themeColor="text1"/>
        </w:rPr>
        <w:t>s and effectiveness</w:t>
      </w:r>
      <w:r w:rsidRPr="00F95B6A">
        <w:rPr>
          <w:rFonts w:ascii="Arial" w:hAnsi="Arial" w:cs="Arial"/>
          <w:b/>
          <w:color w:val="000000" w:themeColor="text1"/>
        </w:rPr>
        <w:t xml:space="preserve"> of peer assessment on the </w:t>
      </w:r>
      <w:r w:rsidR="00BB6F9E" w:rsidRPr="00F95B6A">
        <w:rPr>
          <w:rFonts w:ascii="Arial" w:hAnsi="Arial" w:cs="Arial"/>
          <w:b/>
          <w:color w:val="000000" w:themeColor="text1"/>
        </w:rPr>
        <w:t xml:space="preserve">understanding and </w:t>
      </w:r>
      <w:r w:rsidR="00F95B6A" w:rsidRPr="00F95B6A">
        <w:rPr>
          <w:rFonts w:ascii="Arial" w:hAnsi="Arial" w:cs="Arial"/>
          <w:b/>
          <w:color w:val="000000" w:themeColor="text1"/>
        </w:rPr>
        <w:t>progress of Year 8 learners.’</w:t>
      </w:r>
    </w:p>
    <w:p w:rsidR="003517A9" w:rsidRPr="007B7370" w:rsidRDefault="007B7370" w:rsidP="00990913">
      <w:pPr>
        <w:rPr>
          <w:b/>
          <w:u w:val="single"/>
        </w:rPr>
      </w:pPr>
      <w:r w:rsidRPr="007B7370">
        <w:rPr>
          <w:b/>
          <w:u w:val="single"/>
        </w:rPr>
        <w:t>Introduction</w:t>
      </w:r>
    </w:p>
    <w:p w:rsidR="00990913" w:rsidRDefault="00990913" w:rsidP="00990913">
      <w:r>
        <w:t>The research outlined in this paper explores the effectiveness of peer-assessment on the progress of a Year 8 class</w:t>
      </w:r>
      <w:r w:rsidR="000527EA">
        <w:t xml:space="preserve"> from School X</w:t>
      </w:r>
      <w:r>
        <w:t xml:space="preserve">. Peer-assessment was chosen as the research topic based on targets outlined in both the school’s School Improvement Plan [SIP] and the Departmental Improvement Plan [DIP]. There was a school wide initiative to develop Assessment for Learning [AFL] within the classroom and during initial observations it was clear that this element of learning was lacking within some classrooms. As PTE1 progressed, it became evident that a concerted effort was being made to incorporate AFL seamlessly into lessons across all subject areas. The school’s existing peer-assessment strategies simply involved ticking or crossing answers and making spelling, punctuation and grammar [SPAG] corrections in a red pen. Although some teachers encouraged peer-led target setting, it often lacked meaning. Some evidence of feedback left included comments such as “try to add another sentence” or “you need more detail” which arguably were of no relevance to the tasks set. Based on these factors, for the research, it was decided that a structured and guided approach to peer-assessment would be taken. This was not only because it may have been the learners first time partaking in this type of peer-assessment but in the hope that, through the structuring, clear targets were set allowing progress to be made. </w:t>
      </w:r>
    </w:p>
    <w:p w:rsidR="000E484C" w:rsidRDefault="00990913">
      <w:pPr>
        <w:rPr>
          <w:color w:val="000000" w:themeColor="text1"/>
        </w:rPr>
      </w:pPr>
      <w:r>
        <w:t>The class used for the research was chosen based on their position along the scheme of work as it made both logical and chronological sense to test at this point. Timing also played a part in the decision making process; after returning to PTE1 in February 2019 there was only a short amount of teaching time left before the completion of the placement. There were enough lessons with this particular class left in the placement for the pre and post diagnostic testing (with time to reflect and revise) to be rolled out effectively. The Year 8 mixed ability class of twenty seven learners included five more able and talented [MAT] learners and three learners entitled to free school meals [</w:t>
      </w:r>
      <w:proofErr w:type="spellStart"/>
      <w:r>
        <w:t>eFSM</w:t>
      </w:r>
      <w:proofErr w:type="spellEnd"/>
      <w:r>
        <w:t xml:space="preserve">]. Nine learners with special educational needs [SEN] were also part of the class and as a result they were further supported by a teaching assistant/learning support assistant. The special educational needs of the class included general learning difficulties, dyslexia, autistic spectrum disorder, physical and/or medical difficulties and speech language and communication difficulties. Although a high proportion of this particular class had special educational needs, the school as a whole, statistically falls below the national average for both SEN and </w:t>
      </w:r>
      <w:proofErr w:type="spellStart"/>
      <w:r>
        <w:t>eFSM</w:t>
      </w:r>
      <w:proofErr w:type="spellEnd"/>
      <w:r>
        <w:t xml:space="preserve">. The school, which will be named ‘School X’ </w:t>
      </w:r>
      <w:r w:rsidRPr="005461C9">
        <w:rPr>
          <w:color w:val="000000" w:themeColor="text1"/>
        </w:rPr>
        <w:t xml:space="preserve">for anonymity purposes, is an English medium 11-19 secondary school in Wales (Welsh Government, 2018). The co-educational school has 871 pupils and upwards of seventy staff. In the 2018 Estyn report, the school received a combination of good and excellent judgements, and was praised particularly for its approaches to ‘wellbeing and attitudes to learning’ and ‘care, support and guidance’ (Estyn, 2018). The report also recommended </w:t>
      </w:r>
      <w:r>
        <w:rPr>
          <w:color w:val="000000" w:themeColor="text1"/>
        </w:rPr>
        <w:t xml:space="preserve">that the variation in the quality of assessment was reduced (Estyn, 2018). This again, supported the reasoning for choosing to research and deploy a method of AFL; as the use of effective AFL within the classroom largely informs </w:t>
      </w:r>
      <w:r w:rsidR="00255E40">
        <w:rPr>
          <w:color w:val="000000" w:themeColor="text1"/>
        </w:rPr>
        <w:t xml:space="preserve">and coincides with </w:t>
      </w:r>
      <w:r>
        <w:rPr>
          <w:color w:val="000000" w:themeColor="text1"/>
        </w:rPr>
        <w:t xml:space="preserve">assessment of learning [AOL]. </w:t>
      </w:r>
    </w:p>
    <w:p w:rsidR="007B7370" w:rsidRPr="000E484C" w:rsidRDefault="007B7370">
      <w:pPr>
        <w:rPr>
          <w:color w:val="000000" w:themeColor="text1"/>
        </w:rPr>
      </w:pPr>
      <w:r w:rsidRPr="007B7370">
        <w:rPr>
          <w:b/>
          <w:color w:val="000000" w:themeColor="text1"/>
          <w:u w:val="single"/>
        </w:rPr>
        <w:t>Literature Review</w:t>
      </w:r>
    </w:p>
    <w:p w:rsidR="007B7370" w:rsidRPr="007B7370" w:rsidRDefault="007B7370">
      <w:pPr>
        <w:rPr>
          <w:b/>
          <w:u w:val="single"/>
        </w:rPr>
      </w:pPr>
      <w:r>
        <w:rPr>
          <w:b/>
          <w:color w:val="000000" w:themeColor="text1"/>
          <w:u w:val="single"/>
        </w:rPr>
        <w:t>Assessment</w:t>
      </w:r>
    </w:p>
    <w:p w:rsidR="0066703C" w:rsidRDefault="00255E40">
      <w:r>
        <w:t xml:space="preserve">Coombs (2018) suggests that the variability in teachers’ approaches to assessment results in different learning cultures for students. Coombs (2018) outlines that historically, classroom cultures prioritized more traditional and summative approaches to assessment designed to grade, rank and benchmark student levels of understanding. Although alternative methods have become more </w:t>
      </w:r>
      <w:r>
        <w:lastRenderedPageBreak/>
        <w:t xml:space="preserve">popular (as well as required) in some countries over recent years, teachers being answerable for the results and grades of their students has resulted in some cases, a reluctance to move away from </w:t>
      </w:r>
      <w:r w:rsidR="006B04C0" w:rsidRPr="005461C9">
        <w:rPr>
          <w:color w:val="000000" w:themeColor="text1"/>
        </w:rPr>
        <w:t xml:space="preserve">these </w:t>
      </w:r>
      <w:r w:rsidRPr="005461C9">
        <w:rPr>
          <w:color w:val="000000" w:themeColor="text1"/>
        </w:rPr>
        <w:t>accountability driven</w:t>
      </w:r>
      <w:r w:rsidR="006B04C0" w:rsidRPr="005461C9">
        <w:rPr>
          <w:color w:val="000000" w:themeColor="text1"/>
        </w:rPr>
        <w:t xml:space="preserve"> (Ruben et al.</w:t>
      </w:r>
      <w:r w:rsidR="007B7370">
        <w:rPr>
          <w:color w:val="000000" w:themeColor="text1"/>
        </w:rPr>
        <w:t>,</w:t>
      </w:r>
      <w:r w:rsidR="006B04C0" w:rsidRPr="005461C9">
        <w:rPr>
          <w:color w:val="000000" w:themeColor="text1"/>
        </w:rPr>
        <w:t xml:space="preserve"> 2004)(Coombs, 2018)</w:t>
      </w:r>
      <w:r w:rsidRPr="005461C9">
        <w:rPr>
          <w:color w:val="000000" w:themeColor="text1"/>
        </w:rPr>
        <w:t xml:space="preserve"> traditional assessments</w:t>
      </w:r>
      <w:r w:rsidR="006B04C0" w:rsidRPr="005461C9">
        <w:rPr>
          <w:color w:val="000000" w:themeColor="text1"/>
        </w:rPr>
        <w:t xml:space="preserve"> (</w:t>
      </w:r>
      <w:proofErr w:type="spellStart"/>
      <w:r w:rsidR="006B04C0" w:rsidRPr="005461C9">
        <w:rPr>
          <w:color w:val="000000" w:themeColor="text1"/>
        </w:rPr>
        <w:t>Dikli</w:t>
      </w:r>
      <w:proofErr w:type="spellEnd"/>
      <w:r w:rsidR="006B04C0" w:rsidRPr="005461C9">
        <w:rPr>
          <w:color w:val="000000" w:themeColor="text1"/>
        </w:rPr>
        <w:t>, 2003)</w:t>
      </w:r>
      <w:r w:rsidRPr="005461C9">
        <w:rPr>
          <w:color w:val="000000" w:themeColor="text1"/>
        </w:rPr>
        <w:t>.</w:t>
      </w:r>
      <w:r w:rsidR="006B04C0" w:rsidRPr="005461C9">
        <w:rPr>
          <w:color w:val="000000" w:themeColor="text1"/>
        </w:rPr>
        <w:t xml:space="preserve"> Black and </w:t>
      </w:r>
      <w:proofErr w:type="spellStart"/>
      <w:r w:rsidR="006B04C0" w:rsidRPr="005461C9">
        <w:rPr>
          <w:color w:val="000000" w:themeColor="text1"/>
        </w:rPr>
        <w:t>Wiliam</w:t>
      </w:r>
      <w:proofErr w:type="spellEnd"/>
      <w:r w:rsidR="006B04C0" w:rsidRPr="005461C9">
        <w:rPr>
          <w:color w:val="000000" w:themeColor="text1"/>
        </w:rPr>
        <w:t xml:space="preserve"> (1998) also </w:t>
      </w:r>
      <w:r w:rsidR="006B04C0">
        <w:t xml:space="preserve">outline the dangers in prioritising standards and accountability above teaching and learning whereby the direction that teachers need in their quest to improve/make progress is lost. Traditional methods of assessment largely focus on testing and </w:t>
      </w:r>
      <w:proofErr w:type="spellStart"/>
      <w:r w:rsidR="006B04C0">
        <w:t>Dikli</w:t>
      </w:r>
      <w:proofErr w:type="spellEnd"/>
      <w:r w:rsidR="006B04C0">
        <w:t xml:space="preserve"> (2003) puts forward the argument that in fact, assessment and testing are not the same and considerably different from one another. Testing is a formal and standardized (</w:t>
      </w:r>
      <w:proofErr w:type="spellStart"/>
      <w:r w:rsidR="006B04C0">
        <w:t>Dikli</w:t>
      </w:r>
      <w:proofErr w:type="spellEnd"/>
      <w:r w:rsidR="006B04C0">
        <w:t>, 2003) singly occurring, one-dimensional, timed task</w:t>
      </w:r>
      <w:r w:rsidR="006B04C0" w:rsidRPr="00420A75">
        <w:rPr>
          <w:color w:val="000000" w:themeColor="text1"/>
        </w:rPr>
        <w:t xml:space="preserve"> (Mitchell, 1992</w:t>
      </w:r>
      <w:r w:rsidR="00420A75" w:rsidRPr="00420A75">
        <w:rPr>
          <w:color w:val="000000" w:themeColor="text1"/>
        </w:rPr>
        <w:t xml:space="preserve"> in Law and </w:t>
      </w:r>
      <w:proofErr w:type="spellStart"/>
      <w:r w:rsidR="00420A75" w:rsidRPr="00420A75">
        <w:rPr>
          <w:color w:val="000000" w:themeColor="text1"/>
        </w:rPr>
        <w:t>Eckes</w:t>
      </w:r>
      <w:proofErr w:type="spellEnd"/>
      <w:r w:rsidR="00420A75" w:rsidRPr="00420A75">
        <w:rPr>
          <w:color w:val="000000" w:themeColor="text1"/>
        </w:rPr>
        <w:t xml:space="preserve"> 1995</w:t>
      </w:r>
      <w:r w:rsidR="006B04C0" w:rsidRPr="00420A75">
        <w:rPr>
          <w:color w:val="000000" w:themeColor="text1"/>
        </w:rPr>
        <w:t>)</w:t>
      </w:r>
      <w:r w:rsidR="00E421A3">
        <w:rPr>
          <w:color w:val="000000" w:themeColor="text1"/>
        </w:rPr>
        <w:t>. A</w:t>
      </w:r>
      <w:r w:rsidR="006B04C0">
        <w:rPr>
          <w:color w:val="000000" w:themeColor="text1"/>
        </w:rPr>
        <w:t>ssessment is based on what the students know and are able to do (</w:t>
      </w:r>
      <w:proofErr w:type="spellStart"/>
      <w:r w:rsidR="006B04C0">
        <w:rPr>
          <w:color w:val="000000" w:themeColor="text1"/>
        </w:rPr>
        <w:t>Dikli</w:t>
      </w:r>
      <w:proofErr w:type="spellEnd"/>
      <w:r w:rsidR="006B04C0">
        <w:rPr>
          <w:color w:val="000000" w:themeColor="text1"/>
        </w:rPr>
        <w:t xml:space="preserve">, 2003) where a method is used to understand the current position and knowledge of </w:t>
      </w:r>
      <w:r w:rsidR="006B04C0" w:rsidRPr="00420A75">
        <w:rPr>
          <w:color w:val="000000" w:themeColor="text1"/>
        </w:rPr>
        <w:t>a learner (</w:t>
      </w:r>
      <w:proofErr w:type="spellStart"/>
      <w:r w:rsidR="00420A75" w:rsidRPr="00420A75">
        <w:rPr>
          <w:color w:val="000000" w:themeColor="text1"/>
        </w:rPr>
        <w:t>Dietel</w:t>
      </w:r>
      <w:proofErr w:type="spellEnd"/>
      <w:r w:rsidR="00420A75" w:rsidRPr="00420A75">
        <w:rPr>
          <w:color w:val="000000" w:themeColor="text1"/>
        </w:rPr>
        <w:t xml:space="preserve"> et al</w:t>
      </w:r>
      <w:r w:rsidR="007B7370">
        <w:rPr>
          <w:color w:val="000000" w:themeColor="text1"/>
        </w:rPr>
        <w:t>.</w:t>
      </w:r>
      <w:r w:rsidR="006B04C0" w:rsidRPr="00420A75">
        <w:rPr>
          <w:color w:val="000000" w:themeColor="text1"/>
        </w:rPr>
        <w:t xml:space="preserve">, 1991). In </w:t>
      </w:r>
      <w:r w:rsidR="006B04C0">
        <w:rPr>
          <w:color w:val="000000" w:themeColor="text1"/>
        </w:rPr>
        <w:t xml:space="preserve">support of </w:t>
      </w:r>
      <w:r w:rsidR="006B04C0" w:rsidRPr="00950C16">
        <w:rPr>
          <w:color w:val="000000" w:themeColor="text1"/>
        </w:rPr>
        <w:t xml:space="preserve">this Travis (1996) </w:t>
      </w:r>
      <w:r w:rsidR="006B04C0">
        <w:t xml:space="preserve">outlines that if students are only being tested to establish grades and to communicate the accountability of teachers/schools/institutes then many evaluative outcomes are ignored. Although Travis (1996) asserts that as long as traditional testing is used singularly we will have an incomplete measure of ability, </w:t>
      </w:r>
      <w:r w:rsidR="005461C9" w:rsidRPr="005461C9">
        <w:rPr>
          <w:color w:val="000000" w:themeColor="text1"/>
        </w:rPr>
        <w:t>Bloom</w:t>
      </w:r>
      <w:r w:rsidR="00E11FA4">
        <w:rPr>
          <w:color w:val="000000" w:themeColor="text1"/>
        </w:rPr>
        <w:t xml:space="preserve"> et al</w:t>
      </w:r>
      <w:r w:rsidR="007B7370">
        <w:rPr>
          <w:color w:val="000000" w:themeColor="text1"/>
        </w:rPr>
        <w:t>.</w:t>
      </w:r>
      <w:r w:rsidR="00E11FA4">
        <w:rPr>
          <w:color w:val="000000" w:themeColor="text1"/>
        </w:rPr>
        <w:t xml:space="preserve"> (1971</w:t>
      </w:r>
      <w:r w:rsidR="006B04C0" w:rsidRPr="005461C9">
        <w:rPr>
          <w:color w:val="000000" w:themeColor="text1"/>
        </w:rPr>
        <w:t xml:space="preserve">), </w:t>
      </w:r>
      <w:proofErr w:type="spellStart"/>
      <w:r w:rsidR="006B04C0" w:rsidRPr="00950C16">
        <w:rPr>
          <w:color w:val="000000" w:themeColor="text1"/>
        </w:rPr>
        <w:t>Wiliam</w:t>
      </w:r>
      <w:proofErr w:type="spellEnd"/>
      <w:r w:rsidR="006B04C0" w:rsidRPr="00950C16">
        <w:rPr>
          <w:color w:val="000000" w:themeColor="text1"/>
        </w:rPr>
        <w:t xml:space="preserve"> (2011) and </w:t>
      </w:r>
      <w:proofErr w:type="spellStart"/>
      <w:r w:rsidR="006B04C0" w:rsidRPr="00183B39">
        <w:rPr>
          <w:color w:val="000000" w:themeColor="text1"/>
        </w:rPr>
        <w:t>Guskey</w:t>
      </w:r>
      <w:proofErr w:type="spellEnd"/>
      <w:r w:rsidR="006B04C0" w:rsidRPr="00183B39">
        <w:rPr>
          <w:color w:val="000000" w:themeColor="text1"/>
        </w:rPr>
        <w:t xml:space="preserve"> (2010) </w:t>
      </w:r>
      <w:r w:rsidR="006B04C0">
        <w:t>argue that there is a place for testing as a method of assessment</w:t>
      </w:r>
      <w:r w:rsidR="00FD5EA4">
        <w:t xml:space="preserve"> (if they are regarded on an individual basis) </w:t>
      </w:r>
      <w:r w:rsidR="006B04C0">
        <w:t xml:space="preserve">as it identifies errors immediately and allows a teacher to provide clarification and further follow up if necessary. In these instances, it is the feedback that allows testing to become meaningful assessment and it is this combination that has been used for the research, with the addition of peer-assessment in place of teacher-assessment to find out if this form of assessment works at both levels. </w:t>
      </w:r>
    </w:p>
    <w:p w:rsidR="0028527A" w:rsidRDefault="0066703C">
      <w:pPr>
        <w:rPr>
          <w:rFonts w:ascii="Arial" w:hAnsi="Arial" w:cs="Arial"/>
          <w:color w:val="222222"/>
          <w:sz w:val="20"/>
          <w:szCs w:val="20"/>
          <w:shd w:val="clear" w:color="auto" w:fill="FFFFFF"/>
        </w:rPr>
      </w:pPr>
      <w:r>
        <w:t xml:space="preserve">It is commonly assumed that summative assessment (i.e. testing and examinations) is a key source of motivation </w:t>
      </w:r>
      <w:r w:rsidRPr="00E13853">
        <w:rPr>
          <w:color w:val="000000" w:themeColor="text1"/>
        </w:rPr>
        <w:t xml:space="preserve">in </w:t>
      </w:r>
      <w:proofErr w:type="gramStart"/>
      <w:r w:rsidRPr="00E13853">
        <w:rPr>
          <w:color w:val="000000" w:themeColor="text1"/>
        </w:rPr>
        <w:t>learning</w:t>
      </w:r>
      <w:proofErr w:type="gramEnd"/>
      <w:r w:rsidRPr="00E13853">
        <w:rPr>
          <w:color w:val="000000" w:themeColor="text1"/>
        </w:rPr>
        <w:t xml:space="preserve"> (</w:t>
      </w:r>
      <w:proofErr w:type="spellStart"/>
      <w:r w:rsidRPr="00E13853">
        <w:rPr>
          <w:color w:val="000000" w:themeColor="text1"/>
        </w:rPr>
        <w:t>Harlen</w:t>
      </w:r>
      <w:proofErr w:type="spellEnd"/>
      <w:r w:rsidRPr="00E13853">
        <w:rPr>
          <w:color w:val="000000" w:themeColor="text1"/>
        </w:rPr>
        <w:t xml:space="preserve"> et al, 2002). Contrary </w:t>
      </w:r>
      <w:r>
        <w:rPr>
          <w:color w:val="000000" w:themeColor="text1"/>
        </w:rPr>
        <w:t>to these ideas</w:t>
      </w:r>
      <w:r w:rsidRPr="00271CA9">
        <w:rPr>
          <w:color w:val="000000" w:themeColor="text1"/>
        </w:rPr>
        <w:t xml:space="preserve">, Crooks (1988), whilst </w:t>
      </w:r>
      <w:r>
        <w:rPr>
          <w:color w:val="000000" w:themeColor="text1"/>
        </w:rPr>
        <w:t xml:space="preserve">agreeing in some senses that this type of assessment did raise standards and motivation also noted the detrimental effects test-anxiety can have on achievement. Any negative impact on motivation for learning is seen as undesirable and </w:t>
      </w:r>
      <w:proofErr w:type="spellStart"/>
      <w:r>
        <w:rPr>
          <w:color w:val="000000" w:themeColor="text1"/>
        </w:rPr>
        <w:t>Harlen</w:t>
      </w:r>
      <w:proofErr w:type="spellEnd"/>
      <w:r>
        <w:rPr>
          <w:color w:val="000000" w:themeColor="text1"/>
        </w:rPr>
        <w:t xml:space="preserve"> et al. (2002) highlight the relationship between rising test scores and negative outcomes which may have consequences for the learners of the current generation. More able and traditionally ‘academic’</w:t>
      </w:r>
      <w:r w:rsidR="00257F30">
        <w:rPr>
          <w:color w:val="000000" w:themeColor="text1"/>
        </w:rPr>
        <w:t xml:space="preserve"> learners who attribute success to ability are likely to better respond to summative assessment and will deal with failure </w:t>
      </w:r>
      <w:r w:rsidR="00257F30" w:rsidRPr="00E13853">
        <w:rPr>
          <w:color w:val="000000" w:themeColor="text1"/>
        </w:rPr>
        <w:t xml:space="preserve">constructively </w:t>
      </w:r>
      <w:r w:rsidR="00271CA9">
        <w:rPr>
          <w:color w:val="000000" w:themeColor="text1"/>
        </w:rPr>
        <w:t>(</w:t>
      </w:r>
      <w:proofErr w:type="spellStart"/>
      <w:r w:rsidR="00271CA9">
        <w:rPr>
          <w:color w:val="000000" w:themeColor="text1"/>
        </w:rPr>
        <w:t>Schunk</w:t>
      </w:r>
      <w:proofErr w:type="spellEnd"/>
      <w:r w:rsidR="00271CA9">
        <w:rPr>
          <w:color w:val="000000" w:themeColor="text1"/>
        </w:rPr>
        <w:t>, 1991</w:t>
      </w:r>
      <w:r w:rsidR="00257F30" w:rsidRPr="00E13853">
        <w:rPr>
          <w:color w:val="000000" w:themeColor="text1"/>
        </w:rPr>
        <w:t xml:space="preserve">). </w:t>
      </w:r>
      <w:r w:rsidR="00257F30">
        <w:rPr>
          <w:color w:val="000000" w:themeColor="text1"/>
        </w:rPr>
        <w:t xml:space="preserve">Lower able and less confident learners are therefore more likely to respond to summative assessment negatively as low self-esteem </w:t>
      </w:r>
      <w:r w:rsidR="00257F30" w:rsidRPr="00E13853">
        <w:rPr>
          <w:color w:val="000000" w:themeColor="text1"/>
        </w:rPr>
        <w:t>allows them to see only what they cannot do, rather than what they can do and what needs improving (Rigby et al</w:t>
      </w:r>
      <w:r w:rsidR="007B7370">
        <w:rPr>
          <w:color w:val="000000" w:themeColor="text1"/>
        </w:rPr>
        <w:t>.</w:t>
      </w:r>
      <w:r w:rsidR="00257F30" w:rsidRPr="00E13853">
        <w:rPr>
          <w:color w:val="000000" w:themeColor="text1"/>
        </w:rPr>
        <w:t xml:space="preserve">, 1992). </w:t>
      </w:r>
      <w:r w:rsidR="00257F30">
        <w:rPr>
          <w:color w:val="000000" w:themeColor="text1"/>
        </w:rPr>
        <w:t xml:space="preserve">An alternative approach to motivate learners </w:t>
      </w:r>
      <w:r w:rsidR="00C45408" w:rsidRPr="00E13853">
        <w:rPr>
          <w:color w:val="000000" w:themeColor="text1"/>
        </w:rPr>
        <w:t>investigated</w:t>
      </w:r>
      <w:r w:rsidR="00257F30" w:rsidRPr="00E13853">
        <w:rPr>
          <w:color w:val="000000" w:themeColor="text1"/>
        </w:rPr>
        <w:t xml:space="preserve"> by Kohn (1993) is</w:t>
      </w:r>
      <w:r w:rsidR="00964EBB">
        <w:rPr>
          <w:color w:val="000000" w:themeColor="text1"/>
        </w:rPr>
        <w:t xml:space="preserve"> by</w:t>
      </w:r>
      <w:r w:rsidR="00257F30" w:rsidRPr="00E13853">
        <w:rPr>
          <w:color w:val="000000" w:themeColor="text1"/>
        </w:rPr>
        <w:t xml:space="preserve"> </w:t>
      </w:r>
      <w:r w:rsidR="00257F30">
        <w:rPr>
          <w:color w:val="000000" w:themeColor="text1"/>
        </w:rPr>
        <w:t>rewarding</w:t>
      </w:r>
      <w:r w:rsidR="00964EBB">
        <w:rPr>
          <w:color w:val="000000" w:themeColor="text1"/>
        </w:rPr>
        <w:t xml:space="preserve"> them</w:t>
      </w:r>
      <w:r w:rsidR="00257F30">
        <w:rPr>
          <w:color w:val="000000" w:themeColor="text1"/>
        </w:rPr>
        <w:t xml:space="preserve">. After conducting experimental studies </w:t>
      </w:r>
      <w:r w:rsidR="00C45408">
        <w:rPr>
          <w:color w:val="000000" w:themeColor="text1"/>
        </w:rPr>
        <w:t xml:space="preserve">Kohn (1993) </w:t>
      </w:r>
      <w:r w:rsidR="00533827">
        <w:rPr>
          <w:color w:val="000000" w:themeColor="text1"/>
        </w:rPr>
        <w:t>argued that rewarding was one of the most beneficial ways of evoking motivation. However, in some instances the attention of the learner becomes solely and narrowly focussed on the reward itself and</w:t>
      </w:r>
      <w:r w:rsidR="00E421A3">
        <w:rPr>
          <w:color w:val="000000" w:themeColor="text1"/>
        </w:rPr>
        <w:t xml:space="preserve"> only</w:t>
      </w:r>
      <w:r w:rsidR="00533827">
        <w:rPr>
          <w:color w:val="000000" w:themeColor="text1"/>
        </w:rPr>
        <w:t xml:space="preserve"> what needs to be done to get it (</w:t>
      </w:r>
      <w:proofErr w:type="spellStart"/>
      <w:r w:rsidR="00533827">
        <w:rPr>
          <w:color w:val="000000" w:themeColor="text1"/>
        </w:rPr>
        <w:t>Harle</w:t>
      </w:r>
      <w:r w:rsidR="00271CA9">
        <w:rPr>
          <w:color w:val="000000" w:themeColor="text1"/>
        </w:rPr>
        <w:t>n</w:t>
      </w:r>
      <w:proofErr w:type="spellEnd"/>
      <w:r w:rsidR="00271CA9">
        <w:rPr>
          <w:color w:val="000000" w:themeColor="text1"/>
        </w:rPr>
        <w:t xml:space="preserve"> et al</w:t>
      </w:r>
      <w:r w:rsidR="007B7370">
        <w:rPr>
          <w:color w:val="000000" w:themeColor="text1"/>
        </w:rPr>
        <w:t>.</w:t>
      </w:r>
      <w:r w:rsidR="00271CA9">
        <w:rPr>
          <w:color w:val="000000" w:themeColor="text1"/>
        </w:rPr>
        <w:t>, 200</w:t>
      </w:r>
      <w:r w:rsidR="00E421A3">
        <w:rPr>
          <w:color w:val="000000" w:themeColor="text1"/>
        </w:rPr>
        <w:t>2). A</w:t>
      </w:r>
      <w:r w:rsidR="00533827">
        <w:rPr>
          <w:color w:val="000000" w:themeColor="text1"/>
        </w:rPr>
        <w:t>lthough this might work with success for some, it will not benefit all in the same way</w:t>
      </w:r>
      <w:r w:rsidR="009B04B8">
        <w:rPr>
          <w:color w:val="000000" w:themeColor="text1"/>
        </w:rPr>
        <w:t>. F</w:t>
      </w:r>
      <w:r w:rsidR="00533827">
        <w:rPr>
          <w:color w:val="000000" w:themeColor="text1"/>
        </w:rPr>
        <w:t>ailure to achieve the prize</w:t>
      </w:r>
      <w:r w:rsidR="009B04B8">
        <w:rPr>
          <w:color w:val="000000" w:themeColor="text1"/>
        </w:rPr>
        <w:t>,</w:t>
      </w:r>
      <w:r w:rsidR="00533827">
        <w:rPr>
          <w:color w:val="000000" w:themeColor="text1"/>
        </w:rPr>
        <w:t xml:space="preserve"> directly impacts learner confiden</w:t>
      </w:r>
      <w:r w:rsidR="009B04B8">
        <w:rPr>
          <w:color w:val="000000" w:themeColor="text1"/>
        </w:rPr>
        <w:t xml:space="preserve">ce; ‘Losers’ can sometimes </w:t>
      </w:r>
      <w:r w:rsidR="00533827">
        <w:rPr>
          <w:color w:val="000000" w:themeColor="text1"/>
        </w:rPr>
        <w:t>presume</w:t>
      </w:r>
      <w:r w:rsidR="009B04B8">
        <w:rPr>
          <w:color w:val="000000" w:themeColor="text1"/>
        </w:rPr>
        <w:t xml:space="preserve"> that</w:t>
      </w:r>
      <w:r w:rsidR="00533827">
        <w:rPr>
          <w:color w:val="000000" w:themeColor="text1"/>
        </w:rPr>
        <w:t xml:space="preserve"> they have little to no knowledge on the topic in question</w:t>
      </w:r>
      <w:r w:rsidR="009B04B8">
        <w:rPr>
          <w:color w:val="000000" w:themeColor="text1"/>
        </w:rPr>
        <w:t xml:space="preserve"> </w:t>
      </w:r>
      <w:r w:rsidR="00E421A3">
        <w:rPr>
          <w:color w:val="000000" w:themeColor="text1"/>
        </w:rPr>
        <w:t>(</w:t>
      </w:r>
      <w:r w:rsidR="009B04B8">
        <w:rPr>
          <w:color w:val="000000" w:themeColor="text1"/>
        </w:rPr>
        <w:t>and have ‘failed’</w:t>
      </w:r>
      <w:r w:rsidR="00E421A3">
        <w:rPr>
          <w:color w:val="000000" w:themeColor="text1"/>
        </w:rPr>
        <w:t>)</w:t>
      </w:r>
      <w:r w:rsidR="00533827">
        <w:rPr>
          <w:color w:val="000000" w:themeColor="text1"/>
        </w:rPr>
        <w:t>, when in fact</w:t>
      </w:r>
      <w:r w:rsidR="00E421A3">
        <w:rPr>
          <w:color w:val="000000" w:themeColor="text1"/>
        </w:rPr>
        <w:t>,</w:t>
      </w:r>
      <w:r w:rsidR="00533827">
        <w:rPr>
          <w:color w:val="000000" w:themeColor="text1"/>
        </w:rPr>
        <w:t xml:space="preserve"> they just</w:t>
      </w:r>
      <w:r w:rsidR="009B04B8">
        <w:rPr>
          <w:color w:val="000000" w:themeColor="text1"/>
        </w:rPr>
        <w:t xml:space="preserve"> knew/scored less than the ‘winner’</w:t>
      </w:r>
      <w:r w:rsidR="00533827">
        <w:rPr>
          <w:color w:val="000000" w:themeColor="text1"/>
        </w:rPr>
        <w:t xml:space="preserve">. </w:t>
      </w:r>
      <w:r w:rsidR="006471FF">
        <w:rPr>
          <w:color w:val="000000" w:themeColor="text1"/>
        </w:rPr>
        <w:t xml:space="preserve">In agreement </w:t>
      </w:r>
      <w:r w:rsidR="008B29D6">
        <w:rPr>
          <w:color w:val="000000" w:themeColor="text1"/>
        </w:rPr>
        <w:t>with this</w:t>
      </w:r>
      <w:r w:rsidR="008B29D6" w:rsidRPr="00EF336E">
        <w:rPr>
          <w:color w:val="000000" w:themeColor="text1"/>
        </w:rPr>
        <w:t xml:space="preserve"> Pollard et al (2000) </w:t>
      </w:r>
      <w:r w:rsidR="008B29D6">
        <w:rPr>
          <w:color w:val="000000" w:themeColor="text1"/>
        </w:rPr>
        <w:t>offer an interesting insight in support of these ideas whereby students they observed realised quickly that although effort was encouraged, it was achievement that counted. Learners with low self-esteem/test anxiety/low academic ability therefore may not participate fully or ‘try hard’ enough as they feel or know that t</w:t>
      </w:r>
      <w:r w:rsidR="00E421A3">
        <w:rPr>
          <w:color w:val="000000" w:themeColor="text1"/>
        </w:rPr>
        <w:t>hey cannot reach the end goal, which to them means; to</w:t>
      </w:r>
      <w:r w:rsidR="008B29D6">
        <w:rPr>
          <w:color w:val="000000" w:themeColor="text1"/>
        </w:rPr>
        <w:t xml:space="preserve"> achieve the reward. </w:t>
      </w:r>
      <w:r w:rsidR="00B91A14">
        <w:rPr>
          <w:color w:val="000000" w:themeColor="text1"/>
        </w:rPr>
        <w:t xml:space="preserve">Although there are many </w:t>
      </w:r>
      <w:r w:rsidR="0028527A">
        <w:rPr>
          <w:color w:val="000000" w:themeColor="text1"/>
        </w:rPr>
        <w:t xml:space="preserve">arguments for and against summative assessment, with some of </w:t>
      </w:r>
      <w:r w:rsidR="004B2915">
        <w:rPr>
          <w:color w:val="000000" w:themeColor="text1"/>
        </w:rPr>
        <w:t>it’s</w:t>
      </w:r>
      <w:r w:rsidR="0028527A">
        <w:rPr>
          <w:color w:val="000000" w:themeColor="text1"/>
        </w:rPr>
        <w:t xml:space="preserve"> more c</w:t>
      </w:r>
      <w:r w:rsidR="004B2915">
        <w:rPr>
          <w:color w:val="000000" w:themeColor="text1"/>
        </w:rPr>
        <w:t xml:space="preserve">ommonly raised issues tackled </w:t>
      </w:r>
      <w:r w:rsidR="005835A7">
        <w:rPr>
          <w:color w:val="000000" w:themeColor="text1"/>
        </w:rPr>
        <w:t>with the likes of competition (Johnson et al</w:t>
      </w:r>
      <w:r w:rsidR="007B7370">
        <w:rPr>
          <w:color w:val="000000" w:themeColor="text1"/>
        </w:rPr>
        <w:t>.</w:t>
      </w:r>
      <w:r w:rsidR="005835A7">
        <w:rPr>
          <w:color w:val="000000" w:themeColor="text1"/>
        </w:rPr>
        <w:t>, 197</w:t>
      </w:r>
      <w:r w:rsidR="00067244">
        <w:rPr>
          <w:color w:val="000000" w:themeColor="text1"/>
        </w:rPr>
        <w:t xml:space="preserve">3) and rewarding (Kohn, 1993) </w:t>
      </w:r>
      <w:r w:rsidR="00E421A3">
        <w:rPr>
          <w:color w:val="000000" w:themeColor="text1"/>
        </w:rPr>
        <w:t>(</w:t>
      </w:r>
      <w:r w:rsidR="00067244">
        <w:rPr>
          <w:color w:val="000000" w:themeColor="text1"/>
        </w:rPr>
        <w:t>which are then criticised themselves</w:t>
      </w:r>
      <w:r w:rsidR="00E421A3">
        <w:rPr>
          <w:color w:val="000000" w:themeColor="text1"/>
        </w:rPr>
        <w:t>)</w:t>
      </w:r>
      <w:r w:rsidR="00067244">
        <w:rPr>
          <w:color w:val="000000" w:themeColor="text1"/>
        </w:rPr>
        <w:t xml:space="preserve">, </w:t>
      </w:r>
      <w:r w:rsidR="00067244">
        <w:rPr>
          <w:rFonts w:ascii="Arial" w:hAnsi="Arial" w:cs="Arial"/>
          <w:color w:val="222222"/>
          <w:sz w:val="20"/>
          <w:szCs w:val="20"/>
          <w:shd w:val="clear" w:color="auto" w:fill="FFFFFF"/>
        </w:rPr>
        <w:t xml:space="preserve">Garrison and </w:t>
      </w:r>
      <w:proofErr w:type="spellStart"/>
      <w:r w:rsidR="00067244" w:rsidRPr="008439A2">
        <w:rPr>
          <w:rFonts w:cs="Arial"/>
          <w:color w:val="222222"/>
          <w:shd w:val="clear" w:color="auto" w:fill="FFFFFF"/>
        </w:rPr>
        <w:t>Ehringhaus</w:t>
      </w:r>
      <w:proofErr w:type="spellEnd"/>
      <w:r w:rsidR="00067244" w:rsidRPr="008439A2">
        <w:rPr>
          <w:rFonts w:cs="Arial"/>
          <w:color w:val="222222"/>
          <w:shd w:val="clear" w:color="auto" w:fill="FFFFFF"/>
        </w:rPr>
        <w:t xml:space="preserve"> (2007) argue that there will always be a </w:t>
      </w:r>
      <w:r w:rsidR="001758F6" w:rsidRPr="008439A2">
        <w:rPr>
          <w:rFonts w:cs="Arial"/>
          <w:color w:val="222222"/>
          <w:shd w:val="clear" w:color="auto" w:fill="FFFFFF"/>
        </w:rPr>
        <w:t xml:space="preserve">needed and necessary </w:t>
      </w:r>
      <w:r w:rsidR="00067244" w:rsidRPr="008439A2">
        <w:rPr>
          <w:rFonts w:cs="Arial"/>
          <w:color w:val="222222"/>
          <w:shd w:val="clear" w:color="auto" w:fill="FFFFFF"/>
        </w:rPr>
        <w:t>place for s</w:t>
      </w:r>
      <w:r w:rsidR="001758F6" w:rsidRPr="008439A2">
        <w:rPr>
          <w:rFonts w:cs="Arial"/>
          <w:color w:val="222222"/>
          <w:shd w:val="clear" w:color="auto" w:fill="FFFFFF"/>
        </w:rPr>
        <w:t>umm</w:t>
      </w:r>
      <w:r w:rsidR="0051546D" w:rsidRPr="008439A2">
        <w:rPr>
          <w:rFonts w:cs="Arial"/>
          <w:color w:val="222222"/>
          <w:shd w:val="clear" w:color="auto" w:fill="FFFFFF"/>
        </w:rPr>
        <w:t xml:space="preserve">ative assessment in schools. Almost opposing the views of </w:t>
      </w:r>
      <w:r w:rsidR="0051546D" w:rsidRPr="008439A2">
        <w:rPr>
          <w:rFonts w:cs="Arial"/>
          <w:color w:val="222222"/>
          <w:shd w:val="clear" w:color="auto" w:fill="FFFFFF"/>
        </w:rPr>
        <w:lastRenderedPageBreak/>
        <w:t xml:space="preserve">Travis (1996), Garrison and </w:t>
      </w:r>
      <w:proofErr w:type="spellStart"/>
      <w:r w:rsidR="0051546D" w:rsidRPr="008439A2">
        <w:rPr>
          <w:rFonts w:cs="Arial"/>
          <w:color w:val="222222"/>
          <w:shd w:val="clear" w:color="auto" w:fill="FFFFFF"/>
        </w:rPr>
        <w:t>Ehringhaus</w:t>
      </w:r>
      <w:proofErr w:type="spellEnd"/>
      <w:r w:rsidR="0051546D" w:rsidRPr="008439A2">
        <w:rPr>
          <w:rFonts w:cs="Arial"/>
          <w:color w:val="222222"/>
          <w:shd w:val="clear" w:color="auto" w:fill="FFFFFF"/>
        </w:rPr>
        <w:t xml:space="preserve"> highlight the importance of accountability at both school and district levels</w:t>
      </w:r>
      <w:r w:rsidR="00947F20" w:rsidRPr="008439A2">
        <w:rPr>
          <w:rFonts w:cs="Arial"/>
          <w:color w:val="222222"/>
          <w:shd w:val="clear" w:color="auto" w:fill="FFFFFF"/>
        </w:rPr>
        <w:t>,</w:t>
      </w:r>
      <w:r w:rsidR="0051546D" w:rsidRPr="008439A2">
        <w:rPr>
          <w:rFonts w:cs="Arial"/>
          <w:color w:val="222222"/>
          <w:shd w:val="clear" w:color="auto" w:fill="FFFFFF"/>
        </w:rPr>
        <w:t xml:space="preserve"> </w:t>
      </w:r>
      <w:r w:rsidR="00947F20" w:rsidRPr="008439A2">
        <w:rPr>
          <w:rFonts w:cs="Arial"/>
          <w:color w:val="222222"/>
          <w:shd w:val="clear" w:color="auto" w:fill="FFFFFF"/>
        </w:rPr>
        <w:t>where</w:t>
      </w:r>
      <w:r w:rsidR="0051546D" w:rsidRPr="008439A2">
        <w:rPr>
          <w:rFonts w:cs="Arial"/>
          <w:color w:val="222222"/>
          <w:shd w:val="clear" w:color="auto" w:fill="FFFFFF"/>
        </w:rPr>
        <w:t xml:space="preserve"> it can</w:t>
      </w:r>
      <w:r w:rsidR="00947F20" w:rsidRPr="008439A2">
        <w:rPr>
          <w:rFonts w:cs="Arial"/>
          <w:color w:val="222222"/>
          <w:shd w:val="clear" w:color="auto" w:fill="FFFFFF"/>
        </w:rPr>
        <w:t xml:space="preserve"> be seen what students know/</w:t>
      </w:r>
      <w:r w:rsidR="0051546D" w:rsidRPr="008439A2">
        <w:rPr>
          <w:rFonts w:cs="Arial"/>
          <w:color w:val="222222"/>
          <w:shd w:val="clear" w:color="auto" w:fill="FFFFFF"/>
        </w:rPr>
        <w:t>do not know and wh</w:t>
      </w:r>
      <w:r w:rsidR="00814277" w:rsidRPr="008439A2">
        <w:rPr>
          <w:rFonts w:cs="Arial"/>
          <w:color w:val="222222"/>
          <w:shd w:val="clear" w:color="auto" w:fill="FFFFFF"/>
        </w:rPr>
        <w:t xml:space="preserve">at ‘gaps in the knowledge’ are commonly </w:t>
      </w:r>
      <w:r w:rsidR="00947F20" w:rsidRPr="008439A2">
        <w:rPr>
          <w:rFonts w:cs="Arial"/>
          <w:color w:val="222222"/>
          <w:shd w:val="clear" w:color="auto" w:fill="FFFFFF"/>
        </w:rPr>
        <w:t>occurring in order to adjust teaching. It is here that the lines between terms become blurred and summative assessment almost becomes formative (Black and William, 1998). However, in order to build a clear picture of student achievement/progress within a classroom both formative and summative assessment must coexist simultaneo</w:t>
      </w:r>
      <w:r w:rsidR="005461C9" w:rsidRPr="008439A2">
        <w:rPr>
          <w:rFonts w:cs="Arial"/>
          <w:color w:val="222222"/>
          <w:shd w:val="clear" w:color="auto" w:fill="FFFFFF"/>
        </w:rPr>
        <w:t xml:space="preserve">usly in equilibrium </w:t>
      </w:r>
      <w:r w:rsidR="00947F20" w:rsidRPr="008439A2">
        <w:rPr>
          <w:rFonts w:cs="Arial"/>
          <w:color w:val="222222"/>
          <w:shd w:val="clear" w:color="auto" w:fill="FFFFFF"/>
        </w:rPr>
        <w:t xml:space="preserve">(Garrison and </w:t>
      </w:r>
      <w:proofErr w:type="spellStart"/>
      <w:r w:rsidR="00947F20" w:rsidRPr="008439A2">
        <w:rPr>
          <w:rFonts w:cs="Arial"/>
          <w:color w:val="222222"/>
          <w:shd w:val="clear" w:color="auto" w:fill="FFFFFF"/>
        </w:rPr>
        <w:t>Ehringhaus</w:t>
      </w:r>
      <w:proofErr w:type="spellEnd"/>
      <w:r w:rsidR="00947F20" w:rsidRPr="008439A2">
        <w:rPr>
          <w:rFonts w:cs="Arial"/>
          <w:color w:val="222222"/>
          <w:shd w:val="clear" w:color="auto" w:fill="FFFFFF"/>
        </w:rPr>
        <w:t>, 2007).</w:t>
      </w:r>
      <w:r w:rsidR="00947F20">
        <w:rPr>
          <w:rFonts w:ascii="Arial" w:hAnsi="Arial" w:cs="Arial"/>
          <w:color w:val="222222"/>
          <w:sz w:val="20"/>
          <w:szCs w:val="20"/>
          <w:shd w:val="clear" w:color="auto" w:fill="FFFFFF"/>
        </w:rPr>
        <w:t xml:space="preserve"> </w:t>
      </w:r>
    </w:p>
    <w:p w:rsidR="007B7370" w:rsidRPr="007B7370" w:rsidRDefault="007B7370">
      <w:pPr>
        <w:rPr>
          <w:rFonts w:ascii="Arial" w:hAnsi="Arial" w:cs="Arial"/>
          <w:b/>
          <w:color w:val="222222"/>
          <w:sz w:val="20"/>
          <w:szCs w:val="20"/>
          <w:u w:val="single"/>
          <w:shd w:val="clear" w:color="auto" w:fill="FFFFFF"/>
        </w:rPr>
      </w:pPr>
      <w:r w:rsidRPr="007B7370">
        <w:rPr>
          <w:rFonts w:ascii="Arial" w:hAnsi="Arial" w:cs="Arial"/>
          <w:b/>
          <w:color w:val="222222"/>
          <w:sz w:val="20"/>
          <w:szCs w:val="20"/>
          <w:u w:val="single"/>
          <w:shd w:val="clear" w:color="auto" w:fill="FFFFFF"/>
        </w:rPr>
        <w:t>Formative Assessment</w:t>
      </w:r>
    </w:p>
    <w:p w:rsidR="00E1278A" w:rsidRDefault="00816EC4">
      <w:pPr>
        <w:rPr>
          <w:rFonts w:cs="Arial"/>
          <w:color w:val="222222"/>
          <w:shd w:val="clear" w:color="auto" w:fill="FFFFFF"/>
        </w:rPr>
      </w:pPr>
      <w:r w:rsidRPr="00816EC4">
        <w:rPr>
          <w:rFonts w:cs="Arial"/>
          <w:color w:val="222222"/>
          <w:shd w:val="clear" w:color="auto" w:fill="FFFFFF"/>
        </w:rPr>
        <w:t xml:space="preserve">As previously explored, the current accountability environment has resulted in the fundamentals of teaching and learning relationships becoming lost from </w:t>
      </w:r>
      <w:r w:rsidRPr="002D4873">
        <w:rPr>
          <w:rFonts w:cs="Arial"/>
          <w:shd w:val="clear" w:color="auto" w:fill="FFFFFF"/>
        </w:rPr>
        <w:t xml:space="preserve">sight (Heritage, 2007). Heritage </w:t>
      </w:r>
      <w:r w:rsidRPr="00816EC4">
        <w:rPr>
          <w:rFonts w:cs="Arial"/>
          <w:color w:val="222222"/>
          <w:shd w:val="clear" w:color="auto" w:fill="FFFFFF"/>
        </w:rPr>
        <w:t xml:space="preserve">(2007) argues that because of this standardized/grading culture, it is not too difficult to believe that some teachers classify assessment as external to their practise. In these cases the ‘everyday assessments’ (Angelo and Cross, 2012) carried out by teachers have been forgotten/overlooked when in fact, there is an argument that they are more effective in improving student achievement </w:t>
      </w:r>
      <w:r>
        <w:rPr>
          <w:rFonts w:cs="Arial"/>
          <w:color w:val="222222"/>
          <w:shd w:val="clear" w:color="auto" w:fill="FFFFFF"/>
        </w:rPr>
        <w:t xml:space="preserve">(Black and </w:t>
      </w:r>
      <w:proofErr w:type="spellStart"/>
      <w:r>
        <w:rPr>
          <w:rFonts w:cs="Arial"/>
          <w:color w:val="222222"/>
          <w:shd w:val="clear" w:color="auto" w:fill="FFFFFF"/>
        </w:rPr>
        <w:t>Wiliam</w:t>
      </w:r>
      <w:proofErr w:type="spellEnd"/>
      <w:r>
        <w:rPr>
          <w:rFonts w:cs="Arial"/>
          <w:color w:val="222222"/>
          <w:shd w:val="clear" w:color="auto" w:fill="FFFFFF"/>
        </w:rPr>
        <w:t xml:space="preserve">, 1998) than both internal and external benchmarking assessments (Heritage, 2007). Drawing on the ideas of </w:t>
      </w:r>
      <w:proofErr w:type="spellStart"/>
      <w:r>
        <w:rPr>
          <w:rFonts w:cs="Arial"/>
          <w:color w:val="222222"/>
          <w:shd w:val="clear" w:color="auto" w:fill="FFFFFF"/>
        </w:rPr>
        <w:t>Ramprasad</w:t>
      </w:r>
      <w:proofErr w:type="spellEnd"/>
      <w:r>
        <w:rPr>
          <w:rFonts w:cs="Arial"/>
          <w:color w:val="222222"/>
          <w:shd w:val="clear" w:color="auto" w:fill="FFFFFF"/>
        </w:rPr>
        <w:t xml:space="preserve"> (1983), any type of formative or ‘everyday’ assessment should encompass three key processes in teaching and learning. These processes are of feedback and </w:t>
      </w:r>
      <w:r w:rsidR="00CD6ACD">
        <w:rPr>
          <w:rFonts w:cs="Arial"/>
          <w:color w:val="222222"/>
          <w:shd w:val="clear" w:color="auto" w:fill="FFFFFF"/>
        </w:rPr>
        <w:t>establish where the learner is, where they are going/need to be and what needs to be done to get them there (</w:t>
      </w:r>
      <w:proofErr w:type="spellStart"/>
      <w:r w:rsidR="00CD6ACD">
        <w:rPr>
          <w:rFonts w:cs="Arial"/>
          <w:color w:val="222222"/>
          <w:shd w:val="clear" w:color="auto" w:fill="FFFFFF"/>
        </w:rPr>
        <w:t>Ramprasad</w:t>
      </w:r>
      <w:proofErr w:type="spellEnd"/>
      <w:r w:rsidR="00CD6ACD">
        <w:rPr>
          <w:rFonts w:cs="Arial"/>
          <w:color w:val="222222"/>
          <w:shd w:val="clear" w:color="auto" w:fill="FFFFFF"/>
        </w:rPr>
        <w:t>, 1983). Heritage (2007) categorizes the methods of finding out this information into three types of formative assessment; on the fly assessment, planned for interaction and curriculum embedded assessments</w:t>
      </w:r>
      <w:r w:rsidR="00212260">
        <w:rPr>
          <w:rFonts w:cs="Arial"/>
          <w:color w:val="222222"/>
          <w:shd w:val="clear" w:color="auto" w:fill="FFFFFF"/>
        </w:rPr>
        <w:t>, which</w:t>
      </w:r>
      <w:r w:rsidR="00CD6ACD">
        <w:rPr>
          <w:rFonts w:cs="Arial"/>
          <w:color w:val="222222"/>
          <w:shd w:val="clear" w:color="auto" w:fill="FFFFFF"/>
        </w:rPr>
        <w:t xml:space="preserve"> all provide feedback at multiple levels (Sadler, 1989). The ‘teacher level’ feedback identifies ‘the gap’ and its variation from stude</w:t>
      </w:r>
      <w:r w:rsidR="00212260">
        <w:rPr>
          <w:rFonts w:cs="Arial"/>
          <w:color w:val="222222"/>
          <w:shd w:val="clear" w:color="auto" w:fill="FFFFFF"/>
        </w:rPr>
        <w:t>nt to student (Sadler, 1989), meaning</w:t>
      </w:r>
      <w:r w:rsidR="00CD6ACD">
        <w:rPr>
          <w:rFonts w:cs="Arial"/>
          <w:color w:val="222222"/>
          <w:shd w:val="clear" w:color="auto" w:fill="FFFFFF"/>
        </w:rPr>
        <w:t xml:space="preserve"> teaching can be tailored to meet these differing needs. </w:t>
      </w:r>
      <w:r w:rsidR="00B911FB">
        <w:rPr>
          <w:rFonts w:cs="Arial"/>
          <w:color w:val="222222"/>
          <w:shd w:val="clear" w:color="auto" w:fill="FFFFFF"/>
        </w:rPr>
        <w:t xml:space="preserve">Contrary to this, </w:t>
      </w:r>
      <w:r w:rsidR="00CD6ACD">
        <w:rPr>
          <w:rFonts w:cs="Arial"/>
          <w:color w:val="222222"/>
          <w:shd w:val="clear" w:color="auto" w:fill="FFFFFF"/>
        </w:rPr>
        <w:t>Bloom et al</w:t>
      </w:r>
      <w:r w:rsidR="00FA220F">
        <w:rPr>
          <w:rFonts w:cs="Arial"/>
          <w:color w:val="222222"/>
          <w:shd w:val="clear" w:color="auto" w:fill="FFFFFF"/>
        </w:rPr>
        <w:t>.</w:t>
      </w:r>
      <w:r w:rsidR="00CD6ACD">
        <w:rPr>
          <w:rFonts w:cs="Arial"/>
          <w:color w:val="222222"/>
          <w:shd w:val="clear" w:color="auto" w:fill="FFFFFF"/>
        </w:rPr>
        <w:t xml:space="preserve"> (1971) argue that</w:t>
      </w:r>
      <w:r w:rsidR="00B911FB">
        <w:rPr>
          <w:rFonts w:cs="Arial"/>
          <w:color w:val="222222"/>
          <w:shd w:val="clear" w:color="auto" w:fill="FFFFFF"/>
        </w:rPr>
        <w:t xml:space="preserve"> it is</w:t>
      </w:r>
      <w:r w:rsidR="00CD6ACD">
        <w:rPr>
          <w:rFonts w:cs="Arial"/>
          <w:color w:val="222222"/>
          <w:shd w:val="clear" w:color="auto" w:fill="FFFFFF"/>
        </w:rPr>
        <w:t xml:space="preserve"> the variations in ability themselves</w:t>
      </w:r>
      <w:r w:rsidR="00B911FB">
        <w:rPr>
          <w:rFonts w:cs="Arial"/>
          <w:color w:val="222222"/>
          <w:shd w:val="clear" w:color="auto" w:fill="FFFFFF"/>
        </w:rPr>
        <w:t xml:space="preserve"> that should inform the methods of assessment used/deployed where these methods are (again) varied and used to meet the needs of the individuals. Simplified, the formative process should almost be cyclic in nature. Black and </w:t>
      </w:r>
      <w:proofErr w:type="spellStart"/>
      <w:r w:rsidR="00B911FB">
        <w:rPr>
          <w:rFonts w:cs="Arial"/>
          <w:color w:val="222222"/>
          <w:shd w:val="clear" w:color="auto" w:fill="FFFFFF"/>
        </w:rPr>
        <w:t>Wiliam</w:t>
      </w:r>
      <w:proofErr w:type="spellEnd"/>
      <w:r w:rsidR="00B911FB">
        <w:rPr>
          <w:rFonts w:cs="Arial"/>
          <w:color w:val="222222"/>
          <w:shd w:val="clear" w:color="auto" w:fill="FFFFFF"/>
        </w:rPr>
        <w:t xml:space="preserve"> (1998) somewhat support these notions of entirely ‘pupil centred’ assessment as ultimately it is the pupil that uses the assessment information to improve their own learning. </w:t>
      </w:r>
    </w:p>
    <w:p w:rsidR="00411E90" w:rsidRDefault="009E3221">
      <w:pPr>
        <w:rPr>
          <w:rFonts w:cs="Arial"/>
          <w:color w:val="222222"/>
          <w:shd w:val="clear" w:color="auto" w:fill="FFFFFF"/>
        </w:rPr>
      </w:pPr>
      <w:r>
        <w:rPr>
          <w:rFonts w:cs="Arial"/>
          <w:color w:val="222222"/>
          <w:shd w:val="clear" w:color="auto" w:fill="FFFFFF"/>
        </w:rPr>
        <w:t>Formatively assessing learners allows a teacher t</w:t>
      </w:r>
      <w:r w:rsidR="00A017A5">
        <w:rPr>
          <w:rFonts w:cs="Arial"/>
          <w:color w:val="222222"/>
          <w:shd w:val="clear" w:color="auto" w:fill="FFFFFF"/>
        </w:rPr>
        <w:t xml:space="preserve">o provide frequent and relevant </w:t>
      </w:r>
      <w:r>
        <w:rPr>
          <w:rFonts w:cs="Arial"/>
          <w:color w:val="222222"/>
          <w:shd w:val="clear" w:color="auto" w:fill="FFFFFF"/>
        </w:rPr>
        <w:t xml:space="preserve">feedback/correctives (Bloom, 1969) at each stage in the teaching and learning process. Arguably, the same test could be used </w:t>
      </w:r>
      <w:r w:rsidR="00915424">
        <w:rPr>
          <w:rFonts w:cs="Arial"/>
          <w:color w:val="222222"/>
          <w:shd w:val="clear" w:color="auto" w:fill="FFFFFF"/>
        </w:rPr>
        <w:t xml:space="preserve">formatively or </w:t>
      </w:r>
      <w:proofErr w:type="spellStart"/>
      <w:r w:rsidR="00915424">
        <w:rPr>
          <w:rFonts w:cs="Arial"/>
          <w:color w:val="222222"/>
          <w:shd w:val="clear" w:color="auto" w:fill="FFFFFF"/>
        </w:rPr>
        <w:t>summatively</w:t>
      </w:r>
      <w:proofErr w:type="spellEnd"/>
      <w:r>
        <w:rPr>
          <w:rFonts w:cs="Arial"/>
          <w:color w:val="222222"/>
          <w:shd w:val="clear" w:color="auto" w:fill="FFFFFF"/>
        </w:rPr>
        <w:t xml:space="preserve"> depending on what is done with the ‘results’ (Bloom, 1969) but Black and </w:t>
      </w:r>
      <w:proofErr w:type="spellStart"/>
      <w:r>
        <w:rPr>
          <w:rFonts w:cs="Arial"/>
          <w:color w:val="222222"/>
          <w:shd w:val="clear" w:color="auto" w:fill="FFFFFF"/>
        </w:rPr>
        <w:t>WIliam</w:t>
      </w:r>
      <w:proofErr w:type="spellEnd"/>
      <w:r>
        <w:rPr>
          <w:rFonts w:cs="Arial"/>
          <w:color w:val="222222"/>
          <w:shd w:val="clear" w:color="auto" w:fill="FFFFFF"/>
        </w:rPr>
        <w:t xml:space="preserve"> (1998) assert that assessment can only become formative when the </w:t>
      </w:r>
      <w:r w:rsidR="00915424">
        <w:rPr>
          <w:rFonts w:cs="Arial"/>
          <w:color w:val="222222"/>
          <w:shd w:val="clear" w:color="auto" w:fill="FFFFFF"/>
        </w:rPr>
        <w:t>information uncovered shapes future teaching to meet leaner’s needs</w:t>
      </w:r>
      <w:r>
        <w:rPr>
          <w:rFonts w:cs="Arial"/>
          <w:color w:val="222222"/>
          <w:shd w:val="clear" w:color="auto" w:fill="FFFFFF"/>
        </w:rPr>
        <w:t xml:space="preserve">. Fundamentally, it is at this stage where the assessment becomes </w:t>
      </w:r>
      <w:r w:rsidRPr="009E3221">
        <w:rPr>
          <w:rFonts w:cs="Arial"/>
          <w:i/>
          <w:color w:val="222222"/>
          <w:shd w:val="clear" w:color="auto" w:fill="FFFFFF"/>
        </w:rPr>
        <w:t>for</w:t>
      </w:r>
      <w:r>
        <w:rPr>
          <w:rFonts w:cs="Arial"/>
          <w:color w:val="222222"/>
          <w:shd w:val="clear" w:color="auto" w:fill="FFFFFF"/>
        </w:rPr>
        <w:t xml:space="preserve"> learning. </w:t>
      </w:r>
      <w:r w:rsidR="005D7BA5">
        <w:rPr>
          <w:rFonts w:cs="Arial"/>
          <w:color w:val="222222"/>
          <w:shd w:val="clear" w:color="auto" w:fill="FFFFFF"/>
        </w:rPr>
        <w:t xml:space="preserve">An assessment of a student is formative only if it </w:t>
      </w:r>
      <w:r w:rsidR="00915424">
        <w:rPr>
          <w:rFonts w:cs="Arial"/>
          <w:color w:val="222222"/>
          <w:shd w:val="clear" w:color="auto" w:fill="FFFFFF"/>
        </w:rPr>
        <w:t xml:space="preserve">alters </w:t>
      </w:r>
      <w:r w:rsidR="00833CCE">
        <w:rPr>
          <w:rFonts w:cs="Arial"/>
          <w:color w:val="222222"/>
          <w:shd w:val="clear" w:color="auto" w:fill="FFFFFF"/>
        </w:rPr>
        <w:t>that students learning;</w:t>
      </w:r>
      <w:r w:rsidR="005D7BA5">
        <w:rPr>
          <w:rFonts w:cs="Arial"/>
          <w:color w:val="222222"/>
          <w:shd w:val="clear" w:color="auto" w:fill="FFFFFF"/>
        </w:rPr>
        <w:t xml:space="preserve"> therefore assessments are only formative if the information</w:t>
      </w:r>
      <w:r w:rsidR="00915424">
        <w:rPr>
          <w:rFonts w:cs="Arial"/>
          <w:color w:val="222222"/>
          <w:shd w:val="clear" w:color="auto" w:fill="FFFFFF"/>
        </w:rPr>
        <w:t xml:space="preserve"> discovered is used to make a change, altering what would have happened if the information had not been uncovered at all </w:t>
      </w:r>
      <w:r w:rsidR="005D7BA5">
        <w:rPr>
          <w:rFonts w:cs="Arial"/>
          <w:color w:val="222222"/>
          <w:shd w:val="clear" w:color="auto" w:fill="FFFFFF"/>
        </w:rPr>
        <w:t>(</w:t>
      </w:r>
      <w:proofErr w:type="spellStart"/>
      <w:r w:rsidR="005D7BA5">
        <w:rPr>
          <w:rFonts w:cs="Arial"/>
          <w:color w:val="222222"/>
          <w:shd w:val="clear" w:color="auto" w:fill="FFFFFF"/>
        </w:rPr>
        <w:t>Wiliam</w:t>
      </w:r>
      <w:proofErr w:type="spellEnd"/>
      <w:r w:rsidR="005D7BA5">
        <w:rPr>
          <w:rFonts w:cs="Arial"/>
          <w:color w:val="222222"/>
          <w:shd w:val="clear" w:color="auto" w:fill="FFFFFF"/>
        </w:rPr>
        <w:t>, 2006)</w:t>
      </w:r>
      <w:r w:rsidR="00833CCE">
        <w:rPr>
          <w:rFonts w:cs="Arial"/>
          <w:color w:val="222222"/>
          <w:shd w:val="clear" w:color="auto" w:fill="FFFFFF"/>
        </w:rPr>
        <w:t xml:space="preserve">. </w:t>
      </w:r>
      <w:r w:rsidR="00411E90">
        <w:rPr>
          <w:rFonts w:cs="Arial"/>
          <w:color w:val="222222"/>
          <w:shd w:val="clear" w:color="auto" w:fill="FFFFFF"/>
        </w:rPr>
        <w:t>Contrary to this, Hunt and Pellegrino (2002) argue that it is not just about the results and ‘gained information’ as any ideas, pre-conceptions or additional knowledge that a learner may initially bring to a lesson</w:t>
      </w:r>
      <w:r w:rsidR="00A32418">
        <w:rPr>
          <w:rFonts w:cs="Arial"/>
          <w:color w:val="222222"/>
          <w:shd w:val="clear" w:color="auto" w:fill="FFFFFF"/>
        </w:rPr>
        <w:t xml:space="preserve"> must also be taken into account. Formative as</w:t>
      </w:r>
      <w:r w:rsidR="000A7009">
        <w:rPr>
          <w:rFonts w:cs="Arial"/>
          <w:color w:val="222222"/>
          <w:shd w:val="clear" w:color="auto" w:fill="FFFFFF"/>
        </w:rPr>
        <w:t xml:space="preserve">sessment is about the learning before (already known), during (being learned) and after (learned next) the lesson. It is the teacher’s responsibility to know in advance the material that learners are supposed to grasp and all the ways in which these learners may not grasp it (Hunt and Pellegrino, 2002). However, Hunt and Pellegrino also recognise the difficulty in doing so, when the barrier of time often prevents teachers from identifying, analysing and responding to the problems/needs of all their students. For example, a typical secondary school teacher may see five classes of thirty students in any given day, leaving them with one hundred and fifty individuals to contend with each </w:t>
      </w:r>
      <w:r w:rsidR="000A7009">
        <w:rPr>
          <w:rFonts w:cs="Arial"/>
          <w:color w:val="222222"/>
          <w:shd w:val="clear" w:color="auto" w:fill="FFFFFF"/>
        </w:rPr>
        <w:lastRenderedPageBreak/>
        <w:t xml:space="preserve">day. It would be ideal if all teachers could effectively use formative </w:t>
      </w:r>
      <w:r w:rsidR="00A133A5">
        <w:rPr>
          <w:rFonts w:cs="Arial"/>
          <w:color w:val="222222"/>
          <w:shd w:val="clear" w:color="auto" w:fill="FFFFFF"/>
        </w:rPr>
        <w:t xml:space="preserve">assessment to its full potential to shape and alter every lesson they teach, however, this may be too ambitious. Hunt and Pellegrino (2002) state that requiring all teachers to be experts in formative assessment is not realistic. It could be said that the increasing pressures to deploy formative assessment successfully and frequently in all lesson is why, initially, it was not adopted widely in classroom practise (Black and </w:t>
      </w:r>
      <w:proofErr w:type="spellStart"/>
      <w:r w:rsidR="00A133A5">
        <w:rPr>
          <w:rFonts w:cs="Arial"/>
          <w:color w:val="222222"/>
          <w:shd w:val="clear" w:color="auto" w:fill="FFFFFF"/>
        </w:rPr>
        <w:t>Wiliam</w:t>
      </w:r>
      <w:proofErr w:type="spellEnd"/>
      <w:r w:rsidR="00A133A5">
        <w:rPr>
          <w:rFonts w:cs="Arial"/>
          <w:color w:val="222222"/>
          <w:shd w:val="clear" w:color="auto" w:fill="FFFFFF"/>
        </w:rPr>
        <w:t xml:space="preserve">, 1998). </w:t>
      </w:r>
    </w:p>
    <w:p w:rsidR="00474BFD" w:rsidRDefault="00833CCE">
      <w:pPr>
        <w:rPr>
          <w:rFonts w:cs="Arial"/>
          <w:color w:val="000000" w:themeColor="text1"/>
          <w:shd w:val="clear" w:color="auto" w:fill="FFFFFF"/>
        </w:rPr>
      </w:pPr>
      <w:r>
        <w:rPr>
          <w:rFonts w:cs="Arial"/>
          <w:color w:val="222222"/>
          <w:shd w:val="clear" w:color="auto" w:fill="FFFFFF"/>
        </w:rPr>
        <w:t>In order to facilitate formative assessment opportunities a teachers needs to ‘create the conditions’ (Heritage, 2007) or create a ‘moment of contingency’ (</w:t>
      </w:r>
      <w:proofErr w:type="spellStart"/>
      <w:r>
        <w:rPr>
          <w:rFonts w:cs="Arial"/>
          <w:color w:val="222222"/>
          <w:shd w:val="clear" w:color="auto" w:fill="FFFFFF"/>
        </w:rPr>
        <w:t>Wiliam</w:t>
      </w:r>
      <w:proofErr w:type="spellEnd"/>
      <w:r>
        <w:rPr>
          <w:rFonts w:cs="Arial"/>
          <w:color w:val="222222"/>
          <w:shd w:val="clear" w:color="auto" w:fill="FFFFFF"/>
        </w:rPr>
        <w:t xml:space="preserve">, 2006). This moment of contingency, where a change in the direction of a lesson may occur to suit the needs of the learners is arguably, where initial feedback should be generated (Nicol and </w:t>
      </w:r>
      <w:proofErr w:type="spellStart"/>
      <w:r>
        <w:rPr>
          <w:rFonts w:cs="Arial"/>
          <w:color w:val="222222"/>
          <w:shd w:val="clear" w:color="auto" w:fill="FFFFFF"/>
        </w:rPr>
        <w:t>Mcfarlane</w:t>
      </w:r>
      <w:proofErr w:type="spellEnd"/>
      <w:r>
        <w:rPr>
          <w:rFonts w:cs="Arial"/>
          <w:color w:val="222222"/>
          <w:shd w:val="clear" w:color="auto" w:fill="FFFFFF"/>
        </w:rPr>
        <w:t xml:space="preserve">-Dick, 2006). Feedback is integral to the success of formative assessment and </w:t>
      </w:r>
      <w:proofErr w:type="spellStart"/>
      <w:r>
        <w:rPr>
          <w:rFonts w:cs="Arial"/>
          <w:color w:val="222222"/>
          <w:shd w:val="clear" w:color="auto" w:fill="FFFFFF"/>
        </w:rPr>
        <w:t>Havnes</w:t>
      </w:r>
      <w:proofErr w:type="spellEnd"/>
      <w:r>
        <w:rPr>
          <w:rFonts w:cs="Arial"/>
          <w:color w:val="222222"/>
          <w:shd w:val="clear" w:color="auto" w:fill="FFFFFF"/>
        </w:rPr>
        <w:t xml:space="preserve"> et al (2012) put this down to ‘making the learning visible’. </w:t>
      </w:r>
      <w:r w:rsidR="00E6099E">
        <w:rPr>
          <w:rFonts w:cs="Arial"/>
          <w:color w:val="222222"/>
          <w:shd w:val="clear" w:color="auto" w:fill="FFFFFF"/>
        </w:rPr>
        <w:t xml:space="preserve">Black and </w:t>
      </w:r>
      <w:proofErr w:type="spellStart"/>
      <w:r w:rsidR="00E6099E">
        <w:rPr>
          <w:rFonts w:cs="Arial"/>
          <w:color w:val="222222"/>
          <w:shd w:val="clear" w:color="auto" w:fill="FFFFFF"/>
        </w:rPr>
        <w:t>Wiliam</w:t>
      </w:r>
      <w:proofErr w:type="spellEnd"/>
      <w:r w:rsidR="00E6099E">
        <w:rPr>
          <w:rFonts w:cs="Arial"/>
          <w:color w:val="222222"/>
          <w:shd w:val="clear" w:color="auto" w:fill="FFFFFF"/>
        </w:rPr>
        <w:t xml:space="preserve"> (2006) state that it is not just simply the feedback needed for success, but rather the quality of interactive feedback</w:t>
      </w:r>
      <w:r w:rsidR="00E157BC">
        <w:rPr>
          <w:rFonts w:cs="Arial"/>
          <w:color w:val="222222"/>
          <w:shd w:val="clear" w:color="auto" w:fill="FFFFFF"/>
        </w:rPr>
        <w:t>,</w:t>
      </w:r>
      <w:r w:rsidR="00E6099E">
        <w:rPr>
          <w:rFonts w:cs="Arial"/>
          <w:color w:val="222222"/>
          <w:shd w:val="clear" w:color="auto" w:fill="FFFFFF"/>
        </w:rPr>
        <w:t xml:space="preserve"> as this is critical in determining the quality of lear</w:t>
      </w:r>
      <w:r w:rsidR="00474BFD">
        <w:rPr>
          <w:rFonts w:cs="Arial"/>
          <w:color w:val="222222"/>
          <w:shd w:val="clear" w:color="auto" w:fill="FFFFFF"/>
        </w:rPr>
        <w:t xml:space="preserve">ning as well as understanding. </w:t>
      </w:r>
      <w:r w:rsidR="00A133A5">
        <w:rPr>
          <w:rFonts w:cs="Arial"/>
          <w:color w:val="222222"/>
          <w:shd w:val="clear" w:color="auto" w:fill="FFFFFF"/>
        </w:rPr>
        <w:t xml:space="preserve">Hunt and Pellegrino (2002), supporting the previous statements of Black and </w:t>
      </w:r>
      <w:proofErr w:type="spellStart"/>
      <w:r w:rsidR="00A133A5">
        <w:rPr>
          <w:rFonts w:cs="Arial"/>
          <w:color w:val="222222"/>
          <w:shd w:val="clear" w:color="auto" w:fill="FFFFFF"/>
        </w:rPr>
        <w:t>Wiliam</w:t>
      </w:r>
      <w:proofErr w:type="spellEnd"/>
      <w:r w:rsidR="00A133A5">
        <w:rPr>
          <w:rFonts w:cs="Arial"/>
          <w:color w:val="222222"/>
          <w:shd w:val="clear" w:color="auto" w:fill="FFFFFF"/>
        </w:rPr>
        <w:t xml:space="preserve"> (2006), also highlight the importance of recognising </w:t>
      </w:r>
      <w:r w:rsidR="00F80B17">
        <w:rPr>
          <w:rFonts w:cs="Arial"/>
          <w:color w:val="222222"/>
          <w:shd w:val="clear" w:color="auto" w:fill="FFFFFF"/>
        </w:rPr>
        <w:t xml:space="preserve">the individuality of each learner. Pupils are by no means blank slates and they all come to each lesson/approach each new topic with preconceived ideas in mind, some of these will be right, and some will be wrong (Hunt and Pellegrino (2002). Appropriate feedback should stretch and push further the ideas on the ‘right </w:t>
      </w:r>
      <w:r w:rsidR="00F80B17" w:rsidRPr="002D4873">
        <w:rPr>
          <w:rFonts w:cs="Arial"/>
          <w:shd w:val="clear" w:color="auto" w:fill="FFFFFF"/>
        </w:rPr>
        <w:t xml:space="preserve">path’ and redirect, guide and support ones on the ‘wrong path’. </w:t>
      </w:r>
      <w:proofErr w:type="spellStart"/>
      <w:r w:rsidR="002D4873" w:rsidRPr="002D4873">
        <w:rPr>
          <w:rFonts w:cs="Arial"/>
          <w:shd w:val="clear" w:color="auto" w:fill="FFFFFF"/>
        </w:rPr>
        <w:t>Wi</w:t>
      </w:r>
      <w:r w:rsidR="00F80B17" w:rsidRPr="002D4873">
        <w:rPr>
          <w:rFonts w:cs="Arial"/>
          <w:shd w:val="clear" w:color="auto" w:fill="FFFFFF"/>
        </w:rPr>
        <w:t>liam</w:t>
      </w:r>
      <w:proofErr w:type="spellEnd"/>
      <w:r w:rsidR="00F80B17" w:rsidRPr="002D4873">
        <w:rPr>
          <w:rFonts w:cs="Arial"/>
          <w:shd w:val="clear" w:color="auto" w:fill="FFFFFF"/>
        </w:rPr>
        <w:t xml:space="preserve"> and Thompson (2007) argue here</w:t>
      </w:r>
      <w:r w:rsidR="00F80B17">
        <w:rPr>
          <w:rFonts w:cs="Arial"/>
          <w:color w:val="000000" w:themeColor="text1"/>
          <w:shd w:val="clear" w:color="auto" w:fill="FFFFFF"/>
        </w:rPr>
        <w:t xml:space="preserve">, that feedback is only of any meaning or relevance when it moves the learner forward. This could be pulling some learners so they are in reach of the ‘finish line’ </w:t>
      </w:r>
      <w:r w:rsidR="003C7A9F">
        <w:rPr>
          <w:rFonts w:cs="Arial"/>
          <w:color w:val="000000" w:themeColor="text1"/>
          <w:shd w:val="clear" w:color="auto" w:fill="FFFFFF"/>
        </w:rPr>
        <w:t xml:space="preserve">or driving others right passed it to reach their full potential. These ideas are underpinned by Black and </w:t>
      </w:r>
      <w:proofErr w:type="spellStart"/>
      <w:r w:rsidR="003C7A9F">
        <w:rPr>
          <w:rFonts w:cs="Arial"/>
          <w:color w:val="000000" w:themeColor="text1"/>
          <w:shd w:val="clear" w:color="auto" w:fill="FFFFFF"/>
        </w:rPr>
        <w:t>Wiliams</w:t>
      </w:r>
      <w:proofErr w:type="spellEnd"/>
      <w:r w:rsidR="003C7A9F">
        <w:rPr>
          <w:rFonts w:cs="Arial"/>
          <w:color w:val="000000" w:themeColor="text1"/>
          <w:shd w:val="clear" w:color="auto" w:fill="FFFFFF"/>
        </w:rPr>
        <w:t xml:space="preserve"> (1998) early types of formative activity, in particular; comment only marking. An issue with comment only marking would be the lack of v</w:t>
      </w:r>
      <w:r w:rsidR="00236C65">
        <w:rPr>
          <w:rFonts w:cs="Arial"/>
          <w:color w:val="000000" w:themeColor="text1"/>
          <w:shd w:val="clear" w:color="auto" w:fill="FFFFFF"/>
        </w:rPr>
        <w:t>isible grades or marks that show</w:t>
      </w:r>
      <w:r w:rsidR="003C7A9F">
        <w:rPr>
          <w:rFonts w:cs="Arial"/>
          <w:color w:val="000000" w:themeColor="text1"/>
          <w:shd w:val="clear" w:color="auto" w:fill="FFFFFF"/>
        </w:rPr>
        <w:t xml:space="preserve"> learners where the supposed ‘finish line’ is. Moving away from summative marking and feedback leaves learners with a potential lack of direction in their work. Without something to measure themselves against, </w:t>
      </w:r>
      <w:r w:rsidR="003C7A9F" w:rsidRPr="002D4873">
        <w:rPr>
          <w:rFonts w:cs="Arial"/>
          <w:shd w:val="clear" w:color="auto" w:fill="FFFFFF"/>
        </w:rPr>
        <w:t xml:space="preserve">learners may struggle or be reluctant to attempt to make progress. Both Clarke (2001) and </w:t>
      </w:r>
      <w:r w:rsidR="003C7A9F">
        <w:rPr>
          <w:rFonts w:cs="Arial"/>
          <w:color w:val="000000" w:themeColor="text1"/>
          <w:shd w:val="clear" w:color="auto" w:fill="FFFFFF"/>
        </w:rPr>
        <w:t xml:space="preserve">William and Thompson (2007) advocate that success criteria are an essential component of formative assessment. Listing or mapping features desirable for a particular piece of work clearly makes learners aware of what is expected of them. These ‘desirables’ can be envisioned as a ladder, where learners ‘climb higher’ as the work becomes progressively difficult. Effective feedback is an essential component of formative assessment at all levels. It is important that teachers over see, guide or map self and peer assessed pieces of work as well as their own to ensure that the appropriate level of feedback is given for progress to be made. </w:t>
      </w:r>
    </w:p>
    <w:p w:rsidR="007B7370" w:rsidRPr="007B7370" w:rsidRDefault="007B7370">
      <w:pPr>
        <w:rPr>
          <w:rFonts w:cs="Arial"/>
          <w:b/>
          <w:color w:val="000000" w:themeColor="text1"/>
          <w:u w:val="single"/>
          <w:shd w:val="clear" w:color="auto" w:fill="FFFFFF"/>
        </w:rPr>
      </w:pPr>
      <w:r w:rsidRPr="007B7370">
        <w:rPr>
          <w:rFonts w:cs="Arial"/>
          <w:b/>
          <w:color w:val="000000" w:themeColor="text1"/>
          <w:u w:val="single"/>
          <w:shd w:val="clear" w:color="auto" w:fill="FFFFFF"/>
        </w:rPr>
        <w:t>Peer Assessment</w:t>
      </w:r>
    </w:p>
    <w:p w:rsidR="00604DA1" w:rsidRDefault="002A1176">
      <w:pPr>
        <w:rPr>
          <w:rFonts w:cs="Arial"/>
          <w:color w:val="000000" w:themeColor="text1"/>
          <w:shd w:val="clear" w:color="auto" w:fill="FFFFFF"/>
        </w:rPr>
      </w:pPr>
      <w:r w:rsidRPr="003C2F6A">
        <w:rPr>
          <w:rFonts w:cs="Arial"/>
          <w:color w:val="000000" w:themeColor="text1"/>
          <w:shd w:val="clear" w:color="auto" w:fill="FFFFFF"/>
        </w:rPr>
        <w:t xml:space="preserve">Black and </w:t>
      </w:r>
      <w:proofErr w:type="spellStart"/>
      <w:r w:rsidRPr="003C2F6A">
        <w:rPr>
          <w:rFonts w:cs="Arial"/>
          <w:color w:val="000000" w:themeColor="text1"/>
          <w:shd w:val="clear" w:color="auto" w:fill="FFFFFF"/>
        </w:rPr>
        <w:t>WIliam</w:t>
      </w:r>
      <w:proofErr w:type="spellEnd"/>
      <w:r w:rsidRPr="003C2F6A">
        <w:rPr>
          <w:rFonts w:cs="Arial"/>
          <w:color w:val="000000" w:themeColor="text1"/>
          <w:shd w:val="clear" w:color="auto" w:fill="FFFFFF"/>
        </w:rPr>
        <w:t xml:space="preserve"> (2009) </w:t>
      </w:r>
      <w:r>
        <w:rPr>
          <w:rFonts w:cs="Arial"/>
          <w:color w:val="000000" w:themeColor="text1"/>
          <w:shd w:val="clear" w:color="auto" w:fill="FFFFFF"/>
        </w:rPr>
        <w:t xml:space="preserve">named peer assessment as one of the main and most successful types of assessment when deployed and structured </w:t>
      </w:r>
      <w:r w:rsidRPr="003C2F6A">
        <w:rPr>
          <w:rFonts w:cs="Arial"/>
          <w:color w:val="000000" w:themeColor="text1"/>
          <w:shd w:val="clear" w:color="auto" w:fill="FFFFFF"/>
        </w:rPr>
        <w:t xml:space="preserve">correctly. Hattie (2011) also acknowledges it as being one of the most influential practises when raising attainment and checking </w:t>
      </w:r>
      <w:r>
        <w:rPr>
          <w:rFonts w:cs="Arial"/>
          <w:color w:val="000000" w:themeColor="text1"/>
          <w:shd w:val="clear" w:color="auto" w:fill="FFFFFF"/>
        </w:rPr>
        <w:t>for understanding. Despite its continually growing populari</w:t>
      </w:r>
      <w:r w:rsidRPr="003C2F6A">
        <w:rPr>
          <w:rFonts w:cs="Arial"/>
          <w:color w:val="000000" w:themeColor="text1"/>
          <w:shd w:val="clear" w:color="auto" w:fill="FFFFFF"/>
        </w:rPr>
        <w:t xml:space="preserve">ty, </w:t>
      </w:r>
      <w:r w:rsidR="003C2F6A" w:rsidRPr="003C2F6A">
        <w:rPr>
          <w:rFonts w:cs="Arial"/>
          <w:color w:val="000000" w:themeColor="text1"/>
          <w:shd w:val="clear" w:color="auto" w:fill="FFFFFF"/>
        </w:rPr>
        <w:t>Van Zundert et al. (2010</w:t>
      </w:r>
      <w:r w:rsidRPr="003C2F6A">
        <w:rPr>
          <w:rFonts w:cs="Arial"/>
          <w:color w:val="000000" w:themeColor="text1"/>
          <w:shd w:val="clear" w:color="auto" w:fill="FFFFFF"/>
        </w:rPr>
        <w:t xml:space="preserve">) highlight </w:t>
      </w:r>
      <w:r>
        <w:rPr>
          <w:rFonts w:cs="Arial"/>
          <w:color w:val="000000" w:themeColor="text1"/>
          <w:shd w:val="clear" w:color="auto" w:fill="FFFFFF"/>
        </w:rPr>
        <w:t xml:space="preserve">the difficulty in describing what exactly effective peer assessment is, due to gaps in the literature. In the context of this </w:t>
      </w:r>
      <w:r w:rsidR="00CE0409">
        <w:rPr>
          <w:rFonts w:cs="Arial"/>
          <w:color w:val="000000" w:themeColor="text1"/>
          <w:shd w:val="clear" w:color="auto" w:fill="FFFFFF"/>
        </w:rPr>
        <w:t xml:space="preserve">research, where learners are provided with an opportunity to revise their work based on peer </w:t>
      </w:r>
      <w:r w:rsidR="00CE0409" w:rsidRPr="00B5114D">
        <w:rPr>
          <w:rFonts w:cs="Arial"/>
          <w:color w:val="000000" w:themeColor="text1"/>
          <w:shd w:val="clear" w:color="auto" w:fill="FFFFFF"/>
        </w:rPr>
        <w:t xml:space="preserve">feedback Olson (1990) found a positive relation. Similarly to Olson (1990), </w:t>
      </w:r>
      <w:r w:rsidR="00B5114D" w:rsidRPr="00B5114D">
        <w:rPr>
          <w:rFonts w:cs="Arial"/>
          <w:color w:val="000000" w:themeColor="text1"/>
          <w:shd w:val="clear" w:color="auto" w:fill="FFFFFF"/>
        </w:rPr>
        <w:t>Sung et al. (2005</w:t>
      </w:r>
      <w:r w:rsidR="00CE0409" w:rsidRPr="00B5114D">
        <w:rPr>
          <w:rFonts w:cs="Arial"/>
          <w:color w:val="000000" w:themeColor="text1"/>
          <w:shd w:val="clear" w:color="auto" w:fill="FFFFFF"/>
        </w:rPr>
        <w:t xml:space="preserve">) saw </w:t>
      </w:r>
      <w:r w:rsidR="00CE0409">
        <w:rPr>
          <w:rFonts w:cs="Arial"/>
          <w:color w:val="000000" w:themeColor="text1"/>
          <w:shd w:val="clear" w:color="auto" w:fill="FFFFFF"/>
        </w:rPr>
        <w:t xml:space="preserve">student work improve, both studies however, only measured the short term learning effects. </w:t>
      </w:r>
      <w:r w:rsidR="00CE0409" w:rsidRPr="003C2F6A">
        <w:rPr>
          <w:rFonts w:cs="Arial"/>
          <w:color w:val="000000" w:themeColor="text1"/>
          <w:shd w:val="clear" w:color="auto" w:fill="FFFFFF"/>
        </w:rPr>
        <w:t xml:space="preserve">Sadler (1998) asserts that guidance is needed for students to know what to do with their </w:t>
      </w:r>
      <w:r w:rsidR="00CE0409" w:rsidRPr="00B5114D">
        <w:rPr>
          <w:rFonts w:cs="Arial"/>
          <w:color w:val="000000" w:themeColor="text1"/>
          <w:shd w:val="clear" w:color="auto" w:fill="FFFFFF"/>
        </w:rPr>
        <w:t xml:space="preserve">feedback. Van den Berg et al. (2006) supported these </w:t>
      </w:r>
      <w:r w:rsidR="00CE0409">
        <w:rPr>
          <w:rFonts w:cs="Arial"/>
          <w:color w:val="000000" w:themeColor="text1"/>
          <w:shd w:val="clear" w:color="auto" w:fill="FFFFFF"/>
        </w:rPr>
        <w:t xml:space="preserve">ideas but added the necessity of time for </w:t>
      </w:r>
      <w:r w:rsidR="00CE0409" w:rsidRPr="00B5114D">
        <w:rPr>
          <w:rFonts w:cs="Arial"/>
          <w:color w:val="000000" w:themeColor="text1"/>
          <w:shd w:val="clear" w:color="auto" w:fill="FFFFFF"/>
        </w:rPr>
        <w:t>students to reflect on feedback and revise before the teacher assessment. A study by Lin et al. (2001) encompassed both of these ideas and saw that specific feedback and sufficient time for revision positively influenced results. However, it was also pointed out in this study</w:t>
      </w:r>
      <w:r w:rsidR="00CE0409">
        <w:rPr>
          <w:rFonts w:cs="Arial"/>
          <w:color w:val="000000" w:themeColor="text1"/>
          <w:shd w:val="clear" w:color="auto" w:fill="FFFFFF"/>
        </w:rPr>
        <w:t xml:space="preserve"> that feedback specificity only really benefitted </w:t>
      </w:r>
      <w:r w:rsidR="00CE0409">
        <w:rPr>
          <w:rFonts w:cs="Arial"/>
          <w:color w:val="000000" w:themeColor="text1"/>
          <w:shd w:val="clear" w:color="auto" w:fill="FFFFFF"/>
        </w:rPr>
        <w:lastRenderedPageBreak/>
        <w:t xml:space="preserve">lower executive thinkers. Higher level/higher order thinkers are perhaps more able to simply their ‘wrong answers’ to look for right ones. Although Sadler (1998) argues that all can benefit from peer feedback, providing that it is of quality, structure, accuracy, appropriateness and accessibility if it is to have any coaching value in inspiring confidence and hope in learners. </w:t>
      </w:r>
      <w:proofErr w:type="spellStart"/>
      <w:r w:rsidR="00604DA1" w:rsidRPr="00B5114D">
        <w:rPr>
          <w:rFonts w:cs="Arial"/>
          <w:color w:val="000000" w:themeColor="text1"/>
          <w:shd w:val="clear" w:color="auto" w:fill="FFFFFF"/>
        </w:rPr>
        <w:t>Sluijsmans</w:t>
      </w:r>
      <w:proofErr w:type="spellEnd"/>
      <w:r w:rsidR="00604DA1" w:rsidRPr="00B5114D">
        <w:rPr>
          <w:rFonts w:cs="Arial"/>
          <w:color w:val="000000" w:themeColor="text1"/>
          <w:shd w:val="clear" w:color="auto" w:fill="FFFFFF"/>
        </w:rPr>
        <w:t xml:space="preserve"> et al. (2004) </w:t>
      </w:r>
      <w:r w:rsidR="00604DA1">
        <w:rPr>
          <w:rFonts w:cs="Arial"/>
          <w:color w:val="000000" w:themeColor="text1"/>
          <w:shd w:val="clear" w:color="auto" w:fill="FFFFFF"/>
        </w:rPr>
        <w:t xml:space="preserve">asserted that in order to gain these things, there must be an element of training and familiarity to the peer assessment. </w:t>
      </w:r>
    </w:p>
    <w:p w:rsidR="00604DA1" w:rsidRDefault="00604DA1">
      <w:pPr>
        <w:rPr>
          <w:rFonts w:cs="Arial"/>
          <w:color w:val="000000" w:themeColor="text1"/>
          <w:shd w:val="clear" w:color="auto" w:fill="FFFFFF"/>
        </w:rPr>
      </w:pPr>
      <w:r>
        <w:rPr>
          <w:rFonts w:cs="Arial"/>
          <w:color w:val="000000" w:themeColor="text1"/>
          <w:shd w:val="clear" w:color="auto" w:fill="FFFFFF"/>
        </w:rPr>
        <w:t xml:space="preserve">Drawing back on the ideas of both Clarke (2001) and </w:t>
      </w:r>
      <w:proofErr w:type="spellStart"/>
      <w:r>
        <w:rPr>
          <w:rFonts w:cs="Arial"/>
          <w:color w:val="000000" w:themeColor="text1"/>
          <w:shd w:val="clear" w:color="auto" w:fill="FFFFFF"/>
        </w:rPr>
        <w:t>WIliam</w:t>
      </w:r>
      <w:proofErr w:type="spellEnd"/>
      <w:r>
        <w:rPr>
          <w:rFonts w:cs="Arial"/>
          <w:color w:val="000000" w:themeColor="text1"/>
          <w:shd w:val="clear" w:color="auto" w:fill="FFFFFF"/>
        </w:rPr>
        <w:t xml:space="preserve"> and Thompson (2007) where success criteria are seen as fundamental to formatively assessing,</w:t>
      </w:r>
      <w:r w:rsidRPr="00B5114D">
        <w:rPr>
          <w:rFonts w:cs="Arial"/>
          <w:color w:val="000000" w:themeColor="text1"/>
          <w:shd w:val="clear" w:color="auto" w:fill="FFFFFF"/>
        </w:rPr>
        <w:t xml:space="preserve"> </w:t>
      </w:r>
      <w:r w:rsidR="003C2F6A" w:rsidRPr="00B5114D">
        <w:rPr>
          <w:rFonts w:cs="Arial"/>
          <w:color w:val="000000" w:themeColor="text1"/>
          <w:shd w:val="clear" w:color="auto" w:fill="FFFFFF"/>
        </w:rPr>
        <w:t>Black e</w:t>
      </w:r>
      <w:r w:rsidRPr="00B5114D">
        <w:rPr>
          <w:rFonts w:cs="Arial"/>
          <w:color w:val="000000" w:themeColor="text1"/>
          <w:shd w:val="clear" w:color="auto" w:fill="FFFFFF"/>
        </w:rPr>
        <w:t xml:space="preserve">t al. (2004) say </w:t>
      </w:r>
      <w:r>
        <w:rPr>
          <w:rFonts w:cs="Arial"/>
          <w:color w:val="000000" w:themeColor="text1"/>
          <w:shd w:val="clear" w:color="auto" w:fill="FFFFFF"/>
        </w:rPr>
        <w:t xml:space="preserve">the same for peer assessments. A learning goal can only be achieved when a learner knows what they need to do to reach it (Black et al., 2004). The same can be said for ‘peer marking’ or ‘peer assessing’ where a pupil can only understand if their peer has achieved or understood a goal if they know how to achieve it themselves. Ironically, peer assessment can also be used to nurture a learner’s understanding of their mistakes or points for improvement in a piece of work. Students are not only more likely to understand feedback from someone their own age (a peer) but also more likely to interrupt them if they don’t understand the explanation (Black et al., 2004). The teacher can then, through observations, create a ‘moment of contingency’ where the teaching and learning is shifted to suit/meet the needs of the learners, thus, making the whole process formative in nature. However, </w:t>
      </w:r>
      <w:r w:rsidR="00633D91">
        <w:rPr>
          <w:rFonts w:cs="Arial"/>
          <w:color w:val="000000" w:themeColor="text1"/>
          <w:shd w:val="clear" w:color="auto" w:fill="FFFFFF"/>
        </w:rPr>
        <w:t xml:space="preserve">a teacher must also make themselves aware of the level of peer response coming from each of their students. In line with Sadler’s (1998) ideas, students not only need to know how to use their feedback well but know how to feed back to others well. These thoughts are matched by Black et al. (2004) who put forward the idea that lower achievers need ‘teacher time’, help and guidance to refine and develop their peer assessing skills. This is also of more importance if these are in fact the students who benefit the most from peer assessment (Lin et al., 2001). </w:t>
      </w:r>
    </w:p>
    <w:p w:rsidR="007B7370" w:rsidRDefault="00633D91">
      <w:pPr>
        <w:rPr>
          <w:rFonts w:cs="Arial"/>
          <w:color w:val="000000" w:themeColor="text1"/>
          <w:shd w:val="clear" w:color="auto" w:fill="FFFFFF"/>
        </w:rPr>
      </w:pPr>
      <w:r>
        <w:rPr>
          <w:rFonts w:cs="Arial"/>
          <w:color w:val="000000" w:themeColor="text1"/>
          <w:shd w:val="clear" w:color="auto" w:fill="FFFFFF"/>
        </w:rPr>
        <w:t xml:space="preserve">A strong and inclusive learning environment must be nurtured for effective peer collaboration and assessment as much like ‘test anxiety’, peer assessing adds the additional fear of peer disapproval </w:t>
      </w:r>
      <w:r w:rsidRPr="00845721">
        <w:rPr>
          <w:rFonts w:cs="Arial"/>
          <w:color w:val="000000" w:themeColor="text1"/>
          <w:shd w:val="clear" w:color="auto" w:fill="FFFFFF"/>
        </w:rPr>
        <w:t>(</w:t>
      </w:r>
      <w:proofErr w:type="spellStart"/>
      <w:r w:rsidR="00845721" w:rsidRPr="00845721">
        <w:rPr>
          <w:rFonts w:cs="Arial"/>
          <w:color w:val="000000" w:themeColor="text1"/>
          <w:shd w:val="clear" w:color="auto" w:fill="FFFFFF"/>
        </w:rPr>
        <w:t>Rotsaert</w:t>
      </w:r>
      <w:proofErr w:type="spellEnd"/>
      <w:r w:rsidR="00C57F70" w:rsidRPr="00845721">
        <w:rPr>
          <w:rFonts w:cs="Arial"/>
          <w:color w:val="000000" w:themeColor="text1"/>
          <w:shd w:val="clear" w:color="auto" w:fill="FFFFFF"/>
        </w:rPr>
        <w:t xml:space="preserve"> et al., 2018</w:t>
      </w:r>
      <w:r w:rsidRPr="00845721">
        <w:rPr>
          <w:rFonts w:cs="Arial"/>
          <w:color w:val="000000" w:themeColor="text1"/>
          <w:shd w:val="clear" w:color="auto" w:fill="FFFFFF"/>
        </w:rPr>
        <w:t xml:space="preserve">). Black et al. (2004) argue here that students will only compare themselves with others when there </w:t>
      </w:r>
      <w:r>
        <w:rPr>
          <w:rFonts w:cs="Arial"/>
          <w:color w:val="000000" w:themeColor="text1"/>
          <w:shd w:val="clear" w:color="auto" w:fill="FFFFFF"/>
        </w:rPr>
        <w:t>is</w:t>
      </w:r>
      <w:r w:rsidRPr="00C57F70">
        <w:rPr>
          <w:rFonts w:cs="Arial"/>
          <w:color w:val="000000" w:themeColor="text1"/>
          <w:shd w:val="clear" w:color="auto" w:fill="FFFFFF"/>
        </w:rPr>
        <w:t xml:space="preserve"> something to compare themselves with. In the absence of grades, they see comments as helping them to improve. </w:t>
      </w:r>
      <w:r w:rsidR="00C57F70">
        <w:rPr>
          <w:rFonts w:cs="Arial"/>
          <w:color w:val="000000" w:themeColor="text1"/>
          <w:shd w:val="clear" w:color="auto" w:fill="FFFFFF"/>
        </w:rPr>
        <w:t>Black et al</w:t>
      </w:r>
      <w:proofErr w:type="gramStart"/>
      <w:r w:rsidR="00C57F70">
        <w:rPr>
          <w:rFonts w:cs="Arial"/>
          <w:color w:val="000000" w:themeColor="text1"/>
          <w:shd w:val="clear" w:color="auto" w:fill="FFFFFF"/>
        </w:rPr>
        <w:t>.</w:t>
      </w:r>
      <w:r w:rsidRPr="00C57F70">
        <w:rPr>
          <w:rFonts w:cs="Arial"/>
          <w:color w:val="000000" w:themeColor="text1"/>
          <w:shd w:val="clear" w:color="auto" w:fill="FFFFFF"/>
        </w:rPr>
        <w:t>(</w:t>
      </w:r>
      <w:proofErr w:type="gramEnd"/>
      <w:r w:rsidR="00C57F70">
        <w:rPr>
          <w:rFonts w:cs="Arial"/>
          <w:color w:val="000000" w:themeColor="text1"/>
          <w:shd w:val="clear" w:color="auto" w:fill="FFFFFF"/>
        </w:rPr>
        <w:t>2004</w:t>
      </w:r>
      <w:r w:rsidRPr="00C57F70">
        <w:rPr>
          <w:rFonts w:cs="Arial"/>
          <w:color w:val="000000" w:themeColor="text1"/>
          <w:shd w:val="clear" w:color="auto" w:fill="FFFFFF"/>
        </w:rPr>
        <w:t xml:space="preserve">) add, that students become enriched by peer assessing as they take on the role of the teacher, communicating with their peers and learning together collaboratively. </w:t>
      </w:r>
      <w:proofErr w:type="spellStart"/>
      <w:r w:rsidR="00B86DB7" w:rsidRPr="00C57F70">
        <w:rPr>
          <w:rFonts w:cs="Arial"/>
          <w:color w:val="000000" w:themeColor="text1"/>
          <w:shd w:val="clear" w:color="auto" w:fill="FFFFFF"/>
        </w:rPr>
        <w:t>Gielen</w:t>
      </w:r>
      <w:proofErr w:type="spellEnd"/>
      <w:r w:rsidR="00B86DB7" w:rsidRPr="00C57F70">
        <w:rPr>
          <w:rFonts w:cs="Arial"/>
          <w:color w:val="000000" w:themeColor="text1"/>
          <w:shd w:val="clear" w:color="auto" w:fill="FFFFFF"/>
        </w:rPr>
        <w:t xml:space="preserve"> (2010) also asserts that peer assessment makes learners take ownership of their work and their mark (if there is one</w:t>
      </w:r>
      <w:r w:rsidR="00B86DB7">
        <w:rPr>
          <w:rFonts w:cs="Arial"/>
          <w:color w:val="000000" w:themeColor="text1"/>
          <w:shd w:val="clear" w:color="auto" w:fill="FFFFFF"/>
        </w:rPr>
        <w:t>). The potential embarrassment of peers judging their work encourages students to increase the time and effort they put into it (</w:t>
      </w:r>
      <w:proofErr w:type="spellStart"/>
      <w:r w:rsidR="00B86DB7">
        <w:rPr>
          <w:rFonts w:cs="Arial"/>
          <w:color w:val="000000" w:themeColor="text1"/>
          <w:shd w:val="clear" w:color="auto" w:fill="FFFFFF"/>
        </w:rPr>
        <w:t>Gielen</w:t>
      </w:r>
      <w:proofErr w:type="spellEnd"/>
      <w:r w:rsidR="00B86DB7">
        <w:rPr>
          <w:rFonts w:cs="Arial"/>
          <w:color w:val="000000" w:themeColor="text1"/>
          <w:shd w:val="clear" w:color="auto" w:fill="FFFFFF"/>
        </w:rPr>
        <w:t>, 2010). Almost conflicting their previously mentioned ideas, Black et al. (2004) put forward the positives of peer marking and grading; when they formulate a scoring rubric a student knows where they went right and where they went wrong. Teachers can then focus on questions that presented widespread difficulty, which can be made easier by strategies such as traffic lighting (also benefiting the students)</w:t>
      </w:r>
      <w:r w:rsidR="00B86DB7" w:rsidRPr="00B86DB7">
        <w:rPr>
          <w:rFonts w:cs="Arial"/>
          <w:color w:val="000000" w:themeColor="text1"/>
          <w:shd w:val="clear" w:color="auto" w:fill="FFFFFF"/>
        </w:rPr>
        <w:t xml:space="preserve"> </w:t>
      </w:r>
      <w:r w:rsidR="007B7370">
        <w:rPr>
          <w:rFonts w:cs="Arial"/>
          <w:color w:val="000000" w:themeColor="text1"/>
          <w:shd w:val="clear" w:color="auto" w:fill="FFFFFF"/>
        </w:rPr>
        <w:t>(Black et al., 2004).</w:t>
      </w:r>
      <w:r w:rsidR="00B86DB7">
        <w:rPr>
          <w:rFonts w:cs="Arial"/>
          <w:color w:val="000000" w:themeColor="text1"/>
          <w:shd w:val="clear" w:color="auto" w:fill="FFFFFF"/>
        </w:rPr>
        <w:t xml:space="preserve"> Testing becomes formative when its results aren’t number ranked. </w:t>
      </w:r>
      <w:r w:rsidR="00C01871">
        <w:rPr>
          <w:rFonts w:cs="Arial"/>
          <w:color w:val="000000" w:themeColor="text1"/>
          <w:shd w:val="clear" w:color="auto" w:fill="FFFFFF"/>
        </w:rPr>
        <w:t xml:space="preserve">This research could be categorized into Black and </w:t>
      </w:r>
      <w:proofErr w:type="spellStart"/>
      <w:r w:rsidR="00C01871">
        <w:rPr>
          <w:rFonts w:cs="Arial"/>
          <w:color w:val="000000" w:themeColor="text1"/>
          <w:shd w:val="clear" w:color="auto" w:fill="FFFFFF"/>
        </w:rPr>
        <w:t>Wiliams</w:t>
      </w:r>
      <w:proofErr w:type="spellEnd"/>
      <w:r w:rsidR="00C01871">
        <w:rPr>
          <w:rFonts w:cs="Arial"/>
          <w:color w:val="000000" w:themeColor="text1"/>
          <w:shd w:val="clear" w:color="auto" w:fill="FFFFFF"/>
        </w:rPr>
        <w:t xml:space="preserve">’ (1998) ‘formative uses of summative assessments’ </w:t>
      </w:r>
      <w:r w:rsidR="007B7370">
        <w:rPr>
          <w:rFonts w:cs="Arial"/>
          <w:color w:val="000000" w:themeColor="text1"/>
          <w:shd w:val="clear" w:color="auto" w:fill="FFFFFF"/>
        </w:rPr>
        <w:t xml:space="preserve">grouping </w:t>
      </w:r>
      <w:r w:rsidR="00C01871">
        <w:rPr>
          <w:rFonts w:cs="Arial"/>
          <w:color w:val="000000" w:themeColor="text1"/>
          <w:shd w:val="clear" w:color="auto" w:fill="FFFFFF"/>
        </w:rPr>
        <w:t>as initially the learners are tested in a somewhat summative way. However, it becomes formative at the point where the pap</w:t>
      </w:r>
      <w:r w:rsidR="005D6BAF">
        <w:rPr>
          <w:rFonts w:cs="Arial"/>
          <w:color w:val="000000" w:themeColor="text1"/>
          <w:shd w:val="clear" w:color="auto" w:fill="FFFFFF"/>
        </w:rPr>
        <w:t>ers are peer assessed. S</w:t>
      </w:r>
      <w:r w:rsidR="00C01871">
        <w:rPr>
          <w:rFonts w:cs="Arial"/>
          <w:color w:val="000000" w:themeColor="text1"/>
          <w:shd w:val="clear" w:color="auto" w:fill="FFFFFF"/>
        </w:rPr>
        <w:t xml:space="preserve">tudents are then allowed time to reflect </w:t>
      </w:r>
      <w:r w:rsidR="005D6BAF">
        <w:rPr>
          <w:rFonts w:cs="Arial"/>
          <w:color w:val="000000" w:themeColor="text1"/>
          <w:shd w:val="clear" w:color="auto" w:fill="FFFFFF"/>
        </w:rPr>
        <w:t xml:space="preserve">on feedback </w:t>
      </w:r>
      <w:r w:rsidR="00C01871">
        <w:rPr>
          <w:rFonts w:cs="Arial"/>
          <w:color w:val="000000" w:themeColor="text1"/>
          <w:shd w:val="clear" w:color="auto" w:fill="FFFFFF"/>
        </w:rPr>
        <w:t>and revise before being</w:t>
      </w:r>
      <w:r w:rsidR="007B7370">
        <w:rPr>
          <w:rFonts w:cs="Arial"/>
          <w:color w:val="000000" w:themeColor="text1"/>
          <w:shd w:val="clear" w:color="auto" w:fill="FFFFFF"/>
        </w:rPr>
        <w:t xml:space="preserve"> tested again making the entire process formative in nature.</w:t>
      </w:r>
    </w:p>
    <w:p w:rsidR="007B7370" w:rsidRDefault="007B7370">
      <w:pPr>
        <w:rPr>
          <w:rFonts w:cs="Arial"/>
          <w:b/>
          <w:color w:val="000000" w:themeColor="text1"/>
          <w:u w:val="single"/>
          <w:shd w:val="clear" w:color="auto" w:fill="FFFFFF"/>
        </w:rPr>
      </w:pPr>
      <w:r w:rsidRPr="007B7370">
        <w:rPr>
          <w:rFonts w:cs="Arial"/>
          <w:b/>
          <w:color w:val="000000" w:themeColor="text1"/>
          <w:u w:val="single"/>
          <w:shd w:val="clear" w:color="auto" w:fill="FFFFFF"/>
        </w:rPr>
        <w:t xml:space="preserve">School Context </w:t>
      </w:r>
    </w:p>
    <w:p w:rsidR="007B7370" w:rsidRDefault="007B7370">
      <w:pPr>
        <w:rPr>
          <w:rFonts w:cs="Arial"/>
          <w:color w:val="000000" w:themeColor="text1"/>
          <w:shd w:val="clear" w:color="auto" w:fill="FFFFFF"/>
        </w:rPr>
      </w:pPr>
      <w:r>
        <w:rPr>
          <w:rFonts w:cs="Arial"/>
          <w:color w:val="000000" w:themeColor="text1"/>
          <w:shd w:val="clear" w:color="auto" w:fill="FFFFFF"/>
        </w:rPr>
        <w:t xml:space="preserve">At School X, there was some evidence of peer assessment used within classrooms but arguably it lacked meaning and had a predominantly summative focus. The peer assessment strategies used in lessons that were observed were somewhat basic and debatably did not delve deeper than ‘surface </w:t>
      </w:r>
      <w:r>
        <w:rPr>
          <w:rFonts w:cs="Arial"/>
          <w:color w:val="000000" w:themeColor="text1"/>
          <w:shd w:val="clear" w:color="auto" w:fill="FFFFFF"/>
        </w:rPr>
        <w:lastRenderedPageBreak/>
        <w:t xml:space="preserve">learning’ (Hattie and Donoghue, 2016). </w:t>
      </w:r>
      <w:r w:rsidR="00982B10">
        <w:rPr>
          <w:rFonts w:cs="Arial"/>
          <w:color w:val="000000" w:themeColor="text1"/>
          <w:shd w:val="clear" w:color="auto" w:fill="FFFFFF"/>
        </w:rPr>
        <w:t xml:space="preserve">However, this cannot be said for all lessons across all subjects as they were not all observed. What may have not happened in one lesson may have in another. The School Improvement Plan [SIP] planned to update the Assessment for Learning [AFL] policy with a focus on the LNF and a new literacy marking policy to be used on all levels emerged from this. </w:t>
      </w:r>
      <w:r w:rsidR="00081D1D">
        <w:rPr>
          <w:rFonts w:cs="Arial"/>
          <w:color w:val="000000" w:themeColor="text1"/>
          <w:shd w:val="clear" w:color="auto" w:fill="FFFFFF"/>
        </w:rPr>
        <w:t xml:space="preserve">This marking policy, obviously and naturally focussed predominantly on SPAG and sentence structuring. Although this would benefit the literacy skills of a learner there was not much scope for it to make any difference to the understanding of (or progress in) a subject other than English. Pupils marked each other’s work in red pen and in some subjects were encouraged to leave targets. Again, these targets were either of a literacy focus or lacked meaning/relevance to the subject. </w:t>
      </w:r>
      <w:r w:rsidR="00060244">
        <w:rPr>
          <w:rFonts w:cs="Arial"/>
          <w:color w:val="000000" w:themeColor="text1"/>
          <w:shd w:val="clear" w:color="auto" w:fill="FFFFFF"/>
        </w:rPr>
        <w:t xml:space="preserve">There was some familiarity amongst learners departmentally with ‘What Went Well’ [WWW] and ‘Even Better If’ [EBI] strategies that were represented as ‘Two stars and a wish’ in the teacher and peer marking. It was expressed by the sample class that they hadn’t marked against a success criteria before and as there was little time for ‘training’ this element was kept quite basic for the research. The class also had little experience with ‘after tests’ (Kumar, 2014) and although it cannot be said for certain, it appeared that they had not been able to act on feedback to increase a ‘test’ mark before. As a topic came to an end learners were </w:t>
      </w:r>
      <w:r w:rsidR="00D52594">
        <w:rPr>
          <w:rFonts w:cs="Arial"/>
          <w:color w:val="000000" w:themeColor="text1"/>
          <w:shd w:val="clear" w:color="auto" w:fill="FFFFFF"/>
        </w:rPr>
        <w:t xml:space="preserve">only </w:t>
      </w:r>
      <w:r w:rsidR="00060244">
        <w:rPr>
          <w:rFonts w:cs="Arial"/>
          <w:color w:val="000000" w:themeColor="text1"/>
          <w:shd w:val="clear" w:color="auto" w:fill="FFFFFF"/>
        </w:rPr>
        <w:t xml:space="preserve">assessed </w:t>
      </w:r>
      <w:proofErr w:type="spellStart"/>
      <w:r w:rsidR="00060244">
        <w:rPr>
          <w:rFonts w:cs="Arial"/>
          <w:color w:val="000000" w:themeColor="text1"/>
          <w:shd w:val="clear" w:color="auto" w:fill="FFFFFF"/>
        </w:rPr>
        <w:t>summatively</w:t>
      </w:r>
      <w:proofErr w:type="spellEnd"/>
      <w:r w:rsidR="00060244">
        <w:rPr>
          <w:rFonts w:cs="Arial"/>
          <w:color w:val="000000" w:themeColor="text1"/>
          <w:shd w:val="clear" w:color="auto" w:fill="FFFFFF"/>
        </w:rPr>
        <w:t xml:space="preserve"> before they moved on to something </w:t>
      </w:r>
      <w:r w:rsidR="00D52594">
        <w:rPr>
          <w:rFonts w:cs="Arial"/>
          <w:color w:val="000000" w:themeColor="text1"/>
          <w:shd w:val="clear" w:color="auto" w:fill="FFFFFF"/>
        </w:rPr>
        <w:t xml:space="preserve">new. Granted, answers were corrected by the teacher/peers when assessments are gone over as a class but does this effectively check for class wide understanding? (Black et al., 2004). </w:t>
      </w:r>
    </w:p>
    <w:p w:rsidR="00A54109" w:rsidRPr="007B7370" w:rsidRDefault="00A54109">
      <w:pPr>
        <w:rPr>
          <w:rFonts w:cs="Arial"/>
          <w:color w:val="000000" w:themeColor="text1"/>
          <w:shd w:val="clear" w:color="auto" w:fill="FFFFFF"/>
        </w:rPr>
      </w:pPr>
      <w:r>
        <w:rPr>
          <w:rFonts w:cs="Arial"/>
          <w:color w:val="000000" w:themeColor="text1"/>
          <w:shd w:val="clear" w:color="auto" w:fill="FFFFFF"/>
        </w:rPr>
        <w:t xml:space="preserve">Following ‘official’ end of term assessments pupils are provided with strengths and areas for improvement and they are able to go back and make corrections. These corrections can be simply copying from a book or asking peers for help and although this is simple, it does </w:t>
      </w:r>
      <w:r w:rsidR="00FA220F">
        <w:rPr>
          <w:rFonts w:cs="Arial"/>
          <w:color w:val="000000" w:themeColor="text1"/>
          <w:shd w:val="clear" w:color="auto" w:fill="FFFFFF"/>
        </w:rPr>
        <w:t>resemble a formative process even though there is not an option to improve the ‘final grade’ after this has occurred. Action points are provided by the teacher but these can only be used moving forward and this is arguably the most formative part of the marking process. Learners using these points to move into the new topic would clearly be of benefit and there was definitely evidence departmentally of this working. An example of an action point in Geography is ‘Try to use more key words/geographical terms in your written work’. Along the next topic pupils were then seen listing words they would like to include in their pieces (for example, push and pull factors in migration). The success of these action points however, depended on their interchangeability between topics. The being said, this section, as it relates most closely to the research has only explored and critiqued evidence of ‘physical’ or written formative/peer assessment. As expected ‘everyday’ (</w:t>
      </w:r>
      <w:r w:rsidR="003F5151">
        <w:rPr>
          <w:rFonts w:cs="Arial"/>
          <w:color w:val="000000" w:themeColor="text1"/>
          <w:shd w:val="clear" w:color="auto" w:fill="FFFFFF"/>
        </w:rPr>
        <w:t xml:space="preserve">Angelo and Cross, 2012) formative assessment/assessment for learning (e.g. questioning) occurred in most to all lessons. As PTE1 is now several months in the past it is expected that as the new AFL policy develops all aspects of it are improving and evolving within the classroom, just as this research did. </w:t>
      </w:r>
    </w:p>
    <w:p w:rsidR="007B7370" w:rsidRPr="003F5151" w:rsidRDefault="003F5151">
      <w:pPr>
        <w:rPr>
          <w:rFonts w:cs="Arial"/>
          <w:b/>
          <w:color w:val="000000" w:themeColor="text1"/>
          <w:u w:val="single"/>
          <w:shd w:val="clear" w:color="auto" w:fill="FFFFFF"/>
        </w:rPr>
      </w:pPr>
      <w:r>
        <w:rPr>
          <w:rFonts w:cs="Arial"/>
          <w:b/>
          <w:color w:val="000000" w:themeColor="text1"/>
          <w:u w:val="single"/>
          <w:shd w:val="clear" w:color="auto" w:fill="FFFFFF"/>
        </w:rPr>
        <w:t>Methodology</w:t>
      </w:r>
      <w:r w:rsidRPr="003F5151">
        <w:rPr>
          <w:rFonts w:cs="Arial"/>
          <w:b/>
          <w:color w:val="000000" w:themeColor="text1"/>
          <w:u w:val="single"/>
          <w:shd w:val="clear" w:color="auto" w:fill="FFFFFF"/>
        </w:rPr>
        <w:t xml:space="preserve"> and Ethics </w:t>
      </w:r>
    </w:p>
    <w:p w:rsidR="00EA49A7" w:rsidRDefault="003F5151" w:rsidP="00D70BA6">
      <w:r>
        <w:t>The classroom based action research method chosen for this research was done so for two reasons. The first was to see if the current standards of peer assessmen</w:t>
      </w:r>
      <w:r w:rsidRPr="00DD264E">
        <w:rPr>
          <w:color w:val="000000" w:themeColor="text1"/>
        </w:rPr>
        <w:t xml:space="preserve">t could be improved (Kumar, 2014) and the second was to explore the effects/impacts of this peer assessment on the understanding/progress of Year 8 learners. </w:t>
      </w:r>
      <w:r w:rsidR="00EA49A7" w:rsidRPr="00DD264E">
        <w:rPr>
          <w:color w:val="000000" w:themeColor="text1"/>
        </w:rPr>
        <w:t xml:space="preserve">In this context, Koshy’s (2010) ideas that action research can encompass problem solving when/if the problem’s solution leads to the improvement of practise closely resembles early definitions of formative assessment (Black and </w:t>
      </w:r>
      <w:proofErr w:type="spellStart"/>
      <w:r w:rsidR="00EA49A7" w:rsidRPr="00DD264E">
        <w:rPr>
          <w:color w:val="000000" w:themeColor="text1"/>
        </w:rPr>
        <w:t>Wiliam</w:t>
      </w:r>
      <w:proofErr w:type="spellEnd"/>
      <w:r w:rsidR="00EA49A7" w:rsidRPr="00DD264E">
        <w:rPr>
          <w:color w:val="000000" w:themeColor="text1"/>
        </w:rPr>
        <w:t>, 1998). The problem identified departmentally at School X was the lack of meaningful or ‘deep’ (Hattie and Donoghue, 2016) peer assessment within the subject. Therefore, evidence of existing/familiar peer assessment strategies were gathered and consulted so the appropriate action could be taken (Kumar, 2014). The ‘change was planned’ (</w:t>
      </w:r>
      <w:proofErr w:type="spellStart"/>
      <w:r w:rsidR="00EA49A7" w:rsidRPr="00DD264E">
        <w:rPr>
          <w:color w:val="000000" w:themeColor="text1"/>
        </w:rPr>
        <w:t>Kemmis</w:t>
      </w:r>
      <w:proofErr w:type="spellEnd"/>
      <w:r w:rsidR="00EA49A7" w:rsidRPr="00DD264E">
        <w:rPr>
          <w:color w:val="000000" w:themeColor="text1"/>
        </w:rPr>
        <w:t xml:space="preserve"> and McTaggart, 2000) where </w:t>
      </w:r>
      <w:r w:rsidR="00EA49A7">
        <w:t>enhancements</w:t>
      </w:r>
      <w:r w:rsidR="00E461A4">
        <w:t xml:space="preserve"> </w:t>
      </w:r>
      <w:r w:rsidR="00EA49A7">
        <w:lastRenderedPageBreak/>
        <w:t xml:space="preserve">would be made to some existing peer assessment strategies so that the process was not entirely unfamiliar to the learners. The point of the action research here, was to improve the quality of the current peer assessment ‘service’ (Kumar, 2014). This was planned expecting that these improvements, in turn, would lead to an increase in learner understanding and therefore, result in some progress made. </w:t>
      </w:r>
    </w:p>
    <w:p w:rsidR="00BB6F9E" w:rsidRDefault="00EA49A7" w:rsidP="00D70BA6">
      <w:r>
        <w:t xml:space="preserve">Koshy (2010) asserts that knowledge comes from action at the point of application but </w:t>
      </w:r>
      <w:proofErr w:type="spellStart"/>
      <w:r>
        <w:t>Kemmis</w:t>
      </w:r>
      <w:proofErr w:type="spellEnd"/>
      <w:r>
        <w:t xml:space="preserve"> and McTaggart (2000) explain that this knowledge can be enhanced if the research process is cyclic. Re</w:t>
      </w:r>
      <w:r w:rsidR="00CD6E1B">
        <w:t>-</w:t>
      </w:r>
      <w:r>
        <w:t xml:space="preserve">planning the change, acting on the processes and consequences of the change before </w:t>
      </w:r>
      <w:r w:rsidR="00CD6E1B">
        <w:t xml:space="preserve">re-planning and beginning the cycle again facilitate stronger and more effective interventions.  The method chosen to investigate the effectiveness of peer assessment on Year 8 learners was pre and post diagnostic testing. The pre-test established the existing level of understanding on the completed/previous lessons on Asia. The peer assessment was then completed on yellow slips and these slips were given to the learners to take home. </w:t>
      </w:r>
      <w:r w:rsidR="00BB6F9E">
        <w:t xml:space="preserve">A week’s revision period was then provided (Olson, 1990) before learners were given the post-test (This was identical to the pre-test). Pre and post diagnostic testing is the “most appropriate design for measuring the impact or effectiveness of a programme or intervention” (Kumar, 2014 pp. 136-7). After initially identifying the ‘problem’ (Koshy, 2014) the research title ‘Assessing the impact and effectiveness of peer assessment on the understanding and progress of Year 8 learners’ was formulated.  </w:t>
      </w:r>
      <w:r w:rsidR="00AD3066">
        <w:t xml:space="preserve">It is clear from the title why pre and post diagnostic is a good choice of method for undertaking this particular research. The impact and effectiveness of the intervention was then measured by comparing the difference in the test quiz marks before and after the intervention (Kumar, 2014). Although, put simply, ‘before and after’ testing seemed to be a good choice for the research method, like all research methodologies, it comes with its limitations. </w:t>
      </w:r>
    </w:p>
    <w:p w:rsidR="00A15182" w:rsidRDefault="00AD3066" w:rsidP="00D70BA6">
      <w:r>
        <w:t xml:space="preserve">The before and after testing methodology can only measure ‘total change’ and therefore it cannot be said for certain whether or not it was solely the peer assessment that produced the change in the dependent variable in this case (Kumar, 2014). </w:t>
      </w:r>
      <w:r w:rsidR="00313041">
        <w:t xml:space="preserve">Although pupils only received the peer assessment slips back, there was potential for them to disregard the slip and revise based on the mistakes they recognised they had made when marking and assessing the work of their peers. This can be looked at in two ways, the first is where the learners are educated by the instrument itself, whereby the test paper and addressing somebody else’s improves their understanding of the topic (Kumar, 2014). This is known as the ‘reactive effect’ which can reduce the reliability of the measurement of the intervention. However, in this context, the second way of viewing this scenario is that marking and assessing the work of peers and learning </w:t>
      </w:r>
      <w:r w:rsidR="009C7695">
        <w:t>from doing it is peer assessment in itself. The ‘reactive effect’ would only effect the credibility of the research if it was solely the effectiveness of the peer assessment slip that was being measured and not the impact and effectiveness of peer assessment as a whole. Of course, this does not omit entirely the possibility of learners improving based on factors extraneous to the research. These limitations must be taken into account when the overall effectiveness of the intervention is measured even though it is “not possible to actually quantify the contribution of the extraneous</w:t>
      </w:r>
      <w:r w:rsidR="009E4FD6">
        <w:t xml:space="preserve">/independent variable” (Kumar, 2014 pp. 136-7). </w:t>
      </w:r>
    </w:p>
    <w:p w:rsidR="00AD3066" w:rsidRDefault="00A15182" w:rsidP="00D70BA6">
      <w:r>
        <w:t>A factor to consider that had the potential to positively or negatively impact the progres</w:t>
      </w:r>
      <w:r w:rsidR="00B95EC6">
        <w:t>s of a learner was the level/</w:t>
      </w:r>
      <w:r>
        <w:t xml:space="preserve">detail of response they received </w:t>
      </w:r>
      <w:r w:rsidR="00B95EC6">
        <w:t xml:space="preserve">back on their peer assessment slip. Although lower able learners are said to benefit the most from peer feedback, they are also the most likely to give less detailed responses/feedback (Lin et al., 2001). </w:t>
      </w:r>
      <w:proofErr w:type="spellStart"/>
      <w:r w:rsidR="00B95EC6">
        <w:t>Wiliam</w:t>
      </w:r>
      <w:proofErr w:type="spellEnd"/>
      <w:r w:rsidR="00B95EC6">
        <w:t xml:space="preserve"> and Black (2006) assert that the quality of feedback is critical in determining the quality of learning and it was for this reason that the peer assessment slip was designed. The slips were made up of some peer assessment strategies already familiar to the leaners (WWW/EBI) and the rest simply asked for three recommended </w:t>
      </w:r>
      <w:r w:rsidR="00B95EC6">
        <w:lastRenderedPageBreak/>
        <w:t>revision topics. This meant that the learners required little ‘training’ (</w:t>
      </w:r>
      <w:proofErr w:type="spellStart"/>
      <w:r w:rsidR="00B95EC6">
        <w:t>Sluijsmans</w:t>
      </w:r>
      <w:proofErr w:type="spellEnd"/>
      <w:r w:rsidR="00B95EC6">
        <w:t xml:space="preserve"> et al., 2004) and almost guaranteed a certain level of returned response for all learners. </w:t>
      </w:r>
    </w:p>
    <w:p w:rsidR="00D3089E" w:rsidRDefault="00B95EC6" w:rsidP="00D70BA6">
      <w:r>
        <w:t xml:space="preserve">Another limitation labelled by Kumar (2014) as ‘attrition in the study population’ occurred during the research. Due to reasons independent of the study such as a partially collapsed timetable, four students were not present for the pre-test. </w:t>
      </w:r>
      <w:r w:rsidR="00D3089E">
        <w:t>This resulted in quite low sample numbers to begin with and these were then further reduced when three learners were absent for the post test. This brought the overall sample size down to a mere twenty learners. Ideally, if time permitted, multiple classes would have been used to increase sample numbers as well as the credibility of the study (Cohen et al., 2007). The short amount of time allocated/allowed in the concluding weeks of PTE1 also effected the research in other ways. Ther</w:t>
      </w:r>
      <w:r w:rsidR="00690776">
        <w:t>e was only one class that would</w:t>
      </w:r>
      <w:r w:rsidR="00D3089E">
        <w:t xml:space="preserve"> be taught enough times before the end of </w:t>
      </w:r>
      <w:r w:rsidR="00690776">
        <w:t xml:space="preserve">the placement for the research to take place </w:t>
      </w:r>
      <w:r w:rsidR="00CC0F2C">
        <w:t xml:space="preserve">with </w:t>
      </w:r>
      <w:r w:rsidR="00690776">
        <w:t xml:space="preserve">and therefore the research had to be undertaken with them. The class had also recently begun a new topic and had only covered basic geographical skill work (direction, location etc.) in the previous lessons. This limited the amount of challenge that could have been added to the test and arguably only one question moved higher than ‘understand’ on  Bloom’s taxonomy pyramid (Bloom, 1956). Ideally, there also would have been some time for teacher intervention where any questions that presented widespread difficulty (Black et al., 2006) could have been highlighted prior to the post test and learners could have been eased of their potential additional test anxiety (Crooks, 1998). </w:t>
      </w:r>
    </w:p>
    <w:p w:rsidR="00690776" w:rsidRDefault="00690776" w:rsidP="00D70BA6">
      <w:r>
        <w:t xml:space="preserve">To minimise any participant emotional distress learners were made fully aware that they did not have to participate </w:t>
      </w:r>
      <w:r w:rsidR="004D3011">
        <w:t>in the research and that they could withdraw at any given time. Learners were aware that they would be treated confidentially and anonymised for both the research and the write up from the outset. Any concerns raised such as “who will know my marks?” were addressed immediately and learners knew that they would become, for example, ‘Pupil A’ and the</w:t>
      </w:r>
      <w:r w:rsidR="004B6C0B">
        <w:t>ir identity would be concealed fully for the write up and recording of the research</w:t>
      </w:r>
      <w:r w:rsidR="004D3011">
        <w:t xml:space="preserve">. All learners in the Year 8 class agreed to participate and none withdrew (not regarding those who were absent). To ensure that anonymity wasn’t compromised, all data recorded was done so on a password protected computer and pseudonyms were used to replace pupil names from the start. The anonymised results were stored on a fully encrypted, password protected memory stick that was only accessible to the researcher. The results were not printed out at all during the research process and no results were verbally discussed with anyone but the specific participant they related to.  At all times the research adhered to; the University of Wales Trinity Saint David Code of Ethics, the Date Protection Act and BERA Ethical Guidelines for Educational Research (2018).  </w:t>
      </w:r>
    </w:p>
    <w:p w:rsidR="00E12E79" w:rsidRDefault="00E12E79" w:rsidP="00D70BA6">
      <w:pPr>
        <w:rPr>
          <w:b/>
          <w:u w:val="single"/>
        </w:rPr>
      </w:pPr>
      <w:r w:rsidRPr="00E12E79">
        <w:rPr>
          <w:b/>
          <w:u w:val="single"/>
        </w:rPr>
        <w:t xml:space="preserve">Evaluation </w:t>
      </w:r>
    </w:p>
    <w:p w:rsidR="007B0CF7" w:rsidRDefault="007B0CF7" w:rsidP="00D70BA6">
      <w:r>
        <w:t>When the research commenced, the Year 8 learners were given a question paper with ten questions on Asia. This was the topic that they had recently started learning</w:t>
      </w:r>
      <w:r w:rsidR="0052426C">
        <w:t xml:space="preserve"> about</w:t>
      </w:r>
      <w:r>
        <w:t xml:space="preserve"> and therefore all questions were based on the work of previous lessons.</w:t>
      </w:r>
      <w:r w:rsidR="000A2F16">
        <w:t xml:space="preserve"> The test was marked out of fifteen and t</w:t>
      </w:r>
      <w:r>
        <w:t>he marks available ranged from one mark to three marks per question, with the latter arguably the only question of higher order (Bloom, 1956) on the paper. The final question ‘Describe one of Asia’s biomes’ was marked against a simple success criteria</w:t>
      </w:r>
      <w:r w:rsidR="00507275">
        <w:t xml:space="preserve"> (Clarke, 2001)</w:t>
      </w:r>
      <w:r>
        <w:t xml:space="preserve"> where one mark was awarded for naming a biome, one for a temperature (hot, cold etc.) and the final for a fact or characteristic. </w:t>
      </w:r>
      <w:r w:rsidR="00507275">
        <w:t xml:space="preserve">As this was the learners first time engaging with a success criteria to peer assess </w:t>
      </w:r>
      <w:r w:rsidR="0052426C">
        <w:t>(in Geography)</w:t>
      </w:r>
      <w:r w:rsidR="00507275">
        <w:t xml:space="preserve"> it was expected that there would be some confusion. However, due to its simplicity all learners managed to assess the question appropriately. Looking back retrospectively, if it had been known that the success criteria marking would have been understood so easily more challenge and long answer question</w:t>
      </w:r>
      <w:r w:rsidR="0052426C">
        <w:t>s</w:t>
      </w:r>
      <w:r w:rsidR="00507275">
        <w:t xml:space="preserve"> could have been added to the assessment to better gauge understanding. However, it was because of the class’ current position along the scheme of work that these </w:t>
      </w:r>
      <w:r w:rsidR="00507275">
        <w:lastRenderedPageBreak/>
        <w:t>questions were limited challenge wise. Ideally the sequence of lessons used for the research would have occurred after there had been more substantial and ‘deeper’ (</w:t>
      </w:r>
      <w:r w:rsidR="00557694">
        <w:t xml:space="preserve">Hattie and Donoghue, 2016) learning on the topic. Instead, due to timing issues </w:t>
      </w:r>
      <w:r w:rsidR="00F85039">
        <w:t xml:space="preserve">(Hunt and Pellegrino, 2002) </w:t>
      </w:r>
      <w:r w:rsidR="00557694">
        <w:t>the learners had only completed three of the topic’s lessons. These lessons were introductory in nature and predominately focussed on general geographical skills and themes such as locating places, landforms (mountain ranges etc.), biomes</w:t>
      </w:r>
      <w:r w:rsidR="0052426C">
        <w:t xml:space="preserve">, </w:t>
      </w:r>
      <w:r w:rsidR="00557694">
        <w:t xml:space="preserve">rivers and flooding. </w:t>
      </w:r>
      <w:r w:rsidR="00F6139B">
        <w:t>The ‘fact file’ nature of the previous lessons only ‘touched the surface’ (Hattie and Donoghue, 2016) of the potential challenge available in the future lessons to come. Therefore, if this research was to be undertaken again, the amount of learning time before the pre-test would definitely be taken into account so a clearer picture of actual understanding (and not just remembering)</w:t>
      </w:r>
      <w:r w:rsidR="00F85039">
        <w:t xml:space="preserve">(Bloom, 1956) </w:t>
      </w:r>
      <w:r w:rsidR="00F6139B">
        <w:t>could have been painted.</w:t>
      </w:r>
      <w:r w:rsidR="00F85039">
        <w:t xml:space="preserve"> That being said, the sequence of lessons chosen </w:t>
      </w:r>
      <w:r w:rsidR="0052426C">
        <w:t xml:space="preserve">would have been a </w:t>
      </w:r>
      <w:r w:rsidR="00F85039">
        <w:t>perfect way of checking that ‘the basics’ of the topic had been understood</w:t>
      </w:r>
      <w:r w:rsidR="0052426C">
        <w:t xml:space="preserve"> before moving on</w:t>
      </w:r>
      <w:r w:rsidR="001B7076">
        <w:t xml:space="preserve"> in normal teaching practise</w:t>
      </w:r>
      <w:r w:rsidR="00F85039">
        <w:t>. Any common or ‘widespread’ (</w:t>
      </w:r>
      <w:r w:rsidR="0052426C">
        <w:t>Black et al., 2004</w:t>
      </w:r>
      <w:r w:rsidR="00F85039">
        <w:t xml:space="preserve">) errors that arose from </w:t>
      </w:r>
      <w:r w:rsidR="001B7076">
        <w:t xml:space="preserve">the pre-test then, when time </w:t>
      </w:r>
      <w:r w:rsidR="00F85039">
        <w:t xml:space="preserve">permitted, could have been clarified </w:t>
      </w:r>
      <w:r w:rsidR="0052426C">
        <w:t>with further follow up if necessary (Bloom et al., 1971</w:t>
      </w:r>
      <w:proofErr w:type="gramStart"/>
      <w:r w:rsidR="0052426C">
        <w:t>)(</w:t>
      </w:r>
      <w:proofErr w:type="spellStart"/>
      <w:proofErr w:type="gramEnd"/>
      <w:r w:rsidR="0052426C">
        <w:t>Wiliam</w:t>
      </w:r>
      <w:proofErr w:type="spellEnd"/>
      <w:r w:rsidR="0052426C">
        <w:t>, 2011)(</w:t>
      </w:r>
      <w:proofErr w:type="spellStart"/>
      <w:r w:rsidR="0052426C">
        <w:t>Guskey</w:t>
      </w:r>
      <w:proofErr w:type="spellEnd"/>
      <w:r w:rsidR="0052426C">
        <w:t xml:space="preserve">, 2010). Of course, in this context, addressing the mistakes after the pre-test as a class teacher would have affected the dependant variable (Kumar, 2014) and the </w:t>
      </w:r>
      <w:r w:rsidR="001B7076">
        <w:t>measurement</w:t>
      </w:r>
      <w:r w:rsidR="0052426C">
        <w:t xml:space="preserve"> of peer assessment led progress made would have been less reliable. </w:t>
      </w:r>
    </w:p>
    <w:p w:rsidR="00CF2152" w:rsidRDefault="00213766" w:rsidP="00D70BA6">
      <w:r>
        <w:t xml:space="preserve">The feedback was organised on yellow tear off strips to guarantee that all learners would receive a certain level of response. Black and </w:t>
      </w:r>
      <w:proofErr w:type="spellStart"/>
      <w:r>
        <w:t>Wiliam</w:t>
      </w:r>
      <w:proofErr w:type="spellEnd"/>
      <w:r>
        <w:t xml:space="preserve"> (2009) praised the success of peer assessment when it was structured which is why this method was chosen. The slips encompassed (as mentioned previously) methods of peer assessment that the learners had used before and were familiar with to minimise the amount of ‘training’ needed (</w:t>
      </w:r>
      <w:proofErr w:type="spellStart"/>
      <w:r>
        <w:t>Slijusmans</w:t>
      </w:r>
      <w:proofErr w:type="spellEnd"/>
      <w:r w:rsidR="001E65D8">
        <w:t>, 2004). Although the responses would be structured it was still expected that the level of responses would vary and this was</w:t>
      </w:r>
      <w:r w:rsidR="00191A18">
        <w:t xml:space="preserve"> definitely</w:t>
      </w:r>
      <w:r w:rsidR="001E65D8">
        <w:t xml:space="preserve"> the case. Lin et al</w:t>
      </w:r>
      <w:r w:rsidR="00EE0C67">
        <w:t>.</w:t>
      </w:r>
      <w:r w:rsidR="001E65D8">
        <w:t xml:space="preserve"> (2001) </w:t>
      </w:r>
      <w:r w:rsidR="00EE0C67">
        <w:t xml:space="preserve">when exploring levels of response saw that higher achievers were more likely to give ‘better’ feedback but benefit less from receiving it whereas lower achievers </w:t>
      </w:r>
      <w:r w:rsidR="00A665CD">
        <w:t xml:space="preserve">were more likely to give less precise feedback but benefit the most from receiving it. </w:t>
      </w:r>
      <w:r w:rsidR="00F042B6">
        <w:t>Four examples of feedback received</w:t>
      </w:r>
      <w:r w:rsidR="00CF2152">
        <w:t xml:space="preserve">, chosen for different reasons, have been further analysed below. </w:t>
      </w:r>
    </w:p>
    <w:p w:rsidR="00CF2152" w:rsidRDefault="00CF2152" w:rsidP="00D70BA6">
      <w:r>
        <w:t>The first is the slip filled out by participant Q and received by participant N. This one was chosen because the results of participant N improved the most between the pre-test and the post-test</w:t>
      </w:r>
      <w:r w:rsidR="000A2F16">
        <w:t xml:space="preserve"> (+7)</w:t>
      </w:r>
      <w:r>
        <w:t xml:space="preserve">. </w:t>
      </w:r>
    </w:p>
    <w:p w:rsidR="00CF2152" w:rsidRDefault="00CF2152" w:rsidP="00D70BA6">
      <w:r>
        <w:rPr>
          <w:noProof/>
          <w:lang w:eastAsia="en-GB"/>
        </w:rPr>
        <w:drawing>
          <wp:inline distT="0" distB="0" distL="0" distR="0" wp14:anchorId="46F281E7" wp14:editId="520CA327">
            <wp:extent cx="5581650" cy="289591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5289" t="35763" r="44993" b="27586"/>
                    <a:stretch/>
                  </pic:blipFill>
                  <pic:spPr bwMode="auto">
                    <a:xfrm>
                      <a:off x="0" y="0"/>
                      <a:ext cx="5603978" cy="2907503"/>
                    </a:xfrm>
                    <a:prstGeom prst="rect">
                      <a:avLst/>
                    </a:prstGeom>
                    <a:ln>
                      <a:noFill/>
                    </a:ln>
                    <a:extLst>
                      <a:ext uri="{53640926-AAD7-44D8-BBD7-CCE9431645EC}">
                        <a14:shadowObscured xmlns:a14="http://schemas.microsoft.com/office/drawing/2010/main"/>
                      </a:ext>
                    </a:extLst>
                  </pic:spPr>
                </pic:pic>
              </a:graphicData>
            </a:graphic>
          </wp:inline>
        </w:drawing>
      </w:r>
    </w:p>
    <w:p w:rsidR="00CF2152" w:rsidRDefault="000A2F16" w:rsidP="00D70BA6">
      <w:r>
        <w:lastRenderedPageBreak/>
        <w:t xml:space="preserve">Both participant N and participant Q are ‘More Able and Talented’ learners so it was expected that a high level of feedback would be received. It can be seen from the image above that the feedback was quite limited and lacked detail/specificity. Rather than precisely directing participant N to the necessary revision topics, they have simply advised that they just revise everything. This lack of guidance however, did not negatively affect the mark at all and in fact saw the largest positive result. This may have been for a number of reasons, </w:t>
      </w:r>
      <w:r w:rsidR="007D352A">
        <w:t xml:space="preserve">one being that higher order thinkers are more likely to disregard the feedback and simply use the answers that they know they had wrong to look for right ones in time for the post test (Lin et al., 2001). This learner therefore was likely to have been educated by the instrument (test) itself (Kumar, 2014) although this cannot be said for certain, either way it is likely that one or more parts of the peer assessment process helped to improve their grade (Kumar, 2014). </w:t>
      </w:r>
    </w:p>
    <w:p w:rsidR="007D352A" w:rsidRDefault="007D352A" w:rsidP="00D70BA6">
      <w:r>
        <w:t>The second slip, was received by participant E and completed by participant M. This slip contained the least amount of feedback out of all twenty</w:t>
      </w:r>
      <w:r w:rsidR="00B111AD">
        <w:t xml:space="preserve"> slips</w:t>
      </w:r>
      <w:r>
        <w:t xml:space="preserve"> and was predominantly left blank. </w:t>
      </w:r>
    </w:p>
    <w:p w:rsidR="007D352A" w:rsidRDefault="007D352A" w:rsidP="00D70BA6">
      <w:r>
        <w:rPr>
          <w:noProof/>
          <w:lang w:eastAsia="en-GB"/>
        </w:rPr>
        <w:drawing>
          <wp:inline distT="0" distB="0" distL="0" distR="0" wp14:anchorId="7811A7F1" wp14:editId="48DA81C7">
            <wp:extent cx="5715000" cy="2966936"/>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5455" t="25123" r="45491" b="38818"/>
                    <a:stretch/>
                  </pic:blipFill>
                  <pic:spPr bwMode="auto">
                    <a:xfrm>
                      <a:off x="0" y="0"/>
                      <a:ext cx="5738209" cy="2978985"/>
                    </a:xfrm>
                    <a:prstGeom prst="rect">
                      <a:avLst/>
                    </a:prstGeom>
                    <a:ln>
                      <a:noFill/>
                    </a:ln>
                    <a:extLst>
                      <a:ext uri="{53640926-AAD7-44D8-BBD7-CCE9431645EC}">
                        <a14:shadowObscured xmlns:a14="http://schemas.microsoft.com/office/drawing/2010/main"/>
                      </a:ext>
                    </a:extLst>
                  </pic:spPr>
                </pic:pic>
              </a:graphicData>
            </a:graphic>
          </wp:inline>
        </w:drawing>
      </w:r>
    </w:p>
    <w:p w:rsidR="004B6C0B" w:rsidRDefault="00B111AD" w:rsidP="00D70BA6">
      <w:r>
        <w:t>Participant E scored ten out of fifteen in the pre-test and was only one of three participants to do this. It is clear from this result that the participant already had a relatively strong understanding of the topic. This score also could have only been potentially improved by five marks. This slip was filled out by a low achieving pupil, so the level of response lines up wit</w:t>
      </w:r>
      <w:r w:rsidR="00D9494E">
        <w:t xml:space="preserve">h Lin et al.’s (2001) theories that it would be basic/ lack detail. </w:t>
      </w:r>
      <w:r w:rsidR="004D1082">
        <w:t xml:space="preserve">However, despite this, participant E still improved by three marks. This was the third highest final mark, therefore, following the post-test it can be said that this participant had a sound understanding of the topic so far. In this </w:t>
      </w:r>
      <w:r w:rsidR="004B6C0B">
        <w:t xml:space="preserve">case, again, </w:t>
      </w:r>
      <w:r w:rsidR="004D1082">
        <w:t xml:space="preserve">it is likely that the participant benefitted more from the marking and assessing </w:t>
      </w:r>
      <w:r w:rsidR="004B6C0B">
        <w:t>proce</w:t>
      </w:r>
      <w:r w:rsidR="004D1082">
        <w:t>ss than they did from the feedback</w:t>
      </w:r>
      <w:r w:rsidR="004B6C0B">
        <w:t xml:space="preserve"> slip itself (Kumar, 2014)</w:t>
      </w:r>
      <w:r w:rsidR="004D1082">
        <w:t xml:space="preserve">. Albeit, </w:t>
      </w:r>
      <w:r w:rsidR="004B6C0B">
        <w:t>the use of peer assessment still positively affected the results here.</w:t>
      </w:r>
    </w:p>
    <w:p w:rsidR="00B111AD" w:rsidRDefault="004B6C0B" w:rsidP="00D70BA6">
      <w:r>
        <w:t xml:space="preserve"> </w:t>
      </w:r>
      <w:r w:rsidR="00CC0F2C">
        <w:t>The third slip was received by participant G and completed by participant R. Participant G achieved a negative result in the post-test. The participant scored four in the pre-test and three in the post-test. Despite the lack of specific detail on the feedback slip, it was still made clear where improvements needed to be made.</w:t>
      </w:r>
    </w:p>
    <w:p w:rsidR="00CC0F2C" w:rsidRDefault="00CC0F2C" w:rsidP="00D70BA6">
      <w:r>
        <w:rPr>
          <w:noProof/>
          <w:lang w:eastAsia="en-GB"/>
        </w:rPr>
        <w:lastRenderedPageBreak/>
        <w:drawing>
          <wp:inline distT="0" distB="0" distL="0" distR="0" wp14:anchorId="22E19DB4" wp14:editId="1CB47769">
            <wp:extent cx="5772150" cy="29345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5622" t="30739" r="44826" b="33497"/>
                    <a:stretch/>
                  </pic:blipFill>
                  <pic:spPr bwMode="auto">
                    <a:xfrm>
                      <a:off x="0" y="0"/>
                      <a:ext cx="5786447" cy="2941849"/>
                    </a:xfrm>
                    <a:prstGeom prst="rect">
                      <a:avLst/>
                    </a:prstGeom>
                    <a:ln>
                      <a:noFill/>
                    </a:ln>
                    <a:extLst>
                      <a:ext uri="{53640926-AAD7-44D8-BBD7-CCE9431645EC}">
                        <a14:shadowObscured xmlns:a14="http://schemas.microsoft.com/office/drawing/2010/main"/>
                      </a:ext>
                    </a:extLst>
                  </pic:spPr>
                </pic:pic>
              </a:graphicData>
            </a:graphic>
          </wp:inline>
        </w:drawing>
      </w:r>
    </w:p>
    <w:p w:rsidR="00553C1D" w:rsidRDefault="00CC0F2C" w:rsidP="00D70BA6">
      <w:r>
        <w:t xml:space="preserve">Again, participant G is categorized as being ‘lower able’ at School X. </w:t>
      </w:r>
      <w:r w:rsidR="00553C1D">
        <w:t>Although the feedback did specify some areas for improvement it did not (much like the others) specifically instruct the participant how to make progress. As Sadler (1989) asserted, some guidance was clearly needed here so the participant knew what to do with their feedback. For example, looking at ‘EBI’ point four, if the suggestion for improvement was better directed, for example “Even better if… you find out how human activity has worsened flooding” the participant may have better understood what to do with the feedback. Feedback is only of any benefit/relevance when it moves the learner forward (</w:t>
      </w:r>
      <w:proofErr w:type="spellStart"/>
      <w:r w:rsidR="00553C1D">
        <w:t>Wiliam</w:t>
      </w:r>
      <w:proofErr w:type="spellEnd"/>
      <w:r w:rsidR="00553C1D">
        <w:t xml:space="preserve"> and Thompson, 2007). This feedback arguably does not show the learner how to move forward it simply lists, like the previous, the topics that participant G answered questions wrong in. </w:t>
      </w:r>
      <w:r w:rsidR="00D02997">
        <w:t xml:space="preserve">Acknowledging the views of Rigby et al. (1992), there is also a case to be made that as a lower able student, the participant only saw what they could </w:t>
      </w:r>
      <w:r w:rsidR="00D02997" w:rsidRPr="00D02997">
        <w:rPr>
          <w:i/>
        </w:rPr>
        <w:t>not</w:t>
      </w:r>
      <w:r w:rsidR="00D02997">
        <w:t xml:space="preserve"> do from the slip rather than what needed improving. This, would then facilitate a reluctance to attempt improvement. If time had allowed, here would have been the time for a ‘teacher intervention’ where some training could have occurred to teach the learners how to use this feedback to move for</w:t>
      </w:r>
      <w:r w:rsidR="00D86501">
        <w:t>ward (</w:t>
      </w:r>
      <w:proofErr w:type="spellStart"/>
      <w:r w:rsidR="00D86501">
        <w:t>Sluijsmans</w:t>
      </w:r>
      <w:proofErr w:type="spellEnd"/>
      <w:r w:rsidR="00D86501">
        <w:t xml:space="preserve"> et al., 2004). </w:t>
      </w:r>
      <w:r w:rsidR="00D02997">
        <w:t>There may have also been extraneous circumstances present or occurring that inadvertently negatively affected the dependent variable (Kumar, 2014)</w:t>
      </w:r>
      <w:r w:rsidR="00D86501">
        <w:t xml:space="preserve"> which could potentially (if discovered) justify this anomaly in the results</w:t>
      </w:r>
      <w:r w:rsidR="00D02997">
        <w:t xml:space="preserve">. </w:t>
      </w:r>
      <w:r w:rsidR="00D86501">
        <w:t xml:space="preserve">Participant G was the only one out of twenty participants to be negatively impacted by the process. </w:t>
      </w:r>
    </w:p>
    <w:p w:rsidR="00D86501" w:rsidRDefault="00D86501" w:rsidP="00D70BA6">
      <w:r>
        <w:t xml:space="preserve">Lastly, the fourth slip chosen for discussion was filled out by participant D and received by participant O. Participant O was the </w:t>
      </w:r>
      <w:r w:rsidR="000D10F2">
        <w:t>only</w:t>
      </w:r>
      <w:r>
        <w:t xml:space="preserve"> learner whose score failed to change. They were not impacted by the peer assessment intervention in any way. </w:t>
      </w:r>
    </w:p>
    <w:p w:rsidR="00D86501" w:rsidRDefault="00D86501" w:rsidP="00D70BA6">
      <w:r>
        <w:rPr>
          <w:noProof/>
          <w:lang w:eastAsia="en-GB"/>
        </w:rPr>
        <w:lastRenderedPageBreak/>
        <w:drawing>
          <wp:inline distT="0" distB="0" distL="0" distR="0" wp14:anchorId="268EFA9D" wp14:editId="423D515E">
            <wp:extent cx="5724524" cy="29051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6120" t="32808" r="45325" b="32019"/>
                    <a:stretch/>
                  </pic:blipFill>
                  <pic:spPr bwMode="auto">
                    <a:xfrm>
                      <a:off x="0" y="0"/>
                      <a:ext cx="5771758" cy="2929096"/>
                    </a:xfrm>
                    <a:prstGeom prst="rect">
                      <a:avLst/>
                    </a:prstGeom>
                    <a:ln>
                      <a:noFill/>
                    </a:ln>
                    <a:extLst>
                      <a:ext uri="{53640926-AAD7-44D8-BBD7-CCE9431645EC}">
                        <a14:shadowObscured xmlns:a14="http://schemas.microsoft.com/office/drawing/2010/main"/>
                      </a:ext>
                    </a:extLst>
                  </pic:spPr>
                </pic:pic>
              </a:graphicData>
            </a:graphic>
          </wp:inline>
        </w:drawing>
      </w:r>
    </w:p>
    <w:p w:rsidR="007B0CF7" w:rsidRDefault="00553C1D" w:rsidP="00D70BA6">
      <w:r>
        <w:t xml:space="preserve"> </w:t>
      </w:r>
      <w:r w:rsidR="000D10F2">
        <w:t xml:space="preserve">Participant O is also regarded as a ‘More Able and Talented’ learner but also has significant special educational needs. </w:t>
      </w:r>
      <w:r w:rsidR="002B2826">
        <w:t>As a result of this, their homework assignments are reduced and prioritised as part of their individual education plan</w:t>
      </w:r>
      <w:r w:rsidR="00EB1CC2">
        <w:t xml:space="preserve"> [IEP]</w:t>
      </w:r>
      <w:r w:rsidR="002B2826">
        <w:t xml:space="preserve">. </w:t>
      </w:r>
      <w:r w:rsidR="00EB1CC2">
        <w:t xml:space="preserve">It is likely that the revision needed for this process was considered low priority as other subjects were undertaking their milestone assessments and these marks wouldn’t count towards any of their final levels. This would explain why no progress was made in this case as </w:t>
      </w:r>
      <w:r w:rsidR="002B2826">
        <w:t>Participant D has given some clear and specific guidance (</w:t>
      </w:r>
      <w:proofErr w:type="gramStart"/>
      <w:r w:rsidR="002B2826">
        <w:t>‘Look</w:t>
      </w:r>
      <w:proofErr w:type="gramEnd"/>
      <w:r w:rsidR="002B2826">
        <w:t xml:space="preserve"> back on biome work’)</w:t>
      </w:r>
      <w:r w:rsidR="00EB1CC2">
        <w:t xml:space="preserve"> that should have resulted in some progress (Sadler, 1989). </w:t>
      </w:r>
      <w:r w:rsidR="006056AC">
        <w:t xml:space="preserve">In this case, factors extraneous to the research did not affect the dependent variable in any way (Kumar, 2014) as the slip/feedback was not acknowledged and no revision was undertaken for progress to be made (Olson, 1990)(Van den Berg et al., 2006)(Lin et al., 2001). However, when comparing this study to the work of Lin et al. (2001) being a ‘MAT’ or higher executive thinker Participant O should have improved from the ‘instrument’ (Kumar, 2014) and assessing the work of their peer. This clearly was not the case as no positive change occurred in the results. </w:t>
      </w:r>
    </w:p>
    <w:p w:rsidR="00E94B79" w:rsidRDefault="00E94B79" w:rsidP="00D70BA6">
      <w:r>
        <w:t xml:space="preserve">It can be said from the analysis of feedback so far (excluding the extraneous factors) that the peer assessment process, whether that be from the feedback received or the marking itself has impacted and effected the results positively in half of the cases. Now, the results of the twenty participants will be analysed and evaluated as a whole. The table of results is displayed below. </w:t>
      </w:r>
    </w:p>
    <w:p w:rsidR="00E94B79" w:rsidRDefault="00E94B79" w:rsidP="00D70BA6"/>
    <w:p w:rsidR="00E94B79" w:rsidRDefault="00E94B79" w:rsidP="00D70BA6"/>
    <w:p w:rsidR="00E94B79" w:rsidRDefault="00E94B79" w:rsidP="00D70BA6"/>
    <w:p w:rsidR="00E94B79" w:rsidRDefault="00E94B79" w:rsidP="00D70BA6"/>
    <w:p w:rsidR="00E94B79" w:rsidRDefault="00E94B79" w:rsidP="00D70BA6"/>
    <w:p w:rsidR="00E94B79" w:rsidRDefault="00E94B79" w:rsidP="00D70BA6"/>
    <w:p w:rsidR="00E94B79" w:rsidRDefault="00E94B79" w:rsidP="00D70BA6"/>
    <w:p w:rsidR="00E94B79" w:rsidRDefault="00E94B79" w:rsidP="00D70BA6"/>
    <w:p w:rsidR="00E94B79" w:rsidRPr="007B0CF7" w:rsidRDefault="00E94B79" w:rsidP="00D70BA6"/>
    <w:tbl>
      <w:tblPr>
        <w:tblStyle w:val="TableGrid"/>
        <w:tblW w:w="9128" w:type="dxa"/>
        <w:tblLook w:val="04A0" w:firstRow="1" w:lastRow="0" w:firstColumn="1" w:lastColumn="0" w:noHBand="0" w:noVBand="1"/>
      </w:tblPr>
      <w:tblGrid>
        <w:gridCol w:w="2687"/>
        <w:gridCol w:w="2312"/>
        <w:gridCol w:w="2312"/>
        <w:gridCol w:w="1817"/>
      </w:tblGrid>
      <w:tr w:rsidR="00B456E1" w:rsidTr="007A6208">
        <w:trPr>
          <w:trHeight w:val="182"/>
        </w:trPr>
        <w:tc>
          <w:tcPr>
            <w:tcW w:w="2687" w:type="dxa"/>
          </w:tcPr>
          <w:p w:rsidR="00B456E1" w:rsidRPr="007A6208" w:rsidRDefault="00B456E1" w:rsidP="00E12E79">
            <w:pPr>
              <w:jc w:val="center"/>
              <w:rPr>
                <w:b/>
                <w:sz w:val="16"/>
                <w:szCs w:val="16"/>
              </w:rPr>
            </w:pPr>
            <w:r w:rsidRPr="007A6208">
              <w:rPr>
                <w:b/>
                <w:sz w:val="16"/>
                <w:szCs w:val="16"/>
              </w:rPr>
              <w:lastRenderedPageBreak/>
              <w:t>Participant</w:t>
            </w:r>
          </w:p>
        </w:tc>
        <w:tc>
          <w:tcPr>
            <w:tcW w:w="2312" w:type="dxa"/>
          </w:tcPr>
          <w:p w:rsidR="00B456E1" w:rsidRPr="007A6208" w:rsidRDefault="00B456E1" w:rsidP="00E12E79">
            <w:pPr>
              <w:jc w:val="center"/>
              <w:rPr>
                <w:b/>
                <w:sz w:val="16"/>
                <w:szCs w:val="16"/>
              </w:rPr>
            </w:pPr>
            <w:r w:rsidRPr="007A6208">
              <w:rPr>
                <w:b/>
                <w:sz w:val="16"/>
                <w:szCs w:val="16"/>
              </w:rPr>
              <w:t>Pre-Test Result</w:t>
            </w:r>
          </w:p>
        </w:tc>
        <w:tc>
          <w:tcPr>
            <w:tcW w:w="2312" w:type="dxa"/>
          </w:tcPr>
          <w:p w:rsidR="00B456E1" w:rsidRPr="007A6208" w:rsidRDefault="00B456E1" w:rsidP="00E12E79">
            <w:pPr>
              <w:jc w:val="center"/>
              <w:rPr>
                <w:b/>
                <w:sz w:val="16"/>
                <w:szCs w:val="16"/>
              </w:rPr>
            </w:pPr>
            <w:r w:rsidRPr="007A6208">
              <w:rPr>
                <w:b/>
                <w:sz w:val="16"/>
                <w:szCs w:val="16"/>
              </w:rPr>
              <w:t>Post Test Result</w:t>
            </w:r>
          </w:p>
        </w:tc>
        <w:tc>
          <w:tcPr>
            <w:tcW w:w="1817" w:type="dxa"/>
          </w:tcPr>
          <w:p w:rsidR="00B456E1" w:rsidRPr="007A6208" w:rsidRDefault="00B456E1" w:rsidP="00E12E79">
            <w:pPr>
              <w:jc w:val="center"/>
              <w:rPr>
                <w:b/>
                <w:sz w:val="16"/>
                <w:szCs w:val="16"/>
              </w:rPr>
            </w:pPr>
            <w:r w:rsidRPr="007A6208">
              <w:rPr>
                <w:b/>
                <w:sz w:val="16"/>
                <w:szCs w:val="16"/>
              </w:rPr>
              <w:t>Change</w:t>
            </w:r>
          </w:p>
        </w:tc>
      </w:tr>
      <w:tr w:rsidR="00B456E1" w:rsidTr="007A6208">
        <w:trPr>
          <w:trHeight w:val="169"/>
        </w:trPr>
        <w:tc>
          <w:tcPr>
            <w:tcW w:w="2687" w:type="dxa"/>
          </w:tcPr>
          <w:p w:rsidR="00B456E1" w:rsidRPr="007A6208" w:rsidRDefault="00B456E1" w:rsidP="00B456E1">
            <w:pPr>
              <w:jc w:val="center"/>
              <w:rPr>
                <w:sz w:val="16"/>
                <w:szCs w:val="16"/>
              </w:rPr>
            </w:pPr>
            <w:r w:rsidRPr="007A6208">
              <w:rPr>
                <w:sz w:val="16"/>
                <w:szCs w:val="16"/>
              </w:rPr>
              <w:t>A</w:t>
            </w:r>
          </w:p>
        </w:tc>
        <w:tc>
          <w:tcPr>
            <w:tcW w:w="2312" w:type="dxa"/>
          </w:tcPr>
          <w:p w:rsidR="00B456E1" w:rsidRPr="007A6208" w:rsidRDefault="00B05293" w:rsidP="00B456E1">
            <w:pPr>
              <w:jc w:val="center"/>
              <w:rPr>
                <w:sz w:val="16"/>
                <w:szCs w:val="16"/>
              </w:rPr>
            </w:pPr>
            <w:r w:rsidRPr="007A6208">
              <w:rPr>
                <w:sz w:val="16"/>
                <w:szCs w:val="16"/>
              </w:rPr>
              <w:t>10</w:t>
            </w:r>
          </w:p>
        </w:tc>
        <w:tc>
          <w:tcPr>
            <w:tcW w:w="2312" w:type="dxa"/>
          </w:tcPr>
          <w:p w:rsidR="00B456E1" w:rsidRPr="007A6208" w:rsidRDefault="00B05293" w:rsidP="00B456E1">
            <w:pPr>
              <w:jc w:val="center"/>
              <w:rPr>
                <w:sz w:val="16"/>
                <w:szCs w:val="16"/>
              </w:rPr>
            </w:pPr>
            <w:r w:rsidRPr="007A6208">
              <w:rPr>
                <w:sz w:val="16"/>
                <w:szCs w:val="16"/>
              </w:rPr>
              <w:t>12</w:t>
            </w:r>
          </w:p>
        </w:tc>
        <w:tc>
          <w:tcPr>
            <w:tcW w:w="1817" w:type="dxa"/>
            <w:shd w:val="clear" w:color="auto" w:fill="BFE2A8" w:themeFill="accent2" w:themeFillTint="66"/>
          </w:tcPr>
          <w:p w:rsidR="00B456E1" w:rsidRPr="007A6208" w:rsidRDefault="00B05293" w:rsidP="00B456E1">
            <w:pPr>
              <w:jc w:val="center"/>
              <w:rPr>
                <w:sz w:val="16"/>
                <w:szCs w:val="16"/>
              </w:rPr>
            </w:pPr>
            <w:r w:rsidRPr="007A6208">
              <w:rPr>
                <w:sz w:val="16"/>
                <w:szCs w:val="16"/>
              </w:rPr>
              <w:t>+2</w:t>
            </w:r>
          </w:p>
        </w:tc>
      </w:tr>
      <w:tr w:rsidR="00B456E1" w:rsidTr="007A6208">
        <w:trPr>
          <w:trHeight w:val="182"/>
        </w:trPr>
        <w:tc>
          <w:tcPr>
            <w:tcW w:w="2687" w:type="dxa"/>
          </w:tcPr>
          <w:p w:rsidR="00B456E1" w:rsidRPr="007A6208" w:rsidRDefault="00B456E1" w:rsidP="00B456E1">
            <w:pPr>
              <w:jc w:val="center"/>
              <w:rPr>
                <w:sz w:val="16"/>
                <w:szCs w:val="16"/>
              </w:rPr>
            </w:pPr>
            <w:r w:rsidRPr="007A6208">
              <w:rPr>
                <w:sz w:val="16"/>
                <w:szCs w:val="16"/>
              </w:rPr>
              <w:t>B</w:t>
            </w:r>
          </w:p>
        </w:tc>
        <w:tc>
          <w:tcPr>
            <w:tcW w:w="2312" w:type="dxa"/>
          </w:tcPr>
          <w:p w:rsidR="00B456E1" w:rsidRPr="007A6208" w:rsidRDefault="00B05293" w:rsidP="00B456E1">
            <w:pPr>
              <w:jc w:val="center"/>
              <w:rPr>
                <w:sz w:val="16"/>
                <w:szCs w:val="16"/>
              </w:rPr>
            </w:pPr>
            <w:r w:rsidRPr="007A6208">
              <w:rPr>
                <w:sz w:val="16"/>
                <w:szCs w:val="16"/>
              </w:rPr>
              <w:t>10</w:t>
            </w:r>
          </w:p>
        </w:tc>
        <w:tc>
          <w:tcPr>
            <w:tcW w:w="2312" w:type="dxa"/>
          </w:tcPr>
          <w:p w:rsidR="00B456E1" w:rsidRPr="007A6208" w:rsidRDefault="00B05293" w:rsidP="00B456E1">
            <w:pPr>
              <w:jc w:val="center"/>
              <w:rPr>
                <w:sz w:val="16"/>
                <w:szCs w:val="16"/>
              </w:rPr>
            </w:pPr>
            <w:r w:rsidRPr="007A6208">
              <w:rPr>
                <w:sz w:val="16"/>
                <w:szCs w:val="16"/>
              </w:rPr>
              <w:t>13</w:t>
            </w:r>
          </w:p>
        </w:tc>
        <w:tc>
          <w:tcPr>
            <w:tcW w:w="1817" w:type="dxa"/>
            <w:shd w:val="clear" w:color="auto" w:fill="9FD37C" w:themeFill="accent2" w:themeFillTint="99"/>
          </w:tcPr>
          <w:p w:rsidR="00B456E1" w:rsidRPr="007A6208" w:rsidRDefault="00B05293" w:rsidP="00B456E1">
            <w:pPr>
              <w:jc w:val="center"/>
              <w:rPr>
                <w:sz w:val="16"/>
                <w:szCs w:val="16"/>
              </w:rPr>
            </w:pPr>
            <w:r w:rsidRPr="007A6208">
              <w:rPr>
                <w:sz w:val="16"/>
                <w:szCs w:val="16"/>
              </w:rPr>
              <w:t>+3</w:t>
            </w:r>
          </w:p>
        </w:tc>
      </w:tr>
      <w:tr w:rsidR="00B456E1" w:rsidTr="007A6208">
        <w:trPr>
          <w:trHeight w:val="182"/>
        </w:trPr>
        <w:tc>
          <w:tcPr>
            <w:tcW w:w="2687" w:type="dxa"/>
          </w:tcPr>
          <w:p w:rsidR="00B456E1" w:rsidRPr="007A6208" w:rsidRDefault="00B456E1" w:rsidP="00B456E1">
            <w:pPr>
              <w:jc w:val="center"/>
              <w:rPr>
                <w:sz w:val="16"/>
                <w:szCs w:val="16"/>
              </w:rPr>
            </w:pPr>
            <w:r w:rsidRPr="007A6208">
              <w:rPr>
                <w:sz w:val="16"/>
                <w:szCs w:val="16"/>
              </w:rPr>
              <w:t>C</w:t>
            </w:r>
          </w:p>
        </w:tc>
        <w:tc>
          <w:tcPr>
            <w:tcW w:w="2312" w:type="dxa"/>
          </w:tcPr>
          <w:p w:rsidR="00B456E1" w:rsidRPr="007A6208" w:rsidRDefault="00B05293" w:rsidP="00B456E1">
            <w:pPr>
              <w:jc w:val="center"/>
              <w:rPr>
                <w:sz w:val="16"/>
                <w:szCs w:val="16"/>
              </w:rPr>
            </w:pPr>
            <w:r w:rsidRPr="007A6208">
              <w:rPr>
                <w:sz w:val="16"/>
                <w:szCs w:val="16"/>
              </w:rPr>
              <w:t>9</w:t>
            </w:r>
          </w:p>
        </w:tc>
        <w:tc>
          <w:tcPr>
            <w:tcW w:w="2312" w:type="dxa"/>
          </w:tcPr>
          <w:p w:rsidR="00B456E1" w:rsidRPr="007A6208" w:rsidRDefault="00B05293" w:rsidP="00B456E1">
            <w:pPr>
              <w:jc w:val="center"/>
              <w:rPr>
                <w:sz w:val="16"/>
                <w:szCs w:val="16"/>
              </w:rPr>
            </w:pPr>
            <w:r w:rsidRPr="007A6208">
              <w:rPr>
                <w:sz w:val="16"/>
                <w:szCs w:val="16"/>
              </w:rPr>
              <w:t>12</w:t>
            </w:r>
          </w:p>
        </w:tc>
        <w:tc>
          <w:tcPr>
            <w:tcW w:w="1817" w:type="dxa"/>
            <w:shd w:val="clear" w:color="auto" w:fill="9FD37C" w:themeFill="accent2" w:themeFillTint="99"/>
          </w:tcPr>
          <w:p w:rsidR="00B456E1" w:rsidRPr="007A6208" w:rsidRDefault="00B05293" w:rsidP="00B456E1">
            <w:pPr>
              <w:jc w:val="center"/>
              <w:rPr>
                <w:sz w:val="16"/>
                <w:szCs w:val="16"/>
              </w:rPr>
            </w:pPr>
            <w:r w:rsidRPr="007A6208">
              <w:rPr>
                <w:sz w:val="16"/>
                <w:szCs w:val="16"/>
              </w:rPr>
              <w:t>+3</w:t>
            </w:r>
          </w:p>
        </w:tc>
      </w:tr>
      <w:tr w:rsidR="00B456E1" w:rsidTr="007A6208">
        <w:trPr>
          <w:trHeight w:val="169"/>
        </w:trPr>
        <w:tc>
          <w:tcPr>
            <w:tcW w:w="2687" w:type="dxa"/>
          </w:tcPr>
          <w:p w:rsidR="00B456E1" w:rsidRPr="007A6208" w:rsidRDefault="00B456E1" w:rsidP="00B456E1">
            <w:pPr>
              <w:jc w:val="center"/>
              <w:rPr>
                <w:sz w:val="16"/>
                <w:szCs w:val="16"/>
              </w:rPr>
            </w:pPr>
            <w:r w:rsidRPr="007A6208">
              <w:rPr>
                <w:sz w:val="16"/>
                <w:szCs w:val="16"/>
              </w:rPr>
              <w:t>D</w:t>
            </w:r>
          </w:p>
        </w:tc>
        <w:tc>
          <w:tcPr>
            <w:tcW w:w="2312" w:type="dxa"/>
          </w:tcPr>
          <w:p w:rsidR="00B456E1" w:rsidRPr="007A6208" w:rsidRDefault="00B05293" w:rsidP="00B456E1">
            <w:pPr>
              <w:jc w:val="center"/>
              <w:rPr>
                <w:sz w:val="16"/>
                <w:szCs w:val="16"/>
              </w:rPr>
            </w:pPr>
            <w:r w:rsidRPr="007A6208">
              <w:rPr>
                <w:sz w:val="16"/>
                <w:szCs w:val="16"/>
              </w:rPr>
              <w:t>4</w:t>
            </w:r>
          </w:p>
        </w:tc>
        <w:tc>
          <w:tcPr>
            <w:tcW w:w="2312" w:type="dxa"/>
          </w:tcPr>
          <w:p w:rsidR="00B456E1" w:rsidRPr="007A6208" w:rsidRDefault="00B05293" w:rsidP="00B456E1">
            <w:pPr>
              <w:jc w:val="center"/>
              <w:rPr>
                <w:sz w:val="16"/>
                <w:szCs w:val="16"/>
              </w:rPr>
            </w:pPr>
            <w:r w:rsidRPr="007A6208">
              <w:rPr>
                <w:sz w:val="16"/>
                <w:szCs w:val="16"/>
              </w:rPr>
              <w:t>6</w:t>
            </w:r>
          </w:p>
        </w:tc>
        <w:tc>
          <w:tcPr>
            <w:tcW w:w="1817" w:type="dxa"/>
            <w:shd w:val="clear" w:color="auto" w:fill="BFE2A8" w:themeFill="accent2" w:themeFillTint="66"/>
          </w:tcPr>
          <w:p w:rsidR="00B456E1" w:rsidRPr="007A6208" w:rsidRDefault="00B05293" w:rsidP="00B456E1">
            <w:pPr>
              <w:jc w:val="center"/>
              <w:rPr>
                <w:sz w:val="16"/>
                <w:szCs w:val="16"/>
              </w:rPr>
            </w:pPr>
            <w:r w:rsidRPr="007A6208">
              <w:rPr>
                <w:sz w:val="16"/>
                <w:szCs w:val="16"/>
              </w:rPr>
              <w:t>+2</w:t>
            </w:r>
          </w:p>
        </w:tc>
      </w:tr>
      <w:tr w:rsidR="00B456E1" w:rsidTr="007A6208">
        <w:trPr>
          <w:trHeight w:val="182"/>
        </w:trPr>
        <w:tc>
          <w:tcPr>
            <w:tcW w:w="2687" w:type="dxa"/>
          </w:tcPr>
          <w:p w:rsidR="00B456E1" w:rsidRPr="007A6208" w:rsidRDefault="00B456E1" w:rsidP="00B456E1">
            <w:pPr>
              <w:jc w:val="center"/>
              <w:rPr>
                <w:sz w:val="16"/>
                <w:szCs w:val="16"/>
              </w:rPr>
            </w:pPr>
            <w:r w:rsidRPr="007A6208">
              <w:rPr>
                <w:sz w:val="16"/>
                <w:szCs w:val="16"/>
              </w:rPr>
              <w:t>E</w:t>
            </w:r>
          </w:p>
        </w:tc>
        <w:tc>
          <w:tcPr>
            <w:tcW w:w="2312" w:type="dxa"/>
          </w:tcPr>
          <w:p w:rsidR="00B456E1" w:rsidRPr="007A6208" w:rsidRDefault="00B05293" w:rsidP="00B456E1">
            <w:pPr>
              <w:jc w:val="center"/>
              <w:rPr>
                <w:sz w:val="16"/>
                <w:szCs w:val="16"/>
              </w:rPr>
            </w:pPr>
            <w:r w:rsidRPr="007A6208">
              <w:rPr>
                <w:sz w:val="16"/>
                <w:szCs w:val="16"/>
              </w:rPr>
              <w:t>10</w:t>
            </w:r>
          </w:p>
        </w:tc>
        <w:tc>
          <w:tcPr>
            <w:tcW w:w="2312" w:type="dxa"/>
          </w:tcPr>
          <w:p w:rsidR="00B456E1" w:rsidRPr="007A6208" w:rsidRDefault="00B05293" w:rsidP="00B456E1">
            <w:pPr>
              <w:jc w:val="center"/>
              <w:rPr>
                <w:sz w:val="16"/>
                <w:szCs w:val="16"/>
              </w:rPr>
            </w:pPr>
            <w:r w:rsidRPr="007A6208">
              <w:rPr>
                <w:sz w:val="16"/>
                <w:szCs w:val="16"/>
              </w:rPr>
              <w:t>13</w:t>
            </w:r>
          </w:p>
        </w:tc>
        <w:tc>
          <w:tcPr>
            <w:tcW w:w="1817" w:type="dxa"/>
            <w:shd w:val="clear" w:color="auto" w:fill="9FD37C" w:themeFill="accent2" w:themeFillTint="99"/>
          </w:tcPr>
          <w:p w:rsidR="00B456E1" w:rsidRPr="007A6208" w:rsidRDefault="00B05293" w:rsidP="00B456E1">
            <w:pPr>
              <w:jc w:val="center"/>
              <w:rPr>
                <w:sz w:val="16"/>
                <w:szCs w:val="16"/>
              </w:rPr>
            </w:pPr>
            <w:r w:rsidRPr="007A6208">
              <w:rPr>
                <w:sz w:val="16"/>
                <w:szCs w:val="16"/>
              </w:rPr>
              <w:t>+3</w:t>
            </w:r>
          </w:p>
        </w:tc>
      </w:tr>
      <w:tr w:rsidR="00B456E1" w:rsidTr="007A6208">
        <w:trPr>
          <w:trHeight w:val="182"/>
        </w:trPr>
        <w:tc>
          <w:tcPr>
            <w:tcW w:w="2687" w:type="dxa"/>
          </w:tcPr>
          <w:p w:rsidR="00B456E1" w:rsidRPr="007A6208" w:rsidRDefault="00B456E1" w:rsidP="00B456E1">
            <w:pPr>
              <w:jc w:val="center"/>
              <w:rPr>
                <w:sz w:val="16"/>
                <w:szCs w:val="16"/>
              </w:rPr>
            </w:pPr>
            <w:r w:rsidRPr="007A6208">
              <w:rPr>
                <w:sz w:val="16"/>
                <w:szCs w:val="16"/>
              </w:rPr>
              <w:t>F</w:t>
            </w:r>
          </w:p>
        </w:tc>
        <w:tc>
          <w:tcPr>
            <w:tcW w:w="2312" w:type="dxa"/>
          </w:tcPr>
          <w:p w:rsidR="00B456E1" w:rsidRPr="007A6208" w:rsidRDefault="00B05293" w:rsidP="00B456E1">
            <w:pPr>
              <w:jc w:val="center"/>
              <w:rPr>
                <w:sz w:val="16"/>
                <w:szCs w:val="16"/>
              </w:rPr>
            </w:pPr>
            <w:r w:rsidRPr="007A6208">
              <w:rPr>
                <w:sz w:val="16"/>
                <w:szCs w:val="16"/>
              </w:rPr>
              <w:t>7</w:t>
            </w:r>
          </w:p>
        </w:tc>
        <w:tc>
          <w:tcPr>
            <w:tcW w:w="2312" w:type="dxa"/>
          </w:tcPr>
          <w:p w:rsidR="00B456E1" w:rsidRPr="007A6208" w:rsidRDefault="00B05293" w:rsidP="00B456E1">
            <w:pPr>
              <w:jc w:val="center"/>
              <w:rPr>
                <w:sz w:val="16"/>
                <w:szCs w:val="16"/>
              </w:rPr>
            </w:pPr>
            <w:r w:rsidRPr="007A6208">
              <w:rPr>
                <w:sz w:val="16"/>
                <w:szCs w:val="16"/>
              </w:rPr>
              <w:t>9</w:t>
            </w:r>
          </w:p>
        </w:tc>
        <w:tc>
          <w:tcPr>
            <w:tcW w:w="1817" w:type="dxa"/>
            <w:shd w:val="clear" w:color="auto" w:fill="BFE2A8" w:themeFill="accent2" w:themeFillTint="66"/>
          </w:tcPr>
          <w:p w:rsidR="00B456E1" w:rsidRPr="007A6208" w:rsidRDefault="00B05293" w:rsidP="00B456E1">
            <w:pPr>
              <w:jc w:val="center"/>
              <w:rPr>
                <w:sz w:val="16"/>
                <w:szCs w:val="16"/>
              </w:rPr>
            </w:pPr>
            <w:r w:rsidRPr="007A6208">
              <w:rPr>
                <w:sz w:val="16"/>
                <w:szCs w:val="16"/>
              </w:rPr>
              <w:t>+2</w:t>
            </w:r>
          </w:p>
        </w:tc>
      </w:tr>
      <w:tr w:rsidR="00B456E1" w:rsidTr="007A6208">
        <w:trPr>
          <w:trHeight w:val="182"/>
        </w:trPr>
        <w:tc>
          <w:tcPr>
            <w:tcW w:w="2687" w:type="dxa"/>
          </w:tcPr>
          <w:p w:rsidR="00B456E1" w:rsidRPr="007A6208" w:rsidRDefault="00B456E1" w:rsidP="00B456E1">
            <w:pPr>
              <w:jc w:val="center"/>
              <w:rPr>
                <w:sz w:val="16"/>
                <w:szCs w:val="16"/>
              </w:rPr>
            </w:pPr>
            <w:r w:rsidRPr="007A6208">
              <w:rPr>
                <w:sz w:val="16"/>
                <w:szCs w:val="16"/>
              </w:rPr>
              <w:t>G</w:t>
            </w:r>
          </w:p>
        </w:tc>
        <w:tc>
          <w:tcPr>
            <w:tcW w:w="2312" w:type="dxa"/>
          </w:tcPr>
          <w:p w:rsidR="00B456E1" w:rsidRPr="007A6208" w:rsidRDefault="00B05293" w:rsidP="00B456E1">
            <w:pPr>
              <w:jc w:val="center"/>
              <w:rPr>
                <w:sz w:val="16"/>
                <w:szCs w:val="16"/>
              </w:rPr>
            </w:pPr>
            <w:r w:rsidRPr="007A6208">
              <w:rPr>
                <w:sz w:val="16"/>
                <w:szCs w:val="16"/>
              </w:rPr>
              <w:t>4</w:t>
            </w:r>
          </w:p>
        </w:tc>
        <w:tc>
          <w:tcPr>
            <w:tcW w:w="2312" w:type="dxa"/>
          </w:tcPr>
          <w:p w:rsidR="00B456E1" w:rsidRPr="007A6208" w:rsidRDefault="00B05293" w:rsidP="00B456E1">
            <w:pPr>
              <w:jc w:val="center"/>
              <w:rPr>
                <w:sz w:val="16"/>
                <w:szCs w:val="16"/>
              </w:rPr>
            </w:pPr>
            <w:r w:rsidRPr="007A6208">
              <w:rPr>
                <w:sz w:val="16"/>
                <w:szCs w:val="16"/>
              </w:rPr>
              <w:t>3</w:t>
            </w:r>
          </w:p>
        </w:tc>
        <w:tc>
          <w:tcPr>
            <w:tcW w:w="1817" w:type="dxa"/>
            <w:shd w:val="clear" w:color="auto" w:fill="FF0000"/>
          </w:tcPr>
          <w:p w:rsidR="00B456E1" w:rsidRPr="007A6208" w:rsidRDefault="00B05293" w:rsidP="00B456E1">
            <w:pPr>
              <w:jc w:val="center"/>
              <w:rPr>
                <w:sz w:val="16"/>
                <w:szCs w:val="16"/>
              </w:rPr>
            </w:pPr>
            <w:r w:rsidRPr="007A6208">
              <w:rPr>
                <w:sz w:val="16"/>
                <w:szCs w:val="16"/>
              </w:rPr>
              <w:t>-1</w:t>
            </w:r>
          </w:p>
        </w:tc>
      </w:tr>
      <w:tr w:rsidR="00B456E1" w:rsidTr="007A6208">
        <w:trPr>
          <w:trHeight w:val="169"/>
        </w:trPr>
        <w:tc>
          <w:tcPr>
            <w:tcW w:w="2687" w:type="dxa"/>
          </w:tcPr>
          <w:p w:rsidR="00B456E1" w:rsidRPr="007A6208" w:rsidRDefault="00B456E1" w:rsidP="00B456E1">
            <w:pPr>
              <w:jc w:val="center"/>
              <w:rPr>
                <w:sz w:val="16"/>
                <w:szCs w:val="16"/>
              </w:rPr>
            </w:pPr>
            <w:r w:rsidRPr="007A6208">
              <w:rPr>
                <w:sz w:val="16"/>
                <w:szCs w:val="16"/>
              </w:rPr>
              <w:t>H</w:t>
            </w:r>
          </w:p>
        </w:tc>
        <w:tc>
          <w:tcPr>
            <w:tcW w:w="2312" w:type="dxa"/>
          </w:tcPr>
          <w:p w:rsidR="00B456E1" w:rsidRPr="007A6208" w:rsidRDefault="00B05293" w:rsidP="00B456E1">
            <w:pPr>
              <w:jc w:val="center"/>
              <w:rPr>
                <w:sz w:val="16"/>
                <w:szCs w:val="16"/>
              </w:rPr>
            </w:pPr>
            <w:r w:rsidRPr="007A6208">
              <w:rPr>
                <w:sz w:val="16"/>
                <w:szCs w:val="16"/>
              </w:rPr>
              <w:t>1</w:t>
            </w:r>
          </w:p>
        </w:tc>
        <w:tc>
          <w:tcPr>
            <w:tcW w:w="2312" w:type="dxa"/>
          </w:tcPr>
          <w:p w:rsidR="00B456E1" w:rsidRPr="007A6208" w:rsidRDefault="00B05293" w:rsidP="00B456E1">
            <w:pPr>
              <w:jc w:val="center"/>
              <w:rPr>
                <w:sz w:val="16"/>
                <w:szCs w:val="16"/>
              </w:rPr>
            </w:pPr>
            <w:r w:rsidRPr="007A6208">
              <w:rPr>
                <w:sz w:val="16"/>
                <w:szCs w:val="16"/>
              </w:rPr>
              <w:t>7</w:t>
            </w:r>
          </w:p>
        </w:tc>
        <w:tc>
          <w:tcPr>
            <w:tcW w:w="1817" w:type="dxa"/>
            <w:shd w:val="clear" w:color="auto" w:fill="31521B" w:themeFill="accent2" w:themeFillShade="80"/>
          </w:tcPr>
          <w:p w:rsidR="00B456E1" w:rsidRPr="007A6208" w:rsidRDefault="00B05293" w:rsidP="00B456E1">
            <w:pPr>
              <w:jc w:val="center"/>
              <w:rPr>
                <w:sz w:val="16"/>
                <w:szCs w:val="16"/>
              </w:rPr>
            </w:pPr>
            <w:r w:rsidRPr="007A6208">
              <w:rPr>
                <w:color w:val="FFFFFF" w:themeColor="background1"/>
                <w:sz w:val="16"/>
                <w:szCs w:val="16"/>
              </w:rPr>
              <w:t>+6</w:t>
            </w:r>
          </w:p>
        </w:tc>
      </w:tr>
      <w:tr w:rsidR="00B456E1" w:rsidTr="007A6208">
        <w:trPr>
          <w:trHeight w:val="182"/>
        </w:trPr>
        <w:tc>
          <w:tcPr>
            <w:tcW w:w="2687" w:type="dxa"/>
          </w:tcPr>
          <w:p w:rsidR="00B456E1" w:rsidRPr="007A6208" w:rsidRDefault="00B456E1" w:rsidP="00B456E1">
            <w:pPr>
              <w:jc w:val="center"/>
              <w:rPr>
                <w:sz w:val="16"/>
                <w:szCs w:val="16"/>
              </w:rPr>
            </w:pPr>
            <w:r w:rsidRPr="007A6208">
              <w:rPr>
                <w:sz w:val="16"/>
                <w:szCs w:val="16"/>
              </w:rPr>
              <w:t>I</w:t>
            </w:r>
          </w:p>
        </w:tc>
        <w:tc>
          <w:tcPr>
            <w:tcW w:w="2312" w:type="dxa"/>
          </w:tcPr>
          <w:p w:rsidR="00B456E1" w:rsidRPr="007A6208" w:rsidRDefault="00B05293" w:rsidP="00B456E1">
            <w:pPr>
              <w:jc w:val="center"/>
              <w:rPr>
                <w:sz w:val="16"/>
                <w:szCs w:val="16"/>
              </w:rPr>
            </w:pPr>
            <w:r w:rsidRPr="007A6208">
              <w:rPr>
                <w:sz w:val="16"/>
                <w:szCs w:val="16"/>
              </w:rPr>
              <w:t>9</w:t>
            </w:r>
          </w:p>
        </w:tc>
        <w:tc>
          <w:tcPr>
            <w:tcW w:w="2312" w:type="dxa"/>
          </w:tcPr>
          <w:p w:rsidR="00B456E1" w:rsidRPr="007A6208" w:rsidRDefault="00B05293" w:rsidP="00B456E1">
            <w:pPr>
              <w:jc w:val="center"/>
              <w:rPr>
                <w:sz w:val="16"/>
                <w:szCs w:val="16"/>
              </w:rPr>
            </w:pPr>
            <w:r w:rsidRPr="007A6208">
              <w:rPr>
                <w:sz w:val="16"/>
                <w:szCs w:val="16"/>
              </w:rPr>
              <w:t>12</w:t>
            </w:r>
          </w:p>
        </w:tc>
        <w:tc>
          <w:tcPr>
            <w:tcW w:w="1817" w:type="dxa"/>
            <w:shd w:val="clear" w:color="auto" w:fill="9FD37C" w:themeFill="accent2" w:themeFillTint="99"/>
          </w:tcPr>
          <w:p w:rsidR="00B456E1" w:rsidRPr="007A6208" w:rsidRDefault="00B05293" w:rsidP="00B456E1">
            <w:pPr>
              <w:jc w:val="center"/>
              <w:rPr>
                <w:sz w:val="16"/>
                <w:szCs w:val="16"/>
              </w:rPr>
            </w:pPr>
            <w:r w:rsidRPr="007A6208">
              <w:rPr>
                <w:sz w:val="16"/>
                <w:szCs w:val="16"/>
              </w:rPr>
              <w:t>+3</w:t>
            </w:r>
          </w:p>
        </w:tc>
      </w:tr>
      <w:tr w:rsidR="00B456E1" w:rsidTr="007A6208">
        <w:trPr>
          <w:trHeight w:val="182"/>
        </w:trPr>
        <w:tc>
          <w:tcPr>
            <w:tcW w:w="2687" w:type="dxa"/>
          </w:tcPr>
          <w:p w:rsidR="00B456E1" w:rsidRPr="007A6208" w:rsidRDefault="00B456E1" w:rsidP="00B456E1">
            <w:pPr>
              <w:jc w:val="center"/>
              <w:rPr>
                <w:sz w:val="16"/>
                <w:szCs w:val="16"/>
              </w:rPr>
            </w:pPr>
            <w:r w:rsidRPr="007A6208">
              <w:rPr>
                <w:sz w:val="16"/>
                <w:szCs w:val="16"/>
              </w:rPr>
              <w:t>J</w:t>
            </w:r>
          </w:p>
        </w:tc>
        <w:tc>
          <w:tcPr>
            <w:tcW w:w="2312" w:type="dxa"/>
          </w:tcPr>
          <w:p w:rsidR="00B456E1" w:rsidRPr="007A6208" w:rsidRDefault="00B05293" w:rsidP="00B456E1">
            <w:pPr>
              <w:jc w:val="center"/>
              <w:rPr>
                <w:sz w:val="16"/>
                <w:szCs w:val="16"/>
              </w:rPr>
            </w:pPr>
            <w:r w:rsidRPr="007A6208">
              <w:rPr>
                <w:sz w:val="16"/>
                <w:szCs w:val="16"/>
              </w:rPr>
              <w:t>5</w:t>
            </w:r>
          </w:p>
        </w:tc>
        <w:tc>
          <w:tcPr>
            <w:tcW w:w="2312" w:type="dxa"/>
          </w:tcPr>
          <w:p w:rsidR="00B456E1" w:rsidRPr="007A6208" w:rsidRDefault="00B05293" w:rsidP="00B456E1">
            <w:pPr>
              <w:jc w:val="center"/>
              <w:rPr>
                <w:sz w:val="16"/>
                <w:szCs w:val="16"/>
              </w:rPr>
            </w:pPr>
            <w:r w:rsidRPr="007A6208">
              <w:rPr>
                <w:sz w:val="16"/>
                <w:szCs w:val="16"/>
              </w:rPr>
              <w:t>10</w:t>
            </w:r>
          </w:p>
        </w:tc>
        <w:tc>
          <w:tcPr>
            <w:tcW w:w="1817" w:type="dxa"/>
            <w:shd w:val="clear" w:color="auto" w:fill="4A7B29" w:themeFill="accent2" w:themeFillShade="BF"/>
          </w:tcPr>
          <w:p w:rsidR="00B456E1" w:rsidRPr="00014066" w:rsidRDefault="00B05293" w:rsidP="00B456E1">
            <w:pPr>
              <w:jc w:val="center"/>
              <w:rPr>
                <w:color w:val="FFFFFF" w:themeColor="background1"/>
                <w:sz w:val="16"/>
                <w:szCs w:val="16"/>
              </w:rPr>
            </w:pPr>
            <w:r w:rsidRPr="00014066">
              <w:rPr>
                <w:color w:val="FFFFFF" w:themeColor="background1"/>
                <w:sz w:val="16"/>
                <w:szCs w:val="16"/>
              </w:rPr>
              <w:t>+5</w:t>
            </w:r>
          </w:p>
        </w:tc>
      </w:tr>
      <w:tr w:rsidR="00B456E1" w:rsidTr="007A6208">
        <w:trPr>
          <w:trHeight w:val="169"/>
        </w:trPr>
        <w:tc>
          <w:tcPr>
            <w:tcW w:w="2687" w:type="dxa"/>
          </w:tcPr>
          <w:p w:rsidR="00B456E1" w:rsidRPr="007A6208" w:rsidRDefault="00B456E1" w:rsidP="00B456E1">
            <w:pPr>
              <w:jc w:val="center"/>
              <w:rPr>
                <w:sz w:val="16"/>
                <w:szCs w:val="16"/>
              </w:rPr>
            </w:pPr>
            <w:r w:rsidRPr="007A6208">
              <w:rPr>
                <w:sz w:val="16"/>
                <w:szCs w:val="16"/>
              </w:rPr>
              <w:t>K</w:t>
            </w:r>
          </w:p>
        </w:tc>
        <w:tc>
          <w:tcPr>
            <w:tcW w:w="2312" w:type="dxa"/>
          </w:tcPr>
          <w:p w:rsidR="00B456E1" w:rsidRPr="007A6208" w:rsidRDefault="00B05293" w:rsidP="00B456E1">
            <w:pPr>
              <w:jc w:val="center"/>
              <w:rPr>
                <w:sz w:val="16"/>
                <w:szCs w:val="16"/>
              </w:rPr>
            </w:pPr>
            <w:r w:rsidRPr="007A6208">
              <w:rPr>
                <w:sz w:val="16"/>
                <w:szCs w:val="16"/>
              </w:rPr>
              <w:t>7</w:t>
            </w:r>
          </w:p>
        </w:tc>
        <w:tc>
          <w:tcPr>
            <w:tcW w:w="2312" w:type="dxa"/>
          </w:tcPr>
          <w:p w:rsidR="00B456E1" w:rsidRPr="007A6208" w:rsidRDefault="00B05293" w:rsidP="00B456E1">
            <w:pPr>
              <w:jc w:val="center"/>
              <w:rPr>
                <w:sz w:val="16"/>
                <w:szCs w:val="16"/>
              </w:rPr>
            </w:pPr>
            <w:r w:rsidRPr="007A6208">
              <w:rPr>
                <w:sz w:val="16"/>
                <w:szCs w:val="16"/>
              </w:rPr>
              <w:t>12</w:t>
            </w:r>
          </w:p>
        </w:tc>
        <w:tc>
          <w:tcPr>
            <w:tcW w:w="1817" w:type="dxa"/>
            <w:shd w:val="clear" w:color="auto" w:fill="4A7B29" w:themeFill="accent2" w:themeFillShade="BF"/>
          </w:tcPr>
          <w:p w:rsidR="00B456E1" w:rsidRPr="00014066" w:rsidRDefault="00B05293" w:rsidP="00B456E1">
            <w:pPr>
              <w:jc w:val="center"/>
              <w:rPr>
                <w:color w:val="FFFFFF" w:themeColor="background1"/>
                <w:sz w:val="16"/>
                <w:szCs w:val="16"/>
              </w:rPr>
            </w:pPr>
            <w:r w:rsidRPr="00014066">
              <w:rPr>
                <w:color w:val="FFFFFF" w:themeColor="background1"/>
                <w:sz w:val="16"/>
                <w:szCs w:val="16"/>
              </w:rPr>
              <w:t>+5</w:t>
            </w:r>
          </w:p>
        </w:tc>
      </w:tr>
      <w:tr w:rsidR="00B456E1" w:rsidTr="007A6208">
        <w:trPr>
          <w:trHeight w:val="182"/>
        </w:trPr>
        <w:tc>
          <w:tcPr>
            <w:tcW w:w="2687" w:type="dxa"/>
          </w:tcPr>
          <w:p w:rsidR="00B456E1" w:rsidRPr="007A6208" w:rsidRDefault="00B456E1" w:rsidP="00B456E1">
            <w:pPr>
              <w:jc w:val="center"/>
              <w:rPr>
                <w:sz w:val="16"/>
                <w:szCs w:val="16"/>
              </w:rPr>
            </w:pPr>
            <w:r w:rsidRPr="007A6208">
              <w:rPr>
                <w:sz w:val="16"/>
                <w:szCs w:val="16"/>
              </w:rPr>
              <w:t>L</w:t>
            </w:r>
          </w:p>
        </w:tc>
        <w:tc>
          <w:tcPr>
            <w:tcW w:w="2312" w:type="dxa"/>
          </w:tcPr>
          <w:p w:rsidR="00B456E1" w:rsidRPr="007A6208" w:rsidRDefault="00B05293" w:rsidP="00B456E1">
            <w:pPr>
              <w:jc w:val="center"/>
              <w:rPr>
                <w:sz w:val="16"/>
                <w:szCs w:val="16"/>
              </w:rPr>
            </w:pPr>
            <w:r w:rsidRPr="007A6208">
              <w:rPr>
                <w:sz w:val="16"/>
                <w:szCs w:val="16"/>
              </w:rPr>
              <w:t>2</w:t>
            </w:r>
          </w:p>
        </w:tc>
        <w:tc>
          <w:tcPr>
            <w:tcW w:w="2312" w:type="dxa"/>
          </w:tcPr>
          <w:p w:rsidR="00B456E1" w:rsidRPr="007A6208" w:rsidRDefault="00B05293" w:rsidP="00B456E1">
            <w:pPr>
              <w:jc w:val="center"/>
              <w:rPr>
                <w:sz w:val="16"/>
                <w:szCs w:val="16"/>
              </w:rPr>
            </w:pPr>
            <w:r w:rsidRPr="007A6208">
              <w:rPr>
                <w:sz w:val="16"/>
                <w:szCs w:val="16"/>
              </w:rPr>
              <w:t>5</w:t>
            </w:r>
          </w:p>
        </w:tc>
        <w:tc>
          <w:tcPr>
            <w:tcW w:w="1817" w:type="dxa"/>
            <w:shd w:val="clear" w:color="auto" w:fill="9FD37C" w:themeFill="accent2" w:themeFillTint="99"/>
          </w:tcPr>
          <w:p w:rsidR="00B456E1" w:rsidRPr="007A6208" w:rsidRDefault="00B05293" w:rsidP="00B456E1">
            <w:pPr>
              <w:jc w:val="center"/>
              <w:rPr>
                <w:sz w:val="16"/>
                <w:szCs w:val="16"/>
              </w:rPr>
            </w:pPr>
            <w:r w:rsidRPr="007A6208">
              <w:rPr>
                <w:sz w:val="16"/>
                <w:szCs w:val="16"/>
              </w:rPr>
              <w:t>+3</w:t>
            </w:r>
          </w:p>
        </w:tc>
      </w:tr>
      <w:tr w:rsidR="00B456E1" w:rsidTr="007A6208">
        <w:trPr>
          <w:trHeight w:val="182"/>
        </w:trPr>
        <w:tc>
          <w:tcPr>
            <w:tcW w:w="2687" w:type="dxa"/>
          </w:tcPr>
          <w:p w:rsidR="00B456E1" w:rsidRPr="007A6208" w:rsidRDefault="00B456E1" w:rsidP="00B456E1">
            <w:pPr>
              <w:jc w:val="center"/>
              <w:rPr>
                <w:sz w:val="16"/>
                <w:szCs w:val="16"/>
              </w:rPr>
            </w:pPr>
            <w:r w:rsidRPr="007A6208">
              <w:rPr>
                <w:sz w:val="16"/>
                <w:szCs w:val="16"/>
              </w:rPr>
              <w:t>M</w:t>
            </w:r>
          </w:p>
        </w:tc>
        <w:tc>
          <w:tcPr>
            <w:tcW w:w="2312" w:type="dxa"/>
          </w:tcPr>
          <w:p w:rsidR="00B456E1" w:rsidRPr="007A6208" w:rsidRDefault="00B05293" w:rsidP="00B456E1">
            <w:pPr>
              <w:jc w:val="center"/>
              <w:rPr>
                <w:sz w:val="16"/>
                <w:szCs w:val="16"/>
              </w:rPr>
            </w:pPr>
            <w:r w:rsidRPr="007A6208">
              <w:rPr>
                <w:sz w:val="16"/>
                <w:szCs w:val="16"/>
              </w:rPr>
              <w:t>7</w:t>
            </w:r>
          </w:p>
        </w:tc>
        <w:tc>
          <w:tcPr>
            <w:tcW w:w="2312" w:type="dxa"/>
          </w:tcPr>
          <w:p w:rsidR="00B456E1" w:rsidRPr="007A6208" w:rsidRDefault="00B05293" w:rsidP="00B456E1">
            <w:pPr>
              <w:jc w:val="center"/>
              <w:rPr>
                <w:sz w:val="16"/>
                <w:szCs w:val="16"/>
              </w:rPr>
            </w:pPr>
            <w:r w:rsidRPr="007A6208">
              <w:rPr>
                <w:sz w:val="16"/>
                <w:szCs w:val="16"/>
              </w:rPr>
              <w:t>9</w:t>
            </w:r>
          </w:p>
        </w:tc>
        <w:tc>
          <w:tcPr>
            <w:tcW w:w="1817" w:type="dxa"/>
            <w:shd w:val="clear" w:color="auto" w:fill="BFE2A8" w:themeFill="accent2" w:themeFillTint="66"/>
          </w:tcPr>
          <w:p w:rsidR="00B456E1" w:rsidRPr="007A6208" w:rsidRDefault="00B05293" w:rsidP="00B456E1">
            <w:pPr>
              <w:jc w:val="center"/>
              <w:rPr>
                <w:sz w:val="16"/>
                <w:szCs w:val="16"/>
              </w:rPr>
            </w:pPr>
            <w:r w:rsidRPr="007A6208">
              <w:rPr>
                <w:sz w:val="16"/>
                <w:szCs w:val="16"/>
              </w:rPr>
              <w:t>+2</w:t>
            </w:r>
          </w:p>
        </w:tc>
      </w:tr>
      <w:tr w:rsidR="00B456E1" w:rsidTr="007A6208">
        <w:trPr>
          <w:trHeight w:val="169"/>
        </w:trPr>
        <w:tc>
          <w:tcPr>
            <w:tcW w:w="2687" w:type="dxa"/>
          </w:tcPr>
          <w:p w:rsidR="00B456E1" w:rsidRPr="007A6208" w:rsidRDefault="00B456E1" w:rsidP="00B456E1">
            <w:pPr>
              <w:jc w:val="center"/>
              <w:rPr>
                <w:sz w:val="16"/>
                <w:szCs w:val="16"/>
              </w:rPr>
            </w:pPr>
            <w:r w:rsidRPr="007A6208">
              <w:rPr>
                <w:sz w:val="16"/>
                <w:szCs w:val="16"/>
              </w:rPr>
              <w:t>N</w:t>
            </w:r>
          </w:p>
        </w:tc>
        <w:tc>
          <w:tcPr>
            <w:tcW w:w="2312" w:type="dxa"/>
          </w:tcPr>
          <w:p w:rsidR="00B456E1" w:rsidRPr="007A6208" w:rsidRDefault="00B05293" w:rsidP="00B456E1">
            <w:pPr>
              <w:jc w:val="center"/>
              <w:rPr>
                <w:sz w:val="16"/>
                <w:szCs w:val="16"/>
              </w:rPr>
            </w:pPr>
            <w:r w:rsidRPr="007A6208">
              <w:rPr>
                <w:sz w:val="16"/>
                <w:szCs w:val="16"/>
              </w:rPr>
              <w:t>6</w:t>
            </w:r>
          </w:p>
        </w:tc>
        <w:tc>
          <w:tcPr>
            <w:tcW w:w="2312" w:type="dxa"/>
          </w:tcPr>
          <w:p w:rsidR="00B456E1" w:rsidRPr="007A6208" w:rsidRDefault="00B05293" w:rsidP="00B456E1">
            <w:pPr>
              <w:jc w:val="center"/>
              <w:rPr>
                <w:sz w:val="16"/>
                <w:szCs w:val="16"/>
              </w:rPr>
            </w:pPr>
            <w:r w:rsidRPr="007A6208">
              <w:rPr>
                <w:sz w:val="16"/>
                <w:szCs w:val="16"/>
              </w:rPr>
              <w:t>13</w:t>
            </w:r>
          </w:p>
        </w:tc>
        <w:tc>
          <w:tcPr>
            <w:tcW w:w="1817" w:type="dxa"/>
            <w:shd w:val="clear" w:color="auto" w:fill="31521B" w:themeFill="accent2" w:themeFillShade="80"/>
          </w:tcPr>
          <w:p w:rsidR="00B456E1" w:rsidRPr="007A6208" w:rsidRDefault="00B05293" w:rsidP="00B456E1">
            <w:pPr>
              <w:jc w:val="center"/>
              <w:rPr>
                <w:sz w:val="16"/>
                <w:szCs w:val="16"/>
              </w:rPr>
            </w:pPr>
            <w:r w:rsidRPr="007A6208">
              <w:rPr>
                <w:color w:val="FFFFFF" w:themeColor="background1"/>
                <w:sz w:val="16"/>
                <w:szCs w:val="16"/>
              </w:rPr>
              <w:t>+7</w:t>
            </w:r>
          </w:p>
        </w:tc>
      </w:tr>
      <w:tr w:rsidR="00B456E1" w:rsidTr="007A6208">
        <w:trPr>
          <w:trHeight w:val="182"/>
        </w:trPr>
        <w:tc>
          <w:tcPr>
            <w:tcW w:w="2687" w:type="dxa"/>
          </w:tcPr>
          <w:p w:rsidR="00B456E1" w:rsidRPr="007A6208" w:rsidRDefault="00B456E1" w:rsidP="00B456E1">
            <w:pPr>
              <w:jc w:val="center"/>
              <w:rPr>
                <w:sz w:val="16"/>
                <w:szCs w:val="16"/>
              </w:rPr>
            </w:pPr>
            <w:r w:rsidRPr="007A6208">
              <w:rPr>
                <w:sz w:val="16"/>
                <w:szCs w:val="16"/>
              </w:rPr>
              <w:t>O</w:t>
            </w:r>
          </w:p>
        </w:tc>
        <w:tc>
          <w:tcPr>
            <w:tcW w:w="2312" w:type="dxa"/>
          </w:tcPr>
          <w:p w:rsidR="00B456E1" w:rsidRPr="007A6208" w:rsidRDefault="00B05293" w:rsidP="00B456E1">
            <w:pPr>
              <w:jc w:val="center"/>
              <w:rPr>
                <w:sz w:val="16"/>
                <w:szCs w:val="16"/>
              </w:rPr>
            </w:pPr>
            <w:r w:rsidRPr="007A6208">
              <w:rPr>
                <w:sz w:val="16"/>
                <w:szCs w:val="16"/>
              </w:rPr>
              <w:t>6</w:t>
            </w:r>
          </w:p>
        </w:tc>
        <w:tc>
          <w:tcPr>
            <w:tcW w:w="2312" w:type="dxa"/>
          </w:tcPr>
          <w:p w:rsidR="00B456E1" w:rsidRPr="007A6208" w:rsidRDefault="00B05293" w:rsidP="00B456E1">
            <w:pPr>
              <w:jc w:val="center"/>
              <w:rPr>
                <w:sz w:val="16"/>
                <w:szCs w:val="16"/>
              </w:rPr>
            </w:pPr>
            <w:r w:rsidRPr="007A6208">
              <w:rPr>
                <w:sz w:val="16"/>
                <w:szCs w:val="16"/>
              </w:rPr>
              <w:t>6</w:t>
            </w:r>
          </w:p>
        </w:tc>
        <w:tc>
          <w:tcPr>
            <w:tcW w:w="1817" w:type="dxa"/>
            <w:shd w:val="clear" w:color="auto" w:fill="FFFF00"/>
          </w:tcPr>
          <w:p w:rsidR="00B456E1" w:rsidRPr="007A6208" w:rsidRDefault="00B05293" w:rsidP="00B456E1">
            <w:pPr>
              <w:jc w:val="center"/>
              <w:rPr>
                <w:sz w:val="16"/>
                <w:szCs w:val="16"/>
              </w:rPr>
            </w:pPr>
            <w:r w:rsidRPr="007A6208">
              <w:rPr>
                <w:sz w:val="16"/>
                <w:szCs w:val="16"/>
              </w:rPr>
              <w:t>0</w:t>
            </w:r>
          </w:p>
        </w:tc>
      </w:tr>
      <w:tr w:rsidR="00B456E1" w:rsidTr="007A6208">
        <w:trPr>
          <w:trHeight w:val="182"/>
        </w:trPr>
        <w:tc>
          <w:tcPr>
            <w:tcW w:w="2687" w:type="dxa"/>
          </w:tcPr>
          <w:p w:rsidR="00B456E1" w:rsidRPr="007A6208" w:rsidRDefault="00B456E1" w:rsidP="00B456E1">
            <w:pPr>
              <w:jc w:val="center"/>
              <w:rPr>
                <w:sz w:val="16"/>
                <w:szCs w:val="16"/>
              </w:rPr>
            </w:pPr>
            <w:r w:rsidRPr="007A6208">
              <w:rPr>
                <w:sz w:val="16"/>
                <w:szCs w:val="16"/>
              </w:rPr>
              <w:t>P</w:t>
            </w:r>
          </w:p>
        </w:tc>
        <w:tc>
          <w:tcPr>
            <w:tcW w:w="2312" w:type="dxa"/>
          </w:tcPr>
          <w:p w:rsidR="00B456E1" w:rsidRPr="007A6208" w:rsidRDefault="00B05293" w:rsidP="00B456E1">
            <w:pPr>
              <w:jc w:val="center"/>
              <w:rPr>
                <w:sz w:val="16"/>
                <w:szCs w:val="16"/>
              </w:rPr>
            </w:pPr>
            <w:r w:rsidRPr="007A6208">
              <w:rPr>
                <w:sz w:val="16"/>
                <w:szCs w:val="16"/>
              </w:rPr>
              <w:t>5</w:t>
            </w:r>
          </w:p>
        </w:tc>
        <w:tc>
          <w:tcPr>
            <w:tcW w:w="2312" w:type="dxa"/>
          </w:tcPr>
          <w:p w:rsidR="00B456E1" w:rsidRPr="007A6208" w:rsidRDefault="00B05293" w:rsidP="00B456E1">
            <w:pPr>
              <w:jc w:val="center"/>
              <w:rPr>
                <w:sz w:val="16"/>
                <w:szCs w:val="16"/>
              </w:rPr>
            </w:pPr>
            <w:r w:rsidRPr="007A6208">
              <w:rPr>
                <w:sz w:val="16"/>
                <w:szCs w:val="16"/>
              </w:rPr>
              <w:t>6</w:t>
            </w:r>
          </w:p>
        </w:tc>
        <w:tc>
          <w:tcPr>
            <w:tcW w:w="1817" w:type="dxa"/>
            <w:shd w:val="clear" w:color="auto" w:fill="DFF0D3" w:themeFill="accent2" w:themeFillTint="33"/>
          </w:tcPr>
          <w:p w:rsidR="00B456E1" w:rsidRPr="007A6208" w:rsidRDefault="00B05293" w:rsidP="00B456E1">
            <w:pPr>
              <w:jc w:val="center"/>
              <w:rPr>
                <w:sz w:val="16"/>
                <w:szCs w:val="16"/>
              </w:rPr>
            </w:pPr>
            <w:r w:rsidRPr="007A6208">
              <w:rPr>
                <w:sz w:val="16"/>
                <w:szCs w:val="16"/>
              </w:rPr>
              <w:t>+1</w:t>
            </w:r>
          </w:p>
        </w:tc>
      </w:tr>
      <w:tr w:rsidR="00B456E1" w:rsidTr="007A6208">
        <w:trPr>
          <w:trHeight w:val="169"/>
        </w:trPr>
        <w:tc>
          <w:tcPr>
            <w:tcW w:w="2687" w:type="dxa"/>
          </w:tcPr>
          <w:p w:rsidR="00B456E1" w:rsidRPr="007A6208" w:rsidRDefault="00B456E1" w:rsidP="00B456E1">
            <w:pPr>
              <w:jc w:val="center"/>
              <w:rPr>
                <w:sz w:val="16"/>
                <w:szCs w:val="16"/>
              </w:rPr>
            </w:pPr>
            <w:r w:rsidRPr="007A6208">
              <w:rPr>
                <w:sz w:val="16"/>
                <w:szCs w:val="16"/>
              </w:rPr>
              <w:t>Q</w:t>
            </w:r>
          </w:p>
        </w:tc>
        <w:tc>
          <w:tcPr>
            <w:tcW w:w="2312" w:type="dxa"/>
          </w:tcPr>
          <w:p w:rsidR="00B456E1" w:rsidRPr="007A6208" w:rsidRDefault="00B05293" w:rsidP="00B456E1">
            <w:pPr>
              <w:jc w:val="center"/>
              <w:rPr>
                <w:sz w:val="16"/>
                <w:szCs w:val="16"/>
              </w:rPr>
            </w:pPr>
            <w:r w:rsidRPr="007A6208">
              <w:rPr>
                <w:sz w:val="16"/>
                <w:szCs w:val="16"/>
              </w:rPr>
              <w:t>9</w:t>
            </w:r>
          </w:p>
        </w:tc>
        <w:tc>
          <w:tcPr>
            <w:tcW w:w="2312" w:type="dxa"/>
          </w:tcPr>
          <w:p w:rsidR="00B456E1" w:rsidRPr="007A6208" w:rsidRDefault="00B05293" w:rsidP="00B456E1">
            <w:pPr>
              <w:jc w:val="center"/>
              <w:rPr>
                <w:sz w:val="16"/>
                <w:szCs w:val="16"/>
              </w:rPr>
            </w:pPr>
            <w:r w:rsidRPr="007A6208">
              <w:rPr>
                <w:sz w:val="16"/>
                <w:szCs w:val="16"/>
              </w:rPr>
              <w:t>15</w:t>
            </w:r>
          </w:p>
        </w:tc>
        <w:tc>
          <w:tcPr>
            <w:tcW w:w="1817" w:type="dxa"/>
            <w:shd w:val="clear" w:color="auto" w:fill="31521B" w:themeFill="accent2" w:themeFillShade="80"/>
          </w:tcPr>
          <w:p w:rsidR="00B456E1" w:rsidRPr="007A6208" w:rsidRDefault="00B05293" w:rsidP="00B456E1">
            <w:pPr>
              <w:jc w:val="center"/>
              <w:rPr>
                <w:sz w:val="16"/>
                <w:szCs w:val="16"/>
              </w:rPr>
            </w:pPr>
            <w:r w:rsidRPr="007A6208">
              <w:rPr>
                <w:color w:val="FFFFFF" w:themeColor="background1"/>
                <w:sz w:val="16"/>
                <w:szCs w:val="16"/>
              </w:rPr>
              <w:t>+6</w:t>
            </w:r>
          </w:p>
        </w:tc>
      </w:tr>
      <w:tr w:rsidR="00B456E1" w:rsidTr="007A6208">
        <w:trPr>
          <w:trHeight w:val="182"/>
        </w:trPr>
        <w:tc>
          <w:tcPr>
            <w:tcW w:w="2687" w:type="dxa"/>
          </w:tcPr>
          <w:p w:rsidR="00B456E1" w:rsidRPr="007A6208" w:rsidRDefault="00B456E1" w:rsidP="00B456E1">
            <w:pPr>
              <w:jc w:val="center"/>
              <w:rPr>
                <w:sz w:val="16"/>
                <w:szCs w:val="16"/>
              </w:rPr>
            </w:pPr>
            <w:r w:rsidRPr="007A6208">
              <w:rPr>
                <w:sz w:val="16"/>
                <w:szCs w:val="16"/>
              </w:rPr>
              <w:t>R</w:t>
            </w:r>
          </w:p>
        </w:tc>
        <w:tc>
          <w:tcPr>
            <w:tcW w:w="2312" w:type="dxa"/>
          </w:tcPr>
          <w:p w:rsidR="00B456E1" w:rsidRPr="007A6208" w:rsidRDefault="00B05293" w:rsidP="00B456E1">
            <w:pPr>
              <w:jc w:val="center"/>
              <w:rPr>
                <w:sz w:val="16"/>
                <w:szCs w:val="16"/>
              </w:rPr>
            </w:pPr>
            <w:r w:rsidRPr="007A6208">
              <w:rPr>
                <w:sz w:val="16"/>
                <w:szCs w:val="16"/>
              </w:rPr>
              <w:t>9</w:t>
            </w:r>
          </w:p>
        </w:tc>
        <w:tc>
          <w:tcPr>
            <w:tcW w:w="2312" w:type="dxa"/>
          </w:tcPr>
          <w:p w:rsidR="00B456E1" w:rsidRPr="007A6208" w:rsidRDefault="00B05293" w:rsidP="00B456E1">
            <w:pPr>
              <w:jc w:val="center"/>
              <w:rPr>
                <w:sz w:val="16"/>
                <w:szCs w:val="16"/>
              </w:rPr>
            </w:pPr>
            <w:r w:rsidRPr="007A6208">
              <w:rPr>
                <w:sz w:val="16"/>
                <w:szCs w:val="16"/>
              </w:rPr>
              <w:t>14</w:t>
            </w:r>
          </w:p>
        </w:tc>
        <w:tc>
          <w:tcPr>
            <w:tcW w:w="1817" w:type="dxa"/>
            <w:shd w:val="clear" w:color="auto" w:fill="4A7B29" w:themeFill="accent2" w:themeFillShade="BF"/>
          </w:tcPr>
          <w:p w:rsidR="00B456E1" w:rsidRPr="007A6208" w:rsidRDefault="00B05293" w:rsidP="00B456E1">
            <w:pPr>
              <w:jc w:val="center"/>
              <w:rPr>
                <w:sz w:val="16"/>
                <w:szCs w:val="16"/>
              </w:rPr>
            </w:pPr>
            <w:r w:rsidRPr="00014066">
              <w:rPr>
                <w:color w:val="FFFFFF" w:themeColor="background1"/>
                <w:sz w:val="16"/>
                <w:szCs w:val="16"/>
              </w:rPr>
              <w:t>+5</w:t>
            </w:r>
          </w:p>
        </w:tc>
      </w:tr>
      <w:tr w:rsidR="00B456E1" w:rsidTr="007A6208">
        <w:trPr>
          <w:trHeight w:val="182"/>
        </w:trPr>
        <w:tc>
          <w:tcPr>
            <w:tcW w:w="2687" w:type="dxa"/>
          </w:tcPr>
          <w:p w:rsidR="00B456E1" w:rsidRPr="007A6208" w:rsidRDefault="00B456E1" w:rsidP="00B456E1">
            <w:pPr>
              <w:jc w:val="center"/>
              <w:rPr>
                <w:sz w:val="16"/>
                <w:szCs w:val="16"/>
              </w:rPr>
            </w:pPr>
            <w:r w:rsidRPr="007A6208">
              <w:rPr>
                <w:sz w:val="16"/>
                <w:szCs w:val="16"/>
              </w:rPr>
              <w:t>S</w:t>
            </w:r>
          </w:p>
        </w:tc>
        <w:tc>
          <w:tcPr>
            <w:tcW w:w="2312" w:type="dxa"/>
          </w:tcPr>
          <w:p w:rsidR="00B456E1" w:rsidRPr="007A6208" w:rsidRDefault="00B05293" w:rsidP="00B456E1">
            <w:pPr>
              <w:jc w:val="center"/>
              <w:rPr>
                <w:sz w:val="16"/>
                <w:szCs w:val="16"/>
              </w:rPr>
            </w:pPr>
            <w:r w:rsidRPr="007A6208">
              <w:rPr>
                <w:sz w:val="16"/>
                <w:szCs w:val="16"/>
              </w:rPr>
              <w:t>5</w:t>
            </w:r>
          </w:p>
        </w:tc>
        <w:tc>
          <w:tcPr>
            <w:tcW w:w="2312" w:type="dxa"/>
          </w:tcPr>
          <w:p w:rsidR="00B456E1" w:rsidRPr="007A6208" w:rsidRDefault="00B05293" w:rsidP="00B456E1">
            <w:pPr>
              <w:jc w:val="center"/>
              <w:rPr>
                <w:sz w:val="16"/>
                <w:szCs w:val="16"/>
              </w:rPr>
            </w:pPr>
            <w:r w:rsidRPr="007A6208">
              <w:rPr>
                <w:sz w:val="16"/>
                <w:szCs w:val="16"/>
              </w:rPr>
              <w:t>7</w:t>
            </w:r>
          </w:p>
        </w:tc>
        <w:tc>
          <w:tcPr>
            <w:tcW w:w="1817" w:type="dxa"/>
            <w:shd w:val="clear" w:color="auto" w:fill="BFE2A8" w:themeFill="accent2" w:themeFillTint="66"/>
          </w:tcPr>
          <w:p w:rsidR="00B456E1" w:rsidRPr="007A6208" w:rsidRDefault="00B05293" w:rsidP="00B456E1">
            <w:pPr>
              <w:jc w:val="center"/>
              <w:rPr>
                <w:sz w:val="16"/>
                <w:szCs w:val="16"/>
              </w:rPr>
            </w:pPr>
            <w:r w:rsidRPr="007A6208">
              <w:rPr>
                <w:sz w:val="16"/>
                <w:szCs w:val="16"/>
              </w:rPr>
              <w:t>+2</w:t>
            </w:r>
          </w:p>
        </w:tc>
      </w:tr>
      <w:tr w:rsidR="00B456E1" w:rsidTr="007A6208">
        <w:trPr>
          <w:trHeight w:val="169"/>
        </w:trPr>
        <w:tc>
          <w:tcPr>
            <w:tcW w:w="2687" w:type="dxa"/>
          </w:tcPr>
          <w:p w:rsidR="00B456E1" w:rsidRPr="007A6208" w:rsidRDefault="00B456E1" w:rsidP="00B456E1">
            <w:pPr>
              <w:jc w:val="center"/>
              <w:rPr>
                <w:sz w:val="16"/>
                <w:szCs w:val="16"/>
              </w:rPr>
            </w:pPr>
            <w:r w:rsidRPr="007A6208">
              <w:rPr>
                <w:sz w:val="16"/>
                <w:szCs w:val="16"/>
              </w:rPr>
              <w:t>T</w:t>
            </w:r>
          </w:p>
        </w:tc>
        <w:tc>
          <w:tcPr>
            <w:tcW w:w="2312" w:type="dxa"/>
          </w:tcPr>
          <w:p w:rsidR="00B456E1" w:rsidRPr="007A6208" w:rsidRDefault="00B05293" w:rsidP="00B456E1">
            <w:pPr>
              <w:jc w:val="center"/>
              <w:rPr>
                <w:sz w:val="16"/>
                <w:szCs w:val="16"/>
              </w:rPr>
            </w:pPr>
            <w:r w:rsidRPr="007A6208">
              <w:rPr>
                <w:sz w:val="16"/>
                <w:szCs w:val="16"/>
              </w:rPr>
              <w:t>5</w:t>
            </w:r>
          </w:p>
        </w:tc>
        <w:tc>
          <w:tcPr>
            <w:tcW w:w="2312" w:type="dxa"/>
          </w:tcPr>
          <w:p w:rsidR="00B456E1" w:rsidRPr="007A6208" w:rsidRDefault="00B05293" w:rsidP="00B456E1">
            <w:pPr>
              <w:jc w:val="center"/>
              <w:rPr>
                <w:sz w:val="16"/>
                <w:szCs w:val="16"/>
              </w:rPr>
            </w:pPr>
            <w:r w:rsidRPr="007A6208">
              <w:rPr>
                <w:sz w:val="16"/>
                <w:szCs w:val="16"/>
              </w:rPr>
              <w:t>7</w:t>
            </w:r>
          </w:p>
        </w:tc>
        <w:tc>
          <w:tcPr>
            <w:tcW w:w="1817" w:type="dxa"/>
            <w:shd w:val="clear" w:color="auto" w:fill="BFE2A8" w:themeFill="accent2" w:themeFillTint="66"/>
          </w:tcPr>
          <w:p w:rsidR="00B456E1" w:rsidRPr="007A6208" w:rsidRDefault="00B05293" w:rsidP="00B456E1">
            <w:pPr>
              <w:jc w:val="center"/>
              <w:rPr>
                <w:sz w:val="16"/>
                <w:szCs w:val="16"/>
              </w:rPr>
            </w:pPr>
            <w:r w:rsidRPr="007A6208">
              <w:rPr>
                <w:sz w:val="16"/>
                <w:szCs w:val="16"/>
              </w:rPr>
              <w:t>+2</w:t>
            </w:r>
          </w:p>
        </w:tc>
      </w:tr>
    </w:tbl>
    <w:p w:rsidR="006E45B6" w:rsidRDefault="00A96A7B" w:rsidP="00B456E1">
      <w:r w:rsidRPr="00A96A7B">
        <w:rPr>
          <w:b/>
          <w:u w:val="single"/>
        </w:rPr>
        <w:t>Table 1 – Results of Pre and Post Diagnostic Tests</w:t>
      </w:r>
      <w:r w:rsidR="007B0CF7">
        <w:rPr>
          <w:b/>
          <w:u w:val="single"/>
        </w:rPr>
        <w:br/>
      </w:r>
      <w:r w:rsidR="007B0CF7">
        <w:rPr>
          <w:b/>
          <w:u w:val="single"/>
        </w:rPr>
        <w:br/>
      </w:r>
      <w:proofErr w:type="gramStart"/>
      <w:r w:rsidR="001D72B8">
        <w:t>Where</w:t>
      </w:r>
      <w:proofErr w:type="gramEnd"/>
      <w:r w:rsidR="001D72B8">
        <w:t xml:space="preserve"> green has been used to show a positive change and red to show a negative change in the results, it can be easily seen that the vast majority of learners/participants improved their score in the post-test. The average change was +3.05 </w:t>
      </w:r>
      <w:r w:rsidR="006E45B6">
        <w:t xml:space="preserve">and therefore, it can be said that in this context, peer assessment positively impacted the understanding and progress of Year 8 learners. 45% of participants achieved over 80% and 80% of participants improved their marks by more than one. </w:t>
      </w:r>
      <w:r w:rsidR="00FA774B">
        <w:t>However, it cannot be determined for certain what percentage of participants benefit</w:t>
      </w:r>
      <w:r w:rsidR="00191A18">
        <w:t xml:space="preserve">ted from the feedback slips, </w:t>
      </w:r>
      <w:r w:rsidR="00FA774B">
        <w:t>what percentage benefitted from the tests and marking them</w:t>
      </w:r>
      <w:r w:rsidR="00191A18">
        <w:t xml:space="preserve"> or what percentage benefitted from guided revision</w:t>
      </w:r>
      <w:r w:rsidR="00FA774B">
        <w:t xml:space="preserve"> (Kumar, 2014). It can only be said that in this context, the peer assessment process as a whole effected and impacted learners positively. </w:t>
      </w:r>
      <w:r w:rsidR="006E45B6">
        <w:t xml:space="preserve">That being said, </w:t>
      </w:r>
      <w:r w:rsidR="0053216B">
        <w:t xml:space="preserve">the </w:t>
      </w:r>
      <w:r w:rsidR="00FA774B">
        <w:t xml:space="preserve">average </w:t>
      </w:r>
      <w:r w:rsidR="0053216B">
        <w:t>positive change in these results could have be</w:t>
      </w:r>
      <w:r w:rsidR="00FA774B">
        <w:t>en raised</w:t>
      </w:r>
      <w:r w:rsidR="0053216B">
        <w:t xml:space="preserve"> if time (Hunt and Pellegrino, 2002) had allowed for teacher training (</w:t>
      </w:r>
      <w:proofErr w:type="spellStart"/>
      <w:r w:rsidR="0053216B">
        <w:t>Sluijsmans</w:t>
      </w:r>
      <w:proofErr w:type="spellEnd"/>
      <w:r w:rsidR="0053216B">
        <w:t xml:space="preserve"> et al., 2004) and guidance (Sadler, 1989). If the learners/participants had known how to respond better to the feedback that they received then it is expected, based on the above results that they would have improved further. </w:t>
      </w:r>
      <w:r w:rsidR="00F00D63">
        <w:t xml:space="preserve">Black and </w:t>
      </w:r>
      <w:proofErr w:type="spellStart"/>
      <w:r w:rsidR="00F00D63">
        <w:t>Wiliam</w:t>
      </w:r>
      <w:proofErr w:type="spellEnd"/>
      <w:r w:rsidR="00F00D63">
        <w:t xml:space="preserve"> (2004) support this theory as they state that a learning goal can only be fully achieved when a learner/student/participant knows what to do to reach it. If the research process had the potential to be fully formative in nature, then it would be c</w:t>
      </w:r>
      <w:r w:rsidR="00CC2AF9">
        <w:t xml:space="preserve">yclic (Black and </w:t>
      </w:r>
      <w:proofErr w:type="spellStart"/>
      <w:r w:rsidR="00CC2AF9">
        <w:t>WIliam</w:t>
      </w:r>
      <w:proofErr w:type="spellEnd"/>
      <w:r w:rsidR="00CC2AF9">
        <w:t>, 1988</w:t>
      </w:r>
      <w:proofErr w:type="gramStart"/>
      <w:r w:rsidR="00CC2AF9">
        <w:t>)(</w:t>
      </w:r>
      <w:proofErr w:type="spellStart"/>
      <w:proofErr w:type="gramEnd"/>
      <w:r w:rsidR="00CC2AF9">
        <w:t>Kemmis</w:t>
      </w:r>
      <w:proofErr w:type="spellEnd"/>
      <w:r w:rsidR="00CC2AF9">
        <w:t xml:space="preserve"> and McTaggart, 2000). The peer assessment intervention could have been made stronger and more effective </w:t>
      </w:r>
      <w:r w:rsidR="00BF7F12">
        <w:t>as the intervention was repeated and its process and consequences were acted upon each time before the cycle commenced again (</w:t>
      </w:r>
      <w:proofErr w:type="spellStart"/>
      <w:r w:rsidR="00BF7F12">
        <w:t>Kemmis</w:t>
      </w:r>
      <w:proofErr w:type="spellEnd"/>
      <w:r w:rsidR="00BF7F12">
        <w:t xml:space="preserve"> and McTaggart, 2000). </w:t>
      </w:r>
      <w:r w:rsidR="00366B15">
        <w:t>Overall, taking this research as the first ‘turn’</w:t>
      </w:r>
      <w:r w:rsidR="008854D0">
        <w:t xml:space="preserve"> of the cycle, </w:t>
      </w:r>
      <w:r w:rsidR="00366B15">
        <w:t xml:space="preserve">the fact that progress was made as a result of the peer assessment process cannot be denied. There was a positive correlation between the peer assessment process and the understanding and progress of </w:t>
      </w:r>
      <w:r w:rsidR="008854D0">
        <w:t xml:space="preserve">Year 8 </w:t>
      </w:r>
      <w:r w:rsidR="00366B15">
        <w:t>learners/participants</w:t>
      </w:r>
      <w:r w:rsidR="008854D0">
        <w:t>. If the cycle could have been repeated, addressing issues and weaknesses each time,</w:t>
      </w:r>
      <w:r w:rsidR="00A544D5">
        <w:t xml:space="preserve"> for example lack of training (</w:t>
      </w:r>
      <w:proofErr w:type="spellStart"/>
      <w:r w:rsidR="00A544D5">
        <w:t>Sluijsmans</w:t>
      </w:r>
      <w:proofErr w:type="spellEnd"/>
      <w:r w:rsidR="00A544D5">
        <w:t xml:space="preserve"> et al., 2004)</w:t>
      </w:r>
      <w:r w:rsidR="008854D0">
        <w:t xml:space="preserve"> then it is highly likely that a greater level </w:t>
      </w:r>
      <w:r w:rsidR="00D80922">
        <w:t>of progress would have been made with each cycle</w:t>
      </w:r>
      <w:r w:rsidR="008854D0">
        <w:t xml:space="preserve">. </w:t>
      </w:r>
    </w:p>
    <w:p w:rsidR="00BF7F12" w:rsidRDefault="00BF7F12" w:rsidP="00B456E1">
      <w:pPr>
        <w:rPr>
          <w:b/>
          <w:u w:val="single"/>
        </w:rPr>
      </w:pPr>
      <w:r w:rsidRPr="00BF7F12">
        <w:rPr>
          <w:b/>
          <w:u w:val="single"/>
        </w:rPr>
        <w:t xml:space="preserve">Conclusion, Limitations and Future Development </w:t>
      </w:r>
    </w:p>
    <w:p w:rsidR="00320423" w:rsidRDefault="00191A18" w:rsidP="00B456E1">
      <w:r>
        <w:t>To conclude, i</w:t>
      </w:r>
      <w:r w:rsidR="00E00720">
        <w:t>t is clear from the results obtained from the post-test and the method of peer assessment chosen, that the current standards of peer assessment could be and were improved at School X</w:t>
      </w:r>
      <w:r w:rsidR="00B068D2">
        <w:t xml:space="preserve"> (Kumar, 2014). However, it cannot be said that this method is the most effective or the most beneficial way of improving understanding u</w:t>
      </w:r>
      <w:r>
        <w:t>sing peer assessment even if</w:t>
      </w:r>
      <w:r w:rsidR="00B068D2">
        <w:t xml:space="preserve"> it did produce </w:t>
      </w:r>
      <w:r w:rsidR="00B068D2">
        <w:lastRenderedPageBreak/>
        <w:t>predominantly positive results. Arguably, the peer assessment process could have been further enhanced to make greater improvements. An example of this could be making the marking against a success criteria (Clarke, 2001)</w:t>
      </w:r>
      <w:r w:rsidR="00313BD4">
        <w:t xml:space="preserve"> </w:t>
      </w:r>
      <w:r w:rsidR="00B068D2">
        <w:t>(</w:t>
      </w:r>
      <w:proofErr w:type="spellStart"/>
      <w:r w:rsidR="00B068D2">
        <w:t>Wiliam</w:t>
      </w:r>
      <w:proofErr w:type="spellEnd"/>
      <w:r w:rsidR="00B068D2">
        <w:t xml:space="preserve"> and Thompson, 2007) more challenging </w:t>
      </w:r>
      <w:r w:rsidR="001D4C1C">
        <w:t>as learners found this previously unexperienced process</w:t>
      </w:r>
      <w:r w:rsidR="00313BD4">
        <w:t>,</w:t>
      </w:r>
      <w:r w:rsidR="001D4C1C">
        <w:t xml:space="preserve"> unexpectedly easy. Increasing the depth (Hattie and Donoghue, 2016) of challenge in the requirements of the success criteria may have encouraged higher order thinking and improved results (Bloom, 1956). That being said, a positive and progressive step was moving away from </w:t>
      </w:r>
      <w:r w:rsidR="00320423">
        <w:t>and improving the</w:t>
      </w:r>
      <w:r w:rsidR="001D4C1C">
        <w:t xml:space="preserve"> </w:t>
      </w:r>
      <w:r w:rsidR="00320423">
        <w:t xml:space="preserve">simple ticking and crossing peer assessment </w:t>
      </w:r>
      <w:r w:rsidR="001D4C1C">
        <w:t>methods that were</w:t>
      </w:r>
      <w:r w:rsidR="00320423">
        <w:t xml:space="preserve"> being</w:t>
      </w:r>
      <w:r w:rsidR="001D4C1C">
        <w:t xml:space="preserve"> used</w:t>
      </w:r>
      <w:r w:rsidR="00320423">
        <w:t>. The ‘service’ was improve</w:t>
      </w:r>
      <w:r w:rsidR="00313BD4">
        <w:t>d</w:t>
      </w:r>
      <w:r w:rsidR="00320423">
        <w:t xml:space="preserve"> (Kumar, 2014) and it achieved good results as well as fairly good levels of engagement and participation. </w:t>
      </w:r>
    </w:p>
    <w:p w:rsidR="00E00720" w:rsidRDefault="00320423" w:rsidP="00B456E1">
      <w:r>
        <w:t>The pre and post diagnostic testing method proved to work well and achieved positive results. Although, as outlined by Kumar</w:t>
      </w:r>
      <w:r w:rsidR="001D4C1C">
        <w:t xml:space="preserve"> </w:t>
      </w:r>
      <w:r>
        <w:t xml:space="preserve">(2014), it is not possible to quantify the percentage of progress made from peer feedback alone or </w:t>
      </w:r>
      <w:r w:rsidR="003147CD">
        <w:t>which element of peer assessment impacted understanding and progress the most. It can only be said that in this context, peer assessment positively impacted the understanding and progress of Year 8 learners at School X. This is down to eighteen out of twenty participants improving with a positive result. However, an argument can be made that learners/participants were only tested on their memory/remembering (Bloom, 1956) as the majority of questions only covered basic skills and one word responses. If the research was to be carried out again without time constraints (Hung and Pellegrino, 2002) it would be positioned strate</w:t>
      </w:r>
      <w:r w:rsidR="00955129">
        <w:t xml:space="preserve">gically within a scheme of work to ensure that deeper learning and thinking had occurred (Hattie and Donoghue, 2016). If this had been done, the impacts of peer assessment on deeper understanding could have been explored. </w:t>
      </w:r>
    </w:p>
    <w:p w:rsidR="001348AF" w:rsidRDefault="001348AF" w:rsidP="00B456E1">
      <w:r>
        <w:t>Removing the structure of the peer assessment would a</w:t>
      </w:r>
      <w:r w:rsidR="00485E42">
        <w:t>lso have been interesting to see when exploring w</w:t>
      </w:r>
      <w:r>
        <w:t>hether or not the lack of guided feedback still resulted in progress and a positive change. That way, when comparing results with this study</w:t>
      </w:r>
      <w:r w:rsidR="00AA622E">
        <w:t xml:space="preserve">, </w:t>
      </w:r>
      <w:r>
        <w:t xml:space="preserve">it could be seen </w:t>
      </w:r>
      <w:r w:rsidR="00AA622E">
        <w:t>whether the structured approach achieved</w:t>
      </w:r>
      <w:r>
        <w:t xml:space="preserve"> better </w:t>
      </w:r>
      <w:r w:rsidR="00AA622E">
        <w:t xml:space="preserve">or worse </w:t>
      </w:r>
      <w:r>
        <w:t>results than the non-structure</w:t>
      </w:r>
      <w:r w:rsidR="00AA622E">
        <w:t>d. Only then, could it</w:t>
      </w:r>
      <w:r>
        <w:t xml:space="preserve"> potentially</w:t>
      </w:r>
      <w:r w:rsidR="00AA622E">
        <w:t xml:space="preserve"> have</w:t>
      </w:r>
      <w:r>
        <w:t xml:space="preserve"> b</w:t>
      </w:r>
      <w:r w:rsidR="00AA622E">
        <w:t>e</w:t>
      </w:r>
      <w:r>
        <w:t>e</w:t>
      </w:r>
      <w:r w:rsidR="00AA622E">
        <w:t>n</w:t>
      </w:r>
      <w:r>
        <w:t xml:space="preserve"> said for certain</w:t>
      </w:r>
      <w:r w:rsidR="00AA622E">
        <w:t>,</w:t>
      </w:r>
      <w:r>
        <w:t xml:space="preserve"> that structured peer assessment impacts understanding and progress positively. It is clear from the four slips analysed in the previous section that more guidance and ‘teacher training’ time (</w:t>
      </w:r>
      <w:proofErr w:type="spellStart"/>
      <w:r>
        <w:t>Sluijsmans</w:t>
      </w:r>
      <w:proofErr w:type="spellEnd"/>
      <w:r>
        <w:t xml:space="preserve"> et al., 2004) was </w:t>
      </w:r>
      <w:r w:rsidR="00836BF2">
        <w:t xml:space="preserve">needed so that better direction,  guidance and specificity  (Sadler, 1989) could have been provided on the slips. However, </w:t>
      </w:r>
      <w:r w:rsidR="00306589">
        <w:t xml:space="preserve">the basic level of responses did still result in positive changes in eighteen out of </w:t>
      </w:r>
      <w:r w:rsidR="00AA3B26">
        <w:t xml:space="preserve">twenty participants. Whether or not the learners knew how to appropriately interpret and use the feedback however cannot be confirmed (Sadler, 1989). There was also scope for </w:t>
      </w:r>
      <w:r w:rsidR="00AA622E">
        <w:t xml:space="preserve">an intervention with </w:t>
      </w:r>
      <w:r w:rsidR="00AA3B26">
        <w:t>more support and guidance when ensuring that a greater level of specificity and response occurred. This would (if successfully done) have again positively influenced the results by facilitating progress, which is the goal of all formative assessment proce</w:t>
      </w:r>
      <w:r w:rsidR="009F3051">
        <w:t xml:space="preserve">dures (Black and </w:t>
      </w:r>
      <w:proofErr w:type="spellStart"/>
      <w:r w:rsidR="009F3051">
        <w:t>Wiliam</w:t>
      </w:r>
      <w:proofErr w:type="spellEnd"/>
      <w:r w:rsidR="009F3051">
        <w:t>, 1998).</w:t>
      </w:r>
    </w:p>
    <w:p w:rsidR="00AA3B26" w:rsidRDefault="00AA3B26" w:rsidP="00B456E1">
      <w:r>
        <w:t xml:space="preserve">All changes discussed could have benefitted or added more credibility to the study if time had permitted (Hunt and Pellegrino, 2002). More time also would have allowed for the research to be undertaken with more than one class to prove the correlation outside of this one class study. A control class also could have been used here to enhance and strengthen the credibility/reliability of this particular research outcome (Kumar, 2014). Of course, as no two classes are the same it can only be said that peer assessment positively impacted the understanding and progress of a Year 8 class from School X. </w:t>
      </w:r>
    </w:p>
    <w:p w:rsidR="00AA3B26" w:rsidRDefault="00AA3B26" w:rsidP="00B456E1">
      <w:pPr>
        <w:rPr>
          <w:rFonts w:cs="Arial"/>
          <w:color w:val="000000" w:themeColor="text1"/>
          <w:shd w:val="clear" w:color="auto" w:fill="FFFFFF"/>
        </w:rPr>
      </w:pPr>
      <w:r>
        <w:t>If this research method was used in daily teaching practise amongst all classes taught then any common/widespread</w:t>
      </w:r>
      <w:r w:rsidR="009F3051">
        <w:t xml:space="preserve"> issues would come to light quickly and efforts could be made to immediately address </w:t>
      </w:r>
      <w:proofErr w:type="gramStart"/>
      <w:r w:rsidR="009F3051">
        <w:t>them</w:t>
      </w:r>
      <w:proofErr w:type="gramEnd"/>
      <w:r w:rsidR="009F3051">
        <w:t xml:space="preserve"> (Black et al., 2004). This is what makes this type of assessment formative, it is not about collecting/recording data</w:t>
      </w:r>
      <w:r w:rsidR="00AA622E">
        <w:t>,</w:t>
      </w:r>
      <w:r w:rsidR="009F3051">
        <w:t xml:space="preserve"> but about using said data, to shape future teachings to meet </w:t>
      </w:r>
      <w:r w:rsidR="009F3051">
        <w:lastRenderedPageBreak/>
        <w:t xml:space="preserve">student needs (Black and </w:t>
      </w:r>
      <w:proofErr w:type="spellStart"/>
      <w:r w:rsidR="009F3051">
        <w:t>WIliam</w:t>
      </w:r>
      <w:proofErr w:type="spellEnd"/>
      <w:r w:rsidR="009F3051">
        <w:t>, 1998). In a more frequent and familiar classroom based context test anxiety (</w:t>
      </w:r>
      <w:r w:rsidR="009F3051" w:rsidRPr="00845721">
        <w:rPr>
          <w:rFonts w:cs="Arial"/>
          <w:color w:val="000000" w:themeColor="text1"/>
          <w:shd w:val="clear" w:color="auto" w:fill="FFFFFF"/>
        </w:rPr>
        <w:t>Black et al.</w:t>
      </w:r>
      <w:r w:rsidR="009F3051">
        <w:rPr>
          <w:rFonts w:cs="Arial"/>
          <w:color w:val="000000" w:themeColor="text1"/>
          <w:shd w:val="clear" w:color="auto" w:fill="FFFFFF"/>
        </w:rPr>
        <w:t xml:space="preserve">, </w:t>
      </w:r>
      <w:r w:rsidR="009F3051" w:rsidRPr="00845721">
        <w:rPr>
          <w:rFonts w:cs="Arial"/>
          <w:color w:val="000000" w:themeColor="text1"/>
          <w:shd w:val="clear" w:color="auto" w:fill="FFFFFF"/>
        </w:rPr>
        <w:t>2004)</w:t>
      </w:r>
      <w:r w:rsidR="009F3051">
        <w:rPr>
          <w:rFonts w:cs="Arial"/>
          <w:color w:val="000000" w:themeColor="text1"/>
          <w:shd w:val="clear" w:color="auto" w:fill="FFFFFF"/>
        </w:rPr>
        <w:t xml:space="preserve"> could also be minimised more easily. It can be seen on the slip between participants N and Q that there was some anxiety amongst learners. Participant Q writes “I know this was a surprise so revise for next week”. It is clear from this that participant Q was trying to reassure participant N that their low score could be improved and not to worry about it. This was not at all expected on the feedback slips and was a welcomed opposite to the anticipated ‘peer </w:t>
      </w:r>
      <w:r w:rsidR="00AA622E">
        <w:rPr>
          <w:rFonts w:cs="Arial"/>
          <w:color w:val="000000" w:themeColor="text1"/>
          <w:shd w:val="clear" w:color="auto" w:fill="FFFFFF"/>
        </w:rPr>
        <w:t>disapproval</w:t>
      </w:r>
      <w:r w:rsidR="009F3051">
        <w:rPr>
          <w:rFonts w:cs="Arial"/>
          <w:color w:val="000000" w:themeColor="text1"/>
          <w:shd w:val="clear" w:color="auto" w:fill="FFFFFF"/>
        </w:rPr>
        <w:t xml:space="preserve">’ </w:t>
      </w:r>
      <w:r w:rsidR="009F3051" w:rsidRPr="00845721">
        <w:rPr>
          <w:rFonts w:cs="Arial"/>
          <w:color w:val="000000" w:themeColor="text1"/>
          <w:shd w:val="clear" w:color="auto" w:fill="FFFFFF"/>
        </w:rPr>
        <w:t>(</w:t>
      </w:r>
      <w:proofErr w:type="spellStart"/>
      <w:r w:rsidR="009F3051" w:rsidRPr="00845721">
        <w:rPr>
          <w:rFonts w:cs="Arial"/>
          <w:color w:val="000000" w:themeColor="text1"/>
          <w:shd w:val="clear" w:color="auto" w:fill="FFFFFF"/>
        </w:rPr>
        <w:t>Rotsaert</w:t>
      </w:r>
      <w:proofErr w:type="spellEnd"/>
      <w:r w:rsidR="009F3051" w:rsidRPr="00845721">
        <w:rPr>
          <w:rFonts w:cs="Arial"/>
          <w:color w:val="000000" w:themeColor="text1"/>
          <w:shd w:val="clear" w:color="auto" w:fill="FFFFFF"/>
        </w:rPr>
        <w:t xml:space="preserve"> et al., 2018).</w:t>
      </w:r>
      <w:r w:rsidR="000527EA">
        <w:rPr>
          <w:rFonts w:cs="Arial"/>
          <w:color w:val="000000" w:themeColor="text1"/>
          <w:shd w:val="clear" w:color="auto" w:fill="FFFFFF"/>
        </w:rPr>
        <w:t xml:space="preserve"> The lack of physically evident peer disapproval may have been indicative of an already fully inclusive learning environment</w:t>
      </w:r>
      <w:r w:rsidR="00AA622E">
        <w:rPr>
          <w:rFonts w:cs="Arial"/>
          <w:color w:val="000000" w:themeColor="text1"/>
          <w:shd w:val="clear" w:color="auto" w:fill="FFFFFF"/>
        </w:rPr>
        <w:t xml:space="preserve"> amongst the Year 8 class at School X</w:t>
      </w:r>
      <w:r w:rsidR="000527EA">
        <w:rPr>
          <w:rFonts w:cs="Arial"/>
          <w:color w:val="000000" w:themeColor="text1"/>
          <w:shd w:val="clear" w:color="auto" w:fill="FFFFFF"/>
        </w:rPr>
        <w:t xml:space="preserve">. </w:t>
      </w:r>
    </w:p>
    <w:p w:rsidR="000527EA" w:rsidRDefault="000527EA" w:rsidP="00B456E1">
      <w:r>
        <w:rPr>
          <w:rFonts w:cs="Arial"/>
          <w:color w:val="000000" w:themeColor="text1"/>
          <w:shd w:val="clear" w:color="auto" w:fill="FFFFFF"/>
        </w:rPr>
        <w:t>Overall, this research proved that peer assessment techniques/strategies/difficulty could be improved at School X. The impact and effectiveness of peer assessment on the understanding and progress of Year 8 learners at School X was largely positive</w:t>
      </w:r>
      <w:r w:rsidR="00AA622E">
        <w:rPr>
          <w:rFonts w:cs="Arial"/>
          <w:color w:val="000000" w:themeColor="text1"/>
          <w:shd w:val="clear" w:color="auto" w:fill="FFFFFF"/>
        </w:rPr>
        <w:t xml:space="preserve"> in nature</w:t>
      </w:r>
      <w:r>
        <w:rPr>
          <w:rFonts w:cs="Arial"/>
          <w:color w:val="000000" w:themeColor="text1"/>
          <w:shd w:val="clear" w:color="auto" w:fill="FFFFFF"/>
        </w:rPr>
        <w:t xml:space="preserve"> and 80% of learners/participants made good progress. As previously mentioned, even though it cannot be fully determined what the most beneficial component of the process was (the marking, the feedback or the guided revision), the short term understanding (Lin et al., 2001) of Year 8 learners at School X was undoubtedly impacted positively</w:t>
      </w:r>
      <w:r w:rsidR="00AA622E">
        <w:rPr>
          <w:rFonts w:cs="Arial"/>
          <w:color w:val="000000" w:themeColor="text1"/>
          <w:shd w:val="clear" w:color="auto" w:fill="FFFFFF"/>
        </w:rPr>
        <w:t xml:space="preserve"> by the peer assessment process as a whole</w:t>
      </w:r>
      <w:r>
        <w:rPr>
          <w:rFonts w:cs="Arial"/>
          <w:color w:val="000000" w:themeColor="text1"/>
          <w:shd w:val="clear" w:color="auto" w:fill="FFFFFF"/>
        </w:rPr>
        <w:t xml:space="preserve">. </w:t>
      </w:r>
    </w:p>
    <w:p w:rsidR="00D86501" w:rsidRDefault="00D86501" w:rsidP="000527EA">
      <w:r>
        <w:t xml:space="preserve"> </w:t>
      </w:r>
    </w:p>
    <w:p w:rsidR="00327A70" w:rsidRDefault="00327A70" w:rsidP="000527EA"/>
    <w:p w:rsidR="00327A70" w:rsidRDefault="00327A70" w:rsidP="000527EA"/>
    <w:p w:rsidR="00327A70" w:rsidRDefault="00327A70" w:rsidP="000527EA"/>
    <w:p w:rsidR="00327A70" w:rsidRDefault="00327A70" w:rsidP="000527EA"/>
    <w:p w:rsidR="00327A70" w:rsidRDefault="00327A70" w:rsidP="000527EA"/>
    <w:p w:rsidR="00327A70" w:rsidRDefault="00327A70" w:rsidP="000527EA"/>
    <w:p w:rsidR="00327A70" w:rsidRDefault="00327A70" w:rsidP="000527EA"/>
    <w:p w:rsidR="00327A70" w:rsidRDefault="00327A70" w:rsidP="000527EA"/>
    <w:p w:rsidR="00327A70" w:rsidRDefault="00327A70" w:rsidP="000527EA"/>
    <w:p w:rsidR="00327A70" w:rsidRDefault="00327A70" w:rsidP="000527EA"/>
    <w:p w:rsidR="00327A70" w:rsidRDefault="00327A70" w:rsidP="000527EA"/>
    <w:p w:rsidR="00327A70" w:rsidRDefault="00327A70" w:rsidP="000527EA"/>
    <w:p w:rsidR="00327A70" w:rsidRDefault="00327A70" w:rsidP="000527EA"/>
    <w:p w:rsidR="00327A70" w:rsidRDefault="00327A70" w:rsidP="000527EA"/>
    <w:p w:rsidR="00327A70" w:rsidRDefault="00327A70" w:rsidP="000527EA"/>
    <w:p w:rsidR="00327A70" w:rsidRDefault="00327A70" w:rsidP="000527EA"/>
    <w:p w:rsidR="00327A70" w:rsidRDefault="00327A70" w:rsidP="000527EA"/>
    <w:p w:rsidR="00327A70" w:rsidRDefault="00327A70" w:rsidP="000527EA"/>
    <w:p w:rsidR="00327A70" w:rsidRDefault="00327A70" w:rsidP="000527EA"/>
    <w:p w:rsidR="00327A70" w:rsidRDefault="00327A70" w:rsidP="000527EA"/>
    <w:p w:rsidR="003011A0" w:rsidRPr="00327A70" w:rsidRDefault="00845721">
      <w:pPr>
        <w:rPr>
          <w:b/>
          <w:color w:val="000000" w:themeColor="text1"/>
          <w:u w:val="single"/>
        </w:rPr>
      </w:pPr>
      <w:r w:rsidRPr="00327A70">
        <w:rPr>
          <w:b/>
          <w:color w:val="000000" w:themeColor="text1"/>
          <w:u w:val="single"/>
        </w:rPr>
        <w:lastRenderedPageBreak/>
        <w:t>References</w:t>
      </w:r>
      <w:bookmarkStart w:id="0" w:name="_GoBack"/>
      <w:bookmarkEnd w:id="0"/>
    </w:p>
    <w:p w:rsidR="00255E40" w:rsidRPr="00327A70" w:rsidRDefault="003011A0">
      <w:pPr>
        <w:rPr>
          <w:rFonts w:cs="Arial"/>
          <w:color w:val="000000" w:themeColor="text1"/>
          <w:shd w:val="clear" w:color="auto" w:fill="FFFFFF"/>
        </w:rPr>
      </w:pPr>
      <w:r w:rsidRPr="00327A70">
        <w:rPr>
          <w:rFonts w:cs="Arial"/>
          <w:color w:val="000000" w:themeColor="text1"/>
          <w:shd w:val="clear" w:color="auto" w:fill="FFFFFF"/>
        </w:rPr>
        <w:t>Angelo, T.A. and Cross, K.P., 2012. </w:t>
      </w:r>
      <w:r w:rsidRPr="00327A70">
        <w:rPr>
          <w:rFonts w:cs="Arial"/>
          <w:i/>
          <w:iCs/>
          <w:color w:val="000000" w:themeColor="text1"/>
          <w:shd w:val="clear" w:color="auto" w:fill="FFFFFF"/>
        </w:rPr>
        <w:t>Classroom assessment techniques</w:t>
      </w:r>
      <w:r w:rsidRPr="00327A70">
        <w:rPr>
          <w:rFonts w:cs="Arial"/>
          <w:color w:val="000000" w:themeColor="text1"/>
          <w:shd w:val="clear" w:color="auto" w:fill="FFFFFF"/>
        </w:rPr>
        <w:t xml:space="preserve">. </w:t>
      </w:r>
      <w:proofErr w:type="spellStart"/>
      <w:r w:rsidRPr="00327A70">
        <w:rPr>
          <w:rFonts w:cs="Arial"/>
          <w:color w:val="000000" w:themeColor="text1"/>
          <w:shd w:val="clear" w:color="auto" w:fill="FFFFFF"/>
        </w:rPr>
        <w:t>Jossey</w:t>
      </w:r>
      <w:proofErr w:type="spellEnd"/>
      <w:r w:rsidRPr="00327A70">
        <w:rPr>
          <w:rFonts w:cs="Arial"/>
          <w:color w:val="000000" w:themeColor="text1"/>
          <w:shd w:val="clear" w:color="auto" w:fill="FFFFFF"/>
        </w:rPr>
        <w:t xml:space="preserve"> Bass Wiley.</w:t>
      </w:r>
    </w:p>
    <w:p w:rsidR="003C2F6A" w:rsidRPr="00327A70" w:rsidRDefault="007F53CD">
      <w:pPr>
        <w:rPr>
          <w:rFonts w:cs="Arial"/>
          <w:color w:val="000000" w:themeColor="text1"/>
          <w:shd w:val="clear" w:color="auto" w:fill="FFFFFF"/>
        </w:rPr>
      </w:pPr>
      <w:r w:rsidRPr="00327A70">
        <w:rPr>
          <w:rFonts w:cs="Arial"/>
          <w:color w:val="000000" w:themeColor="text1"/>
          <w:shd w:val="clear" w:color="auto" w:fill="FFFFFF"/>
        </w:rPr>
        <w:t xml:space="preserve"> </w:t>
      </w:r>
      <w:r w:rsidR="003C2F6A" w:rsidRPr="00327A70">
        <w:rPr>
          <w:rFonts w:cs="Arial"/>
          <w:color w:val="000000" w:themeColor="text1"/>
          <w:shd w:val="clear" w:color="auto" w:fill="FFFFFF"/>
        </w:rPr>
        <w:t xml:space="preserve">Black, P. and </w:t>
      </w:r>
      <w:proofErr w:type="spellStart"/>
      <w:r w:rsidR="003C2F6A" w:rsidRPr="00327A70">
        <w:rPr>
          <w:rFonts w:cs="Arial"/>
          <w:color w:val="000000" w:themeColor="text1"/>
          <w:shd w:val="clear" w:color="auto" w:fill="FFFFFF"/>
        </w:rPr>
        <w:t>Wiliam</w:t>
      </w:r>
      <w:proofErr w:type="spellEnd"/>
      <w:r w:rsidR="003C2F6A" w:rsidRPr="00327A70">
        <w:rPr>
          <w:rFonts w:cs="Arial"/>
          <w:color w:val="000000" w:themeColor="text1"/>
          <w:shd w:val="clear" w:color="auto" w:fill="FFFFFF"/>
        </w:rPr>
        <w:t>, D., 2009. Developing the theory of formative assessment. </w:t>
      </w:r>
      <w:r w:rsidR="003C2F6A" w:rsidRPr="00327A70">
        <w:rPr>
          <w:rFonts w:cs="Arial"/>
          <w:i/>
          <w:iCs/>
          <w:color w:val="000000" w:themeColor="text1"/>
          <w:shd w:val="clear" w:color="auto" w:fill="FFFFFF"/>
        </w:rPr>
        <w:t>Educational Assessment, Evaluation and Accountability (formerly: Journal of Personnel Evaluation in Education)</w:t>
      </w:r>
      <w:r w:rsidR="003C2F6A" w:rsidRPr="00327A70">
        <w:rPr>
          <w:rFonts w:cs="Arial"/>
          <w:color w:val="000000" w:themeColor="text1"/>
          <w:shd w:val="clear" w:color="auto" w:fill="FFFFFF"/>
        </w:rPr>
        <w:t>, </w:t>
      </w:r>
      <w:r w:rsidR="003C2F6A" w:rsidRPr="00327A70">
        <w:rPr>
          <w:rFonts w:cs="Arial"/>
          <w:i/>
          <w:iCs/>
          <w:color w:val="000000" w:themeColor="text1"/>
          <w:shd w:val="clear" w:color="auto" w:fill="FFFFFF"/>
        </w:rPr>
        <w:t>21</w:t>
      </w:r>
      <w:r w:rsidR="003C2F6A" w:rsidRPr="00327A70">
        <w:rPr>
          <w:rFonts w:cs="Arial"/>
          <w:color w:val="000000" w:themeColor="text1"/>
          <w:shd w:val="clear" w:color="auto" w:fill="FFFFFF"/>
        </w:rPr>
        <w:t>(1), p.5.</w:t>
      </w:r>
    </w:p>
    <w:p w:rsidR="00122F34" w:rsidRPr="00327A70" w:rsidRDefault="00122F34">
      <w:pPr>
        <w:rPr>
          <w:color w:val="000000" w:themeColor="text1"/>
        </w:rPr>
      </w:pPr>
      <w:r w:rsidRPr="00327A70">
        <w:rPr>
          <w:rFonts w:cs="Arial"/>
          <w:color w:val="000000" w:themeColor="text1"/>
          <w:shd w:val="clear" w:color="auto" w:fill="FFFFFF"/>
        </w:rPr>
        <w:t xml:space="preserve">British Educational Research Association (BERA) (2018). Ethical guidelines for educational research. Available at: https://www.bera.ac.uk/wp-content/uploads/2018/BERA-Ethical-Guidelines-for-Educational-Research_4thedn_2018.pdf?noredirect=1 (Accessed April 2019). </w:t>
      </w:r>
    </w:p>
    <w:p w:rsidR="005461C9" w:rsidRPr="00327A70" w:rsidRDefault="005461C9">
      <w:pPr>
        <w:rPr>
          <w:color w:val="000000" w:themeColor="text1"/>
        </w:rPr>
      </w:pPr>
      <w:r w:rsidRPr="00327A70">
        <w:rPr>
          <w:color w:val="000000" w:themeColor="text1"/>
        </w:rPr>
        <w:t xml:space="preserve">Bloom, B.S., (1956), </w:t>
      </w:r>
      <w:r w:rsidRPr="00327A70">
        <w:rPr>
          <w:i/>
          <w:color w:val="000000" w:themeColor="text1"/>
        </w:rPr>
        <w:t xml:space="preserve">Taxonomy of Educational Objectives: Handbook 1-Cognitive Domain, </w:t>
      </w:r>
      <w:r w:rsidRPr="00327A70">
        <w:rPr>
          <w:color w:val="000000" w:themeColor="text1"/>
        </w:rPr>
        <w:t xml:space="preserve">New York: Longmans Green. </w:t>
      </w:r>
    </w:p>
    <w:p w:rsidR="00E04BCA" w:rsidRPr="00327A70" w:rsidRDefault="00E04BCA">
      <w:pPr>
        <w:rPr>
          <w:color w:val="000000" w:themeColor="text1"/>
        </w:rPr>
      </w:pPr>
      <w:r w:rsidRPr="00327A70">
        <w:rPr>
          <w:color w:val="000000" w:themeColor="text1"/>
        </w:rPr>
        <w:t>Bloom, B. S. (1969). Some theoretical issues relating to educational evaluation. In R. W. Tyler (Ed.), Educational evaluation: new roles, new means: the 63rd yearbook of the National Society for the Study of Education (part II) (Vol. 69(2), pp. 26-50). Chicago, IL: University of Chicago Press.</w:t>
      </w:r>
    </w:p>
    <w:p w:rsidR="003F65AF" w:rsidRPr="00327A70" w:rsidRDefault="00E11FA4">
      <w:pPr>
        <w:rPr>
          <w:rFonts w:cs="Arial"/>
          <w:color w:val="000000" w:themeColor="text1"/>
          <w:shd w:val="clear" w:color="auto" w:fill="FFFFFF"/>
        </w:rPr>
      </w:pPr>
      <w:r w:rsidRPr="00327A70">
        <w:rPr>
          <w:color w:val="000000" w:themeColor="text1"/>
        </w:rPr>
        <w:t xml:space="preserve">Bloom, B. S., J. T. Hastings, and G. F. </w:t>
      </w:r>
      <w:proofErr w:type="spellStart"/>
      <w:r w:rsidRPr="00327A70">
        <w:rPr>
          <w:color w:val="000000" w:themeColor="text1"/>
        </w:rPr>
        <w:t>Madaus</w:t>
      </w:r>
      <w:proofErr w:type="spellEnd"/>
      <w:r w:rsidRPr="00327A70">
        <w:rPr>
          <w:color w:val="000000" w:themeColor="text1"/>
        </w:rPr>
        <w:t xml:space="preserve">. 1971. </w:t>
      </w:r>
      <w:r w:rsidRPr="00327A70">
        <w:rPr>
          <w:i/>
          <w:color w:val="000000" w:themeColor="text1"/>
        </w:rPr>
        <w:t>Handbook on formative and summative evaluation of student learning</w:t>
      </w:r>
      <w:r w:rsidRPr="00327A70">
        <w:rPr>
          <w:color w:val="000000" w:themeColor="text1"/>
        </w:rPr>
        <w:t>. New York: McGraw-Hill.</w:t>
      </w:r>
      <w:r w:rsidR="003F65AF" w:rsidRPr="00327A70">
        <w:rPr>
          <w:rFonts w:cs="Arial"/>
          <w:color w:val="000000" w:themeColor="text1"/>
          <w:shd w:val="clear" w:color="auto" w:fill="FFFFFF"/>
        </w:rPr>
        <w:t xml:space="preserve"> </w:t>
      </w:r>
    </w:p>
    <w:p w:rsidR="003F65AF" w:rsidRPr="00327A70" w:rsidRDefault="003F65AF">
      <w:pPr>
        <w:rPr>
          <w:rFonts w:cs="Arial"/>
          <w:color w:val="000000" w:themeColor="text1"/>
          <w:shd w:val="clear" w:color="auto" w:fill="FFFFFF"/>
        </w:rPr>
      </w:pPr>
      <w:r w:rsidRPr="00327A70">
        <w:rPr>
          <w:rFonts w:cs="Arial"/>
          <w:color w:val="000000" w:themeColor="text1"/>
          <w:shd w:val="clear" w:color="auto" w:fill="FFFFFF"/>
        </w:rPr>
        <w:t xml:space="preserve">Black, P., Harrison, C., Lee, C., Marshall, B. and </w:t>
      </w:r>
      <w:proofErr w:type="spellStart"/>
      <w:r w:rsidRPr="00327A70">
        <w:rPr>
          <w:rFonts w:cs="Arial"/>
          <w:color w:val="000000" w:themeColor="text1"/>
          <w:shd w:val="clear" w:color="auto" w:fill="FFFFFF"/>
        </w:rPr>
        <w:t>Wiliam</w:t>
      </w:r>
      <w:proofErr w:type="spellEnd"/>
      <w:r w:rsidRPr="00327A70">
        <w:rPr>
          <w:rFonts w:cs="Arial"/>
          <w:color w:val="000000" w:themeColor="text1"/>
          <w:shd w:val="clear" w:color="auto" w:fill="FFFFFF"/>
        </w:rPr>
        <w:t>, D., 2004. Working inside the black box: Assessment for learning in the classroom. </w:t>
      </w:r>
      <w:r w:rsidRPr="00327A70">
        <w:rPr>
          <w:rFonts w:cs="Arial"/>
          <w:i/>
          <w:iCs/>
          <w:color w:val="000000" w:themeColor="text1"/>
          <w:shd w:val="clear" w:color="auto" w:fill="FFFFFF"/>
        </w:rPr>
        <w:t xml:space="preserve">Phi delta </w:t>
      </w:r>
      <w:proofErr w:type="spellStart"/>
      <w:r w:rsidRPr="00327A70">
        <w:rPr>
          <w:rFonts w:cs="Arial"/>
          <w:i/>
          <w:iCs/>
          <w:color w:val="000000" w:themeColor="text1"/>
          <w:shd w:val="clear" w:color="auto" w:fill="FFFFFF"/>
        </w:rPr>
        <w:t>kappan</w:t>
      </w:r>
      <w:proofErr w:type="spellEnd"/>
      <w:r w:rsidRPr="00327A70">
        <w:rPr>
          <w:rFonts w:cs="Arial"/>
          <w:color w:val="000000" w:themeColor="text1"/>
          <w:shd w:val="clear" w:color="auto" w:fill="FFFFFF"/>
        </w:rPr>
        <w:t>, </w:t>
      </w:r>
      <w:r w:rsidRPr="00327A70">
        <w:rPr>
          <w:rFonts w:cs="Arial"/>
          <w:i/>
          <w:iCs/>
          <w:color w:val="000000" w:themeColor="text1"/>
          <w:shd w:val="clear" w:color="auto" w:fill="FFFFFF"/>
        </w:rPr>
        <w:t>86</w:t>
      </w:r>
      <w:r w:rsidRPr="00327A70">
        <w:rPr>
          <w:rFonts w:cs="Arial"/>
          <w:color w:val="000000" w:themeColor="text1"/>
          <w:shd w:val="clear" w:color="auto" w:fill="FFFFFF"/>
        </w:rPr>
        <w:t>(1), pp.8-21.</w:t>
      </w:r>
    </w:p>
    <w:p w:rsidR="005461C9" w:rsidRPr="00327A70" w:rsidRDefault="005461C9">
      <w:pPr>
        <w:rPr>
          <w:color w:val="000000" w:themeColor="text1"/>
        </w:rPr>
      </w:pPr>
      <w:r w:rsidRPr="00327A70">
        <w:rPr>
          <w:color w:val="000000" w:themeColor="text1"/>
        </w:rPr>
        <w:t xml:space="preserve">Black, P. &amp; </w:t>
      </w:r>
      <w:proofErr w:type="spellStart"/>
      <w:r w:rsidRPr="00327A70">
        <w:rPr>
          <w:color w:val="000000" w:themeColor="text1"/>
        </w:rPr>
        <w:t>Wiliam</w:t>
      </w:r>
      <w:proofErr w:type="spellEnd"/>
      <w:r w:rsidRPr="00327A70">
        <w:rPr>
          <w:color w:val="000000" w:themeColor="text1"/>
        </w:rPr>
        <w:t>, D. (1998) Assessment and classroom learning</w:t>
      </w:r>
      <w:r w:rsidRPr="00327A70">
        <w:rPr>
          <w:i/>
          <w:color w:val="000000" w:themeColor="text1"/>
        </w:rPr>
        <w:t>, Assessment in Education</w:t>
      </w:r>
      <w:r w:rsidRPr="00327A70">
        <w:rPr>
          <w:color w:val="000000" w:themeColor="text1"/>
        </w:rPr>
        <w:t>, 5(1), 7–74.</w:t>
      </w:r>
    </w:p>
    <w:p w:rsidR="00BD752D" w:rsidRPr="00327A70" w:rsidRDefault="00BD752D">
      <w:pPr>
        <w:rPr>
          <w:rFonts w:cs="Arial"/>
          <w:color w:val="000000" w:themeColor="text1"/>
          <w:shd w:val="clear" w:color="auto" w:fill="FFFFFF"/>
        </w:rPr>
      </w:pPr>
      <w:r w:rsidRPr="00327A70">
        <w:rPr>
          <w:rFonts w:cs="Arial"/>
          <w:color w:val="000000" w:themeColor="text1"/>
          <w:shd w:val="clear" w:color="auto" w:fill="FFFFFF"/>
        </w:rPr>
        <w:t xml:space="preserve">Black, P. and </w:t>
      </w:r>
      <w:proofErr w:type="spellStart"/>
      <w:r w:rsidRPr="00327A70">
        <w:rPr>
          <w:rFonts w:cs="Arial"/>
          <w:color w:val="000000" w:themeColor="text1"/>
          <w:shd w:val="clear" w:color="auto" w:fill="FFFFFF"/>
        </w:rPr>
        <w:t>Wiliam</w:t>
      </w:r>
      <w:proofErr w:type="spellEnd"/>
      <w:r w:rsidRPr="00327A70">
        <w:rPr>
          <w:rFonts w:cs="Arial"/>
          <w:color w:val="000000" w:themeColor="text1"/>
          <w:shd w:val="clear" w:color="auto" w:fill="FFFFFF"/>
        </w:rPr>
        <w:t>, D., 2005. </w:t>
      </w:r>
      <w:r w:rsidRPr="00327A70">
        <w:rPr>
          <w:rFonts w:cs="Arial"/>
          <w:i/>
          <w:iCs/>
          <w:color w:val="000000" w:themeColor="text1"/>
          <w:shd w:val="clear" w:color="auto" w:fill="FFFFFF"/>
        </w:rPr>
        <w:t>Inside the black box: Raising standards through classroom assessment</w:t>
      </w:r>
      <w:r w:rsidRPr="00327A70">
        <w:rPr>
          <w:rFonts w:cs="Arial"/>
          <w:color w:val="000000" w:themeColor="text1"/>
          <w:shd w:val="clear" w:color="auto" w:fill="FFFFFF"/>
        </w:rPr>
        <w:t>. Granada Learning.</w:t>
      </w:r>
    </w:p>
    <w:p w:rsidR="003F65AF" w:rsidRPr="00327A70" w:rsidRDefault="00F933F3">
      <w:pPr>
        <w:rPr>
          <w:color w:val="000000" w:themeColor="text1"/>
        </w:rPr>
      </w:pPr>
      <w:r w:rsidRPr="00327A70">
        <w:rPr>
          <w:color w:val="000000" w:themeColor="text1"/>
        </w:rPr>
        <w:t xml:space="preserve">Black, P., &amp; </w:t>
      </w:r>
      <w:proofErr w:type="spellStart"/>
      <w:r w:rsidRPr="00327A70">
        <w:rPr>
          <w:color w:val="000000" w:themeColor="text1"/>
        </w:rPr>
        <w:t>Wiliam</w:t>
      </w:r>
      <w:proofErr w:type="spellEnd"/>
      <w:r w:rsidRPr="00327A70">
        <w:rPr>
          <w:color w:val="000000" w:themeColor="text1"/>
        </w:rPr>
        <w:t>, D. (2006) Developing a theory of formative assessment. In J. Gardner (Ed.), Assessment and learning (pp. 81-100). London: Sage</w:t>
      </w:r>
    </w:p>
    <w:p w:rsidR="00255E40" w:rsidRPr="00327A70" w:rsidRDefault="00255E40">
      <w:pPr>
        <w:rPr>
          <w:rFonts w:cs="Helvetica"/>
          <w:color w:val="000000" w:themeColor="text1"/>
          <w:shd w:val="clear" w:color="auto" w:fill="FFFFFF"/>
        </w:rPr>
      </w:pPr>
      <w:r w:rsidRPr="00327A70">
        <w:rPr>
          <w:rFonts w:cs="Helvetica"/>
          <w:color w:val="000000" w:themeColor="text1"/>
          <w:shd w:val="clear" w:color="auto" w:fill="FFFFFF"/>
        </w:rPr>
        <w:t>Coombs, A., 2018. Changing approaches to classroom assessment: An empirical study across teacher career stages. </w:t>
      </w:r>
      <w:r w:rsidRPr="00327A70">
        <w:rPr>
          <w:rFonts w:cs="Helvetica"/>
          <w:i/>
          <w:iCs/>
          <w:color w:val="000000" w:themeColor="text1"/>
          <w:shd w:val="clear" w:color="auto" w:fill="FFFFFF"/>
        </w:rPr>
        <w:t>Teaching &amp; Teacher Education</w:t>
      </w:r>
      <w:r w:rsidRPr="00327A70">
        <w:rPr>
          <w:rFonts w:cs="Helvetica"/>
          <w:color w:val="000000" w:themeColor="text1"/>
          <w:shd w:val="clear" w:color="auto" w:fill="FFFFFF"/>
        </w:rPr>
        <w:t>, 71, pp.134–145.</w:t>
      </w:r>
    </w:p>
    <w:p w:rsidR="00122F34" w:rsidRPr="00327A70" w:rsidRDefault="00122F34">
      <w:pPr>
        <w:rPr>
          <w:rFonts w:cs="Helvetica"/>
          <w:color w:val="000000" w:themeColor="text1"/>
          <w:shd w:val="clear" w:color="auto" w:fill="FFFFFF"/>
        </w:rPr>
      </w:pPr>
      <w:r w:rsidRPr="00327A70">
        <w:rPr>
          <w:rFonts w:cs="Helvetica"/>
          <w:color w:val="000000" w:themeColor="text1"/>
          <w:shd w:val="clear" w:color="auto" w:fill="FFFFFF"/>
        </w:rPr>
        <w:t xml:space="preserve">Cohen, L., </w:t>
      </w:r>
      <w:proofErr w:type="spellStart"/>
      <w:r w:rsidRPr="00327A70">
        <w:rPr>
          <w:rFonts w:cs="Helvetica"/>
          <w:color w:val="000000" w:themeColor="text1"/>
          <w:shd w:val="clear" w:color="auto" w:fill="FFFFFF"/>
        </w:rPr>
        <w:t>Manion</w:t>
      </w:r>
      <w:proofErr w:type="spellEnd"/>
      <w:r w:rsidRPr="00327A70">
        <w:rPr>
          <w:rFonts w:cs="Helvetica"/>
          <w:color w:val="000000" w:themeColor="text1"/>
          <w:shd w:val="clear" w:color="auto" w:fill="FFFFFF"/>
        </w:rPr>
        <w:t>, L., and Morrison, K. R. B. (2007) Research Methods in Education 6</w:t>
      </w:r>
      <w:r w:rsidRPr="00327A70">
        <w:rPr>
          <w:rFonts w:cs="Helvetica"/>
          <w:color w:val="000000" w:themeColor="text1"/>
          <w:shd w:val="clear" w:color="auto" w:fill="FFFFFF"/>
          <w:vertAlign w:val="superscript"/>
        </w:rPr>
        <w:t>th</w:t>
      </w:r>
      <w:r w:rsidRPr="00327A70">
        <w:rPr>
          <w:rFonts w:cs="Helvetica"/>
          <w:color w:val="000000" w:themeColor="text1"/>
          <w:shd w:val="clear" w:color="auto" w:fill="FFFFFF"/>
        </w:rPr>
        <w:t xml:space="preserve"> Ed. London: Routledge. </w:t>
      </w:r>
    </w:p>
    <w:p w:rsidR="00271CA9" w:rsidRPr="00327A70" w:rsidRDefault="00271CA9">
      <w:pPr>
        <w:rPr>
          <w:color w:val="000000" w:themeColor="text1"/>
        </w:rPr>
      </w:pPr>
      <w:r w:rsidRPr="00327A70">
        <w:rPr>
          <w:color w:val="000000" w:themeColor="text1"/>
        </w:rPr>
        <w:t xml:space="preserve">Crooks, T. 1988. The impact of classroom evaluation practices on students. </w:t>
      </w:r>
      <w:r w:rsidRPr="00327A70">
        <w:rPr>
          <w:i/>
          <w:color w:val="000000" w:themeColor="text1"/>
        </w:rPr>
        <w:t xml:space="preserve">Review of Educational Research </w:t>
      </w:r>
      <w:r w:rsidRPr="00327A70">
        <w:rPr>
          <w:color w:val="000000" w:themeColor="text1"/>
        </w:rPr>
        <w:t>58, pp. 438-481</w:t>
      </w:r>
    </w:p>
    <w:p w:rsidR="002D4873" w:rsidRPr="00327A70" w:rsidRDefault="002D4873">
      <w:pPr>
        <w:rPr>
          <w:color w:val="000000" w:themeColor="text1"/>
        </w:rPr>
      </w:pPr>
      <w:r w:rsidRPr="00327A70">
        <w:rPr>
          <w:color w:val="000000" w:themeColor="text1"/>
        </w:rPr>
        <w:t>Clarke, S. (2001) Unlocking Formative Assessment. London: Hodder and Stoughton.</w:t>
      </w:r>
    </w:p>
    <w:p w:rsidR="00420A75" w:rsidRPr="00327A70" w:rsidRDefault="00420A75">
      <w:pPr>
        <w:rPr>
          <w:rFonts w:cs="Helvetica"/>
          <w:color w:val="000000" w:themeColor="text1"/>
          <w:shd w:val="clear" w:color="auto" w:fill="FFFFFF"/>
        </w:rPr>
      </w:pPr>
      <w:proofErr w:type="spellStart"/>
      <w:r w:rsidRPr="00327A70">
        <w:rPr>
          <w:color w:val="000000" w:themeColor="text1"/>
        </w:rPr>
        <w:t>Dietel</w:t>
      </w:r>
      <w:proofErr w:type="spellEnd"/>
      <w:r w:rsidRPr="00327A70">
        <w:rPr>
          <w:color w:val="000000" w:themeColor="text1"/>
        </w:rPr>
        <w:t xml:space="preserve">, R. J., Herman, J. L., &amp; Knuth, R. A. (1991). </w:t>
      </w:r>
      <w:r w:rsidRPr="00327A70">
        <w:rPr>
          <w:i/>
          <w:color w:val="000000" w:themeColor="text1"/>
        </w:rPr>
        <w:t>What does research say about assessment</w:t>
      </w:r>
      <w:r w:rsidRPr="00327A70">
        <w:rPr>
          <w:color w:val="000000" w:themeColor="text1"/>
        </w:rPr>
        <w:t>? NCREL, Oak Brook.</w:t>
      </w:r>
    </w:p>
    <w:p w:rsidR="006B04C0" w:rsidRPr="00327A70" w:rsidRDefault="006B04C0">
      <w:pPr>
        <w:rPr>
          <w:rFonts w:cs="Arial"/>
          <w:color w:val="000000" w:themeColor="text1"/>
          <w:shd w:val="clear" w:color="auto" w:fill="FFFFFF"/>
        </w:rPr>
      </w:pPr>
      <w:proofErr w:type="spellStart"/>
      <w:r w:rsidRPr="00327A70">
        <w:rPr>
          <w:rFonts w:cs="Arial"/>
          <w:color w:val="000000" w:themeColor="text1"/>
          <w:shd w:val="clear" w:color="auto" w:fill="FFFFFF"/>
        </w:rPr>
        <w:t>Dikli</w:t>
      </w:r>
      <w:proofErr w:type="spellEnd"/>
      <w:r w:rsidRPr="00327A70">
        <w:rPr>
          <w:rFonts w:cs="Arial"/>
          <w:color w:val="000000" w:themeColor="text1"/>
          <w:shd w:val="clear" w:color="auto" w:fill="FFFFFF"/>
        </w:rPr>
        <w:t>, S., 2003. Assessment at a Distance: Traditional vs. Alternative Assessments. </w:t>
      </w:r>
      <w:r w:rsidRPr="00327A70">
        <w:rPr>
          <w:rFonts w:cs="Arial"/>
          <w:i/>
          <w:iCs/>
          <w:color w:val="000000" w:themeColor="text1"/>
          <w:shd w:val="clear" w:color="auto" w:fill="FFFFFF"/>
        </w:rPr>
        <w:t>Turkish Online Journal of Educational Technology-TOJET</w:t>
      </w:r>
      <w:r w:rsidRPr="00327A70">
        <w:rPr>
          <w:rFonts w:cs="Arial"/>
          <w:color w:val="000000" w:themeColor="text1"/>
          <w:shd w:val="clear" w:color="auto" w:fill="FFFFFF"/>
        </w:rPr>
        <w:t>, </w:t>
      </w:r>
      <w:r w:rsidRPr="00327A70">
        <w:rPr>
          <w:rFonts w:cs="Arial"/>
          <w:i/>
          <w:iCs/>
          <w:color w:val="000000" w:themeColor="text1"/>
          <w:shd w:val="clear" w:color="auto" w:fill="FFFFFF"/>
        </w:rPr>
        <w:t>2</w:t>
      </w:r>
      <w:r w:rsidRPr="00327A70">
        <w:rPr>
          <w:rFonts w:cs="Arial"/>
          <w:color w:val="000000" w:themeColor="text1"/>
          <w:shd w:val="clear" w:color="auto" w:fill="FFFFFF"/>
        </w:rPr>
        <w:t>(3), pp.13-19.</w:t>
      </w:r>
    </w:p>
    <w:p w:rsidR="005461C9" w:rsidRPr="00327A70" w:rsidRDefault="005461C9">
      <w:pPr>
        <w:rPr>
          <w:color w:val="000000" w:themeColor="text1"/>
        </w:rPr>
      </w:pPr>
      <w:r w:rsidRPr="00327A70">
        <w:rPr>
          <w:color w:val="000000" w:themeColor="text1"/>
        </w:rPr>
        <w:t xml:space="preserve">Estyn. </w:t>
      </w:r>
      <w:r w:rsidRPr="00327A70">
        <w:rPr>
          <w:i/>
          <w:color w:val="000000" w:themeColor="text1"/>
        </w:rPr>
        <w:t xml:space="preserve">A Report on School X. </w:t>
      </w:r>
      <w:r w:rsidRPr="00327A70">
        <w:rPr>
          <w:color w:val="000000" w:themeColor="text1"/>
        </w:rPr>
        <w:t xml:space="preserve">2018. Estyn Publication. </w:t>
      </w:r>
    </w:p>
    <w:p w:rsidR="00E11FA4" w:rsidRPr="00327A70" w:rsidRDefault="00B91A14">
      <w:pPr>
        <w:rPr>
          <w:rFonts w:cs="Arial"/>
          <w:color w:val="000000" w:themeColor="text1"/>
          <w:shd w:val="clear" w:color="auto" w:fill="FFFFFF"/>
        </w:rPr>
      </w:pPr>
      <w:r w:rsidRPr="00327A70">
        <w:rPr>
          <w:rFonts w:cs="Arial"/>
          <w:color w:val="000000" w:themeColor="text1"/>
          <w:shd w:val="clear" w:color="auto" w:fill="FFFFFF"/>
        </w:rPr>
        <w:t xml:space="preserve">Garrison, C. and </w:t>
      </w:r>
      <w:proofErr w:type="spellStart"/>
      <w:r w:rsidRPr="00327A70">
        <w:rPr>
          <w:rFonts w:cs="Arial"/>
          <w:color w:val="000000" w:themeColor="text1"/>
          <w:shd w:val="clear" w:color="auto" w:fill="FFFFFF"/>
        </w:rPr>
        <w:t>Ehringhaus</w:t>
      </w:r>
      <w:proofErr w:type="spellEnd"/>
      <w:r w:rsidRPr="00327A70">
        <w:rPr>
          <w:rFonts w:cs="Arial"/>
          <w:color w:val="000000" w:themeColor="text1"/>
          <w:shd w:val="clear" w:color="auto" w:fill="FFFFFF"/>
        </w:rPr>
        <w:t>, M., 2007. Formative and summative assessments in the classroom.</w:t>
      </w:r>
    </w:p>
    <w:p w:rsidR="00C57F70" w:rsidRPr="00327A70" w:rsidRDefault="00C57F70">
      <w:pPr>
        <w:rPr>
          <w:rFonts w:cs="Arial"/>
          <w:color w:val="000000" w:themeColor="text1"/>
          <w:shd w:val="clear" w:color="auto" w:fill="FFFFFF"/>
        </w:rPr>
      </w:pPr>
      <w:proofErr w:type="spellStart"/>
      <w:r w:rsidRPr="00327A70">
        <w:rPr>
          <w:rFonts w:cs="Arial"/>
          <w:color w:val="000000" w:themeColor="text1"/>
          <w:shd w:val="clear" w:color="auto" w:fill="FFFFFF"/>
        </w:rPr>
        <w:lastRenderedPageBreak/>
        <w:t>Gielen</w:t>
      </w:r>
      <w:proofErr w:type="spellEnd"/>
      <w:r w:rsidRPr="00327A70">
        <w:rPr>
          <w:rFonts w:cs="Arial"/>
          <w:color w:val="000000" w:themeColor="text1"/>
          <w:shd w:val="clear" w:color="auto" w:fill="FFFFFF"/>
        </w:rPr>
        <w:t xml:space="preserve">, S., Tops, L., </w:t>
      </w:r>
      <w:proofErr w:type="spellStart"/>
      <w:r w:rsidRPr="00327A70">
        <w:rPr>
          <w:rFonts w:cs="Arial"/>
          <w:color w:val="000000" w:themeColor="text1"/>
          <w:shd w:val="clear" w:color="auto" w:fill="FFFFFF"/>
        </w:rPr>
        <w:t>Dochy</w:t>
      </w:r>
      <w:proofErr w:type="spellEnd"/>
      <w:r w:rsidRPr="00327A70">
        <w:rPr>
          <w:rFonts w:cs="Arial"/>
          <w:color w:val="000000" w:themeColor="text1"/>
          <w:shd w:val="clear" w:color="auto" w:fill="FFFFFF"/>
        </w:rPr>
        <w:t>, F.,</w:t>
      </w:r>
      <w:proofErr w:type="spellStart"/>
      <w:r w:rsidRPr="00327A70">
        <w:rPr>
          <w:rFonts w:cs="Arial"/>
          <w:color w:val="000000" w:themeColor="text1"/>
          <w:shd w:val="clear" w:color="auto" w:fill="FFFFFF"/>
        </w:rPr>
        <w:t>Onghena</w:t>
      </w:r>
      <w:proofErr w:type="spellEnd"/>
      <w:r w:rsidRPr="00327A70">
        <w:rPr>
          <w:rFonts w:cs="Arial"/>
          <w:color w:val="000000" w:themeColor="text1"/>
          <w:shd w:val="clear" w:color="auto" w:fill="FFFFFF"/>
        </w:rPr>
        <w:t xml:space="preserve">, P., and </w:t>
      </w:r>
      <w:proofErr w:type="spellStart"/>
      <w:r w:rsidRPr="00327A70">
        <w:rPr>
          <w:rFonts w:cs="Arial"/>
          <w:color w:val="000000" w:themeColor="text1"/>
          <w:shd w:val="clear" w:color="auto" w:fill="FFFFFF"/>
        </w:rPr>
        <w:t>Smeets</w:t>
      </w:r>
      <w:proofErr w:type="spellEnd"/>
      <w:r w:rsidRPr="00327A70">
        <w:rPr>
          <w:rFonts w:cs="Arial"/>
          <w:color w:val="000000" w:themeColor="text1"/>
          <w:shd w:val="clear" w:color="auto" w:fill="FFFFFF"/>
        </w:rPr>
        <w:t>, S. (2010) ‘A comparative study of peer and teacher feedback and of various peer feedback forms in a secondary school writing curriculum’, British Education Research Journal, 36(1), pp. 143-162.</w:t>
      </w:r>
    </w:p>
    <w:p w:rsidR="00E11FA4" w:rsidRPr="00327A70" w:rsidRDefault="00E11FA4">
      <w:pPr>
        <w:rPr>
          <w:rFonts w:cs="Arial"/>
          <w:color w:val="000000" w:themeColor="text1"/>
          <w:shd w:val="clear" w:color="auto" w:fill="FFFFFF"/>
        </w:rPr>
      </w:pPr>
      <w:proofErr w:type="spellStart"/>
      <w:r w:rsidRPr="00327A70">
        <w:rPr>
          <w:rFonts w:cs="Arial"/>
          <w:color w:val="000000" w:themeColor="text1"/>
          <w:shd w:val="clear" w:color="auto" w:fill="FFFFFF"/>
        </w:rPr>
        <w:t>Guskey</w:t>
      </w:r>
      <w:proofErr w:type="spellEnd"/>
      <w:r w:rsidRPr="00327A70">
        <w:rPr>
          <w:rFonts w:cs="Arial"/>
          <w:color w:val="000000" w:themeColor="text1"/>
          <w:shd w:val="clear" w:color="auto" w:fill="FFFFFF"/>
        </w:rPr>
        <w:t>, T.R., 2010. Formative assessment: the contributions of Benjamin S. Bloom. </w:t>
      </w:r>
      <w:r w:rsidRPr="00327A70">
        <w:rPr>
          <w:rFonts w:cs="Arial"/>
          <w:i/>
          <w:iCs/>
          <w:color w:val="000000" w:themeColor="text1"/>
          <w:shd w:val="clear" w:color="auto" w:fill="FFFFFF"/>
        </w:rPr>
        <w:t>Handbook of formative assessment</w:t>
      </w:r>
      <w:r w:rsidRPr="00327A70">
        <w:rPr>
          <w:rFonts w:cs="Arial"/>
          <w:color w:val="000000" w:themeColor="text1"/>
          <w:shd w:val="clear" w:color="auto" w:fill="FFFFFF"/>
        </w:rPr>
        <w:t>, pp.106-124.</w:t>
      </w:r>
    </w:p>
    <w:p w:rsidR="00476AB8" w:rsidRPr="00327A70" w:rsidRDefault="00476AB8">
      <w:pPr>
        <w:rPr>
          <w:rFonts w:cs="Arial"/>
          <w:color w:val="000000" w:themeColor="text1"/>
          <w:shd w:val="clear" w:color="auto" w:fill="FFFFFF"/>
        </w:rPr>
      </w:pPr>
      <w:proofErr w:type="spellStart"/>
      <w:r w:rsidRPr="00327A70">
        <w:rPr>
          <w:rFonts w:cs="Arial"/>
          <w:color w:val="000000" w:themeColor="text1"/>
          <w:shd w:val="clear" w:color="auto" w:fill="FFFFFF"/>
        </w:rPr>
        <w:t>Harlen</w:t>
      </w:r>
      <w:proofErr w:type="spellEnd"/>
      <w:r w:rsidRPr="00327A70">
        <w:rPr>
          <w:rFonts w:cs="Arial"/>
          <w:color w:val="000000" w:themeColor="text1"/>
          <w:shd w:val="clear" w:color="auto" w:fill="FFFFFF"/>
        </w:rPr>
        <w:t xml:space="preserve">, W., Crick, R.D., </w:t>
      </w:r>
      <w:proofErr w:type="spellStart"/>
      <w:r w:rsidRPr="00327A70">
        <w:rPr>
          <w:rFonts w:cs="Arial"/>
          <w:color w:val="000000" w:themeColor="text1"/>
          <w:shd w:val="clear" w:color="auto" w:fill="FFFFFF"/>
        </w:rPr>
        <w:t>Broadfoot</w:t>
      </w:r>
      <w:proofErr w:type="spellEnd"/>
      <w:r w:rsidRPr="00327A70">
        <w:rPr>
          <w:rFonts w:cs="Arial"/>
          <w:color w:val="000000" w:themeColor="text1"/>
          <w:shd w:val="clear" w:color="auto" w:fill="FFFFFF"/>
        </w:rPr>
        <w:t>, P., Daugherty, R., Gardner, J., James, M. and Stobart, G., 2002. A systematic review of the impact of summative assessment and tests on students’ motivation for learning.</w:t>
      </w:r>
    </w:p>
    <w:p w:rsidR="003C2F6A" w:rsidRPr="00327A70" w:rsidRDefault="003C2F6A">
      <w:pPr>
        <w:rPr>
          <w:rFonts w:cs="Arial"/>
          <w:color w:val="000000" w:themeColor="text1"/>
          <w:shd w:val="clear" w:color="auto" w:fill="FFFFFF"/>
        </w:rPr>
      </w:pPr>
      <w:r w:rsidRPr="00327A70">
        <w:rPr>
          <w:rFonts w:cs="Arial"/>
          <w:color w:val="000000" w:themeColor="text1"/>
          <w:shd w:val="clear" w:color="auto" w:fill="FFFFFF"/>
        </w:rPr>
        <w:t>Hattie, J., 2011. Instruction based on feedback. In </w:t>
      </w:r>
      <w:r w:rsidRPr="00327A70">
        <w:rPr>
          <w:rFonts w:cs="Arial"/>
          <w:i/>
          <w:iCs/>
          <w:color w:val="000000" w:themeColor="text1"/>
          <w:shd w:val="clear" w:color="auto" w:fill="FFFFFF"/>
        </w:rPr>
        <w:t>Handbook of research on learning and instruction</w:t>
      </w:r>
      <w:r w:rsidRPr="00327A70">
        <w:rPr>
          <w:rFonts w:cs="Arial"/>
          <w:color w:val="000000" w:themeColor="text1"/>
          <w:shd w:val="clear" w:color="auto" w:fill="FFFFFF"/>
        </w:rPr>
        <w:t> (pp. 263-285). Routledge.</w:t>
      </w:r>
    </w:p>
    <w:p w:rsidR="008B6D8B" w:rsidRPr="00327A70" w:rsidRDefault="008B6D8B">
      <w:pPr>
        <w:rPr>
          <w:i/>
          <w:color w:val="000000" w:themeColor="text1"/>
        </w:rPr>
      </w:pPr>
      <w:r w:rsidRPr="00327A70">
        <w:rPr>
          <w:color w:val="000000" w:themeColor="text1"/>
        </w:rPr>
        <w:t xml:space="preserve">Hattie, J.A.C. and Donoghue, G.M., 2016. Learning strategies: a synthesis and conceptual model. </w:t>
      </w:r>
      <w:r w:rsidRPr="00327A70">
        <w:rPr>
          <w:i/>
          <w:iCs/>
          <w:color w:val="000000" w:themeColor="text1"/>
        </w:rPr>
        <w:t xml:space="preserve">NPJ Science of Learning, </w:t>
      </w:r>
      <w:r w:rsidRPr="00327A70">
        <w:rPr>
          <w:bCs/>
          <w:color w:val="000000" w:themeColor="text1"/>
        </w:rPr>
        <w:t>1</w:t>
      </w:r>
      <w:r w:rsidRPr="00327A70">
        <w:rPr>
          <w:color w:val="000000" w:themeColor="text1"/>
        </w:rPr>
        <w:t>, pp. 16013.</w:t>
      </w:r>
    </w:p>
    <w:p w:rsidR="00833CCE" w:rsidRPr="00327A70" w:rsidRDefault="00833CCE">
      <w:pPr>
        <w:rPr>
          <w:rFonts w:cs="Arial"/>
          <w:color w:val="000000" w:themeColor="text1"/>
          <w:shd w:val="clear" w:color="auto" w:fill="FFFFFF"/>
        </w:rPr>
      </w:pPr>
      <w:proofErr w:type="spellStart"/>
      <w:r w:rsidRPr="00327A70">
        <w:rPr>
          <w:rFonts w:cs="Arial"/>
          <w:color w:val="000000" w:themeColor="text1"/>
          <w:shd w:val="clear" w:color="auto" w:fill="FFFFFF"/>
        </w:rPr>
        <w:t>Havnes</w:t>
      </w:r>
      <w:proofErr w:type="spellEnd"/>
      <w:r w:rsidRPr="00327A70">
        <w:rPr>
          <w:rFonts w:cs="Arial"/>
          <w:color w:val="000000" w:themeColor="text1"/>
          <w:shd w:val="clear" w:color="auto" w:fill="FFFFFF"/>
        </w:rPr>
        <w:t xml:space="preserve">, A., Smith, K., </w:t>
      </w:r>
      <w:proofErr w:type="spellStart"/>
      <w:r w:rsidRPr="00327A70">
        <w:rPr>
          <w:rFonts w:cs="Arial"/>
          <w:color w:val="000000" w:themeColor="text1"/>
          <w:shd w:val="clear" w:color="auto" w:fill="FFFFFF"/>
        </w:rPr>
        <w:t>Dysthe</w:t>
      </w:r>
      <w:proofErr w:type="spellEnd"/>
      <w:r w:rsidRPr="00327A70">
        <w:rPr>
          <w:rFonts w:cs="Arial"/>
          <w:color w:val="000000" w:themeColor="text1"/>
          <w:shd w:val="clear" w:color="auto" w:fill="FFFFFF"/>
        </w:rPr>
        <w:t xml:space="preserve">, O. and </w:t>
      </w:r>
      <w:proofErr w:type="spellStart"/>
      <w:r w:rsidRPr="00327A70">
        <w:rPr>
          <w:rFonts w:cs="Arial"/>
          <w:color w:val="000000" w:themeColor="text1"/>
          <w:shd w:val="clear" w:color="auto" w:fill="FFFFFF"/>
        </w:rPr>
        <w:t>Ludvigsen</w:t>
      </w:r>
      <w:proofErr w:type="spellEnd"/>
      <w:r w:rsidRPr="00327A70">
        <w:rPr>
          <w:rFonts w:cs="Arial"/>
          <w:color w:val="000000" w:themeColor="text1"/>
          <w:shd w:val="clear" w:color="auto" w:fill="FFFFFF"/>
        </w:rPr>
        <w:t>, K., 2012. Formative assessment and feedback: Making learning visible. </w:t>
      </w:r>
      <w:r w:rsidRPr="00327A70">
        <w:rPr>
          <w:rFonts w:cs="Arial"/>
          <w:i/>
          <w:iCs/>
          <w:color w:val="000000" w:themeColor="text1"/>
          <w:shd w:val="clear" w:color="auto" w:fill="FFFFFF"/>
        </w:rPr>
        <w:t>Studies in Educational Evaluation</w:t>
      </w:r>
      <w:r w:rsidRPr="00327A70">
        <w:rPr>
          <w:rFonts w:cs="Arial"/>
          <w:color w:val="000000" w:themeColor="text1"/>
          <w:shd w:val="clear" w:color="auto" w:fill="FFFFFF"/>
        </w:rPr>
        <w:t>, </w:t>
      </w:r>
      <w:r w:rsidRPr="00327A70">
        <w:rPr>
          <w:rFonts w:cs="Arial"/>
          <w:i/>
          <w:iCs/>
          <w:color w:val="000000" w:themeColor="text1"/>
          <w:shd w:val="clear" w:color="auto" w:fill="FFFFFF"/>
        </w:rPr>
        <w:t>38</w:t>
      </w:r>
      <w:r w:rsidRPr="00327A70">
        <w:rPr>
          <w:rFonts w:cs="Arial"/>
          <w:color w:val="000000" w:themeColor="text1"/>
          <w:shd w:val="clear" w:color="auto" w:fill="FFFFFF"/>
        </w:rPr>
        <w:t>(1), pp.21-27.</w:t>
      </w:r>
    </w:p>
    <w:p w:rsidR="002D4873" w:rsidRPr="00327A70" w:rsidRDefault="002D4873">
      <w:pPr>
        <w:rPr>
          <w:rFonts w:cs="Arial"/>
          <w:color w:val="000000" w:themeColor="text1"/>
          <w:shd w:val="clear" w:color="auto" w:fill="FFFFFF"/>
        </w:rPr>
      </w:pPr>
      <w:r w:rsidRPr="00327A70">
        <w:rPr>
          <w:rFonts w:cs="Arial"/>
          <w:color w:val="000000" w:themeColor="text1"/>
          <w:shd w:val="clear" w:color="auto" w:fill="FFFFFF"/>
        </w:rPr>
        <w:t>Heritage, M., 2007. Formative assessment: What do teachers need to know and do</w:t>
      </w:r>
      <w:proofErr w:type="gramStart"/>
      <w:r w:rsidRPr="00327A70">
        <w:rPr>
          <w:rFonts w:cs="Arial"/>
          <w:color w:val="000000" w:themeColor="text1"/>
          <w:shd w:val="clear" w:color="auto" w:fill="FFFFFF"/>
        </w:rPr>
        <w:t>?.</w:t>
      </w:r>
      <w:proofErr w:type="gramEnd"/>
      <w:r w:rsidRPr="00327A70">
        <w:rPr>
          <w:rFonts w:cs="Arial"/>
          <w:color w:val="000000" w:themeColor="text1"/>
          <w:shd w:val="clear" w:color="auto" w:fill="FFFFFF"/>
        </w:rPr>
        <w:t> </w:t>
      </w:r>
      <w:r w:rsidRPr="00327A70">
        <w:rPr>
          <w:rFonts w:cs="Arial"/>
          <w:i/>
          <w:iCs/>
          <w:color w:val="000000" w:themeColor="text1"/>
          <w:shd w:val="clear" w:color="auto" w:fill="FFFFFF"/>
        </w:rPr>
        <w:t xml:space="preserve">Phi Delta </w:t>
      </w:r>
      <w:proofErr w:type="spellStart"/>
      <w:r w:rsidRPr="00327A70">
        <w:rPr>
          <w:rFonts w:cs="Arial"/>
          <w:i/>
          <w:iCs/>
          <w:color w:val="000000" w:themeColor="text1"/>
          <w:shd w:val="clear" w:color="auto" w:fill="FFFFFF"/>
        </w:rPr>
        <w:t>Kappan</w:t>
      </w:r>
      <w:proofErr w:type="spellEnd"/>
      <w:r w:rsidRPr="00327A70">
        <w:rPr>
          <w:rFonts w:cs="Arial"/>
          <w:color w:val="000000" w:themeColor="text1"/>
          <w:shd w:val="clear" w:color="auto" w:fill="FFFFFF"/>
        </w:rPr>
        <w:t>, </w:t>
      </w:r>
      <w:r w:rsidRPr="00327A70">
        <w:rPr>
          <w:rFonts w:cs="Arial"/>
          <w:i/>
          <w:iCs/>
          <w:color w:val="000000" w:themeColor="text1"/>
          <w:shd w:val="clear" w:color="auto" w:fill="FFFFFF"/>
        </w:rPr>
        <w:t>89</w:t>
      </w:r>
      <w:r w:rsidRPr="00327A70">
        <w:rPr>
          <w:rFonts w:cs="Arial"/>
          <w:color w:val="000000" w:themeColor="text1"/>
          <w:shd w:val="clear" w:color="auto" w:fill="FFFFFF"/>
        </w:rPr>
        <w:t>(2), pp.140-145.</w:t>
      </w:r>
    </w:p>
    <w:p w:rsidR="00F933F3" w:rsidRPr="00327A70" w:rsidRDefault="00F933F3">
      <w:pPr>
        <w:rPr>
          <w:rFonts w:cs="Arial"/>
          <w:color w:val="000000" w:themeColor="text1"/>
          <w:shd w:val="clear" w:color="auto" w:fill="FFFFFF"/>
        </w:rPr>
      </w:pPr>
      <w:r w:rsidRPr="00327A70">
        <w:rPr>
          <w:rFonts w:cs="Arial"/>
          <w:color w:val="000000" w:themeColor="text1"/>
          <w:shd w:val="clear" w:color="auto" w:fill="FFFFFF"/>
        </w:rPr>
        <w:t>Hunt, E. and Pellegrino, J.W., 2002. Issues, examples, and challenges in formative assessment. </w:t>
      </w:r>
      <w:r w:rsidRPr="00327A70">
        <w:rPr>
          <w:rFonts w:cs="Arial"/>
          <w:i/>
          <w:iCs/>
          <w:color w:val="000000" w:themeColor="text1"/>
          <w:shd w:val="clear" w:color="auto" w:fill="FFFFFF"/>
        </w:rPr>
        <w:t>New directions for Teaching and Learning</w:t>
      </w:r>
      <w:r w:rsidRPr="00327A70">
        <w:rPr>
          <w:rFonts w:cs="Arial"/>
          <w:color w:val="000000" w:themeColor="text1"/>
          <w:shd w:val="clear" w:color="auto" w:fill="FFFFFF"/>
        </w:rPr>
        <w:t>, </w:t>
      </w:r>
      <w:r w:rsidRPr="00327A70">
        <w:rPr>
          <w:rFonts w:cs="Arial"/>
          <w:i/>
          <w:iCs/>
          <w:color w:val="000000" w:themeColor="text1"/>
          <w:shd w:val="clear" w:color="auto" w:fill="FFFFFF"/>
        </w:rPr>
        <w:t>2002</w:t>
      </w:r>
      <w:r w:rsidRPr="00327A70">
        <w:rPr>
          <w:rFonts w:cs="Arial"/>
          <w:color w:val="000000" w:themeColor="text1"/>
          <w:shd w:val="clear" w:color="auto" w:fill="FFFFFF"/>
        </w:rPr>
        <w:t>(89), pp.73-85.</w:t>
      </w:r>
    </w:p>
    <w:p w:rsidR="005835A7" w:rsidRPr="00327A70" w:rsidRDefault="005835A7">
      <w:pPr>
        <w:rPr>
          <w:rFonts w:cs="Arial"/>
          <w:color w:val="000000" w:themeColor="text1"/>
          <w:shd w:val="clear" w:color="auto" w:fill="FFFFFF"/>
        </w:rPr>
      </w:pPr>
      <w:r w:rsidRPr="00327A70">
        <w:rPr>
          <w:rFonts w:cs="Arial"/>
          <w:color w:val="000000" w:themeColor="text1"/>
          <w:shd w:val="clear" w:color="auto" w:fill="FFFFFF"/>
        </w:rPr>
        <w:t>Johnson, R.T., Johnson, D.W. and Bryant, B., 1973. Cooperation and competition in the classroom. </w:t>
      </w:r>
      <w:r w:rsidRPr="00327A70">
        <w:rPr>
          <w:rFonts w:cs="Arial"/>
          <w:i/>
          <w:iCs/>
          <w:color w:val="000000" w:themeColor="text1"/>
          <w:shd w:val="clear" w:color="auto" w:fill="FFFFFF"/>
        </w:rPr>
        <w:t>The Elementary School Journal</w:t>
      </w:r>
      <w:r w:rsidRPr="00327A70">
        <w:rPr>
          <w:rFonts w:cs="Arial"/>
          <w:color w:val="000000" w:themeColor="text1"/>
          <w:shd w:val="clear" w:color="auto" w:fill="FFFFFF"/>
        </w:rPr>
        <w:t>, </w:t>
      </w:r>
      <w:r w:rsidRPr="00327A70">
        <w:rPr>
          <w:rFonts w:cs="Arial"/>
          <w:i/>
          <w:iCs/>
          <w:color w:val="000000" w:themeColor="text1"/>
          <w:shd w:val="clear" w:color="auto" w:fill="FFFFFF"/>
        </w:rPr>
        <w:t>74</w:t>
      </w:r>
      <w:r w:rsidRPr="00327A70">
        <w:rPr>
          <w:rFonts w:cs="Arial"/>
          <w:color w:val="000000" w:themeColor="text1"/>
          <w:shd w:val="clear" w:color="auto" w:fill="FFFFFF"/>
        </w:rPr>
        <w:t>(3), pp.172-181.</w:t>
      </w:r>
    </w:p>
    <w:p w:rsidR="00122F34" w:rsidRPr="00327A70" w:rsidRDefault="00122F34">
      <w:pPr>
        <w:rPr>
          <w:rFonts w:cs="Arial"/>
          <w:color w:val="000000" w:themeColor="text1"/>
          <w:shd w:val="clear" w:color="auto" w:fill="FFFFFF"/>
        </w:rPr>
      </w:pPr>
      <w:proofErr w:type="spellStart"/>
      <w:r w:rsidRPr="00327A70">
        <w:rPr>
          <w:rFonts w:cs="Arial"/>
          <w:color w:val="000000" w:themeColor="text1"/>
          <w:shd w:val="clear" w:color="auto" w:fill="FFFFFF"/>
        </w:rPr>
        <w:t>Kemmis</w:t>
      </w:r>
      <w:proofErr w:type="spellEnd"/>
      <w:r w:rsidRPr="00327A70">
        <w:rPr>
          <w:rFonts w:cs="Arial"/>
          <w:color w:val="000000" w:themeColor="text1"/>
          <w:shd w:val="clear" w:color="auto" w:fill="FFFFFF"/>
        </w:rPr>
        <w:t xml:space="preserve">, S., and McTaggart, R. (2000). </w:t>
      </w:r>
      <w:r w:rsidRPr="00327A70">
        <w:rPr>
          <w:rFonts w:cs="Arial"/>
          <w:i/>
          <w:color w:val="000000" w:themeColor="text1"/>
          <w:shd w:val="clear" w:color="auto" w:fill="FFFFFF"/>
        </w:rPr>
        <w:t>Participatory action research</w:t>
      </w:r>
      <w:r w:rsidRPr="00327A70">
        <w:rPr>
          <w:rFonts w:cs="Arial"/>
          <w:color w:val="000000" w:themeColor="text1"/>
          <w:shd w:val="clear" w:color="auto" w:fill="FFFFFF"/>
        </w:rPr>
        <w:t>. In N. Denzin and Y. Lincoln (Eds.), The Handbook of Qualitative Research (2</w:t>
      </w:r>
      <w:r w:rsidRPr="00327A70">
        <w:rPr>
          <w:rFonts w:cs="Arial"/>
          <w:color w:val="000000" w:themeColor="text1"/>
          <w:shd w:val="clear" w:color="auto" w:fill="FFFFFF"/>
          <w:vertAlign w:val="superscript"/>
        </w:rPr>
        <w:t>nd</w:t>
      </w:r>
      <w:r w:rsidRPr="00327A70">
        <w:rPr>
          <w:rFonts w:cs="Arial"/>
          <w:color w:val="000000" w:themeColor="text1"/>
          <w:shd w:val="clear" w:color="auto" w:fill="FFFFFF"/>
        </w:rPr>
        <w:t xml:space="preserve"> </w:t>
      </w:r>
      <w:proofErr w:type="gramStart"/>
      <w:r w:rsidRPr="00327A70">
        <w:rPr>
          <w:rFonts w:cs="Arial"/>
          <w:color w:val="000000" w:themeColor="text1"/>
          <w:shd w:val="clear" w:color="auto" w:fill="FFFFFF"/>
        </w:rPr>
        <w:t>ed</w:t>
      </w:r>
      <w:proofErr w:type="gramEnd"/>
      <w:r w:rsidRPr="00327A70">
        <w:rPr>
          <w:rFonts w:cs="Arial"/>
          <w:color w:val="000000" w:themeColor="text1"/>
          <w:shd w:val="clear" w:color="auto" w:fill="FFFFFF"/>
        </w:rPr>
        <w:t>.). London: SAGE.</w:t>
      </w:r>
    </w:p>
    <w:p w:rsidR="00E13853" w:rsidRPr="00327A70" w:rsidRDefault="00E13853">
      <w:pPr>
        <w:rPr>
          <w:color w:val="000000" w:themeColor="text1"/>
        </w:rPr>
      </w:pPr>
      <w:r w:rsidRPr="00327A70">
        <w:rPr>
          <w:color w:val="000000" w:themeColor="text1"/>
        </w:rPr>
        <w:t xml:space="preserve">Kohn, A. 1993. </w:t>
      </w:r>
      <w:r w:rsidRPr="00327A70">
        <w:rPr>
          <w:i/>
          <w:color w:val="000000" w:themeColor="text1"/>
        </w:rPr>
        <w:t>Punished by rewards</w:t>
      </w:r>
      <w:r w:rsidRPr="00327A70">
        <w:rPr>
          <w:color w:val="000000" w:themeColor="text1"/>
        </w:rPr>
        <w:t>, Boston: Houghton Mifflin</w:t>
      </w:r>
    </w:p>
    <w:p w:rsidR="00122F34" w:rsidRPr="00327A70" w:rsidRDefault="00122F34">
      <w:pPr>
        <w:rPr>
          <w:color w:val="000000" w:themeColor="text1"/>
        </w:rPr>
      </w:pPr>
      <w:r w:rsidRPr="00327A70">
        <w:rPr>
          <w:color w:val="000000" w:themeColor="text1"/>
        </w:rPr>
        <w:t xml:space="preserve">Koshy, V. (2010) </w:t>
      </w:r>
      <w:r w:rsidRPr="00327A70">
        <w:rPr>
          <w:i/>
          <w:color w:val="000000" w:themeColor="text1"/>
        </w:rPr>
        <w:t>Action Research for Improving Educational Practise. A step-by-step guide</w:t>
      </w:r>
      <w:r w:rsidRPr="00327A70">
        <w:rPr>
          <w:color w:val="000000" w:themeColor="text1"/>
        </w:rPr>
        <w:t>. London: SAGE</w:t>
      </w:r>
    </w:p>
    <w:p w:rsidR="00122F34" w:rsidRPr="00327A70" w:rsidRDefault="00122F34">
      <w:pPr>
        <w:rPr>
          <w:color w:val="000000" w:themeColor="text1"/>
        </w:rPr>
      </w:pPr>
      <w:r w:rsidRPr="00327A70">
        <w:rPr>
          <w:color w:val="000000" w:themeColor="text1"/>
        </w:rPr>
        <w:t xml:space="preserve">Kumar, K. (2014) </w:t>
      </w:r>
      <w:r w:rsidRPr="00327A70">
        <w:rPr>
          <w:i/>
          <w:color w:val="000000" w:themeColor="text1"/>
        </w:rPr>
        <w:t>Research methodology: a step-by-step guide for beginners</w:t>
      </w:r>
      <w:r w:rsidRPr="00327A70">
        <w:rPr>
          <w:color w:val="000000" w:themeColor="text1"/>
        </w:rPr>
        <w:t>. London: SAGE</w:t>
      </w:r>
    </w:p>
    <w:p w:rsidR="00420A75" w:rsidRPr="00327A70" w:rsidRDefault="00420A75">
      <w:pPr>
        <w:rPr>
          <w:color w:val="000000" w:themeColor="text1"/>
        </w:rPr>
      </w:pPr>
      <w:r w:rsidRPr="00327A70">
        <w:rPr>
          <w:color w:val="000000" w:themeColor="text1"/>
        </w:rPr>
        <w:t xml:space="preserve">Law, B. &amp; </w:t>
      </w:r>
      <w:proofErr w:type="spellStart"/>
      <w:r w:rsidRPr="00327A70">
        <w:rPr>
          <w:color w:val="000000" w:themeColor="text1"/>
        </w:rPr>
        <w:t>Eckes</w:t>
      </w:r>
      <w:proofErr w:type="spellEnd"/>
      <w:r w:rsidRPr="00327A70">
        <w:rPr>
          <w:color w:val="000000" w:themeColor="text1"/>
        </w:rPr>
        <w:t xml:space="preserve">, M. (1995). </w:t>
      </w:r>
      <w:r w:rsidRPr="00327A70">
        <w:rPr>
          <w:i/>
          <w:color w:val="000000" w:themeColor="text1"/>
        </w:rPr>
        <w:t>Assessment and ESL</w:t>
      </w:r>
      <w:r w:rsidRPr="00327A70">
        <w:rPr>
          <w:color w:val="000000" w:themeColor="text1"/>
        </w:rPr>
        <w:t xml:space="preserve">. </w:t>
      </w:r>
      <w:proofErr w:type="spellStart"/>
      <w:r w:rsidRPr="00327A70">
        <w:rPr>
          <w:color w:val="000000" w:themeColor="text1"/>
        </w:rPr>
        <w:t>Peguis</w:t>
      </w:r>
      <w:proofErr w:type="spellEnd"/>
      <w:r w:rsidRPr="00327A70">
        <w:rPr>
          <w:color w:val="000000" w:themeColor="text1"/>
        </w:rPr>
        <w:t xml:space="preserve"> publishers: Manitoba, Canada.</w:t>
      </w:r>
    </w:p>
    <w:p w:rsidR="00B5114D" w:rsidRPr="00327A70" w:rsidRDefault="00B5114D">
      <w:pPr>
        <w:rPr>
          <w:color w:val="000000" w:themeColor="text1"/>
        </w:rPr>
      </w:pPr>
      <w:r w:rsidRPr="00327A70">
        <w:rPr>
          <w:color w:val="000000" w:themeColor="text1"/>
        </w:rPr>
        <w:t>Lin, S. S. J., Liu, E. Z. F., &amp; Yuan, S. M. (2001). Web-based peer assessment: feedback for students with various thinking-styles. Journal of Computer Assisted Learning, 17, 420e432</w:t>
      </w:r>
    </w:p>
    <w:p w:rsidR="00420A75" w:rsidRPr="00327A70" w:rsidRDefault="00420A75">
      <w:pPr>
        <w:rPr>
          <w:color w:val="000000" w:themeColor="text1"/>
        </w:rPr>
      </w:pPr>
      <w:r w:rsidRPr="00327A70">
        <w:rPr>
          <w:color w:val="000000" w:themeColor="text1"/>
        </w:rPr>
        <w:t>Mitchell, R. 1992. Testing for learning: How new approaches to evaluation can improve American schools. New York: Free Press.</w:t>
      </w:r>
    </w:p>
    <w:p w:rsidR="00664FD1" w:rsidRPr="00327A70" w:rsidRDefault="00664FD1">
      <w:pPr>
        <w:rPr>
          <w:rFonts w:cs="Arial"/>
          <w:color w:val="000000" w:themeColor="text1"/>
          <w:shd w:val="clear" w:color="auto" w:fill="FFFFFF"/>
        </w:rPr>
      </w:pPr>
      <w:r w:rsidRPr="00327A70">
        <w:rPr>
          <w:rFonts w:cs="Arial"/>
          <w:color w:val="000000" w:themeColor="text1"/>
          <w:shd w:val="clear" w:color="auto" w:fill="FFFFFF"/>
        </w:rPr>
        <w:t>Nicol, D.J. and Macfarlane</w:t>
      </w:r>
      <w:r w:rsidRPr="00327A70">
        <w:rPr>
          <w:rFonts w:cs="Cambria Math"/>
          <w:color w:val="000000" w:themeColor="text1"/>
          <w:shd w:val="clear" w:color="auto" w:fill="FFFFFF"/>
        </w:rPr>
        <w:t>‐</w:t>
      </w:r>
      <w:r w:rsidRPr="00327A70">
        <w:rPr>
          <w:rFonts w:cs="Arial"/>
          <w:color w:val="000000" w:themeColor="text1"/>
          <w:shd w:val="clear" w:color="auto" w:fill="FFFFFF"/>
        </w:rPr>
        <w:t>Dick, D., 2006. Formative assessment and self</w:t>
      </w:r>
      <w:r w:rsidRPr="00327A70">
        <w:rPr>
          <w:rFonts w:cs="Cambria Math"/>
          <w:color w:val="000000" w:themeColor="text1"/>
          <w:shd w:val="clear" w:color="auto" w:fill="FFFFFF"/>
        </w:rPr>
        <w:t>‐</w:t>
      </w:r>
      <w:r w:rsidRPr="00327A70">
        <w:rPr>
          <w:rFonts w:cs="Arial"/>
          <w:color w:val="000000" w:themeColor="text1"/>
          <w:shd w:val="clear" w:color="auto" w:fill="FFFFFF"/>
        </w:rPr>
        <w:t>regulated learning: A model and seven principles of good feedback practice. </w:t>
      </w:r>
      <w:r w:rsidRPr="00327A70">
        <w:rPr>
          <w:rFonts w:cs="Arial"/>
          <w:i/>
          <w:iCs/>
          <w:color w:val="000000" w:themeColor="text1"/>
          <w:shd w:val="clear" w:color="auto" w:fill="FFFFFF"/>
        </w:rPr>
        <w:t>Studies in higher education</w:t>
      </w:r>
      <w:r w:rsidRPr="00327A70">
        <w:rPr>
          <w:rFonts w:cs="Arial"/>
          <w:color w:val="000000" w:themeColor="text1"/>
          <w:shd w:val="clear" w:color="auto" w:fill="FFFFFF"/>
        </w:rPr>
        <w:t>, </w:t>
      </w:r>
      <w:r w:rsidRPr="00327A70">
        <w:rPr>
          <w:rFonts w:cs="Arial"/>
          <w:i/>
          <w:iCs/>
          <w:color w:val="000000" w:themeColor="text1"/>
          <w:shd w:val="clear" w:color="auto" w:fill="FFFFFF"/>
        </w:rPr>
        <w:t>31</w:t>
      </w:r>
      <w:r w:rsidRPr="00327A70">
        <w:rPr>
          <w:rFonts w:cs="Arial"/>
          <w:color w:val="000000" w:themeColor="text1"/>
          <w:shd w:val="clear" w:color="auto" w:fill="FFFFFF"/>
        </w:rPr>
        <w:t>(2), pp.199-218.</w:t>
      </w:r>
    </w:p>
    <w:p w:rsidR="00B5114D" w:rsidRPr="00327A70" w:rsidRDefault="00B5114D">
      <w:pPr>
        <w:rPr>
          <w:rFonts w:cs="Arial"/>
          <w:color w:val="000000" w:themeColor="text1"/>
          <w:shd w:val="clear" w:color="auto" w:fill="FFFFFF"/>
        </w:rPr>
      </w:pPr>
      <w:r w:rsidRPr="00327A70">
        <w:rPr>
          <w:color w:val="000000" w:themeColor="text1"/>
        </w:rPr>
        <w:t>Olson, V. L. B. (1990). The revising process of sixth-grade writers with and without peer feedback. Journal of Educational Research, 84, 22e29.</w:t>
      </w:r>
    </w:p>
    <w:p w:rsidR="00EF336E" w:rsidRPr="00327A70" w:rsidRDefault="00EF336E">
      <w:pPr>
        <w:rPr>
          <w:color w:val="000000" w:themeColor="text1"/>
        </w:rPr>
      </w:pPr>
      <w:r w:rsidRPr="00327A70">
        <w:rPr>
          <w:color w:val="000000" w:themeColor="text1"/>
        </w:rPr>
        <w:t xml:space="preserve">Pollard </w:t>
      </w:r>
      <w:proofErr w:type="gramStart"/>
      <w:r w:rsidRPr="00327A70">
        <w:rPr>
          <w:color w:val="000000" w:themeColor="text1"/>
        </w:rPr>
        <w:t>A</w:t>
      </w:r>
      <w:proofErr w:type="gramEnd"/>
      <w:r w:rsidRPr="00327A70">
        <w:rPr>
          <w:color w:val="000000" w:themeColor="text1"/>
        </w:rPr>
        <w:t xml:space="preserve">, </w:t>
      </w:r>
      <w:proofErr w:type="spellStart"/>
      <w:r w:rsidRPr="00327A70">
        <w:rPr>
          <w:color w:val="000000" w:themeColor="text1"/>
        </w:rPr>
        <w:t>Triggs</w:t>
      </w:r>
      <w:proofErr w:type="spellEnd"/>
      <w:r w:rsidRPr="00327A70">
        <w:rPr>
          <w:color w:val="000000" w:themeColor="text1"/>
        </w:rPr>
        <w:t xml:space="preserve"> P, </w:t>
      </w:r>
      <w:proofErr w:type="spellStart"/>
      <w:r w:rsidRPr="00327A70">
        <w:rPr>
          <w:color w:val="000000" w:themeColor="text1"/>
        </w:rPr>
        <w:t>Broadfoot</w:t>
      </w:r>
      <w:proofErr w:type="spellEnd"/>
      <w:r w:rsidRPr="00327A70">
        <w:rPr>
          <w:color w:val="000000" w:themeColor="text1"/>
        </w:rPr>
        <w:t xml:space="preserve"> P, </w:t>
      </w:r>
      <w:proofErr w:type="spellStart"/>
      <w:r w:rsidRPr="00327A70">
        <w:rPr>
          <w:color w:val="000000" w:themeColor="text1"/>
        </w:rPr>
        <w:t>Mcness</w:t>
      </w:r>
      <w:proofErr w:type="spellEnd"/>
      <w:r w:rsidRPr="00327A70">
        <w:rPr>
          <w:color w:val="000000" w:themeColor="text1"/>
        </w:rPr>
        <w:t xml:space="preserve"> E, Osborn M (2000) </w:t>
      </w:r>
      <w:r w:rsidRPr="00327A70">
        <w:rPr>
          <w:i/>
          <w:color w:val="000000" w:themeColor="text1"/>
        </w:rPr>
        <w:t>What pupils say: changing policy and practice in primary education</w:t>
      </w:r>
      <w:r w:rsidRPr="00327A70">
        <w:rPr>
          <w:color w:val="000000" w:themeColor="text1"/>
        </w:rPr>
        <w:t>. Chapters 7 and 10. London: Continuum</w:t>
      </w:r>
    </w:p>
    <w:p w:rsidR="008439A2" w:rsidRPr="00327A70" w:rsidRDefault="008439A2">
      <w:pPr>
        <w:rPr>
          <w:color w:val="000000" w:themeColor="text1"/>
        </w:rPr>
      </w:pPr>
      <w:proofErr w:type="spellStart"/>
      <w:r w:rsidRPr="00327A70">
        <w:rPr>
          <w:rFonts w:cs="Arial"/>
          <w:color w:val="000000" w:themeColor="text1"/>
          <w:shd w:val="clear" w:color="auto" w:fill="FFFFFF"/>
        </w:rPr>
        <w:lastRenderedPageBreak/>
        <w:t>Ramaprasad</w:t>
      </w:r>
      <w:proofErr w:type="spellEnd"/>
      <w:r w:rsidRPr="00327A70">
        <w:rPr>
          <w:rFonts w:cs="Arial"/>
          <w:color w:val="000000" w:themeColor="text1"/>
          <w:shd w:val="clear" w:color="auto" w:fill="FFFFFF"/>
        </w:rPr>
        <w:t>, A., 1983. On the definition of feedback. </w:t>
      </w:r>
      <w:proofErr w:type="spellStart"/>
      <w:r w:rsidRPr="00327A70">
        <w:rPr>
          <w:rFonts w:cs="Arial"/>
          <w:i/>
          <w:iCs/>
          <w:color w:val="000000" w:themeColor="text1"/>
          <w:shd w:val="clear" w:color="auto" w:fill="FFFFFF"/>
        </w:rPr>
        <w:t>Behavioral</w:t>
      </w:r>
      <w:proofErr w:type="spellEnd"/>
      <w:r w:rsidRPr="00327A70">
        <w:rPr>
          <w:rFonts w:cs="Arial"/>
          <w:i/>
          <w:iCs/>
          <w:color w:val="000000" w:themeColor="text1"/>
          <w:shd w:val="clear" w:color="auto" w:fill="FFFFFF"/>
        </w:rPr>
        <w:t xml:space="preserve"> science</w:t>
      </w:r>
      <w:r w:rsidRPr="00327A70">
        <w:rPr>
          <w:rFonts w:cs="Arial"/>
          <w:color w:val="000000" w:themeColor="text1"/>
          <w:shd w:val="clear" w:color="auto" w:fill="FFFFFF"/>
        </w:rPr>
        <w:t>, </w:t>
      </w:r>
      <w:r w:rsidRPr="00327A70">
        <w:rPr>
          <w:rFonts w:cs="Arial"/>
          <w:i/>
          <w:iCs/>
          <w:color w:val="000000" w:themeColor="text1"/>
          <w:shd w:val="clear" w:color="auto" w:fill="FFFFFF"/>
        </w:rPr>
        <w:t>28</w:t>
      </w:r>
      <w:r w:rsidRPr="00327A70">
        <w:rPr>
          <w:rFonts w:cs="Arial"/>
          <w:color w:val="000000" w:themeColor="text1"/>
          <w:shd w:val="clear" w:color="auto" w:fill="FFFFFF"/>
        </w:rPr>
        <w:t>(1), pp.4-13.</w:t>
      </w:r>
    </w:p>
    <w:p w:rsidR="00E13853" w:rsidRPr="00327A70" w:rsidRDefault="00E13853">
      <w:pPr>
        <w:rPr>
          <w:color w:val="000000" w:themeColor="text1"/>
        </w:rPr>
      </w:pPr>
      <w:r w:rsidRPr="00327A70">
        <w:rPr>
          <w:color w:val="000000" w:themeColor="text1"/>
        </w:rPr>
        <w:t xml:space="preserve">Rigby C.S., Deci E.L., Patrick B.C., Ryan R.M., (1992) </w:t>
      </w:r>
      <w:proofErr w:type="gramStart"/>
      <w:r w:rsidRPr="00327A70">
        <w:rPr>
          <w:color w:val="000000" w:themeColor="text1"/>
        </w:rPr>
        <w:t>Beyond</w:t>
      </w:r>
      <w:proofErr w:type="gramEnd"/>
      <w:r w:rsidRPr="00327A70">
        <w:rPr>
          <w:color w:val="000000" w:themeColor="text1"/>
        </w:rPr>
        <w:t xml:space="preserve"> the intrinsic-extrinsic dichotomy: Self-determination in motivation and learning. </w:t>
      </w:r>
      <w:r w:rsidRPr="00327A70">
        <w:rPr>
          <w:i/>
          <w:color w:val="000000" w:themeColor="text1"/>
        </w:rPr>
        <w:t>Motivation and Emotion</w:t>
      </w:r>
      <w:r w:rsidRPr="00327A70">
        <w:rPr>
          <w:color w:val="000000" w:themeColor="text1"/>
        </w:rPr>
        <w:t xml:space="preserve"> 16, pp.165-185</w:t>
      </w:r>
    </w:p>
    <w:p w:rsidR="00C57F70" w:rsidRPr="00327A70" w:rsidRDefault="00C57F70">
      <w:pPr>
        <w:rPr>
          <w:color w:val="000000" w:themeColor="text1"/>
        </w:rPr>
      </w:pPr>
      <w:proofErr w:type="spellStart"/>
      <w:r w:rsidRPr="00327A70">
        <w:rPr>
          <w:color w:val="000000" w:themeColor="text1"/>
        </w:rPr>
        <w:t>Rotsaert</w:t>
      </w:r>
      <w:proofErr w:type="spellEnd"/>
      <w:r w:rsidRPr="00327A70">
        <w:rPr>
          <w:color w:val="000000" w:themeColor="text1"/>
        </w:rPr>
        <w:t xml:space="preserve">, T., </w:t>
      </w:r>
      <w:proofErr w:type="spellStart"/>
      <w:r w:rsidRPr="00327A70">
        <w:rPr>
          <w:color w:val="000000" w:themeColor="text1"/>
        </w:rPr>
        <w:t>Panadero</w:t>
      </w:r>
      <w:proofErr w:type="spellEnd"/>
      <w:r w:rsidRPr="00327A70">
        <w:rPr>
          <w:color w:val="000000" w:themeColor="text1"/>
        </w:rPr>
        <w:t xml:space="preserve">, E. and </w:t>
      </w:r>
      <w:proofErr w:type="spellStart"/>
      <w:r w:rsidRPr="00327A70">
        <w:rPr>
          <w:color w:val="000000" w:themeColor="text1"/>
        </w:rPr>
        <w:t>Schellens</w:t>
      </w:r>
      <w:proofErr w:type="spellEnd"/>
      <w:r w:rsidRPr="00327A70">
        <w:rPr>
          <w:color w:val="000000" w:themeColor="text1"/>
        </w:rPr>
        <w:t xml:space="preserve">, T. (2018) ‘Peer assessment use, its social nature challenges and perceived educational value: A teachers’ survey study’, in Studies in Educational Evaluation, 59. pp. 124-132. </w:t>
      </w:r>
    </w:p>
    <w:p w:rsidR="006B04C0" w:rsidRPr="00327A70" w:rsidRDefault="006B04C0">
      <w:pPr>
        <w:rPr>
          <w:rFonts w:cs="Arial"/>
          <w:color w:val="000000" w:themeColor="text1"/>
          <w:shd w:val="clear" w:color="auto" w:fill="FFFFFF"/>
        </w:rPr>
      </w:pPr>
      <w:r w:rsidRPr="00327A70">
        <w:rPr>
          <w:rFonts w:cs="Arial"/>
          <w:color w:val="000000" w:themeColor="text1"/>
          <w:shd w:val="clear" w:color="auto" w:fill="FFFFFF"/>
        </w:rPr>
        <w:t xml:space="preserve">Rubin, D.B., Stuart, E.A. and </w:t>
      </w:r>
      <w:proofErr w:type="spellStart"/>
      <w:r w:rsidRPr="00327A70">
        <w:rPr>
          <w:rFonts w:cs="Arial"/>
          <w:color w:val="000000" w:themeColor="text1"/>
          <w:shd w:val="clear" w:color="auto" w:fill="FFFFFF"/>
        </w:rPr>
        <w:t>Zanutto</w:t>
      </w:r>
      <w:proofErr w:type="spellEnd"/>
      <w:r w:rsidRPr="00327A70">
        <w:rPr>
          <w:rFonts w:cs="Arial"/>
          <w:color w:val="000000" w:themeColor="text1"/>
          <w:shd w:val="clear" w:color="auto" w:fill="FFFFFF"/>
        </w:rPr>
        <w:t>, E.L., 2004. A potential outcomes view of value-added assessment in education. </w:t>
      </w:r>
      <w:r w:rsidRPr="00327A70">
        <w:rPr>
          <w:rFonts w:cs="Arial"/>
          <w:i/>
          <w:iCs/>
          <w:color w:val="000000" w:themeColor="text1"/>
          <w:shd w:val="clear" w:color="auto" w:fill="FFFFFF"/>
        </w:rPr>
        <w:t>Journal of educational and behavio</w:t>
      </w:r>
      <w:r w:rsidR="00EF336E" w:rsidRPr="00327A70">
        <w:rPr>
          <w:rFonts w:cs="Arial"/>
          <w:i/>
          <w:iCs/>
          <w:color w:val="000000" w:themeColor="text1"/>
          <w:shd w:val="clear" w:color="auto" w:fill="FFFFFF"/>
        </w:rPr>
        <w:t>u</w:t>
      </w:r>
      <w:r w:rsidRPr="00327A70">
        <w:rPr>
          <w:rFonts w:cs="Arial"/>
          <w:i/>
          <w:iCs/>
          <w:color w:val="000000" w:themeColor="text1"/>
          <w:shd w:val="clear" w:color="auto" w:fill="FFFFFF"/>
        </w:rPr>
        <w:t>ral statistics</w:t>
      </w:r>
      <w:r w:rsidRPr="00327A70">
        <w:rPr>
          <w:rFonts w:cs="Arial"/>
          <w:color w:val="000000" w:themeColor="text1"/>
          <w:shd w:val="clear" w:color="auto" w:fill="FFFFFF"/>
        </w:rPr>
        <w:t>, </w:t>
      </w:r>
      <w:r w:rsidRPr="00327A70">
        <w:rPr>
          <w:rFonts w:cs="Arial"/>
          <w:i/>
          <w:iCs/>
          <w:color w:val="000000" w:themeColor="text1"/>
          <w:shd w:val="clear" w:color="auto" w:fill="FFFFFF"/>
        </w:rPr>
        <w:t>29</w:t>
      </w:r>
      <w:r w:rsidRPr="00327A70">
        <w:rPr>
          <w:rFonts w:cs="Arial"/>
          <w:color w:val="000000" w:themeColor="text1"/>
          <w:shd w:val="clear" w:color="auto" w:fill="FFFFFF"/>
        </w:rPr>
        <w:t>(1), pp.103-116.</w:t>
      </w:r>
    </w:p>
    <w:p w:rsidR="008439A2" w:rsidRPr="00327A70" w:rsidRDefault="008439A2">
      <w:pPr>
        <w:rPr>
          <w:rFonts w:cs="Arial"/>
          <w:color w:val="000000" w:themeColor="text1"/>
          <w:shd w:val="clear" w:color="auto" w:fill="FFFFFF"/>
        </w:rPr>
      </w:pPr>
      <w:r w:rsidRPr="00327A70">
        <w:rPr>
          <w:rFonts w:cs="Arial"/>
          <w:color w:val="000000" w:themeColor="text1"/>
          <w:shd w:val="clear" w:color="auto" w:fill="FFFFFF"/>
        </w:rPr>
        <w:t>Sadler, D.R., 1989. Formative assessment and the design of instructional systems. </w:t>
      </w:r>
      <w:r w:rsidRPr="00327A70">
        <w:rPr>
          <w:rFonts w:cs="Arial"/>
          <w:i/>
          <w:iCs/>
          <w:color w:val="000000" w:themeColor="text1"/>
          <w:shd w:val="clear" w:color="auto" w:fill="FFFFFF"/>
        </w:rPr>
        <w:t>Instructional science</w:t>
      </w:r>
      <w:r w:rsidRPr="00327A70">
        <w:rPr>
          <w:rFonts w:cs="Arial"/>
          <w:color w:val="000000" w:themeColor="text1"/>
          <w:shd w:val="clear" w:color="auto" w:fill="FFFFFF"/>
        </w:rPr>
        <w:t>, </w:t>
      </w:r>
      <w:r w:rsidRPr="00327A70">
        <w:rPr>
          <w:rFonts w:cs="Arial"/>
          <w:i/>
          <w:iCs/>
          <w:color w:val="000000" w:themeColor="text1"/>
          <w:shd w:val="clear" w:color="auto" w:fill="FFFFFF"/>
        </w:rPr>
        <w:t>18</w:t>
      </w:r>
      <w:r w:rsidRPr="00327A70">
        <w:rPr>
          <w:rFonts w:cs="Arial"/>
          <w:color w:val="000000" w:themeColor="text1"/>
          <w:shd w:val="clear" w:color="auto" w:fill="FFFFFF"/>
        </w:rPr>
        <w:t>(2), pp.119-144.</w:t>
      </w:r>
    </w:p>
    <w:p w:rsidR="00AC5E79" w:rsidRPr="00327A70" w:rsidRDefault="00AC5E79">
      <w:pPr>
        <w:rPr>
          <w:rFonts w:cs="Arial"/>
          <w:color w:val="000000" w:themeColor="text1"/>
          <w:shd w:val="clear" w:color="auto" w:fill="FFFFFF"/>
        </w:rPr>
      </w:pPr>
      <w:r w:rsidRPr="00327A70">
        <w:rPr>
          <w:rFonts w:cs="Arial"/>
          <w:color w:val="000000" w:themeColor="text1"/>
          <w:shd w:val="clear" w:color="auto" w:fill="FFFFFF"/>
        </w:rPr>
        <w:t>Sadler, D.R., 1998. Formative assessment: Revisiting the territory. </w:t>
      </w:r>
      <w:r w:rsidRPr="00327A70">
        <w:rPr>
          <w:rFonts w:cs="Arial"/>
          <w:i/>
          <w:iCs/>
          <w:color w:val="000000" w:themeColor="text1"/>
          <w:shd w:val="clear" w:color="auto" w:fill="FFFFFF"/>
        </w:rPr>
        <w:t>Assessment in education: principles, policy &amp; practice</w:t>
      </w:r>
      <w:r w:rsidRPr="00327A70">
        <w:rPr>
          <w:rFonts w:cs="Arial"/>
          <w:color w:val="000000" w:themeColor="text1"/>
          <w:shd w:val="clear" w:color="auto" w:fill="FFFFFF"/>
        </w:rPr>
        <w:t>, </w:t>
      </w:r>
      <w:r w:rsidRPr="00327A70">
        <w:rPr>
          <w:rFonts w:cs="Arial"/>
          <w:i/>
          <w:iCs/>
          <w:color w:val="000000" w:themeColor="text1"/>
          <w:shd w:val="clear" w:color="auto" w:fill="FFFFFF"/>
        </w:rPr>
        <w:t>5</w:t>
      </w:r>
      <w:r w:rsidRPr="00327A70">
        <w:rPr>
          <w:rFonts w:cs="Arial"/>
          <w:color w:val="000000" w:themeColor="text1"/>
          <w:shd w:val="clear" w:color="auto" w:fill="FFFFFF"/>
        </w:rPr>
        <w:t>(1), pp.77-84.</w:t>
      </w:r>
    </w:p>
    <w:p w:rsidR="00271CA9" w:rsidRPr="00327A70" w:rsidRDefault="00271CA9">
      <w:pPr>
        <w:rPr>
          <w:color w:val="000000" w:themeColor="text1"/>
        </w:rPr>
      </w:pPr>
      <w:proofErr w:type="spellStart"/>
      <w:r w:rsidRPr="00327A70">
        <w:rPr>
          <w:color w:val="000000" w:themeColor="text1"/>
        </w:rPr>
        <w:t>Schunk</w:t>
      </w:r>
      <w:proofErr w:type="spellEnd"/>
      <w:r w:rsidRPr="00327A70">
        <w:rPr>
          <w:color w:val="000000" w:themeColor="text1"/>
        </w:rPr>
        <w:t xml:space="preserve">, D., 1991. Self-efficacy and academic motivation. </w:t>
      </w:r>
      <w:r w:rsidRPr="00327A70">
        <w:rPr>
          <w:i/>
          <w:color w:val="000000" w:themeColor="text1"/>
        </w:rPr>
        <w:t>Educational Psychologist</w:t>
      </w:r>
      <w:r w:rsidRPr="00327A70">
        <w:rPr>
          <w:color w:val="000000" w:themeColor="text1"/>
        </w:rPr>
        <w:t xml:space="preserve"> 26, pp. 207-231</w:t>
      </w:r>
    </w:p>
    <w:p w:rsidR="00B5114D" w:rsidRPr="00327A70" w:rsidRDefault="00B5114D">
      <w:pPr>
        <w:rPr>
          <w:rFonts w:cs="Arial"/>
          <w:color w:val="000000" w:themeColor="text1"/>
          <w:shd w:val="clear" w:color="auto" w:fill="FFFFFF"/>
        </w:rPr>
      </w:pPr>
      <w:proofErr w:type="spellStart"/>
      <w:r w:rsidRPr="00327A70">
        <w:rPr>
          <w:color w:val="000000" w:themeColor="text1"/>
        </w:rPr>
        <w:t>Sluijsmans</w:t>
      </w:r>
      <w:proofErr w:type="spellEnd"/>
      <w:r w:rsidRPr="00327A70">
        <w:rPr>
          <w:color w:val="000000" w:themeColor="text1"/>
        </w:rPr>
        <w:t>, D. M. A., Brand-</w:t>
      </w:r>
      <w:proofErr w:type="spellStart"/>
      <w:r w:rsidRPr="00327A70">
        <w:rPr>
          <w:color w:val="000000" w:themeColor="text1"/>
        </w:rPr>
        <w:t>Gruwel</w:t>
      </w:r>
      <w:proofErr w:type="spellEnd"/>
      <w:r w:rsidRPr="00327A70">
        <w:rPr>
          <w:color w:val="000000" w:themeColor="text1"/>
        </w:rPr>
        <w:t xml:space="preserve">, S., Van </w:t>
      </w:r>
      <w:proofErr w:type="spellStart"/>
      <w:r w:rsidRPr="00327A70">
        <w:rPr>
          <w:color w:val="000000" w:themeColor="text1"/>
        </w:rPr>
        <w:t>Merrie¨nboer</w:t>
      </w:r>
      <w:proofErr w:type="spellEnd"/>
      <w:r w:rsidRPr="00327A70">
        <w:rPr>
          <w:color w:val="000000" w:themeColor="text1"/>
        </w:rPr>
        <w:t>, J. J. G., &amp; Martens, R. L. (2004). Training teachers in peer-assessment skills: effects on performance and perceptions. Innovations in Education and Teaching International, 41, 60e78.</w:t>
      </w:r>
    </w:p>
    <w:p w:rsidR="006B04C0" w:rsidRPr="00327A70" w:rsidRDefault="006B04C0">
      <w:pPr>
        <w:rPr>
          <w:rFonts w:cs="Arial"/>
          <w:color w:val="000000" w:themeColor="text1"/>
          <w:shd w:val="clear" w:color="auto" w:fill="FFFFFF"/>
        </w:rPr>
      </w:pPr>
      <w:proofErr w:type="spellStart"/>
      <w:r w:rsidRPr="00327A70">
        <w:rPr>
          <w:rFonts w:cs="Arial"/>
          <w:color w:val="000000" w:themeColor="text1"/>
          <w:shd w:val="clear" w:color="auto" w:fill="FFFFFF"/>
        </w:rPr>
        <w:t>Stiggins</w:t>
      </w:r>
      <w:proofErr w:type="spellEnd"/>
      <w:r w:rsidRPr="00327A70">
        <w:rPr>
          <w:rFonts w:cs="Arial"/>
          <w:color w:val="000000" w:themeColor="text1"/>
          <w:shd w:val="clear" w:color="auto" w:fill="FFFFFF"/>
        </w:rPr>
        <w:t>, R.J., 2002. Assessment crisis: The absence of assessment for learning. </w:t>
      </w:r>
      <w:r w:rsidRPr="00327A70">
        <w:rPr>
          <w:rFonts w:cs="Arial"/>
          <w:i/>
          <w:iCs/>
          <w:color w:val="000000" w:themeColor="text1"/>
          <w:shd w:val="clear" w:color="auto" w:fill="FFFFFF"/>
        </w:rPr>
        <w:t xml:space="preserve">Phi Delta </w:t>
      </w:r>
      <w:proofErr w:type="spellStart"/>
      <w:r w:rsidRPr="00327A70">
        <w:rPr>
          <w:rFonts w:cs="Arial"/>
          <w:i/>
          <w:iCs/>
          <w:color w:val="000000" w:themeColor="text1"/>
          <w:shd w:val="clear" w:color="auto" w:fill="FFFFFF"/>
        </w:rPr>
        <w:t>Kappan</w:t>
      </w:r>
      <w:proofErr w:type="spellEnd"/>
      <w:r w:rsidRPr="00327A70">
        <w:rPr>
          <w:rFonts w:cs="Arial"/>
          <w:color w:val="000000" w:themeColor="text1"/>
          <w:shd w:val="clear" w:color="auto" w:fill="FFFFFF"/>
        </w:rPr>
        <w:t>, </w:t>
      </w:r>
      <w:r w:rsidRPr="00327A70">
        <w:rPr>
          <w:rFonts w:cs="Arial"/>
          <w:i/>
          <w:iCs/>
          <w:color w:val="000000" w:themeColor="text1"/>
          <w:shd w:val="clear" w:color="auto" w:fill="FFFFFF"/>
        </w:rPr>
        <w:t>83</w:t>
      </w:r>
      <w:r w:rsidRPr="00327A70">
        <w:rPr>
          <w:rFonts w:cs="Arial"/>
          <w:color w:val="000000" w:themeColor="text1"/>
          <w:shd w:val="clear" w:color="auto" w:fill="FFFFFF"/>
        </w:rPr>
        <w:t>(10), pp.758-765.</w:t>
      </w:r>
    </w:p>
    <w:p w:rsidR="00B5114D" w:rsidRPr="00327A70" w:rsidRDefault="00B5114D">
      <w:pPr>
        <w:rPr>
          <w:rFonts w:cs="Arial"/>
          <w:color w:val="000000" w:themeColor="text1"/>
          <w:shd w:val="clear" w:color="auto" w:fill="FFFFFF"/>
        </w:rPr>
      </w:pPr>
      <w:r w:rsidRPr="00327A70">
        <w:rPr>
          <w:rFonts w:cs="Arial"/>
          <w:color w:val="000000" w:themeColor="text1"/>
          <w:shd w:val="clear" w:color="auto" w:fill="FFFFFF"/>
        </w:rPr>
        <w:t xml:space="preserve">Sung, Y.T., Chang, K.E., </w:t>
      </w:r>
      <w:proofErr w:type="spellStart"/>
      <w:r w:rsidRPr="00327A70">
        <w:rPr>
          <w:rFonts w:cs="Arial"/>
          <w:color w:val="000000" w:themeColor="text1"/>
          <w:shd w:val="clear" w:color="auto" w:fill="FFFFFF"/>
        </w:rPr>
        <w:t>Chiou</w:t>
      </w:r>
      <w:proofErr w:type="spellEnd"/>
      <w:r w:rsidRPr="00327A70">
        <w:rPr>
          <w:rFonts w:cs="Arial"/>
          <w:color w:val="000000" w:themeColor="text1"/>
          <w:shd w:val="clear" w:color="auto" w:fill="FFFFFF"/>
        </w:rPr>
        <w:t xml:space="preserve">, S.K. and </w:t>
      </w:r>
      <w:proofErr w:type="spellStart"/>
      <w:r w:rsidRPr="00327A70">
        <w:rPr>
          <w:rFonts w:cs="Arial"/>
          <w:color w:val="000000" w:themeColor="text1"/>
          <w:shd w:val="clear" w:color="auto" w:fill="FFFFFF"/>
        </w:rPr>
        <w:t>Hou</w:t>
      </w:r>
      <w:proofErr w:type="spellEnd"/>
      <w:r w:rsidRPr="00327A70">
        <w:rPr>
          <w:rFonts w:cs="Arial"/>
          <w:color w:val="000000" w:themeColor="text1"/>
          <w:shd w:val="clear" w:color="auto" w:fill="FFFFFF"/>
        </w:rPr>
        <w:t>, H.T., 2005. The design and application of a web-based self-and peer-assessment system. </w:t>
      </w:r>
      <w:r w:rsidRPr="00327A70">
        <w:rPr>
          <w:rFonts w:cs="Arial"/>
          <w:i/>
          <w:iCs/>
          <w:color w:val="000000" w:themeColor="text1"/>
          <w:shd w:val="clear" w:color="auto" w:fill="FFFFFF"/>
        </w:rPr>
        <w:t>Computers &amp; Education</w:t>
      </w:r>
      <w:r w:rsidRPr="00327A70">
        <w:rPr>
          <w:rFonts w:cs="Arial"/>
          <w:color w:val="000000" w:themeColor="text1"/>
          <w:shd w:val="clear" w:color="auto" w:fill="FFFFFF"/>
        </w:rPr>
        <w:t>, </w:t>
      </w:r>
      <w:r w:rsidRPr="00327A70">
        <w:rPr>
          <w:rFonts w:cs="Arial"/>
          <w:i/>
          <w:iCs/>
          <w:color w:val="000000" w:themeColor="text1"/>
          <w:shd w:val="clear" w:color="auto" w:fill="FFFFFF"/>
        </w:rPr>
        <w:t>45</w:t>
      </w:r>
      <w:r w:rsidRPr="00327A70">
        <w:rPr>
          <w:rFonts w:cs="Arial"/>
          <w:color w:val="000000" w:themeColor="text1"/>
          <w:shd w:val="clear" w:color="auto" w:fill="FFFFFF"/>
        </w:rPr>
        <w:t>(2), pp.187-202.</w:t>
      </w:r>
    </w:p>
    <w:p w:rsidR="003C2F6A" w:rsidRPr="00327A70" w:rsidRDefault="00950C16" w:rsidP="003C2F6A">
      <w:pPr>
        <w:rPr>
          <w:rFonts w:cs="Arial"/>
          <w:color w:val="000000" w:themeColor="text1"/>
          <w:shd w:val="clear" w:color="auto" w:fill="FFFFFF"/>
        </w:rPr>
      </w:pPr>
      <w:r w:rsidRPr="00327A70">
        <w:rPr>
          <w:rFonts w:cs="Arial"/>
          <w:color w:val="000000" w:themeColor="text1"/>
          <w:shd w:val="clear" w:color="auto" w:fill="FFFFFF"/>
        </w:rPr>
        <w:t>Travis, J.E., 1996. Meaningful assessment. </w:t>
      </w:r>
      <w:r w:rsidRPr="00327A70">
        <w:rPr>
          <w:rFonts w:cs="Arial"/>
          <w:i/>
          <w:iCs/>
          <w:color w:val="000000" w:themeColor="text1"/>
          <w:shd w:val="clear" w:color="auto" w:fill="FFFFFF"/>
        </w:rPr>
        <w:t>The Clearing House</w:t>
      </w:r>
      <w:r w:rsidRPr="00327A70">
        <w:rPr>
          <w:rFonts w:cs="Arial"/>
          <w:color w:val="000000" w:themeColor="text1"/>
          <w:shd w:val="clear" w:color="auto" w:fill="FFFFFF"/>
        </w:rPr>
        <w:t>, </w:t>
      </w:r>
      <w:r w:rsidRPr="00327A70">
        <w:rPr>
          <w:rFonts w:cs="Arial"/>
          <w:i/>
          <w:iCs/>
          <w:color w:val="000000" w:themeColor="text1"/>
          <w:shd w:val="clear" w:color="auto" w:fill="FFFFFF"/>
        </w:rPr>
        <w:t>69</w:t>
      </w:r>
      <w:r w:rsidRPr="00327A70">
        <w:rPr>
          <w:rFonts w:cs="Arial"/>
          <w:color w:val="000000" w:themeColor="text1"/>
          <w:shd w:val="clear" w:color="auto" w:fill="FFFFFF"/>
        </w:rPr>
        <w:t>(5), pp.308-312.</w:t>
      </w:r>
      <w:r w:rsidR="003C2F6A" w:rsidRPr="00327A70">
        <w:rPr>
          <w:rFonts w:cs="Arial"/>
          <w:color w:val="000000" w:themeColor="text1"/>
          <w:shd w:val="clear" w:color="auto" w:fill="FFFFFF"/>
        </w:rPr>
        <w:t xml:space="preserve"> </w:t>
      </w:r>
    </w:p>
    <w:p w:rsidR="00B5114D" w:rsidRPr="00327A70" w:rsidRDefault="00B5114D" w:rsidP="003C2F6A">
      <w:pPr>
        <w:rPr>
          <w:rFonts w:cs="Arial"/>
          <w:color w:val="000000" w:themeColor="text1"/>
          <w:shd w:val="clear" w:color="auto" w:fill="FFFFFF"/>
        </w:rPr>
      </w:pPr>
      <w:r w:rsidRPr="00327A70">
        <w:rPr>
          <w:rFonts w:cs="Arial"/>
          <w:color w:val="000000" w:themeColor="text1"/>
          <w:shd w:val="clear" w:color="auto" w:fill="FFFFFF"/>
        </w:rPr>
        <w:t xml:space="preserve">Van den Berg, I., </w:t>
      </w:r>
      <w:proofErr w:type="spellStart"/>
      <w:r w:rsidRPr="00327A70">
        <w:rPr>
          <w:rFonts w:cs="Arial"/>
          <w:color w:val="000000" w:themeColor="text1"/>
          <w:shd w:val="clear" w:color="auto" w:fill="FFFFFF"/>
        </w:rPr>
        <w:t>Admiraal</w:t>
      </w:r>
      <w:proofErr w:type="spellEnd"/>
      <w:r w:rsidRPr="00327A70">
        <w:rPr>
          <w:rFonts w:cs="Arial"/>
          <w:color w:val="000000" w:themeColor="text1"/>
          <w:shd w:val="clear" w:color="auto" w:fill="FFFFFF"/>
        </w:rPr>
        <w:t>, W. and Pilot, A., 2006. Designing student peer assessment in higher education: Analysis of written and oral peer feedback. </w:t>
      </w:r>
      <w:r w:rsidRPr="00327A70">
        <w:rPr>
          <w:rFonts w:cs="Arial"/>
          <w:i/>
          <w:iCs/>
          <w:color w:val="000000" w:themeColor="text1"/>
          <w:shd w:val="clear" w:color="auto" w:fill="FFFFFF"/>
        </w:rPr>
        <w:t>Teaching in Higher Education</w:t>
      </w:r>
      <w:r w:rsidRPr="00327A70">
        <w:rPr>
          <w:rFonts w:cs="Arial"/>
          <w:color w:val="000000" w:themeColor="text1"/>
          <w:shd w:val="clear" w:color="auto" w:fill="FFFFFF"/>
        </w:rPr>
        <w:t>, </w:t>
      </w:r>
      <w:r w:rsidRPr="00327A70">
        <w:rPr>
          <w:rFonts w:cs="Arial"/>
          <w:i/>
          <w:iCs/>
          <w:color w:val="000000" w:themeColor="text1"/>
          <w:shd w:val="clear" w:color="auto" w:fill="FFFFFF"/>
        </w:rPr>
        <w:t>11</w:t>
      </w:r>
      <w:r w:rsidRPr="00327A70">
        <w:rPr>
          <w:rFonts w:cs="Arial"/>
          <w:color w:val="000000" w:themeColor="text1"/>
          <w:shd w:val="clear" w:color="auto" w:fill="FFFFFF"/>
        </w:rPr>
        <w:t>(2), pp.135-147.</w:t>
      </w:r>
    </w:p>
    <w:p w:rsidR="003C2F6A" w:rsidRPr="00327A70" w:rsidRDefault="003C2F6A">
      <w:pPr>
        <w:rPr>
          <w:rFonts w:cs="Arial"/>
          <w:color w:val="000000" w:themeColor="text1"/>
          <w:shd w:val="clear" w:color="auto" w:fill="FFFFFF"/>
        </w:rPr>
      </w:pPr>
      <w:r w:rsidRPr="00327A70">
        <w:rPr>
          <w:rFonts w:cs="Arial"/>
          <w:color w:val="000000" w:themeColor="text1"/>
          <w:shd w:val="clear" w:color="auto" w:fill="FFFFFF"/>
        </w:rPr>
        <w:t xml:space="preserve">Van Zundert, M., </w:t>
      </w:r>
      <w:proofErr w:type="spellStart"/>
      <w:r w:rsidRPr="00327A70">
        <w:rPr>
          <w:rFonts w:cs="Arial"/>
          <w:color w:val="000000" w:themeColor="text1"/>
          <w:shd w:val="clear" w:color="auto" w:fill="FFFFFF"/>
        </w:rPr>
        <w:t>Sluijsmans</w:t>
      </w:r>
      <w:proofErr w:type="spellEnd"/>
      <w:r w:rsidRPr="00327A70">
        <w:rPr>
          <w:rFonts w:cs="Arial"/>
          <w:color w:val="000000" w:themeColor="text1"/>
          <w:shd w:val="clear" w:color="auto" w:fill="FFFFFF"/>
        </w:rPr>
        <w:t xml:space="preserve">, D. and Van </w:t>
      </w:r>
      <w:proofErr w:type="spellStart"/>
      <w:r w:rsidRPr="00327A70">
        <w:rPr>
          <w:rFonts w:cs="Arial"/>
          <w:color w:val="000000" w:themeColor="text1"/>
          <w:shd w:val="clear" w:color="auto" w:fill="FFFFFF"/>
        </w:rPr>
        <w:t>Merriënboer</w:t>
      </w:r>
      <w:proofErr w:type="spellEnd"/>
      <w:r w:rsidRPr="00327A70">
        <w:rPr>
          <w:rFonts w:cs="Arial"/>
          <w:color w:val="000000" w:themeColor="text1"/>
          <w:shd w:val="clear" w:color="auto" w:fill="FFFFFF"/>
        </w:rPr>
        <w:t>, J., 2010. Effective peer assessment processes: Research findings and future directions. </w:t>
      </w:r>
      <w:r w:rsidRPr="00327A70">
        <w:rPr>
          <w:rFonts w:cs="Arial"/>
          <w:i/>
          <w:iCs/>
          <w:color w:val="000000" w:themeColor="text1"/>
          <w:shd w:val="clear" w:color="auto" w:fill="FFFFFF"/>
        </w:rPr>
        <w:t>Learning and instruction</w:t>
      </w:r>
      <w:r w:rsidRPr="00327A70">
        <w:rPr>
          <w:rFonts w:cs="Arial"/>
          <w:color w:val="000000" w:themeColor="text1"/>
          <w:shd w:val="clear" w:color="auto" w:fill="FFFFFF"/>
        </w:rPr>
        <w:t>, </w:t>
      </w:r>
      <w:r w:rsidRPr="00327A70">
        <w:rPr>
          <w:rFonts w:cs="Arial"/>
          <w:i/>
          <w:iCs/>
          <w:color w:val="000000" w:themeColor="text1"/>
          <w:shd w:val="clear" w:color="auto" w:fill="FFFFFF"/>
        </w:rPr>
        <w:t>20</w:t>
      </w:r>
      <w:r w:rsidR="001D72B8" w:rsidRPr="00327A70">
        <w:rPr>
          <w:rFonts w:cs="Arial"/>
          <w:color w:val="000000" w:themeColor="text1"/>
          <w:shd w:val="clear" w:color="auto" w:fill="FFFFFF"/>
        </w:rPr>
        <w:t>(4), pp.270-279.</w:t>
      </w:r>
    </w:p>
    <w:p w:rsidR="00CA79B4" w:rsidRPr="00327A70" w:rsidRDefault="00CA79B4">
      <w:pPr>
        <w:rPr>
          <w:rFonts w:cs="Helvetica"/>
          <w:color w:val="000000" w:themeColor="text1"/>
          <w:shd w:val="clear" w:color="auto" w:fill="FFFFFF"/>
        </w:rPr>
      </w:pPr>
      <w:proofErr w:type="spellStart"/>
      <w:r w:rsidRPr="00327A70">
        <w:rPr>
          <w:rFonts w:cs="Helvetica"/>
          <w:color w:val="000000" w:themeColor="text1"/>
          <w:shd w:val="clear" w:color="auto" w:fill="FFFFFF"/>
        </w:rPr>
        <w:t>Weeden</w:t>
      </w:r>
      <w:proofErr w:type="spellEnd"/>
      <w:r w:rsidRPr="00327A70">
        <w:rPr>
          <w:rFonts w:cs="Helvetica"/>
          <w:color w:val="000000" w:themeColor="text1"/>
          <w:shd w:val="clear" w:color="auto" w:fill="FFFFFF"/>
        </w:rPr>
        <w:t xml:space="preserve"> et al., 2002. </w:t>
      </w:r>
      <w:r w:rsidRPr="00327A70">
        <w:rPr>
          <w:rFonts w:cs="Helvetica"/>
          <w:i/>
          <w:iCs/>
          <w:color w:val="000000" w:themeColor="text1"/>
          <w:shd w:val="clear" w:color="auto" w:fill="FFFFFF"/>
        </w:rPr>
        <w:t>Assessment</w:t>
      </w:r>
      <w:r w:rsidRPr="00327A70">
        <w:rPr>
          <w:rFonts w:cs="Helvetica"/>
          <w:color w:val="000000" w:themeColor="text1"/>
          <w:shd w:val="clear" w:color="auto" w:fill="FFFFFF"/>
        </w:rPr>
        <w:t xml:space="preserve">, </w:t>
      </w:r>
      <w:proofErr w:type="gramStart"/>
      <w:r w:rsidRPr="00327A70">
        <w:rPr>
          <w:rFonts w:cs="Helvetica"/>
          <w:color w:val="000000" w:themeColor="text1"/>
          <w:shd w:val="clear" w:color="auto" w:fill="FFFFFF"/>
        </w:rPr>
        <w:t>London ;</w:t>
      </w:r>
      <w:proofErr w:type="gramEnd"/>
      <w:r w:rsidRPr="00327A70">
        <w:rPr>
          <w:rFonts w:cs="Helvetica"/>
          <w:color w:val="000000" w:themeColor="text1"/>
          <w:shd w:val="clear" w:color="auto" w:fill="FFFFFF"/>
        </w:rPr>
        <w:t xml:space="preserve"> New York: </w:t>
      </w:r>
      <w:proofErr w:type="spellStart"/>
      <w:r w:rsidRPr="00327A70">
        <w:rPr>
          <w:rFonts w:cs="Helvetica"/>
          <w:color w:val="000000" w:themeColor="text1"/>
          <w:shd w:val="clear" w:color="auto" w:fill="FFFFFF"/>
        </w:rPr>
        <w:t>RoutledgeFalmer</w:t>
      </w:r>
      <w:proofErr w:type="spellEnd"/>
      <w:r w:rsidRPr="00327A70">
        <w:rPr>
          <w:rFonts w:cs="Helvetica"/>
          <w:color w:val="000000" w:themeColor="text1"/>
          <w:shd w:val="clear" w:color="auto" w:fill="FFFFFF"/>
        </w:rPr>
        <w:t>.</w:t>
      </w:r>
    </w:p>
    <w:p w:rsidR="005461C9" w:rsidRPr="00327A70" w:rsidRDefault="005461C9" w:rsidP="005461C9">
      <w:pPr>
        <w:rPr>
          <w:rFonts w:cs="Arial"/>
          <w:color w:val="000000" w:themeColor="text1"/>
          <w:shd w:val="clear" w:color="auto" w:fill="FFFFFF"/>
        </w:rPr>
      </w:pPr>
      <w:r w:rsidRPr="00327A70">
        <w:rPr>
          <w:rFonts w:cs="Arial"/>
          <w:color w:val="000000" w:themeColor="text1"/>
          <w:shd w:val="clear" w:color="auto" w:fill="FFFFFF"/>
        </w:rPr>
        <w:t>Welsh Government (2018). </w:t>
      </w:r>
      <w:r w:rsidRPr="00327A70">
        <w:rPr>
          <w:rFonts w:cs="Arial"/>
          <w:i/>
          <w:iCs/>
          <w:color w:val="000000" w:themeColor="text1"/>
          <w:shd w:val="clear" w:color="auto" w:fill="FFFFFF"/>
        </w:rPr>
        <w:t xml:space="preserve">My Local School data on School X | </w:t>
      </w:r>
      <w:proofErr w:type="spellStart"/>
      <w:r w:rsidRPr="00327A70">
        <w:rPr>
          <w:rFonts w:cs="Arial"/>
          <w:i/>
          <w:iCs/>
          <w:color w:val="000000" w:themeColor="text1"/>
          <w:shd w:val="clear" w:color="auto" w:fill="FFFFFF"/>
        </w:rPr>
        <w:t>beta.gov.wales</w:t>
      </w:r>
      <w:proofErr w:type="spellEnd"/>
      <w:r w:rsidRPr="00327A70">
        <w:rPr>
          <w:rFonts w:cs="Arial"/>
          <w:color w:val="000000" w:themeColor="text1"/>
          <w:shd w:val="clear" w:color="auto" w:fill="FFFFFF"/>
        </w:rPr>
        <w:t>. [</w:t>
      </w:r>
      <w:proofErr w:type="gramStart"/>
      <w:r w:rsidRPr="00327A70">
        <w:rPr>
          <w:rFonts w:cs="Arial"/>
          <w:color w:val="000000" w:themeColor="text1"/>
          <w:shd w:val="clear" w:color="auto" w:fill="FFFFFF"/>
        </w:rPr>
        <w:t>online</w:t>
      </w:r>
      <w:proofErr w:type="gramEnd"/>
      <w:r w:rsidRPr="00327A70">
        <w:rPr>
          <w:rFonts w:cs="Arial"/>
          <w:color w:val="000000" w:themeColor="text1"/>
          <w:shd w:val="clear" w:color="auto" w:fill="FFFFFF"/>
        </w:rPr>
        <w:t xml:space="preserve">] </w:t>
      </w:r>
      <w:proofErr w:type="spellStart"/>
      <w:r w:rsidRPr="00327A70">
        <w:rPr>
          <w:rFonts w:cs="Arial"/>
          <w:color w:val="000000" w:themeColor="text1"/>
          <w:shd w:val="clear" w:color="auto" w:fill="FFFFFF"/>
        </w:rPr>
        <w:t>beta.gov.wales</w:t>
      </w:r>
      <w:proofErr w:type="spellEnd"/>
      <w:r w:rsidRPr="00327A70">
        <w:rPr>
          <w:rFonts w:cs="Arial"/>
          <w:color w:val="000000" w:themeColor="text1"/>
          <w:shd w:val="clear" w:color="auto" w:fill="FFFFFF"/>
        </w:rPr>
        <w:t>. Available at: https://beta.gov.wales/my-local-school-guide (Link not to School X data) [Accessed 12 Jan. 2019].</w:t>
      </w:r>
    </w:p>
    <w:p w:rsidR="00664FD1" w:rsidRPr="00327A70" w:rsidRDefault="00664FD1" w:rsidP="005461C9">
      <w:pPr>
        <w:rPr>
          <w:rFonts w:cs="Arial"/>
          <w:color w:val="000000" w:themeColor="text1"/>
          <w:shd w:val="clear" w:color="auto" w:fill="FFFFFF"/>
        </w:rPr>
      </w:pPr>
      <w:proofErr w:type="spellStart"/>
      <w:r w:rsidRPr="00327A70">
        <w:rPr>
          <w:rFonts w:cs="Arial"/>
          <w:color w:val="000000" w:themeColor="text1"/>
          <w:shd w:val="clear" w:color="auto" w:fill="FFFFFF"/>
        </w:rPr>
        <w:t>Wiliam</w:t>
      </w:r>
      <w:proofErr w:type="spellEnd"/>
      <w:r w:rsidRPr="00327A70">
        <w:rPr>
          <w:rFonts w:cs="Arial"/>
          <w:color w:val="000000" w:themeColor="text1"/>
          <w:shd w:val="clear" w:color="auto" w:fill="FFFFFF"/>
        </w:rPr>
        <w:t>, D., 2006. Formative assessment: Getting the focus right. </w:t>
      </w:r>
      <w:r w:rsidRPr="00327A70">
        <w:rPr>
          <w:rFonts w:cs="Arial"/>
          <w:i/>
          <w:iCs/>
          <w:color w:val="000000" w:themeColor="text1"/>
          <w:shd w:val="clear" w:color="auto" w:fill="FFFFFF"/>
        </w:rPr>
        <w:t>Educational assessment</w:t>
      </w:r>
      <w:r w:rsidRPr="00327A70">
        <w:rPr>
          <w:rFonts w:cs="Arial"/>
          <w:color w:val="000000" w:themeColor="text1"/>
          <w:shd w:val="clear" w:color="auto" w:fill="FFFFFF"/>
        </w:rPr>
        <w:t>, </w:t>
      </w:r>
      <w:r w:rsidRPr="00327A70">
        <w:rPr>
          <w:rFonts w:cs="Arial"/>
          <w:i/>
          <w:iCs/>
          <w:color w:val="000000" w:themeColor="text1"/>
          <w:shd w:val="clear" w:color="auto" w:fill="FFFFFF"/>
        </w:rPr>
        <w:t>11</w:t>
      </w:r>
      <w:r w:rsidRPr="00327A70">
        <w:rPr>
          <w:rFonts w:cs="Arial"/>
          <w:color w:val="000000" w:themeColor="text1"/>
          <w:shd w:val="clear" w:color="auto" w:fill="FFFFFF"/>
        </w:rPr>
        <w:t>(3-4), pp.283-289.</w:t>
      </w:r>
    </w:p>
    <w:p w:rsidR="00950C16" w:rsidRPr="00327A70" w:rsidRDefault="00950C16" w:rsidP="005461C9">
      <w:pPr>
        <w:rPr>
          <w:rFonts w:cs="Arial"/>
          <w:color w:val="000000" w:themeColor="text1"/>
          <w:shd w:val="clear" w:color="auto" w:fill="FFFFFF"/>
        </w:rPr>
      </w:pPr>
      <w:proofErr w:type="spellStart"/>
      <w:r w:rsidRPr="00327A70">
        <w:rPr>
          <w:rFonts w:cs="Arial"/>
          <w:color w:val="000000" w:themeColor="text1"/>
          <w:shd w:val="clear" w:color="auto" w:fill="FFFFFF"/>
        </w:rPr>
        <w:t>Wiliam</w:t>
      </w:r>
      <w:proofErr w:type="spellEnd"/>
      <w:r w:rsidRPr="00327A70">
        <w:rPr>
          <w:rFonts w:cs="Arial"/>
          <w:color w:val="000000" w:themeColor="text1"/>
          <w:shd w:val="clear" w:color="auto" w:fill="FFFFFF"/>
        </w:rPr>
        <w:t>, D., 2011. </w:t>
      </w:r>
      <w:r w:rsidRPr="00327A70">
        <w:rPr>
          <w:rFonts w:cs="Arial"/>
          <w:i/>
          <w:iCs/>
          <w:color w:val="000000" w:themeColor="text1"/>
          <w:shd w:val="clear" w:color="auto" w:fill="FFFFFF"/>
        </w:rPr>
        <w:t>Embedded formative assessment</w:t>
      </w:r>
      <w:r w:rsidRPr="00327A70">
        <w:rPr>
          <w:rFonts w:cs="Arial"/>
          <w:color w:val="000000" w:themeColor="text1"/>
          <w:shd w:val="clear" w:color="auto" w:fill="FFFFFF"/>
        </w:rPr>
        <w:t>. Solution Tree Press.</w:t>
      </w:r>
    </w:p>
    <w:p w:rsidR="00950C16" w:rsidRPr="00327A70" w:rsidRDefault="00950C16" w:rsidP="005461C9">
      <w:pPr>
        <w:rPr>
          <w:rFonts w:cs="Arial"/>
          <w:color w:val="000000" w:themeColor="text1"/>
          <w:shd w:val="clear" w:color="auto" w:fill="FFFFFF"/>
        </w:rPr>
      </w:pPr>
      <w:proofErr w:type="spellStart"/>
      <w:r w:rsidRPr="00327A70">
        <w:rPr>
          <w:rFonts w:cs="Arial"/>
          <w:color w:val="000000" w:themeColor="text1"/>
          <w:shd w:val="clear" w:color="auto" w:fill="FFFFFF"/>
        </w:rPr>
        <w:t>Wiliam</w:t>
      </w:r>
      <w:proofErr w:type="spellEnd"/>
      <w:r w:rsidRPr="00327A70">
        <w:rPr>
          <w:rFonts w:cs="Arial"/>
          <w:color w:val="000000" w:themeColor="text1"/>
          <w:shd w:val="clear" w:color="auto" w:fill="FFFFFF"/>
        </w:rPr>
        <w:t>, D., 2011. What is assessment for learning</w:t>
      </w:r>
      <w:proofErr w:type="gramStart"/>
      <w:r w:rsidRPr="00327A70">
        <w:rPr>
          <w:rFonts w:cs="Arial"/>
          <w:color w:val="000000" w:themeColor="text1"/>
          <w:shd w:val="clear" w:color="auto" w:fill="FFFFFF"/>
        </w:rPr>
        <w:t>?.</w:t>
      </w:r>
      <w:proofErr w:type="gramEnd"/>
      <w:r w:rsidRPr="00327A70">
        <w:rPr>
          <w:rFonts w:cs="Arial"/>
          <w:color w:val="000000" w:themeColor="text1"/>
          <w:shd w:val="clear" w:color="auto" w:fill="FFFFFF"/>
        </w:rPr>
        <w:t> </w:t>
      </w:r>
      <w:r w:rsidRPr="00327A70">
        <w:rPr>
          <w:rFonts w:cs="Arial"/>
          <w:i/>
          <w:iCs/>
          <w:color w:val="000000" w:themeColor="text1"/>
          <w:shd w:val="clear" w:color="auto" w:fill="FFFFFF"/>
        </w:rPr>
        <w:t>Studies in educational evaluation</w:t>
      </w:r>
      <w:r w:rsidRPr="00327A70">
        <w:rPr>
          <w:rFonts w:cs="Arial"/>
          <w:color w:val="000000" w:themeColor="text1"/>
          <w:shd w:val="clear" w:color="auto" w:fill="FFFFFF"/>
        </w:rPr>
        <w:t>, </w:t>
      </w:r>
      <w:r w:rsidRPr="00327A70">
        <w:rPr>
          <w:rFonts w:cs="Arial"/>
          <w:i/>
          <w:iCs/>
          <w:color w:val="000000" w:themeColor="text1"/>
          <w:shd w:val="clear" w:color="auto" w:fill="FFFFFF"/>
        </w:rPr>
        <w:t>37</w:t>
      </w:r>
      <w:r w:rsidRPr="00327A70">
        <w:rPr>
          <w:rFonts w:cs="Arial"/>
          <w:color w:val="000000" w:themeColor="text1"/>
          <w:shd w:val="clear" w:color="auto" w:fill="FFFFFF"/>
        </w:rPr>
        <w:t>(1), pp.3-14.</w:t>
      </w:r>
    </w:p>
    <w:p w:rsidR="002D4873" w:rsidRPr="00327A70" w:rsidRDefault="002D4873" w:rsidP="005461C9">
      <w:pPr>
        <w:rPr>
          <w:color w:val="000000" w:themeColor="text1"/>
        </w:rPr>
      </w:pPr>
      <w:proofErr w:type="spellStart"/>
      <w:r w:rsidRPr="00327A70">
        <w:rPr>
          <w:color w:val="000000" w:themeColor="text1"/>
        </w:rPr>
        <w:t>Wiliam</w:t>
      </w:r>
      <w:proofErr w:type="spellEnd"/>
      <w:r w:rsidRPr="00327A70">
        <w:rPr>
          <w:color w:val="000000" w:themeColor="text1"/>
        </w:rPr>
        <w:t>, D., &amp; Thompson, M. (2007) Integrating assessment with instruction: what will it take to make it work? In C. A. Dwyer (Ed.) The future of assessment: shaping teaching and learning (pp. 53-82). Mahwah, NJ: Lawrence Erlbaum Associates</w:t>
      </w:r>
    </w:p>
    <w:p w:rsidR="005461C9" w:rsidRPr="000E484C" w:rsidRDefault="00744F8E">
      <w:pPr>
        <w:rPr>
          <w:b/>
          <w:color w:val="000000" w:themeColor="text1"/>
          <w:u w:val="single"/>
        </w:rPr>
      </w:pPr>
      <w:r w:rsidRPr="00744F8E">
        <w:rPr>
          <w:b/>
          <w:color w:val="000000" w:themeColor="text1"/>
          <w:u w:val="single"/>
        </w:rPr>
        <w:lastRenderedPageBreak/>
        <w:t xml:space="preserve">Appendices </w:t>
      </w:r>
      <w:r>
        <w:rPr>
          <w:color w:val="000000" w:themeColor="text1"/>
        </w:rPr>
        <w:br/>
      </w:r>
      <w:r>
        <w:rPr>
          <w:color w:val="000000" w:themeColor="text1"/>
        </w:rPr>
        <w:br/>
      </w:r>
      <w:r w:rsidRPr="000E484C">
        <w:rPr>
          <w:b/>
          <w:color w:val="000000" w:themeColor="text1"/>
          <w:u w:val="single"/>
        </w:rPr>
        <w:t xml:space="preserve">APPENDIX A – Pre and Post Diagnostic Test Paper </w:t>
      </w:r>
    </w:p>
    <w:p w:rsidR="000E484C" w:rsidRPr="000E484C" w:rsidRDefault="000E484C" w:rsidP="000E484C">
      <w:pPr>
        <w:jc w:val="center"/>
        <w:rPr>
          <w:rFonts w:ascii="Century Gothic" w:hAnsi="Century Gothic"/>
          <w:b/>
          <w:sz w:val="16"/>
          <w:szCs w:val="16"/>
          <w:u w:val="single"/>
        </w:rPr>
      </w:pPr>
      <w:r w:rsidRPr="000E484C">
        <w:rPr>
          <w:rFonts w:ascii="Century Gothic" w:hAnsi="Century Gothic"/>
          <w:noProof/>
          <w:sz w:val="16"/>
          <w:szCs w:val="16"/>
          <w:lang w:eastAsia="en-GB"/>
        </w:rPr>
        <mc:AlternateContent>
          <mc:Choice Requires="wps">
            <w:drawing>
              <wp:anchor distT="0" distB="0" distL="114300" distR="114300" simplePos="0" relativeHeight="251662336" behindDoc="0" locked="0" layoutInCell="1" allowOverlap="1" wp14:anchorId="2C1D90D6" wp14:editId="054A2B8D">
                <wp:simplePos x="0" y="0"/>
                <wp:positionH relativeFrom="column">
                  <wp:posOffset>5145567</wp:posOffset>
                </wp:positionH>
                <wp:positionV relativeFrom="paragraph">
                  <wp:posOffset>-541729</wp:posOffset>
                </wp:positionV>
                <wp:extent cx="1084521" cy="1083931"/>
                <wp:effectExtent l="0" t="0" r="20955" b="21590"/>
                <wp:wrapNone/>
                <wp:docPr id="5" name="Oval 5"/>
                <wp:cNvGraphicFramePr/>
                <a:graphic xmlns:a="http://schemas.openxmlformats.org/drawingml/2006/main">
                  <a:graphicData uri="http://schemas.microsoft.com/office/word/2010/wordprocessingShape">
                    <wps:wsp>
                      <wps:cNvSpPr/>
                      <wps:spPr>
                        <a:xfrm>
                          <a:off x="0" y="0"/>
                          <a:ext cx="1084521" cy="1083931"/>
                        </a:xfrm>
                        <a:prstGeom prst="ellipse">
                          <a:avLst/>
                        </a:prstGeom>
                      </wps:spPr>
                      <wps:style>
                        <a:lnRef idx="1">
                          <a:schemeClr val="accent4"/>
                        </a:lnRef>
                        <a:fillRef idx="2">
                          <a:schemeClr val="accent4"/>
                        </a:fillRef>
                        <a:effectRef idx="1">
                          <a:schemeClr val="accent4"/>
                        </a:effectRef>
                        <a:fontRef idx="minor">
                          <a:schemeClr val="dk1"/>
                        </a:fontRef>
                      </wps:style>
                      <wps:txbx>
                        <w:txbxContent>
                          <w:p w:rsidR="000E484C" w:rsidRPr="0064520D" w:rsidRDefault="000E484C" w:rsidP="000E484C">
                            <w:pPr>
                              <w:jc w:val="center"/>
                              <w:rPr>
                                <w:rFonts w:ascii="Century Gothic" w:hAnsi="Century Gothic"/>
                                <w:b/>
                                <w:sz w:val="24"/>
                                <w:szCs w:val="24"/>
                              </w:rPr>
                            </w:pPr>
                            <w:r>
                              <w:br/>
                            </w:r>
                            <w:r w:rsidRPr="0064520D">
                              <w:rPr>
                                <w:rFonts w:ascii="Century Gothic" w:hAnsi="Century Gothic"/>
                                <w:b/>
                                <w:sz w:val="24"/>
                                <w:szCs w:val="24"/>
                              </w:rPr>
                              <w:t>_______</w:t>
                            </w:r>
                            <w:r w:rsidRPr="0064520D">
                              <w:rPr>
                                <w:rFonts w:ascii="Century Gothic" w:hAnsi="Century Gothic"/>
                                <w:b/>
                                <w:sz w:val="24"/>
                                <w:szCs w:val="24"/>
                              </w:rPr>
                              <w:br/>
                              <w:t>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C1D90D6" id="Oval 5" o:spid="_x0000_s1026" style="position:absolute;left:0;text-align:left;margin-left:405.15pt;margin-top:-42.65pt;width:85.4pt;height:8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" fillcolor="#82d5c1 [2167]" strokecolor="#44c1a3 [3207]" strokeweight=".5pt">
                <v:fill color2="#67cdb4 [2615]" rotate="t" colors="0 #a8dece;.5 #9ad7c5;1 #87d5bf" focus="100%" type="gradient">
                  <o:fill v:ext="view" type="gradientUnscaled"/>
                </v:fill>
                <v:stroke joinstyle="miter"/>
                <v:textbox>
                  <w:txbxContent>
                    <w:p w:rsidR="000E484C" w:rsidRPr="0064520D" w:rsidRDefault="000E484C" w:rsidP="000E484C">
                      <w:pPr>
                        <w:jc w:val="center"/>
                        <w:rPr>
                          <w:rFonts w:ascii="Century Gothic" w:hAnsi="Century Gothic"/>
                          <w:b/>
                          <w:sz w:val="24"/>
                          <w:szCs w:val="24"/>
                        </w:rPr>
                      </w:pPr>
                      <w:r>
                        <w:br/>
                      </w:r>
                      <w:r w:rsidRPr="0064520D">
                        <w:rPr>
                          <w:rFonts w:ascii="Century Gothic" w:hAnsi="Century Gothic"/>
                          <w:b/>
                          <w:sz w:val="24"/>
                          <w:szCs w:val="24"/>
                        </w:rPr>
                        <w:t>_______</w:t>
                      </w:r>
                      <w:r w:rsidRPr="0064520D">
                        <w:rPr>
                          <w:rFonts w:ascii="Century Gothic" w:hAnsi="Century Gothic"/>
                          <w:b/>
                          <w:sz w:val="24"/>
                          <w:szCs w:val="24"/>
                        </w:rPr>
                        <w:br/>
                        <w:t>15</w:t>
                      </w:r>
                    </w:p>
                  </w:txbxContent>
                </v:textbox>
              </v:oval>
            </w:pict>
          </mc:Fallback>
        </mc:AlternateContent>
      </w:r>
      <w:r w:rsidRPr="000E484C">
        <w:rPr>
          <w:rFonts w:ascii="Century Gothic" w:hAnsi="Century Gothic"/>
          <w:noProof/>
          <w:sz w:val="16"/>
          <w:szCs w:val="16"/>
          <w:lang w:eastAsia="en-GB"/>
        </w:rPr>
        <w:drawing>
          <wp:anchor distT="0" distB="0" distL="114300" distR="114300" simplePos="0" relativeHeight="251659264" behindDoc="1" locked="0" layoutInCell="1" allowOverlap="1" wp14:anchorId="0975707B" wp14:editId="7968D142">
            <wp:simplePos x="0" y="0"/>
            <wp:positionH relativeFrom="column">
              <wp:posOffset>-299851</wp:posOffset>
            </wp:positionH>
            <wp:positionV relativeFrom="paragraph">
              <wp:posOffset>315267</wp:posOffset>
            </wp:positionV>
            <wp:extent cx="6467676" cy="5012449"/>
            <wp:effectExtent l="0" t="0" r="0" b="0"/>
            <wp:wrapNone/>
            <wp:docPr id="7" name="Picture 7" descr="Image result for asia silhou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sia silhouette"/>
                    <pic:cNvPicPr>
                      <a:picLocks noChangeAspect="1" noChangeArrowheads="1"/>
                    </pic:cNvPicPr>
                  </pic:nvPicPr>
                  <pic:blipFill>
                    <a:blip r:embed="rId11">
                      <a:lum bright="70000" contrast="-70000"/>
                      <a:extLst>
                        <a:ext uri="{28A0092B-C50C-407E-A947-70E740481C1C}">
                          <a14:useLocalDpi xmlns:a14="http://schemas.microsoft.com/office/drawing/2010/main" val="0"/>
                        </a:ext>
                      </a:extLst>
                    </a:blip>
                    <a:srcRect/>
                    <a:stretch>
                      <a:fillRect/>
                    </a:stretch>
                  </pic:blipFill>
                  <pic:spPr bwMode="auto">
                    <a:xfrm>
                      <a:off x="0" y="0"/>
                      <a:ext cx="6467676" cy="501244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E484C">
        <w:rPr>
          <w:rFonts w:ascii="Century Gothic" w:hAnsi="Century Gothic"/>
          <w:b/>
          <w:sz w:val="16"/>
          <w:szCs w:val="16"/>
          <w:u w:val="single"/>
        </w:rPr>
        <w:t>Year 8 Asia – Mini Mid-Topic Test</w:t>
      </w:r>
    </w:p>
    <w:p w:rsidR="000E484C" w:rsidRPr="000E484C" w:rsidRDefault="000E484C" w:rsidP="000E484C">
      <w:pPr>
        <w:pStyle w:val="ListParagraph"/>
        <w:numPr>
          <w:ilvl w:val="0"/>
          <w:numId w:val="1"/>
        </w:numPr>
        <w:rPr>
          <w:rFonts w:ascii="Century Gothic" w:hAnsi="Century Gothic"/>
          <w:sz w:val="16"/>
          <w:szCs w:val="16"/>
          <w:u w:val="single"/>
        </w:rPr>
      </w:pPr>
      <w:r w:rsidRPr="000E484C">
        <w:rPr>
          <w:rFonts w:ascii="Century Gothic" w:hAnsi="Century Gothic"/>
          <w:b/>
          <w:sz w:val="16"/>
          <w:szCs w:val="16"/>
        </w:rPr>
        <w:t>Name three countries in Asia</w:t>
      </w:r>
      <w:r w:rsidRPr="000E484C">
        <w:rPr>
          <w:rFonts w:ascii="Century Gothic" w:hAnsi="Century Gothic"/>
          <w:sz w:val="16"/>
          <w:szCs w:val="16"/>
        </w:rPr>
        <w:br/>
        <w:t>1. _________________________</w:t>
      </w:r>
      <w:r w:rsidRPr="000E484C">
        <w:rPr>
          <w:rFonts w:ascii="Century Gothic" w:hAnsi="Century Gothic"/>
          <w:sz w:val="16"/>
          <w:szCs w:val="16"/>
        </w:rPr>
        <w:br/>
        <w:t>2. _________________________</w:t>
      </w:r>
      <w:r w:rsidRPr="000E484C">
        <w:rPr>
          <w:rFonts w:ascii="Century Gothic" w:hAnsi="Century Gothic"/>
          <w:sz w:val="16"/>
          <w:szCs w:val="16"/>
        </w:rPr>
        <w:br/>
        <w:t xml:space="preserve">3. _________________________ (3 Marks) </w:t>
      </w:r>
      <w:r w:rsidRPr="000E484C">
        <w:rPr>
          <w:rFonts w:ascii="Century Gothic" w:hAnsi="Century Gothic"/>
          <w:sz w:val="16"/>
          <w:szCs w:val="16"/>
        </w:rPr>
        <w:br/>
      </w:r>
    </w:p>
    <w:p w:rsidR="000E484C" w:rsidRPr="000E484C" w:rsidRDefault="000E484C" w:rsidP="000E484C">
      <w:pPr>
        <w:pStyle w:val="ListParagraph"/>
        <w:numPr>
          <w:ilvl w:val="0"/>
          <w:numId w:val="1"/>
        </w:numPr>
        <w:rPr>
          <w:rFonts w:ascii="Century Gothic" w:hAnsi="Century Gothic"/>
          <w:sz w:val="16"/>
          <w:szCs w:val="16"/>
          <w:u w:val="single"/>
        </w:rPr>
      </w:pPr>
      <w:r w:rsidRPr="000E484C">
        <w:rPr>
          <w:rFonts w:ascii="Century Gothic" w:hAnsi="Century Gothic"/>
          <w:b/>
          <w:sz w:val="16"/>
          <w:szCs w:val="16"/>
        </w:rPr>
        <w:t>Which ocean is found east of Asia?</w:t>
      </w:r>
      <w:r w:rsidRPr="000E484C">
        <w:rPr>
          <w:rFonts w:ascii="Century Gothic" w:hAnsi="Century Gothic"/>
          <w:sz w:val="16"/>
          <w:szCs w:val="16"/>
        </w:rPr>
        <w:t xml:space="preserve"> ____________________ (1 Mark)</w:t>
      </w:r>
      <w:r w:rsidRPr="000E484C">
        <w:rPr>
          <w:rFonts w:ascii="Century Gothic" w:hAnsi="Century Gothic"/>
          <w:sz w:val="16"/>
          <w:szCs w:val="16"/>
        </w:rPr>
        <w:br/>
      </w:r>
    </w:p>
    <w:p w:rsidR="000E484C" w:rsidRPr="000E484C" w:rsidRDefault="000E484C" w:rsidP="000E484C">
      <w:pPr>
        <w:pStyle w:val="ListParagraph"/>
        <w:numPr>
          <w:ilvl w:val="0"/>
          <w:numId w:val="1"/>
        </w:numPr>
        <w:rPr>
          <w:rFonts w:ascii="Century Gothic" w:hAnsi="Century Gothic"/>
          <w:sz w:val="16"/>
          <w:szCs w:val="16"/>
          <w:u w:val="single"/>
        </w:rPr>
      </w:pPr>
      <w:r w:rsidRPr="000E484C">
        <w:rPr>
          <w:rFonts w:ascii="Century Gothic" w:hAnsi="Century Gothic"/>
          <w:b/>
          <w:sz w:val="16"/>
          <w:szCs w:val="16"/>
        </w:rPr>
        <w:t>Name the largest mountain range in Asia</w:t>
      </w:r>
      <w:r w:rsidRPr="000E484C">
        <w:rPr>
          <w:rFonts w:ascii="Century Gothic" w:hAnsi="Century Gothic"/>
          <w:sz w:val="16"/>
          <w:szCs w:val="16"/>
        </w:rPr>
        <w:t xml:space="preserve">. ____________________________ (1 Mark) </w:t>
      </w:r>
      <w:r w:rsidRPr="000E484C">
        <w:rPr>
          <w:rFonts w:ascii="Century Gothic" w:hAnsi="Century Gothic"/>
          <w:sz w:val="16"/>
          <w:szCs w:val="16"/>
        </w:rPr>
        <w:br/>
      </w:r>
    </w:p>
    <w:p w:rsidR="000E484C" w:rsidRPr="000E484C" w:rsidRDefault="000E484C" w:rsidP="000E484C">
      <w:pPr>
        <w:pStyle w:val="ListParagraph"/>
        <w:numPr>
          <w:ilvl w:val="0"/>
          <w:numId w:val="1"/>
        </w:numPr>
        <w:rPr>
          <w:rFonts w:ascii="Century Gothic" w:hAnsi="Century Gothic"/>
          <w:sz w:val="16"/>
          <w:szCs w:val="16"/>
          <w:u w:val="single"/>
        </w:rPr>
      </w:pPr>
      <w:r w:rsidRPr="000E484C">
        <w:rPr>
          <w:rFonts w:ascii="Century Gothic" w:hAnsi="Century Gothic"/>
          <w:b/>
          <w:sz w:val="16"/>
          <w:szCs w:val="16"/>
        </w:rPr>
        <w:t>Name the two major rivers that flow from the above mountain range into the Bay of Bengal</w:t>
      </w:r>
      <w:r w:rsidRPr="000E484C">
        <w:rPr>
          <w:rFonts w:ascii="Century Gothic" w:hAnsi="Century Gothic"/>
          <w:sz w:val="16"/>
          <w:szCs w:val="16"/>
        </w:rPr>
        <w:t>.</w:t>
      </w:r>
      <w:r w:rsidRPr="000E484C">
        <w:rPr>
          <w:rFonts w:ascii="Century Gothic" w:hAnsi="Century Gothic"/>
          <w:sz w:val="16"/>
          <w:szCs w:val="16"/>
        </w:rPr>
        <w:br/>
        <w:t>1. _____________________________</w:t>
      </w:r>
      <w:r w:rsidRPr="000E484C">
        <w:rPr>
          <w:rFonts w:ascii="Century Gothic" w:hAnsi="Century Gothic"/>
          <w:sz w:val="16"/>
          <w:szCs w:val="16"/>
        </w:rPr>
        <w:br/>
        <w:t>2. _____________________________ (2 Marks)</w:t>
      </w:r>
      <w:r w:rsidRPr="000E484C">
        <w:rPr>
          <w:rFonts w:ascii="Century Gothic" w:hAnsi="Century Gothic"/>
          <w:sz w:val="16"/>
          <w:szCs w:val="16"/>
        </w:rPr>
        <w:br/>
      </w:r>
    </w:p>
    <w:p w:rsidR="000E484C" w:rsidRPr="000E484C" w:rsidRDefault="000E484C" w:rsidP="000E484C">
      <w:pPr>
        <w:pStyle w:val="ListParagraph"/>
        <w:numPr>
          <w:ilvl w:val="0"/>
          <w:numId w:val="1"/>
        </w:numPr>
        <w:rPr>
          <w:rFonts w:ascii="Century Gothic" w:hAnsi="Century Gothic"/>
          <w:sz w:val="16"/>
          <w:szCs w:val="16"/>
          <w:u w:val="single"/>
        </w:rPr>
      </w:pPr>
      <w:r w:rsidRPr="000E484C">
        <w:rPr>
          <w:rFonts w:ascii="Century Gothic" w:hAnsi="Century Gothic"/>
          <w:b/>
          <w:sz w:val="16"/>
          <w:szCs w:val="16"/>
        </w:rPr>
        <w:t>When is monsoon season?</w:t>
      </w:r>
      <w:r w:rsidRPr="000E484C">
        <w:rPr>
          <w:rFonts w:ascii="Century Gothic" w:hAnsi="Century Gothic"/>
          <w:sz w:val="16"/>
          <w:szCs w:val="16"/>
        </w:rPr>
        <w:t xml:space="preserve"> </w:t>
      </w:r>
      <w:r w:rsidRPr="000E484C">
        <w:rPr>
          <w:rFonts w:ascii="Century Gothic" w:hAnsi="Century Gothic"/>
          <w:sz w:val="16"/>
          <w:szCs w:val="16"/>
        </w:rPr>
        <w:br/>
        <w:t xml:space="preserve">________________ to ________________ (1 Mark) </w:t>
      </w:r>
      <w:r w:rsidRPr="000E484C">
        <w:rPr>
          <w:rFonts w:ascii="Century Gothic" w:hAnsi="Century Gothic"/>
          <w:sz w:val="16"/>
          <w:szCs w:val="16"/>
        </w:rPr>
        <w:br/>
      </w:r>
    </w:p>
    <w:p w:rsidR="000E484C" w:rsidRPr="000E484C" w:rsidRDefault="000E484C" w:rsidP="000E484C">
      <w:pPr>
        <w:pStyle w:val="ListParagraph"/>
        <w:numPr>
          <w:ilvl w:val="0"/>
          <w:numId w:val="1"/>
        </w:numPr>
        <w:rPr>
          <w:rFonts w:ascii="Century Gothic" w:hAnsi="Century Gothic"/>
          <w:sz w:val="16"/>
          <w:szCs w:val="16"/>
          <w:u w:val="single"/>
        </w:rPr>
      </w:pPr>
      <w:r w:rsidRPr="000E484C">
        <w:rPr>
          <w:rFonts w:ascii="Century Gothic" w:hAnsi="Century Gothic"/>
          <w:b/>
          <w:sz w:val="16"/>
          <w:szCs w:val="16"/>
        </w:rPr>
        <w:t>Name a country in Asia affected by flooding.</w:t>
      </w:r>
      <w:r w:rsidRPr="000E484C">
        <w:rPr>
          <w:rFonts w:ascii="Century Gothic" w:hAnsi="Century Gothic"/>
          <w:sz w:val="16"/>
          <w:szCs w:val="16"/>
        </w:rPr>
        <w:br/>
        <w:t xml:space="preserve">______________________________ (1 Mark) </w:t>
      </w:r>
      <w:r w:rsidRPr="000E484C">
        <w:rPr>
          <w:rFonts w:ascii="Century Gothic" w:hAnsi="Century Gothic"/>
          <w:sz w:val="16"/>
          <w:szCs w:val="16"/>
        </w:rPr>
        <w:br/>
      </w:r>
    </w:p>
    <w:p w:rsidR="000E484C" w:rsidRPr="000E484C" w:rsidRDefault="000E484C" w:rsidP="000E484C">
      <w:pPr>
        <w:pStyle w:val="ListParagraph"/>
        <w:numPr>
          <w:ilvl w:val="0"/>
          <w:numId w:val="1"/>
        </w:numPr>
        <w:rPr>
          <w:rFonts w:ascii="Century Gothic" w:hAnsi="Century Gothic"/>
          <w:sz w:val="16"/>
          <w:szCs w:val="16"/>
          <w:u w:val="single"/>
        </w:rPr>
      </w:pPr>
      <w:r w:rsidRPr="000E484C">
        <w:rPr>
          <w:rFonts w:ascii="Century Gothic" w:hAnsi="Century Gothic"/>
          <w:b/>
          <w:sz w:val="16"/>
          <w:szCs w:val="16"/>
        </w:rPr>
        <w:t>What is the main biome of Indonesia?</w:t>
      </w:r>
      <w:r w:rsidRPr="000E484C">
        <w:rPr>
          <w:rFonts w:ascii="Century Gothic" w:hAnsi="Century Gothic"/>
          <w:sz w:val="16"/>
          <w:szCs w:val="16"/>
        </w:rPr>
        <w:t xml:space="preserve"> _______________________ (1 Mark)</w:t>
      </w:r>
      <w:r w:rsidRPr="000E484C">
        <w:rPr>
          <w:rFonts w:ascii="Century Gothic" w:hAnsi="Century Gothic"/>
          <w:sz w:val="16"/>
          <w:szCs w:val="16"/>
        </w:rPr>
        <w:br/>
      </w:r>
    </w:p>
    <w:p w:rsidR="000E484C" w:rsidRPr="000E484C" w:rsidRDefault="000E484C" w:rsidP="000E484C">
      <w:pPr>
        <w:pStyle w:val="ListParagraph"/>
        <w:numPr>
          <w:ilvl w:val="0"/>
          <w:numId w:val="1"/>
        </w:numPr>
        <w:rPr>
          <w:rFonts w:ascii="Century Gothic" w:hAnsi="Century Gothic"/>
          <w:sz w:val="16"/>
          <w:szCs w:val="16"/>
        </w:rPr>
      </w:pPr>
      <w:r w:rsidRPr="000E484C">
        <w:rPr>
          <w:rFonts w:ascii="Century Gothic" w:hAnsi="Century Gothic"/>
          <w:b/>
          <w:sz w:val="16"/>
          <w:szCs w:val="16"/>
        </w:rPr>
        <w:t>What human activity has worsened flooding in Nepal?</w:t>
      </w:r>
      <w:r w:rsidRPr="000E484C">
        <w:rPr>
          <w:rFonts w:ascii="Century Gothic" w:hAnsi="Century Gothic"/>
          <w:sz w:val="16"/>
          <w:szCs w:val="16"/>
        </w:rPr>
        <w:t xml:space="preserve"> </w:t>
      </w:r>
      <w:r w:rsidRPr="000E484C">
        <w:rPr>
          <w:rFonts w:ascii="Century Gothic" w:hAnsi="Century Gothic"/>
          <w:sz w:val="16"/>
          <w:szCs w:val="16"/>
        </w:rPr>
        <w:br/>
        <w:t xml:space="preserve">_____________________________ (1 Mark) </w:t>
      </w:r>
      <w:r w:rsidRPr="000E484C">
        <w:rPr>
          <w:rFonts w:ascii="Century Gothic" w:hAnsi="Century Gothic"/>
          <w:sz w:val="16"/>
          <w:szCs w:val="16"/>
        </w:rPr>
        <w:br/>
      </w:r>
    </w:p>
    <w:p w:rsidR="000E484C" w:rsidRPr="000E484C" w:rsidRDefault="000E484C" w:rsidP="000E484C">
      <w:pPr>
        <w:pStyle w:val="ListParagraph"/>
        <w:numPr>
          <w:ilvl w:val="0"/>
          <w:numId w:val="1"/>
        </w:numPr>
        <w:rPr>
          <w:rFonts w:ascii="Century Gothic" w:hAnsi="Century Gothic"/>
          <w:sz w:val="16"/>
          <w:szCs w:val="16"/>
        </w:rPr>
      </w:pPr>
      <w:r w:rsidRPr="000E484C">
        <w:rPr>
          <w:rFonts w:ascii="Century Gothic" w:hAnsi="Century Gothic"/>
          <w:b/>
          <w:sz w:val="16"/>
          <w:szCs w:val="16"/>
        </w:rPr>
        <w:t>What is the most populous country in Asia?</w:t>
      </w:r>
      <w:r w:rsidRPr="000E484C">
        <w:rPr>
          <w:rFonts w:ascii="Century Gothic" w:hAnsi="Century Gothic"/>
          <w:sz w:val="16"/>
          <w:szCs w:val="16"/>
        </w:rPr>
        <w:t xml:space="preserve"> </w:t>
      </w:r>
      <w:r w:rsidRPr="000E484C">
        <w:rPr>
          <w:rFonts w:ascii="Century Gothic" w:hAnsi="Century Gothic"/>
          <w:sz w:val="16"/>
          <w:szCs w:val="16"/>
        </w:rPr>
        <w:br/>
        <w:t xml:space="preserve">_______________________ (1 Mark) </w:t>
      </w:r>
      <w:r w:rsidRPr="000E484C">
        <w:rPr>
          <w:rFonts w:ascii="Century Gothic" w:hAnsi="Century Gothic"/>
          <w:sz w:val="16"/>
          <w:szCs w:val="16"/>
        </w:rPr>
        <w:br/>
      </w:r>
    </w:p>
    <w:p w:rsidR="000E484C" w:rsidRPr="000E484C" w:rsidRDefault="000E484C" w:rsidP="000E484C">
      <w:pPr>
        <w:pStyle w:val="ListParagraph"/>
        <w:numPr>
          <w:ilvl w:val="0"/>
          <w:numId w:val="1"/>
        </w:numPr>
        <w:rPr>
          <w:rFonts w:ascii="Century Gothic" w:hAnsi="Century Gothic"/>
          <w:sz w:val="16"/>
          <w:szCs w:val="16"/>
        </w:rPr>
      </w:pPr>
      <w:r w:rsidRPr="000E484C">
        <w:rPr>
          <w:rFonts w:ascii="Century Gothic" w:hAnsi="Century Gothic"/>
          <w:b/>
          <w:sz w:val="16"/>
          <w:szCs w:val="16"/>
        </w:rPr>
        <w:t>Describe one of Asia’s biomes.</w:t>
      </w:r>
      <w:r w:rsidRPr="000E484C">
        <w:rPr>
          <w:rFonts w:ascii="Century Gothic" w:hAnsi="Century Gothic"/>
          <w:sz w:val="16"/>
          <w:szCs w:val="16"/>
        </w:rPr>
        <w:t xml:space="preserve"> </w:t>
      </w:r>
      <w:r w:rsidRPr="000E484C">
        <w:rPr>
          <w:rFonts w:ascii="Century Gothic" w:hAnsi="Century Gothic"/>
          <w:sz w:val="16"/>
          <w:szCs w:val="16"/>
        </w:rPr>
        <w:b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0E484C">
        <w:rPr>
          <w:rFonts w:ascii="Century Gothic" w:hAnsi="Century Gothic"/>
          <w:sz w:val="16"/>
          <w:szCs w:val="16"/>
        </w:rPr>
        <w:br/>
        <w:t xml:space="preserve">(3 Marks) </w:t>
      </w:r>
    </w:p>
    <w:p w:rsidR="000E484C" w:rsidRPr="000E484C" w:rsidRDefault="000E484C" w:rsidP="000E484C">
      <w:pPr>
        <w:pStyle w:val="ListParagraph"/>
        <w:rPr>
          <w:rFonts w:ascii="Century Gothic" w:hAnsi="Century Gothic"/>
          <w:sz w:val="16"/>
          <w:szCs w:val="16"/>
        </w:rPr>
      </w:pPr>
      <w:r w:rsidRPr="000E484C">
        <w:rPr>
          <w:rFonts w:ascii="Century Gothic" w:hAnsi="Century Gothic"/>
          <w:sz w:val="16"/>
          <w:szCs w:val="16"/>
        </w:rPr>
        <w:t>-----------------------------------------------------------------------------------------------------------------------------</w:t>
      </w:r>
    </w:p>
    <w:p w:rsidR="000E484C" w:rsidRPr="000E484C" w:rsidRDefault="000E484C" w:rsidP="000E484C">
      <w:pPr>
        <w:shd w:val="clear" w:color="auto" w:fill="FFFF66"/>
        <w:ind w:left="360"/>
        <w:rPr>
          <w:rFonts w:ascii="Century Gothic" w:hAnsi="Century Gothic"/>
          <w:b/>
          <w:color w:val="FF0000"/>
          <w:sz w:val="16"/>
          <w:szCs w:val="16"/>
        </w:rPr>
      </w:pPr>
      <w:r w:rsidRPr="000E484C">
        <w:rPr>
          <w:rFonts w:ascii="Century Gothic" w:hAnsi="Century Gothic"/>
          <w:b/>
          <w:noProof/>
          <w:color w:val="FF0000"/>
          <w:sz w:val="16"/>
          <w:szCs w:val="16"/>
          <w:lang w:eastAsia="en-GB"/>
        </w:rPr>
        <mc:AlternateContent>
          <mc:Choice Requires="wps">
            <w:drawing>
              <wp:anchor distT="0" distB="0" distL="114300" distR="114300" simplePos="0" relativeHeight="251661312" behindDoc="0" locked="0" layoutInCell="1" allowOverlap="1" wp14:anchorId="4530C21E" wp14:editId="7A93DD86">
                <wp:simplePos x="0" y="0"/>
                <wp:positionH relativeFrom="column">
                  <wp:posOffset>5220383</wp:posOffset>
                </wp:positionH>
                <wp:positionV relativeFrom="paragraph">
                  <wp:posOffset>229044</wp:posOffset>
                </wp:positionV>
                <wp:extent cx="425303" cy="435935"/>
                <wp:effectExtent l="57150" t="76200" r="32385" b="59690"/>
                <wp:wrapNone/>
                <wp:docPr id="6" name="5-Point Star 6"/>
                <wp:cNvGraphicFramePr/>
                <a:graphic xmlns:a="http://schemas.openxmlformats.org/drawingml/2006/main">
                  <a:graphicData uri="http://schemas.microsoft.com/office/word/2010/wordprocessingShape">
                    <wps:wsp>
                      <wps:cNvSpPr/>
                      <wps:spPr>
                        <a:xfrm>
                          <a:off x="0" y="0"/>
                          <a:ext cx="425303" cy="435935"/>
                        </a:xfrm>
                        <a:prstGeom prst="star5">
                          <a:avLst/>
                        </a:prstGeom>
                        <a:solidFill>
                          <a:srgbClr val="FFFF66"/>
                        </a:solidFill>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CB5912B" id="5-Point Star 6" o:spid="_x0000_s1026" style="position:absolute;margin-left:411.05pt;margin-top:18.05pt;width:33.5pt;height:34.35pt;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425303,4359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" path="m,166512r162452,1l212652,r50199,166513l425303,166512,293876,269422r50201,166512l212652,333022,81226,435934,131427,269422,,166512xe" fillcolor="#ff6" strokecolor="black [3200]" strokeweight="2.25pt">
                <v:stroke joinstyle="miter"/>
                <v:path arrowok="t" o:connecttype="custom" o:connectlocs="0,166512;162452,166513;212652,0;262851,166513;425303,166512;293876,269422;344077,435934;212652,333022;81226,435934;131427,269422;0,166512" o:connectangles="0,0,0,0,0,0,0,0,0,0,0"/>
              </v:shape>
            </w:pict>
          </mc:Fallback>
        </mc:AlternateContent>
      </w:r>
      <w:r w:rsidRPr="000E484C">
        <w:rPr>
          <w:rFonts w:ascii="Century Gothic" w:hAnsi="Century Gothic"/>
          <w:b/>
          <w:color w:val="FF0000"/>
          <w:sz w:val="16"/>
          <w:szCs w:val="16"/>
        </w:rPr>
        <w:t>Name on Test: __________________PEER ASSESSED BY: ________________________________</w:t>
      </w:r>
      <w:r w:rsidRPr="000E484C">
        <w:rPr>
          <w:rFonts w:ascii="Century Gothic" w:hAnsi="Century Gothic"/>
          <w:b/>
          <w:color w:val="FF0000"/>
          <w:sz w:val="16"/>
          <w:szCs w:val="16"/>
        </w:rPr>
        <w:br/>
        <w:t xml:space="preserve">WWW: </w:t>
      </w:r>
      <w:r w:rsidRPr="000E484C">
        <w:rPr>
          <w:rFonts w:ascii="Century Gothic" w:hAnsi="Century Gothic"/>
          <w:b/>
          <w:color w:val="FF0000"/>
          <w:sz w:val="16"/>
          <w:szCs w:val="16"/>
        </w:rPr>
        <w:br/>
        <w:t>1. ____________________________________________________________________________</w:t>
      </w:r>
      <w:r w:rsidRPr="000E484C">
        <w:rPr>
          <w:rFonts w:ascii="Century Gothic" w:hAnsi="Century Gothic"/>
          <w:b/>
          <w:color w:val="FF0000"/>
          <w:sz w:val="16"/>
          <w:szCs w:val="16"/>
        </w:rPr>
        <w:br/>
        <w:t>2. ____________________________________________________________________________</w:t>
      </w:r>
    </w:p>
    <w:p w:rsidR="000E484C" w:rsidRPr="000E484C" w:rsidRDefault="000E484C" w:rsidP="000E484C">
      <w:pPr>
        <w:shd w:val="clear" w:color="auto" w:fill="FFFF66"/>
        <w:ind w:left="360"/>
        <w:rPr>
          <w:rFonts w:ascii="Century Gothic" w:hAnsi="Century Gothic"/>
          <w:b/>
          <w:color w:val="FF0000"/>
          <w:sz w:val="16"/>
          <w:szCs w:val="16"/>
        </w:rPr>
      </w:pPr>
      <w:r w:rsidRPr="000E484C">
        <w:rPr>
          <w:noProof/>
          <w:sz w:val="16"/>
          <w:szCs w:val="16"/>
          <w:lang w:eastAsia="en-GB"/>
        </w:rPr>
        <w:drawing>
          <wp:anchor distT="0" distB="0" distL="114300" distR="114300" simplePos="0" relativeHeight="251660288" behindDoc="0" locked="0" layoutInCell="1" allowOverlap="1" wp14:anchorId="15A65BB6" wp14:editId="2A191CAD">
            <wp:simplePos x="0" y="0"/>
            <wp:positionH relativeFrom="column">
              <wp:posOffset>4867910</wp:posOffset>
            </wp:positionH>
            <wp:positionV relativeFrom="paragraph">
              <wp:posOffset>142241</wp:posOffset>
            </wp:positionV>
            <wp:extent cx="1045863" cy="890920"/>
            <wp:effectExtent l="0" t="0" r="0" b="806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rot="20515863">
                      <a:off x="0" y="0"/>
                      <a:ext cx="1045863" cy="890920"/>
                    </a:xfrm>
                    <a:prstGeom prst="rect">
                      <a:avLst/>
                    </a:prstGeom>
                  </pic:spPr>
                </pic:pic>
              </a:graphicData>
            </a:graphic>
            <wp14:sizeRelH relativeFrom="margin">
              <wp14:pctWidth>0</wp14:pctWidth>
            </wp14:sizeRelH>
            <wp14:sizeRelV relativeFrom="margin">
              <wp14:pctHeight>0</wp14:pctHeight>
            </wp14:sizeRelV>
          </wp:anchor>
        </w:drawing>
      </w:r>
      <w:r w:rsidRPr="000E484C">
        <w:rPr>
          <w:rFonts w:ascii="Century Gothic" w:hAnsi="Century Gothic"/>
          <w:b/>
          <w:color w:val="FF0000"/>
          <w:sz w:val="16"/>
          <w:szCs w:val="16"/>
        </w:rPr>
        <w:t>EBI</w:t>
      </w:r>
      <w:proofErr w:type="gramStart"/>
      <w:r w:rsidRPr="000E484C">
        <w:rPr>
          <w:rFonts w:ascii="Century Gothic" w:hAnsi="Century Gothic"/>
          <w:b/>
          <w:color w:val="FF0000"/>
          <w:sz w:val="16"/>
          <w:szCs w:val="16"/>
        </w:rPr>
        <w:t>:</w:t>
      </w:r>
      <w:proofErr w:type="gramEnd"/>
      <w:r w:rsidRPr="000E484C">
        <w:rPr>
          <w:rFonts w:ascii="Century Gothic" w:hAnsi="Century Gothic"/>
          <w:b/>
          <w:color w:val="FF0000"/>
          <w:sz w:val="16"/>
          <w:szCs w:val="16"/>
        </w:rPr>
        <w:br/>
        <w:t>1. ____________________________________________________________________________</w:t>
      </w:r>
      <w:r w:rsidRPr="000E484C">
        <w:rPr>
          <w:rFonts w:ascii="Century Gothic" w:hAnsi="Century Gothic"/>
          <w:b/>
          <w:color w:val="FF0000"/>
          <w:sz w:val="16"/>
          <w:szCs w:val="16"/>
        </w:rPr>
        <w:br/>
        <w:t>2. ____________________________________________________________________________</w:t>
      </w:r>
      <w:r w:rsidRPr="000E484C">
        <w:rPr>
          <w:rFonts w:ascii="Century Gothic" w:hAnsi="Century Gothic"/>
          <w:b/>
          <w:color w:val="FF0000"/>
          <w:sz w:val="16"/>
          <w:szCs w:val="16"/>
        </w:rPr>
        <w:br/>
        <w:t>3._____________________________________________________________________________</w:t>
      </w:r>
      <w:r w:rsidRPr="000E484C">
        <w:rPr>
          <w:rFonts w:ascii="Century Gothic" w:hAnsi="Century Gothic"/>
          <w:b/>
          <w:color w:val="FF0000"/>
          <w:sz w:val="16"/>
          <w:szCs w:val="16"/>
        </w:rPr>
        <w:br/>
        <w:t>4._____________________________________________________________________________</w:t>
      </w:r>
      <w:r w:rsidRPr="000E484C">
        <w:rPr>
          <w:rFonts w:ascii="Century Gothic" w:hAnsi="Century Gothic"/>
          <w:b/>
          <w:color w:val="FF0000"/>
          <w:sz w:val="16"/>
          <w:szCs w:val="16"/>
        </w:rPr>
        <w:br/>
      </w:r>
      <w:r w:rsidRPr="000E484C">
        <w:rPr>
          <w:rFonts w:ascii="Century Gothic" w:hAnsi="Century Gothic"/>
          <w:b/>
          <w:color w:val="FF0000"/>
          <w:sz w:val="16"/>
          <w:szCs w:val="16"/>
        </w:rPr>
        <w:br/>
        <w:t>How to improve: ______________________________________________________________</w:t>
      </w:r>
      <w:r w:rsidRPr="000E484C">
        <w:rPr>
          <w:rFonts w:ascii="Century Gothic" w:hAnsi="Century Gothic"/>
          <w:b/>
          <w:color w:val="FF0000"/>
          <w:sz w:val="16"/>
          <w:szCs w:val="16"/>
        </w:rPr>
        <w:br/>
      </w:r>
      <w:r w:rsidRPr="000E484C">
        <w:rPr>
          <w:rFonts w:ascii="Century Gothic" w:hAnsi="Century Gothic"/>
          <w:b/>
          <w:color w:val="FF0000"/>
          <w:sz w:val="16"/>
          <w:szCs w:val="16"/>
        </w:rPr>
        <w:br/>
        <w:t xml:space="preserve">Recommended Revision Topics: </w:t>
      </w:r>
      <w:r w:rsidRPr="000E484C">
        <w:rPr>
          <w:rFonts w:ascii="Century Gothic" w:hAnsi="Century Gothic"/>
          <w:b/>
          <w:color w:val="FF0000"/>
          <w:sz w:val="16"/>
          <w:szCs w:val="16"/>
        </w:rPr>
        <w:br/>
        <w:t>1. _______________________________________________</w:t>
      </w:r>
      <w:r w:rsidRPr="000E484C">
        <w:rPr>
          <w:rFonts w:ascii="Century Gothic" w:hAnsi="Century Gothic"/>
          <w:b/>
          <w:color w:val="FF0000"/>
          <w:sz w:val="16"/>
          <w:szCs w:val="16"/>
        </w:rPr>
        <w:br/>
        <w:t>2. _______________________________________________</w:t>
      </w:r>
      <w:r w:rsidRPr="000E484C">
        <w:rPr>
          <w:rFonts w:ascii="Century Gothic" w:hAnsi="Century Gothic"/>
          <w:b/>
          <w:color w:val="FF0000"/>
          <w:sz w:val="16"/>
          <w:szCs w:val="16"/>
        </w:rPr>
        <w:br/>
        <w:t>3. _______________________________________________</w:t>
      </w:r>
    </w:p>
    <w:p w:rsidR="000E484C" w:rsidRPr="00744F8E" w:rsidRDefault="000E484C">
      <w:pPr>
        <w:rPr>
          <w:color w:val="000000" w:themeColor="text1"/>
        </w:rPr>
      </w:pPr>
    </w:p>
    <w:sectPr w:rsidR="000E484C" w:rsidRPr="00744F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E4158E"/>
    <w:multiLevelType w:val="hybridMultilevel"/>
    <w:tmpl w:val="14740D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7EF"/>
    <w:rsid w:val="00014066"/>
    <w:rsid w:val="000527EA"/>
    <w:rsid w:val="00060244"/>
    <w:rsid w:val="00067244"/>
    <w:rsid w:val="00081D1D"/>
    <w:rsid w:val="000A2F16"/>
    <w:rsid w:val="000A7009"/>
    <w:rsid w:val="000B4DD4"/>
    <w:rsid w:val="000D10F2"/>
    <w:rsid w:val="000D6BD9"/>
    <w:rsid w:val="000E4508"/>
    <w:rsid w:val="000E484C"/>
    <w:rsid w:val="00104A47"/>
    <w:rsid w:val="00120B2F"/>
    <w:rsid w:val="00122F34"/>
    <w:rsid w:val="001348AF"/>
    <w:rsid w:val="001758F6"/>
    <w:rsid w:val="00183B39"/>
    <w:rsid w:val="00184806"/>
    <w:rsid w:val="00191A18"/>
    <w:rsid w:val="0019341E"/>
    <w:rsid w:val="001B7076"/>
    <w:rsid w:val="001D4C1C"/>
    <w:rsid w:val="001D72B8"/>
    <w:rsid w:val="001E65D8"/>
    <w:rsid w:val="00212260"/>
    <w:rsid w:val="00213766"/>
    <w:rsid w:val="00236C65"/>
    <w:rsid w:val="00255E40"/>
    <w:rsid w:val="00257F30"/>
    <w:rsid w:val="00271CA9"/>
    <w:rsid w:val="00282340"/>
    <w:rsid w:val="0028527A"/>
    <w:rsid w:val="002A1176"/>
    <w:rsid w:val="002B2390"/>
    <w:rsid w:val="002B2826"/>
    <w:rsid w:val="002D4873"/>
    <w:rsid w:val="002F4A15"/>
    <w:rsid w:val="003011A0"/>
    <w:rsid w:val="00306589"/>
    <w:rsid w:val="00312D42"/>
    <w:rsid w:val="00313041"/>
    <w:rsid w:val="00313BD4"/>
    <w:rsid w:val="003147CD"/>
    <w:rsid w:val="00320423"/>
    <w:rsid w:val="00327A70"/>
    <w:rsid w:val="003517A9"/>
    <w:rsid w:val="00366B15"/>
    <w:rsid w:val="003C2F6A"/>
    <w:rsid w:val="003C7A9F"/>
    <w:rsid w:val="003D3C22"/>
    <w:rsid w:val="003D58AE"/>
    <w:rsid w:val="003F5151"/>
    <w:rsid w:val="003F65AF"/>
    <w:rsid w:val="00411E90"/>
    <w:rsid w:val="00420A75"/>
    <w:rsid w:val="00461B2B"/>
    <w:rsid w:val="00461CE0"/>
    <w:rsid w:val="00474BFD"/>
    <w:rsid w:val="00476AB8"/>
    <w:rsid w:val="00485E42"/>
    <w:rsid w:val="004A15FB"/>
    <w:rsid w:val="004B2915"/>
    <w:rsid w:val="004B63FB"/>
    <w:rsid w:val="004B6C0B"/>
    <w:rsid w:val="004D1082"/>
    <w:rsid w:val="004D3011"/>
    <w:rsid w:val="00507275"/>
    <w:rsid w:val="0051546D"/>
    <w:rsid w:val="0052426C"/>
    <w:rsid w:val="0053216B"/>
    <w:rsid w:val="00533827"/>
    <w:rsid w:val="005461C9"/>
    <w:rsid w:val="00553C1D"/>
    <w:rsid w:val="00557694"/>
    <w:rsid w:val="005835A7"/>
    <w:rsid w:val="00583613"/>
    <w:rsid w:val="005C09FA"/>
    <w:rsid w:val="005D6BAF"/>
    <w:rsid w:val="005D7BA5"/>
    <w:rsid w:val="00604DA1"/>
    <w:rsid w:val="006056AC"/>
    <w:rsid w:val="00612134"/>
    <w:rsid w:val="00633D91"/>
    <w:rsid w:val="006471FF"/>
    <w:rsid w:val="00664FD1"/>
    <w:rsid w:val="0066703C"/>
    <w:rsid w:val="00675DC2"/>
    <w:rsid w:val="00690776"/>
    <w:rsid w:val="006B04C0"/>
    <w:rsid w:val="006E45B6"/>
    <w:rsid w:val="006F78FB"/>
    <w:rsid w:val="0070007C"/>
    <w:rsid w:val="00715FD7"/>
    <w:rsid w:val="00723461"/>
    <w:rsid w:val="007409CF"/>
    <w:rsid w:val="00744F8E"/>
    <w:rsid w:val="007A6208"/>
    <w:rsid w:val="007B0CF7"/>
    <w:rsid w:val="007B7370"/>
    <w:rsid w:val="007D352A"/>
    <w:rsid w:val="007F53CD"/>
    <w:rsid w:val="00814277"/>
    <w:rsid w:val="00816EC4"/>
    <w:rsid w:val="00820BEA"/>
    <w:rsid w:val="00833CCE"/>
    <w:rsid w:val="00836BF2"/>
    <w:rsid w:val="008439A2"/>
    <w:rsid w:val="00845721"/>
    <w:rsid w:val="008854D0"/>
    <w:rsid w:val="008B29D6"/>
    <w:rsid w:val="008B6D8B"/>
    <w:rsid w:val="00901ED8"/>
    <w:rsid w:val="00915424"/>
    <w:rsid w:val="00947F20"/>
    <w:rsid w:val="00950C16"/>
    <w:rsid w:val="00955129"/>
    <w:rsid w:val="00960BDC"/>
    <w:rsid w:val="00964EBB"/>
    <w:rsid w:val="00982B10"/>
    <w:rsid w:val="00990913"/>
    <w:rsid w:val="00992243"/>
    <w:rsid w:val="009972ED"/>
    <w:rsid w:val="009B04B8"/>
    <w:rsid w:val="009C7695"/>
    <w:rsid w:val="009E3221"/>
    <w:rsid w:val="009E4FD6"/>
    <w:rsid w:val="009F3051"/>
    <w:rsid w:val="00A017A5"/>
    <w:rsid w:val="00A133A5"/>
    <w:rsid w:val="00A15182"/>
    <w:rsid w:val="00A32418"/>
    <w:rsid w:val="00A53D0F"/>
    <w:rsid w:val="00A54109"/>
    <w:rsid w:val="00A544D5"/>
    <w:rsid w:val="00A665CD"/>
    <w:rsid w:val="00A96A7B"/>
    <w:rsid w:val="00AA3B26"/>
    <w:rsid w:val="00AA622E"/>
    <w:rsid w:val="00AC5E79"/>
    <w:rsid w:val="00AD3066"/>
    <w:rsid w:val="00B05293"/>
    <w:rsid w:val="00B068D2"/>
    <w:rsid w:val="00B111AD"/>
    <w:rsid w:val="00B456E1"/>
    <w:rsid w:val="00B5114D"/>
    <w:rsid w:val="00B547EF"/>
    <w:rsid w:val="00B86DB7"/>
    <w:rsid w:val="00B911FB"/>
    <w:rsid w:val="00B91A14"/>
    <w:rsid w:val="00B95EC6"/>
    <w:rsid w:val="00BB6F9E"/>
    <w:rsid w:val="00BD752D"/>
    <w:rsid w:val="00BF37EB"/>
    <w:rsid w:val="00BF7F12"/>
    <w:rsid w:val="00C0078E"/>
    <w:rsid w:val="00C01871"/>
    <w:rsid w:val="00C02DC4"/>
    <w:rsid w:val="00C45408"/>
    <w:rsid w:val="00C57F70"/>
    <w:rsid w:val="00C87E49"/>
    <w:rsid w:val="00CA79B4"/>
    <w:rsid w:val="00CC0F2C"/>
    <w:rsid w:val="00CC2AF9"/>
    <w:rsid w:val="00CC4EE1"/>
    <w:rsid w:val="00CD6ACD"/>
    <w:rsid w:val="00CD6E1B"/>
    <w:rsid w:val="00CE0409"/>
    <w:rsid w:val="00CF2152"/>
    <w:rsid w:val="00D02997"/>
    <w:rsid w:val="00D12904"/>
    <w:rsid w:val="00D3089E"/>
    <w:rsid w:val="00D52594"/>
    <w:rsid w:val="00D70BA6"/>
    <w:rsid w:val="00D80922"/>
    <w:rsid w:val="00D86501"/>
    <w:rsid w:val="00D9494E"/>
    <w:rsid w:val="00D953CD"/>
    <w:rsid w:val="00DD264E"/>
    <w:rsid w:val="00E00720"/>
    <w:rsid w:val="00E04BCA"/>
    <w:rsid w:val="00E11FA4"/>
    <w:rsid w:val="00E1278A"/>
    <w:rsid w:val="00E12E79"/>
    <w:rsid w:val="00E13853"/>
    <w:rsid w:val="00E157BC"/>
    <w:rsid w:val="00E421A3"/>
    <w:rsid w:val="00E461A4"/>
    <w:rsid w:val="00E6099E"/>
    <w:rsid w:val="00E94B79"/>
    <w:rsid w:val="00EA19E2"/>
    <w:rsid w:val="00EA49A7"/>
    <w:rsid w:val="00EB1CC2"/>
    <w:rsid w:val="00EE0C67"/>
    <w:rsid w:val="00EF336E"/>
    <w:rsid w:val="00F00D63"/>
    <w:rsid w:val="00F042B6"/>
    <w:rsid w:val="00F6139B"/>
    <w:rsid w:val="00F80B17"/>
    <w:rsid w:val="00F85039"/>
    <w:rsid w:val="00F85C0C"/>
    <w:rsid w:val="00F933F3"/>
    <w:rsid w:val="00F95B6A"/>
    <w:rsid w:val="00FA2108"/>
    <w:rsid w:val="00FA220F"/>
    <w:rsid w:val="00FA774B"/>
    <w:rsid w:val="00FD5EA4"/>
    <w:rsid w:val="00FE55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D7085B-5554-4BC5-AB1F-A535338B0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0E484C"/>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0E484C"/>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55E40"/>
    <w:rPr>
      <w:color w:val="0000FF"/>
      <w:u w:val="single"/>
    </w:rPr>
  </w:style>
  <w:style w:type="table" w:styleId="TableGrid">
    <w:name w:val="Table Grid"/>
    <w:basedOn w:val="TableNormal"/>
    <w:uiPriority w:val="39"/>
    <w:rsid w:val="00E12E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E484C"/>
    <w:pPr>
      <w:ind w:left="720"/>
      <w:contextualSpacing/>
    </w:pPr>
  </w:style>
  <w:style w:type="character" w:customStyle="1" w:styleId="Heading2Char">
    <w:name w:val="Heading 2 Char"/>
    <w:basedOn w:val="DefaultParagraphFont"/>
    <w:link w:val="Heading2"/>
    <w:rsid w:val="000E484C"/>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0E484C"/>
    <w:rPr>
      <w:rFonts w:ascii="Times New Roman" w:eastAsia="Times New Roman" w:hAnsi="Times New Roman" w:cs="Times New Roman"/>
      <w:sz w:val="40"/>
      <w:szCs w:val="20"/>
      <w:lang w:eastAsia="en-GB"/>
    </w:rPr>
  </w:style>
  <w:style w:type="paragraph" w:styleId="Header">
    <w:name w:val="header"/>
    <w:basedOn w:val="Normal"/>
    <w:link w:val="HeaderChar"/>
    <w:rsid w:val="000E484C"/>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0E484C"/>
    <w:rPr>
      <w:rFonts w:ascii="Times New Roman" w:eastAsia="Times New Roman" w:hAnsi="Times New Roman" w:cs="Times New Roman"/>
      <w:sz w:val="20"/>
      <w:szCs w:val="20"/>
      <w:lang w:eastAsia="en-GB"/>
    </w:rPr>
  </w:style>
  <w:style w:type="paragraph" w:styleId="NormalWeb">
    <w:name w:val="Normal (Web)"/>
    <w:basedOn w:val="Normal"/>
    <w:uiPriority w:val="99"/>
    <w:rsid w:val="000E484C"/>
    <w:pPr>
      <w:spacing w:before="100" w:after="10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image" Target="media/image6.jpe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9588</Words>
  <Characters>54653</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Leonie Barnett</dc:creator>
  <cp:keywords/>
  <dc:description/>
  <cp:lastModifiedBy>Leonie Barnett</cp:lastModifiedBy>
  <cp:revision>2</cp:revision>
  <dcterms:created xsi:type="dcterms:W3CDTF">2019-05-13T15:39:00Z</dcterms:created>
  <dcterms:modified xsi:type="dcterms:W3CDTF">2019-05-13T15:39:00Z</dcterms:modified>
</cp:coreProperties>
</file>