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B14F2" w14:textId="77777777" w:rsidR="00C43A9C" w:rsidRPr="00C43A9C" w:rsidRDefault="00C43A9C" w:rsidP="00473ADD">
      <w:pPr>
        <w:spacing w:before="240" w:line="360" w:lineRule="auto"/>
        <w:jc w:val="both"/>
      </w:pPr>
      <w:bookmarkStart w:id="0" w:name="_Hlk214573792"/>
      <w:bookmarkEnd w:id="0"/>
    </w:p>
    <w:p w14:paraId="0DAD2FAB" w14:textId="77777777" w:rsidR="00C43A9C" w:rsidRPr="00C43A9C" w:rsidRDefault="00C43A9C" w:rsidP="00473ADD">
      <w:pPr>
        <w:spacing w:before="240" w:line="360" w:lineRule="auto"/>
        <w:jc w:val="both"/>
      </w:pPr>
    </w:p>
    <w:p w14:paraId="509EDDCF" w14:textId="77777777" w:rsidR="00C43A9C" w:rsidRPr="00C43A9C" w:rsidRDefault="00C43A9C" w:rsidP="00473ADD">
      <w:pPr>
        <w:spacing w:before="240" w:line="360" w:lineRule="auto"/>
        <w:jc w:val="both"/>
      </w:pPr>
    </w:p>
    <w:p w14:paraId="747BAAA2" w14:textId="77777777" w:rsidR="00C43A9C" w:rsidRDefault="00C43A9C" w:rsidP="00473ADD">
      <w:pPr>
        <w:spacing w:before="240" w:line="360" w:lineRule="auto"/>
        <w:jc w:val="both"/>
      </w:pPr>
    </w:p>
    <w:p w14:paraId="1E3FBDC7" w14:textId="77777777" w:rsidR="00C43A9C" w:rsidRPr="00C43A9C" w:rsidRDefault="00C43A9C" w:rsidP="00473ADD">
      <w:pPr>
        <w:spacing w:before="240" w:line="360" w:lineRule="auto"/>
        <w:jc w:val="both"/>
      </w:pPr>
    </w:p>
    <w:p w14:paraId="1431D8B4" w14:textId="77777777" w:rsidR="00C43A9C" w:rsidRPr="00C43A9C" w:rsidRDefault="00C43A9C" w:rsidP="00473ADD">
      <w:pPr>
        <w:spacing w:before="240" w:line="360" w:lineRule="auto"/>
        <w:jc w:val="both"/>
      </w:pPr>
    </w:p>
    <w:p w14:paraId="6A9779AD" w14:textId="474DF160" w:rsidR="007667D0" w:rsidRPr="00C43A9C" w:rsidRDefault="007667D0" w:rsidP="00473ADD">
      <w:pPr>
        <w:spacing w:before="240" w:line="360" w:lineRule="auto"/>
        <w:jc w:val="both"/>
        <w:rPr>
          <w:sz w:val="28"/>
          <w:szCs w:val="28"/>
        </w:rPr>
      </w:pPr>
      <w:r w:rsidRPr="00C43A9C">
        <w:rPr>
          <w:sz w:val="28"/>
          <w:szCs w:val="28"/>
        </w:rPr>
        <w:t>Program: Master of Business Administration</w:t>
      </w:r>
    </w:p>
    <w:p w14:paraId="5023E499" w14:textId="77777777" w:rsidR="007667D0" w:rsidRPr="00C43A9C" w:rsidRDefault="007667D0" w:rsidP="00473ADD">
      <w:pPr>
        <w:spacing w:before="240" w:line="360" w:lineRule="auto"/>
        <w:jc w:val="both"/>
        <w:rPr>
          <w:sz w:val="28"/>
          <w:szCs w:val="28"/>
        </w:rPr>
      </w:pPr>
      <w:r w:rsidRPr="00C43A9C">
        <w:rPr>
          <w:sz w:val="28"/>
          <w:szCs w:val="28"/>
        </w:rPr>
        <w:t>Module: Financial Management (LCMB7002)</w:t>
      </w:r>
    </w:p>
    <w:p w14:paraId="4DF1B25D" w14:textId="40291F42" w:rsidR="007667D0" w:rsidRPr="00C43A9C" w:rsidRDefault="007667D0" w:rsidP="00473ADD">
      <w:pPr>
        <w:spacing w:before="240" w:line="360" w:lineRule="auto"/>
        <w:jc w:val="both"/>
        <w:rPr>
          <w:sz w:val="28"/>
          <w:szCs w:val="28"/>
        </w:rPr>
      </w:pPr>
      <w:r w:rsidRPr="00C43A9C">
        <w:rPr>
          <w:sz w:val="28"/>
          <w:szCs w:val="28"/>
        </w:rPr>
        <w:t>Assignment Title: Financial Performance and Management of General Electronics</w:t>
      </w:r>
      <w:r w:rsidR="00C43A9C">
        <w:rPr>
          <w:sz w:val="28"/>
          <w:szCs w:val="28"/>
        </w:rPr>
        <w:t>:</w:t>
      </w:r>
    </w:p>
    <w:p w14:paraId="4C5474BF" w14:textId="04F80AC7" w:rsidR="007667D0" w:rsidRDefault="007667D0" w:rsidP="00473ADD">
      <w:pPr>
        <w:spacing w:before="240" w:line="360" w:lineRule="auto"/>
        <w:jc w:val="both"/>
        <w:rPr>
          <w:sz w:val="28"/>
          <w:szCs w:val="28"/>
        </w:rPr>
      </w:pPr>
      <w:r w:rsidRPr="00C43A9C">
        <w:rPr>
          <w:sz w:val="28"/>
          <w:szCs w:val="28"/>
        </w:rPr>
        <w:t>Student Name</w:t>
      </w:r>
      <w:r w:rsidR="00C43A9C">
        <w:rPr>
          <w:sz w:val="28"/>
          <w:szCs w:val="28"/>
        </w:rPr>
        <w:t>:</w:t>
      </w:r>
      <w:r w:rsidR="00896AAF">
        <w:rPr>
          <w:sz w:val="28"/>
          <w:szCs w:val="28"/>
        </w:rPr>
        <w:t xml:space="preserve"> Syed Raza Abbas</w:t>
      </w:r>
    </w:p>
    <w:p w14:paraId="43183DC9" w14:textId="45D369E5" w:rsidR="003A547D" w:rsidRPr="00C43A9C" w:rsidRDefault="003A547D" w:rsidP="00473ADD">
      <w:pPr>
        <w:spacing w:before="240" w:line="360" w:lineRule="auto"/>
        <w:jc w:val="both"/>
        <w:rPr>
          <w:sz w:val="28"/>
          <w:szCs w:val="28"/>
        </w:rPr>
      </w:pPr>
      <w:r>
        <w:rPr>
          <w:sz w:val="28"/>
          <w:szCs w:val="28"/>
        </w:rPr>
        <w:t>Student id:2513491</w:t>
      </w:r>
    </w:p>
    <w:p w14:paraId="5F0FB0DB" w14:textId="0DA510CA" w:rsidR="007667D0" w:rsidRPr="00C43A9C" w:rsidRDefault="007667D0" w:rsidP="00473ADD">
      <w:pPr>
        <w:spacing w:before="240" w:line="360" w:lineRule="auto"/>
        <w:jc w:val="both"/>
        <w:rPr>
          <w:sz w:val="28"/>
          <w:szCs w:val="28"/>
        </w:rPr>
      </w:pPr>
      <w:r w:rsidRPr="00C43A9C">
        <w:rPr>
          <w:sz w:val="28"/>
          <w:szCs w:val="28"/>
        </w:rPr>
        <w:t>Word Count</w:t>
      </w:r>
      <w:r w:rsidR="00DB418B">
        <w:rPr>
          <w:sz w:val="28"/>
          <w:szCs w:val="28"/>
        </w:rPr>
        <w:t xml:space="preserve"> 5328</w:t>
      </w:r>
    </w:p>
    <w:p w14:paraId="7800A9DB" w14:textId="361D0859" w:rsidR="007667D0" w:rsidRPr="00C43A9C" w:rsidRDefault="007667D0" w:rsidP="00473ADD">
      <w:pPr>
        <w:spacing w:before="240" w:line="360" w:lineRule="auto"/>
        <w:jc w:val="both"/>
        <w:rPr>
          <w:sz w:val="28"/>
          <w:szCs w:val="28"/>
        </w:rPr>
      </w:pPr>
    </w:p>
    <w:p w14:paraId="41EBB88A" w14:textId="76A6A372" w:rsidR="007667D0" w:rsidRPr="00C43A9C" w:rsidRDefault="00C43A9C" w:rsidP="00473ADD">
      <w:pPr>
        <w:spacing w:before="240" w:after="100" w:afterAutospacing="1" w:line="360" w:lineRule="auto"/>
        <w:jc w:val="both"/>
        <w:outlineLvl w:val="2"/>
        <w:rPr>
          <w:b/>
          <w:bCs/>
          <w:sz w:val="28"/>
          <w:szCs w:val="28"/>
        </w:rPr>
      </w:pPr>
      <w:r w:rsidRPr="00C43A9C">
        <w:rPr>
          <w:b/>
          <w:bCs/>
          <w:sz w:val="28"/>
          <w:szCs w:val="28"/>
        </w:rPr>
        <w:t xml:space="preserve">  </w:t>
      </w:r>
    </w:p>
    <w:p w14:paraId="357D532F" w14:textId="11649D39" w:rsidR="00C43A9C" w:rsidRPr="00C43A9C" w:rsidRDefault="00C43A9C" w:rsidP="00473ADD">
      <w:pPr>
        <w:spacing w:before="240" w:after="160" w:line="360" w:lineRule="auto"/>
        <w:jc w:val="both"/>
        <w:rPr>
          <w:b/>
          <w:bCs/>
        </w:rPr>
      </w:pPr>
      <w:r w:rsidRPr="00C43A9C">
        <w:rPr>
          <w:b/>
          <w:bCs/>
        </w:rPr>
        <w:br w:type="page"/>
      </w:r>
    </w:p>
    <w:p w14:paraId="5BF045C2" w14:textId="77777777" w:rsidR="00C43A9C" w:rsidRPr="00C43A9C" w:rsidRDefault="00C43A9C" w:rsidP="00473ADD">
      <w:pPr>
        <w:spacing w:before="240" w:after="100" w:afterAutospacing="1" w:line="360" w:lineRule="auto"/>
        <w:jc w:val="both"/>
        <w:outlineLvl w:val="2"/>
        <w:rPr>
          <w:b/>
          <w:bCs/>
        </w:rPr>
      </w:pPr>
    </w:p>
    <w:sdt>
      <w:sdtPr>
        <w:rPr>
          <w:rFonts w:ascii="Times New Roman" w:eastAsia="Times New Roman" w:hAnsi="Times New Roman" w:cs="Times New Roman"/>
          <w:b w:val="0"/>
          <w:bCs w:val="0"/>
          <w:color w:val="auto"/>
          <w:sz w:val="24"/>
          <w:szCs w:val="24"/>
        </w:rPr>
        <w:id w:val="299496299"/>
        <w:docPartObj>
          <w:docPartGallery w:val="Table of Contents"/>
          <w:docPartUnique/>
        </w:docPartObj>
      </w:sdtPr>
      <w:sdtEndPr>
        <w:rPr>
          <w:noProof/>
        </w:rPr>
      </w:sdtEndPr>
      <w:sdtContent>
        <w:p w14:paraId="6B8862A9" w14:textId="00CE645B" w:rsidR="00C43A9C" w:rsidRPr="00C43A9C" w:rsidRDefault="00C43A9C" w:rsidP="00473ADD">
          <w:pPr>
            <w:pStyle w:val="TOCHeading"/>
            <w:spacing w:before="240" w:line="360" w:lineRule="auto"/>
            <w:jc w:val="both"/>
            <w:rPr>
              <w:rFonts w:ascii="Times New Roman" w:hAnsi="Times New Roman" w:cs="Times New Roman"/>
              <w:color w:val="auto"/>
              <w:sz w:val="24"/>
              <w:szCs w:val="24"/>
            </w:rPr>
          </w:pPr>
          <w:r w:rsidRPr="00C43A9C">
            <w:rPr>
              <w:rFonts w:ascii="Times New Roman" w:hAnsi="Times New Roman" w:cs="Times New Roman"/>
              <w:color w:val="auto"/>
              <w:sz w:val="24"/>
              <w:szCs w:val="24"/>
            </w:rPr>
            <w:t>Table of Contents</w:t>
          </w:r>
        </w:p>
        <w:p w14:paraId="14B50F94" w14:textId="2358DC3C" w:rsidR="00DB418B" w:rsidRDefault="00C43A9C">
          <w:pPr>
            <w:pStyle w:val="TOC1"/>
            <w:tabs>
              <w:tab w:val="right" w:leader="dot" w:pos="9350"/>
            </w:tabs>
            <w:rPr>
              <w:rFonts w:eastAsiaTheme="minorEastAsia" w:cstheme="minorBidi"/>
              <w:b w:val="0"/>
              <w:bCs w:val="0"/>
              <w:i w:val="0"/>
              <w:iCs w:val="0"/>
              <w:noProof/>
              <w:kern w:val="2"/>
              <w:szCs w:val="24"/>
              <w14:ligatures w14:val="standardContextual"/>
            </w:rPr>
          </w:pPr>
          <w:r w:rsidRPr="00C43A9C">
            <w:rPr>
              <w:rFonts w:ascii="Times New Roman" w:hAnsi="Times New Roman"/>
              <w:b w:val="0"/>
              <w:bCs w:val="0"/>
              <w:szCs w:val="24"/>
            </w:rPr>
            <w:fldChar w:fldCharType="begin"/>
          </w:r>
          <w:r w:rsidRPr="00C43A9C">
            <w:rPr>
              <w:rFonts w:ascii="Times New Roman" w:hAnsi="Times New Roman"/>
              <w:szCs w:val="24"/>
            </w:rPr>
            <w:instrText xml:space="preserve"> TOC \o "1-3" \h \z \u </w:instrText>
          </w:r>
          <w:r w:rsidRPr="00C43A9C">
            <w:rPr>
              <w:rFonts w:ascii="Times New Roman" w:hAnsi="Times New Roman"/>
              <w:b w:val="0"/>
              <w:bCs w:val="0"/>
              <w:szCs w:val="24"/>
            </w:rPr>
            <w:fldChar w:fldCharType="separate"/>
          </w:r>
          <w:hyperlink w:anchor="_Toc214577421" w:history="1">
            <w:r w:rsidR="00DB418B" w:rsidRPr="004543B7">
              <w:rPr>
                <w:rStyle w:val="Hyperlink"/>
                <w:rFonts w:ascii="Times New Roman" w:hAnsi="Times New Roman"/>
                <w:noProof/>
              </w:rPr>
              <w:t>Introduction</w:t>
            </w:r>
            <w:r w:rsidR="00DB418B">
              <w:rPr>
                <w:noProof/>
                <w:webHidden/>
              </w:rPr>
              <w:tab/>
            </w:r>
            <w:r w:rsidR="00DB418B">
              <w:rPr>
                <w:noProof/>
                <w:webHidden/>
              </w:rPr>
              <w:fldChar w:fldCharType="begin"/>
            </w:r>
            <w:r w:rsidR="00DB418B">
              <w:rPr>
                <w:noProof/>
                <w:webHidden/>
              </w:rPr>
              <w:instrText xml:space="preserve"> PAGEREF _Toc214577421 \h </w:instrText>
            </w:r>
            <w:r w:rsidR="00DB418B">
              <w:rPr>
                <w:noProof/>
                <w:webHidden/>
              </w:rPr>
            </w:r>
            <w:r w:rsidR="00DB418B">
              <w:rPr>
                <w:noProof/>
                <w:webHidden/>
              </w:rPr>
              <w:fldChar w:fldCharType="separate"/>
            </w:r>
            <w:r w:rsidR="00DB418B">
              <w:rPr>
                <w:noProof/>
                <w:webHidden/>
              </w:rPr>
              <w:t>3</w:t>
            </w:r>
            <w:r w:rsidR="00DB418B">
              <w:rPr>
                <w:noProof/>
                <w:webHidden/>
              </w:rPr>
              <w:fldChar w:fldCharType="end"/>
            </w:r>
          </w:hyperlink>
        </w:p>
        <w:p w14:paraId="01235478" w14:textId="2A04D161" w:rsidR="00DB418B" w:rsidRDefault="00DB418B">
          <w:pPr>
            <w:pStyle w:val="TOC1"/>
            <w:tabs>
              <w:tab w:val="left" w:pos="480"/>
              <w:tab w:val="right" w:leader="dot" w:pos="9350"/>
            </w:tabs>
            <w:rPr>
              <w:rFonts w:eastAsiaTheme="minorEastAsia" w:cstheme="minorBidi"/>
              <w:b w:val="0"/>
              <w:bCs w:val="0"/>
              <w:i w:val="0"/>
              <w:iCs w:val="0"/>
              <w:noProof/>
              <w:kern w:val="2"/>
              <w:szCs w:val="24"/>
              <w14:ligatures w14:val="standardContextual"/>
            </w:rPr>
          </w:pPr>
          <w:hyperlink w:anchor="_Toc214577422" w:history="1">
            <w:r w:rsidRPr="004543B7">
              <w:rPr>
                <w:rStyle w:val="Hyperlink"/>
                <w:rFonts w:ascii="Times New Roman" w:hAnsi="Times New Roman"/>
                <w:noProof/>
              </w:rPr>
              <w:t>1.</w:t>
            </w:r>
            <w:r>
              <w:rPr>
                <w:rFonts w:eastAsiaTheme="minorEastAsia" w:cstheme="minorBidi"/>
                <w:b w:val="0"/>
                <w:bCs w:val="0"/>
                <w:i w:val="0"/>
                <w:iCs w:val="0"/>
                <w:noProof/>
                <w:kern w:val="2"/>
                <w:szCs w:val="24"/>
                <w14:ligatures w14:val="standardContextual"/>
              </w:rPr>
              <w:tab/>
            </w:r>
            <w:r w:rsidRPr="004543B7">
              <w:rPr>
                <w:rStyle w:val="Hyperlink"/>
                <w:rFonts w:ascii="Times New Roman" w:hAnsi="Times New Roman"/>
                <w:noProof/>
              </w:rPr>
              <w:t>Financial Health Check</w:t>
            </w:r>
            <w:r>
              <w:rPr>
                <w:noProof/>
                <w:webHidden/>
              </w:rPr>
              <w:tab/>
            </w:r>
            <w:r>
              <w:rPr>
                <w:noProof/>
                <w:webHidden/>
              </w:rPr>
              <w:fldChar w:fldCharType="begin"/>
            </w:r>
            <w:r>
              <w:rPr>
                <w:noProof/>
                <w:webHidden/>
              </w:rPr>
              <w:instrText xml:space="preserve"> PAGEREF _Toc214577422 \h </w:instrText>
            </w:r>
            <w:r>
              <w:rPr>
                <w:noProof/>
                <w:webHidden/>
              </w:rPr>
            </w:r>
            <w:r>
              <w:rPr>
                <w:noProof/>
                <w:webHidden/>
              </w:rPr>
              <w:fldChar w:fldCharType="separate"/>
            </w:r>
            <w:r>
              <w:rPr>
                <w:noProof/>
                <w:webHidden/>
              </w:rPr>
              <w:t>4</w:t>
            </w:r>
            <w:r>
              <w:rPr>
                <w:noProof/>
                <w:webHidden/>
              </w:rPr>
              <w:fldChar w:fldCharType="end"/>
            </w:r>
          </w:hyperlink>
        </w:p>
        <w:p w14:paraId="436C3FCF" w14:textId="7C5A4882" w:rsidR="00DB418B" w:rsidRDefault="00DB418B">
          <w:pPr>
            <w:pStyle w:val="TOC1"/>
            <w:tabs>
              <w:tab w:val="right" w:leader="dot" w:pos="9350"/>
            </w:tabs>
            <w:rPr>
              <w:rFonts w:eastAsiaTheme="minorEastAsia" w:cstheme="minorBidi"/>
              <w:b w:val="0"/>
              <w:bCs w:val="0"/>
              <w:i w:val="0"/>
              <w:iCs w:val="0"/>
              <w:noProof/>
              <w:kern w:val="2"/>
              <w:szCs w:val="24"/>
              <w14:ligatures w14:val="standardContextual"/>
            </w:rPr>
          </w:pPr>
          <w:hyperlink w:anchor="_Toc214577423" w:history="1">
            <w:r w:rsidRPr="004543B7">
              <w:rPr>
                <w:rStyle w:val="Hyperlink"/>
                <w:rFonts w:ascii="Times New Roman" w:hAnsi="Times New Roman"/>
                <w:noProof/>
              </w:rPr>
              <w:t>2. Working Capital Management Analysis</w:t>
            </w:r>
            <w:r>
              <w:rPr>
                <w:noProof/>
                <w:webHidden/>
              </w:rPr>
              <w:tab/>
            </w:r>
            <w:r>
              <w:rPr>
                <w:noProof/>
                <w:webHidden/>
              </w:rPr>
              <w:fldChar w:fldCharType="begin"/>
            </w:r>
            <w:r>
              <w:rPr>
                <w:noProof/>
                <w:webHidden/>
              </w:rPr>
              <w:instrText xml:space="preserve"> PAGEREF _Toc214577423 \h </w:instrText>
            </w:r>
            <w:r>
              <w:rPr>
                <w:noProof/>
                <w:webHidden/>
              </w:rPr>
            </w:r>
            <w:r>
              <w:rPr>
                <w:noProof/>
                <w:webHidden/>
              </w:rPr>
              <w:fldChar w:fldCharType="separate"/>
            </w:r>
            <w:r>
              <w:rPr>
                <w:noProof/>
                <w:webHidden/>
              </w:rPr>
              <w:t>9</w:t>
            </w:r>
            <w:r>
              <w:rPr>
                <w:noProof/>
                <w:webHidden/>
              </w:rPr>
              <w:fldChar w:fldCharType="end"/>
            </w:r>
          </w:hyperlink>
        </w:p>
        <w:p w14:paraId="2AD8B53A" w14:textId="49678E05" w:rsidR="00DB418B" w:rsidRDefault="00DB418B">
          <w:pPr>
            <w:pStyle w:val="TOC1"/>
            <w:tabs>
              <w:tab w:val="right" w:leader="dot" w:pos="9350"/>
            </w:tabs>
            <w:rPr>
              <w:rFonts w:eastAsiaTheme="minorEastAsia" w:cstheme="minorBidi"/>
              <w:b w:val="0"/>
              <w:bCs w:val="0"/>
              <w:i w:val="0"/>
              <w:iCs w:val="0"/>
              <w:noProof/>
              <w:kern w:val="2"/>
              <w:szCs w:val="24"/>
              <w14:ligatures w14:val="standardContextual"/>
            </w:rPr>
          </w:pPr>
          <w:hyperlink w:anchor="_Toc214577424" w:history="1">
            <w:r w:rsidRPr="004543B7">
              <w:rPr>
                <w:rStyle w:val="Hyperlink"/>
                <w:rFonts w:ascii="Times New Roman" w:hAnsi="Times New Roman"/>
                <w:noProof/>
              </w:rPr>
              <w:t>3. Strategic Financial Restructuring Plan for General Electronics</w:t>
            </w:r>
            <w:r>
              <w:rPr>
                <w:noProof/>
                <w:webHidden/>
              </w:rPr>
              <w:tab/>
            </w:r>
            <w:r>
              <w:rPr>
                <w:noProof/>
                <w:webHidden/>
              </w:rPr>
              <w:fldChar w:fldCharType="begin"/>
            </w:r>
            <w:r>
              <w:rPr>
                <w:noProof/>
                <w:webHidden/>
              </w:rPr>
              <w:instrText xml:space="preserve"> PAGEREF _Toc214577424 \h </w:instrText>
            </w:r>
            <w:r>
              <w:rPr>
                <w:noProof/>
                <w:webHidden/>
              </w:rPr>
            </w:r>
            <w:r>
              <w:rPr>
                <w:noProof/>
                <w:webHidden/>
              </w:rPr>
              <w:fldChar w:fldCharType="separate"/>
            </w:r>
            <w:r>
              <w:rPr>
                <w:noProof/>
                <w:webHidden/>
              </w:rPr>
              <w:t>12</w:t>
            </w:r>
            <w:r>
              <w:rPr>
                <w:noProof/>
                <w:webHidden/>
              </w:rPr>
              <w:fldChar w:fldCharType="end"/>
            </w:r>
          </w:hyperlink>
        </w:p>
        <w:p w14:paraId="56AD4CE2" w14:textId="7B643809" w:rsidR="00DB418B" w:rsidRDefault="00DB418B">
          <w:pPr>
            <w:pStyle w:val="TOC1"/>
            <w:tabs>
              <w:tab w:val="right" w:leader="dot" w:pos="9350"/>
            </w:tabs>
            <w:rPr>
              <w:rFonts w:eastAsiaTheme="minorEastAsia" w:cstheme="minorBidi"/>
              <w:b w:val="0"/>
              <w:bCs w:val="0"/>
              <w:i w:val="0"/>
              <w:iCs w:val="0"/>
              <w:noProof/>
              <w:kern w:val="2"/>
              <w:szCs w:val="24"/>
              <w14:ligatures w14:val="standardContextual"/>
            </w:rPr>
          </w:pPr>
          <w:hyperlink w:anchor="_Toc214577425" w:history="1">
            <w:r w:rsidRPr="004543B7">
              <w:rPr>
                <w:rStyle w:val="Hyperlink"/>
                <w:rFonts w:ascii="Times New Roman" w:hAnsi="Times New Roman"/>
                <w:noProof/>
              </w:rPr>
              <w:t>4. Investment Appraisal and Capital Budgeting for General Electronics</w:t>
            </w:r>
            <w:r>
              <w:rPr>
                <w:noProof/>
                <w:webHidden/>
              </w:rPr>
              <w:tab/>
            </w:r>
            <w:r>
              <w:rPr>
                <w:noProof/>
                <w:webHidden/>
              </w:rPr>
              <w:fldChar w:fldCharType="begin"/>
            </w:r>
            <w:r>
              <w:rPr>
                <w:noProof/>
                <w:webHidden/>
              </w:rPr>
              <w:instrText xml:space="preserve"> PAGEREF _Toc214577425 \h </w:instrText>
            </w:r>
            <w:r>
              <w:rPr>
                <w:noProof/>
                <w:webHidden/>
              </w:rPr>
            </w:r>
            <w:r>
              <w:rPr>
                <w:noProof/>
                <w:webHidden/>
              </w:rPr>
              <w:fldChar w:fldCharType="separate"/>
            </w:r>
            <w:r>
              <w:rPr>
                <w:noProof/>
                <w:webHidden/>
              </w:rPr>
              <w:t>17</w:t>
            </w:r>
            <w:r>
              <w:rPr>
                <w:noProof/>
                <w:webHidden/>
              </w:rPr>
              <w:fldChar w:fldCharType="end"/>
            </w:r>
          </w:hyperlink>
        </w:p>
        <w:p w14:paraId="516B59A2" w14:textId="39060FF2" w:rsidR="00DB418B" w:rsidRDefault="00DB418B">
          <w:pPr>
            <w:pStyle w:val="TOC1"/>
            <w:tabs>
              <w:tab w:val="right" w:leader="dot" w:pos="9350"/>
            </w:tabs>
            <w:rPr>
              <w:rFonts w:eastAsiaTheme="minorEastAsia" w:cstheme="minorBidi"/>
              <w:b w:val="0"/>
              <w:bCs w:val="0"/>
              <w:i w:val="0"/>
              <w:iCs w:val="0"/>
              <w:noProof/>
              <w:kern w:val="2"/>
              <w:szCs w:val="24"/>
              <w14:ligatures w14:val="standardContextual"/>
            </w:rPr>
          </w:pPr>
          <w:hyperlink w:anchor="_Toc214577426" w:history="1">
            <w:r w:rsidRPr="004543B7">
              <w:rPr>
                <w:rStyle w:val="Hyperlink"/>
                <w:rFonts w:ascii="Times New Roman" w:hAnsi="Times New Roman"/>
                <w:noProof/>
              </w:rPr>
              <w:t>Conclusion</w:t>
            </w:r>
            <w:r>
              <w:rPr>
                <w:noProof/>
                <w:webHidden/>
              </w:rPr>
              <w:tab/>
            </w:r>
            <w:r>
              <w:rPr>
                <w:noProof/>
                <w:webHidden/>
              </w:rPr>
              <w:fldChar w:fldCharType="begin"/>
            </w:r>
            <w:r>
              <w:rPr>
                <w:noProof/>
                <w:webHidden/>
              </w:rPr>
              <w:instrText xml:space="preserve"> PAGEREF _Toc214577426 \h </w:instrText>
            </w:r>
            <w:r>
              <w:rPr>
                <w:noProof/>
                <w:webHidden/>
              </w:rPr>
            </w:r>
            <w:r>
              <w:rPr>
                <w:noProof/>
                <w:webHidden/>
              </w:rPr>
              <w:fldChar w:fldCharType="separate"/>
            </w:r>
            <w:r>
              <w:rPr>
                <w:noProof/>
                <w:webHidden/>
              </w:rPr>
              <w:t>24</w:t>
            </w:r>
            <w:r>
              <w:rPr>
                <w:noProof/>
                <w:webHidden/>
              </w:rPr>
              <w:fldChar w:fldCharType="end"/>
            </w:r>
          </w:hyperlink>
        </w:p>
        <w:p w14:paraId="1E5A8C65" w14:textId="36E4A51F" w:rsidR="00DB418B" w:rsidRDefault="00DB418B">
          <w:pPr>
            <w:pStyle w:val="TOC1"/>
            <w:tabs>
              <w:tab w:val="right" w:leader="dot" w:pos="9350"/>
            </w:tabs>
            <w:rPr>
              <w:rFonts w:eastAsiaTheme="minorEastAsia" w:cstheme="minorBidi"/>
              <w:b w:val="0"/>
              <w:bCs w:val="0"/>
              <w:i w:val="0"/>
              <w:iCs w:val="0"/>
              <w:noProof/>
              <w:kern w:val="2"/>
              <w:szCs w:val="24"/>
              <w14:ligatures w14:val="standardContextual"/>
            </w:rPr>
          </w:pPr>
          <w:hyperlink w:anchor="_Toc214577427" w:history="1">
            <w:r w:rsidRPr="004543B7">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_Toc214577427 \h </w:instrText>
            </w:r>
            <w:r>
              <w:rPr>
                <w:noProof/>
                <w:webHidden/>
              </w:rPr>
            </w:r>
            <w:r>
              <w:rPr>
                <w:noProof/>
                <w:webHidden/>
              </w:rPr>
              <w:fldChar w:fldCharType="separate"/>
            </w:r>
            <w:r>
              <w:rPr>
                <w:noProof/>
                <w:webHidden/>
              </w:rPr>
              <w:t>25</w:t>
            </w:r>
            <w:r>
              <w:rPr>
                <w:noProof/>
                <w:webHidden/>
              </w:rPr>
              <w:fldChar w:fldCharType="end"/>
            </w:r>
          </w:hyperlink>
        </w:p>
        <w:p w14:paraId="12C8D1CA" w14:textId="0A68D4F5" w:rsidR="00DB418B" w:rsidRDefault="00DB418B">
          <w:pPr>
            <w:pStyle w:val="TOC1"/>
            <w:tabs>
              <w:tab w:val="right" w:leader="dot" w:pos="9350"/>
            </w:tabs>
            <w:rPr>
              <w:rFonts w:eastAsiaTheme="minorEastAsia" w:cstheme="minorBidi"/>
              <w:b w:val="0"/>
              <w:bCs w:val="0"/>
              <w:i w:val="0"/>
              <w:iCs w:val="0"/>
              <w:noProof/>
              <w:kern w:val="2"/>
              <w:szCs w:val="24"/>
              <w14:ligatures w14:val="standardContextual"/>
            </w:rPr>
          </w:pPr>
          <w:hyperlink w:anchor="_Toc214577428" w:history="1">
            <w:r w:rsidRPr="004543B7">
              <w:rPr>
                <w:rStyle w:val="Hyperlink"/>
                <w:rFonts w:ascii="Times New Roman" w:hAnsi="Times New Roman"/>
                <w:noProof/>
              </w:rPr>
              <w:t>Appendices</w:t>
            </w:r>
            <w:r>
              <w:rPr>
                <w:noProof/>
                <w:webHidden/>
              </w:rPr>
              <w:tab/>
            </w:r>
            <w:r>
              <w:rPr>
                <w:noProof/>
                <w:webHidden/>
              </w:rPr>
              <w:fldChar w:fldCharType="begin"/>
            </w:r>
            <w:r>
              <w:rPr>
                <w:noProof/>
                <w:webHidden/>
              </w:rPr>
              <w:instrText xml:space="preserve"> PAGEREF _Toc214577428 \h </w:instrText>
            </w:r>
            <w:r>
              <w:rPr>
                <w:noProof/>
                <w:webHidden/>
              </w:rPr>
            </w:r>
            <w:r>
              <w:rPr>
                <w:noProof/>
                <w:webHidden/>
              </w:rPr>
              <w:fldChar w:fldCharType="separate"/>
            </w:r>
            <w:r>
              <w:rPr>
                <w:noProof/>
                <w:webHidden/>
              </w:rPr>
              <w:t>27</w:t>
            </w:r>
            <w:r>
              <w:rPr>
                <w:noProof/>
                <w:webHidden/>
              </w:rPr>
              <w:fldChar w:fldCharType="end"/>
            </w:r>
          </w:hyperlink>
        </w:p>
        <w:p w14:paraId="6A3DDB9D" w14:textId="3D24F6B8" w:rsidR="00C43A9C" w:rsidRPr="00C43A9C" w:rsidRDefault="00C43A9C" w:rsidP="00473ADD">
          <w:pPr>
            <w:spacing w:before="240" w:line="360" w:lineRule="auto"/>
            <w:jc w:val="both"/>
          </w:pPr>
          <w:r w:rsidRPr="00C43A9C">
            <w:rPr>
              <w:b/>
              <w:bCs/>
              <w:noProof/>
            </w:rPr>
            <w:fldChar w:fldCharType="end"/>
          </w:r>
        </w:p>
      </w:sdtContent>
    </w:sdt>
    <w:p w14:paraId="53A4D315" w14:textId="77777777" w:rsidR="00C43A9C" w:rsidRPr="00C43A9C" w:rsidRDefault="00C43A9C" w:rsidP="00473ADD">
      <w:pPr>
        <w:spacing w:before="240" w:after="100" w:afterAutospacing="1" w:line="360" w:lineRule="auto"/>
        <w:jc w:val="both"/>
        <w:outlineLvl w:val="2"/>
        <w:rPr>
          <w:b/>
          <w:bCs/>
        </w:rPr>
      </w:pPr>
    </w:p>
    <w:p w14:paraId="7E9E046C" w14:textId="77777777" w:rsidR="007667D0" w:rsidRPr="00C43A9C" w:rsidRDefault="007667D0" w:rsidP="00473ADD">
      <w:pPr>
        <w:spacing w:before="240" w:after="100" w:afterAutospacing="1" w:line="360" w:lineRule="auto"/>
        <w:jc w:val="both"/>
        <w:outlineLvl w:val="2"/>
        <w:rPr>
          <w:b/>
          <w:bCs/>
        </w:rPr>
      </w:pPr>
    </w:p>
    <w:p w14:paraId="589FD278" w14:textId="77777777" w:rsidR="007667D0" w:rsidRPr="00C43A9C" w:rsidRDefault="007667D0" w:rsidP="00473ADD">
      <w:pPr>
        <w:spacing w:before="240" w:after="100" w:afterAutospacing="1" w:line="360" w:lineRule="auto"/>
        <w:jc w:val="both"/>
        <w:outlineLvl w:val="2"/>
        <w:rPr>
          <w:b/>
          <w:bCs/>
        </w:rPr>
      </w:pPr>
    </w:p>
    <w:p w14:paraId="4A9FD50E" w14:textId="77777777" w:rsidR="007667D0" w:rsidRPr="00C43A9C" w:rsidRDefault="007667D0" w:rsidP="00473ADD">
      <w:pPr>
        <w:spacing w:before="240" w:after="100" w:afterAutospacing="1" w:line="360" w:lineRule="auto"/>
        <w:jc w:val="both"/>
        <w:outlineLvl w:val="2"/>
        <w:rPr>
          <w:b/>
          <w:bCs/>
        </w:rPr>
      </w:pPr>
    </w:p>
    <w:p w14:paraId="2C7443D0" w14:textId="77777777" w:rsidR="007667D0" w:rsidRPr="00C43A9C" w:rsidRDefault="007667D0" w:rsidP="00473ADD">
      <w:pPr>
        <w:spacing w:before="240" w:after="100" w:afterAutospacing="1" w:line="360" w:lineRule="auto"/>
        <w:jc w:val="both"/>
        <w:outlineLvl w:val="2"/>
        <w:rPr>
          <w:b/>
          <w:bCs/>
        </w:rPr>
      </w:pPr>
    </w:p>
    <w:p w14:paraId="38535E3C" w14:textId="77777777" w:rsidR="007667D0" w:rsidRPr="00C43A9C" w:rsidRDefault="007667D0" w:rsidP="00473ADD">
      <w:pPr>
        <w:spacing w:before="240" w:after="100" w:afterAutospacing="1" w:line="360" w:lineRule="auto"/>
        <w:jc w:val="both"/>
        <w:outlineLvl w:val="2"/>
        <w:rPr>
          <w:b/>
          <w:bCs/>
        </w:rPr>
      </w:pPr>
    </w:p>
    <w:p w14:paraId="41E147DB" w14:textId="77777777" w:rsidR="00C43A9C" w:rsidRPr="00C43A9C" w:rsidRDefault="00C43A9C" w:rsidP="00473ADD">
      <w:pPr>
        <w:spacing w:before="240" w:after="160" w:line="360" w:lineRule="auto"/>
        <w:jc w:val="both"/>
        <w:rPr>
          <w:rFonts w:eastAsiaTheme="majorEastAsia"/>
          <w:b/>
          <w:bCs/>
        </w:rPr>
      </w:pPr>
      <w:r w:rsidRPr="00C43A9C">
        <w:rPr>
          <w:b/>
          <w:bCs/>
        </w:rPr>
        <w:br w:type="page"/>
      </w:r>
    </w:p>
    <w:p w14:paraId="6A03453E" w14:textId="2BB10A34" w:rsidR="007A2BFA" w:rsidRPr="00C43A9C" w:rsidRDefault="007A2BFA" w:rsidP="00473ADD">
      <w:pPr>
        <w:pStyle w:val="Heading1"/>
        <w:spacing w:before="240" w:line="360" w:lineRule="auto"/>
        <w:jc w:val="both"/>
        <w:rPr>
          <w:rFonts w:ascii="Times New Roman" w:hAnsi="Times New Roman" w:cs="Times New Roman"/>
          <w:b/>
          <w:bCs/>
          <w:color w:val="auto"/>
          <w:sz w:val="24"/>
          <w:szCs w:val="24"/>
        </w:rPr>
      </w:pPr>
      <w:bookmarkStart w:id="1" w:name="_Toc214577421"/>
      <w:r w:rsidRPr="00C43A9C">
        <w:rPr>
          <w:rFonts w:ascii="Times New Roman" w:hAnsi="Times New Roman" w:cs="Times New Roman"/>
          <w:b/>
          <w:bCs/>
          <w:color w:val="auto"/>
          <w:sz w:val="24"/>
          <w:szCs w:val="24"/>
        </w:rPr>
        <w:t>Introduction</w:t>
      </w:r>
      <w:bookmarkEnd w:id="1"/>
    </w:p>
    <w:p w14:paraId="7B2B994D" w14:textId="785E5D86" w:rsidR="009649D1" w:rsidRPr="00C43A9C" w:rsidRDefault="009649D1" w:rsidP="00473ADD">
      <w:pPr>
        <w:spacing w:before="240" w:line="360" w:lineRule="auto"/>
        <w:jc w:val="both"/>
      </w:pPr>
      <w:r w:rsidRPr="00C43A9C">
        <w:t xml:space="preserve">General Electronics is a leading consumer electronics player in the </w:t>
      </w:r>
      <w:r w:rsidR="00875881">
        <w:t>world</w:t>
      </w:r>
      <w:r w:rsidRPr="00C43A9C">
        <w:t xml:space="preserve"> and has been struggling with severe financial issues over the past five years. Nevertheless, the company</w:t>
      </w:r>
      <w:r w:rsidR="001336DD">
        <w:t>’s</w:t>
      </w:r>
      <w:r w:rsidRPr="00C43A9C">
        <w:t xml:space="preserve"> performance has been experiencing a slow decline in the performance with a decrease in its net sales of PS614.68 million in 2020</w:t>
      </w:r>
      <w:r w:rsidR="001336DD">
        <w:t>,</w:t>
      </w:r>
      <w:r w:rsidRPr="00C43A9C">
        <w:t xml:space="preserve"> reducing to PS394.88 million in 202</w:t>
      </w:r>
      <w:r w:rsidR="001336DD">
        <w:t>,</w:t>
      </w:r>
      <w:r w:rsidRPr="00C43A9C">
        <w:t>4</w:t>
      </w:r>
      <w:r w:rsidR="00875881">
        <w:t>,</w:t>
      </w:r>
      <w:r w:rsidRPr="00C43A9C">
        <w:t xml:space="preserve"> despite being the market</w:t>
      </w:r>
      <w:r w:rsidR="001336DD">
        <w:t>-</w:t>
      </w:r>
      <w:r w:rsidRPr="00C43A9C">
        <w:t>leading company. This downturn is not merely a downward</w:t>
      </w:r>
      <w:r w:rsidR="00875881">
        <w:t>-</w:t>
      </w:r>
      <w:r w:rsidRPr="00C43A9C">
        <w:t xml:space="preserve">moving revenue but a hoarding of inefficiencies </w:t>
      </w:r>
      <w:r w:rsidR="00875881">
        <w:t>in</w:t>
      </w:r>
      <w:r w:rsidRPr="00C43A9C">
        <w:t xml:space="preserve"> the operations</w:t>
      </w:r>
      <w:r w:rsidR="00875881">
        <w:t>,</w:t>
      </w:r>
      <w:r w:rsidRPr="00C43A9C">
        <w:t xml:space="preserve"> as can be gauged through the increasing operating expenses and the deteriorating profitability. One such area is the operating losses</w:t>
      </w:r>
      <w:r w:rsidR="00875881">
        <w:t>,</w:t>
      </w:r>
      <w:r w:rsidRPr="00C43A9C">
        <w:t xml:space="preserve"> which now amount to PS85.3 million in 2023 and PS15.3 million in 2024</w:t>
      </w:r>
      <w:r w:rsidR="00875881">
        <w:t>,</w:t>
      </w:r>
      <w:r w:rsidRPr="00C43A9C">
        <w:t xml:space="preserve"> as compared to PS23.3 million in 2021, which is a profit. Moreover, the balance sheet of the company also shares a worrisome tendency of the growth of liabilitie</w:t>
      </w:r>
      <w:r w:rsidR="0001301C">
        <w:t>s</w:t>
      </w:r>
      <w:r w:rsidR="00875881">
        <w:t>,</w:t>
      </w:r>
      <w:r w:rsidRPr="00C43A9C">
        <w:t xml:space="preserve"> with total liabilities rising in 2020 to PS196.99 and in 2024 to PS170.2</w:t>
      </w:r>
      <w:r w:rsidR="00875881">
        <w:t>,</w:t>
      </w:r>
      <w:r w:rsidRPr="00C43A9C">
        <w:t>5</w:t>
      </w:r>
      <w:r w:rsidR="0001301C">
        <w:t>,</w:t>
      </w:r>
      <w:r w:rsidRPr="00C43A9C">
        <w:t xml:space="preserve"> only to deteriorate the financial situation.</w:t>
      </w:r>
    </w:p>
    <w:p w14:paraId="52A512BC" w14:textId="04B48F41" w:rsidR="009649D1" w:rsidRPr="00C43A9C" w:rsidRDefault="009649D1" w:rsidP="00473ADD">
      <w:pPr>
        <w:spacing w:before="240" w:line="360" w:lineRule="auto"/>
        <w:jc w:val="both"/>
      </w:pPr>
      <w:r w:rsidRPr="00C43A9C">
        <w:t xml:space="preserve">It is a </w:t>
      </w:r>
      <w:r w:rsidR="00875881">
        <w:t>severe</w:t>
      </w:r>
      <w:r w:rsidRPr="00C43A9C">
        <w:t xml:space="preserve"> business time</w:t>
      </w:r>
      <w:r w:rsidR="00875881">
        <w:t>,</w:t>
      </w:r>
      <w:r w:rsidRPr="00C43A9C">
        <w:t xml:space="preserve"> and hence, to launch the turnaround strategy of the company, the Board of Directors has employed a new Chief Financial Officer (CFO). This report aims </w:t>
      </w:r>
      <w:r w:rsidR="00875881">
        <w:t>to</w:t>
      </w:r>
      <w:r w:rsidRPr="00C43A9C">
        <w:t xml:space="preserve"> discuss the financial performance of General Electronics over the past five years and uncover the underlying cause</w:t>
      </w:r>
      <w:r w:rsidR="00875881">
        <w:t>,</w:t>
      </w:r>
      <w:r w:rsidRPr="00C43A9C">
        <w:t xml:space="preserve"> </w:t>
      </w:r>
      <w:r w:rsidR="00875881" w:rsidRPr="00C43A9C">
        <w:t>an</w:t>
      </w:r>
      <w:r w:rsidR="00875881">
        <w:t>d</w:t>
      </w:r>
      <w:r w:rsidRPr="00C43A9C">
        <w:t xml:space="preserve"> provide </w:t>
      </w:r>
      <w:r w:rsidR="00875881">
        <w:t xml:space="preserve">a </w:t>
      </w:r>
      <w:r w:rsidRPr="00C43A9C">
        <w:t>proper turnaround strategy. Its primary areas of interest will be the financial health assessment, working capital, strategic financial restructuring, and investment appraisal.</w:t>
      </w:r>
    </w:p>
    <w:p w14:paraId="21CCA891" w14:textId="63DEF360" w:rsidR="009649D1" w:rsidRPr="00C43A9C" w:rsidRDefault="009649D1" w:rsidP="00473ADD">
      <w:pPr>
        <w:pStyle w:val="NormalWeb"/>
        <w:spacing w:line="360" w:lineRule="auto"/>
        <w:jc w:val="both"/>
      </w:pPr>
      <w:r w:rsidRPr="00C43A9C">
        <w:t xml:space="preserve">A thorough study of the financial statements of the company (It will </w:t>
      </w:r>
      <w:r w:rsidR="00875881" w:rsidRPr="00C43A9C">
        <w:t>include</w:t>
      </w:r>
      <w:r w:rsidRPr="00C43A9C">
        <w:t xml:space="preserve"> </w:t>
      </w:r>
      <w:r w:rsidR="0001301C">
        <w:t xml:space="preserve">the </w:t>
      </w:r>
      <w:r w:rsidRPr="00C43A9C">
        <w:t xml:space="preserve">income statement, balance </w:t>
      </w:r>
      <w:r w:rsidR="00875881" w:rsidRPr="00C43A9C">
        <w:t>shee</w:t>
      </w:r>
      <w:r w:rsidR="00875881">
        <w:t>t,</w:t>
      </w:r>
      <w:r w:rsidRPr="00C43A9C">
        <w:t xml:space="preserve"> an</w:t>
      </w:r>
      <w:r w:rsidR="00875881">
        <w:t>d</w:t>
      </w:r>
      <w:r w:rsidRPr="00C43A9C">
        <w:t xml:space="preserve"> cash flow statement) will be carried out. To measure the default risk in this analysis, ratio analysis, trend analysis, and corporate failure prediction models</w:t>
      </w:r>
      <w:r w:rsidR="00875881">
        <w:t>,</w:t>
      </w:r>
      <w:r w:rsidRPr="00C43A9C">
        <w:t xml:space="preserve"> such as the Altman Z-Score</w:t>
      </w:r>
      <w:r w:rsidR="00875881">
        <w:t>,</w:t>
      </w:r>
      <w:r w:rsidRPr="00C43A9C">
        <w:t xml:space="preserve"> shall be involved. In </w:t>
      </w:r>
      <w:r w:rsidR="0001301C" w:rsidRPr="00C43A9C">
        <w:t>addition,</w:t>
      </w:r>
      <w:r w:rsidR="00875881">
        <w:t xml:space="preserve"> cr</w:t>
      </w:r>
      <w:r w:rsidRPr="00C43A9C">
        <w:t xml:space="preserve">itical working capital management audit will be done </w:t>
      </w:r>
      <w:r w:rsidR="0001301C" w:rsidRPr="00C43A9C">
        <w:t>to</w:t>
      </w:r>
      <w:r w:rsidRPr="00C43A9C">
        <w:t xml:space="preserve"> improve the level of liquidity and efficiency. On the part of strategies, recommendations will be</w:t>
      </w:r>
      <w:r w:rsidR="00875881">
        <w:t xml:space="preserve"> mad</w:t>
      </w:r>
      <w:r w:rsidRPr="00C43A9C">
        <w:t xml:space="preserve">e on potential divestitures or </w:t>
      </w:r>
      <w:r w:rsidR="0001301C" w:rsidRPr="00C43A9C">
        <w:t>mergers</w:t>
      </w:r>
      <w:r w:rsidR="0001301C">
        <w:t>, or</w:t>
      </w:r>
      <w:r w:rsidRPr="00C43A9C">
        <w:t xml:space="preserve"> infusing of equity as a way of restoring financial soundness and shareholders</w:t>
      </w:r>
      <w:r w:rsidR="0001301C">
        <w:t>’</w:t>
      </w:r>
      <w:r w:rsidRPr="00C43A9C">
        <w:t xml:space="preserve"> wealth. And lastly, the investment appraisal section will involve deliberation of the potential investment projects using the approaches of Net Present Value (NPV), Internal Rating of Return (IRR), and Payback Period (PBP)</w:t>
      </w:r>
      <w:r w:rsidR="00473ADD">
        <w:t xml:space="preserve"> (Altman, 1968)</w:t>
      </w:r>
      <w:r w:rsidRPr="00C43A9C">
        <w:t>.</w:t>
      </w:r>
    </w:p>
    <w:p w14:paraId="6CE4BE3C" w14:textId="33602048" w:rsidR="007A2BFA" w:rsidRPr="00C43A9C" w:rsidRDefault="009649D1" w:rsidP="00473ADD">
      <w:pPr>
        <w:spacing w:before="240" w:line="360" w:lineRule="auto"/>
        <w:jc w:val="both"/>
      </w:pPr>
      <w:r w:rsidRPr="00C43A9C">
        <w:t xml:space="preserve">The turnaround strategy would be created in consideration of the </w:t>
      </w:r>
      <w:r w:rsidR="00875881">
        <w:t>short-term financial concerns and long-term sustainability, where global scalability and ethical considerations will be at the forefront.</w:t>
      </w:r>
    </w:p>
    <w:p w14:paraId="20ABB146" w14:textId="280138C7" w:rsidR="007A2BFA" w:rsidRPr="00C43A9C" w:rsidRDefault="007A2BFA" w:rsidP="00473ADD">
      <w:pPr>
        <w:pStyle w:val="Heading1"/>
        <w:numPr>
          <w:ilvl w:val="0"/>
          <w:numId w:val="53"/>
        </w:numPr>
        <w:spacing w:before="240" w:line="360" w:lineRule="auto"/>
        <w:jc w:val="both"/>
        <w:rPr>
          <w:rFonts w:ascii="Times New Roman" w:hAnsi="Times New Roman" w:cs="Times New Roman"/>
          <w:b/>
          <w:bCs/>
          <w:color w:val="auto"/>
          <w:sz w:val="24"/>
          <w:szCs w:val="24"/>
        </w:rPr>
      </w:pPr>
      <w:bookmarkStart w:id="2" w:name="_Toc214577422"/>
      <w:r w:rsidRPr="00C43A9C">
        <w:rPr>
          <w:rFonts w:ascii="Times New Roman" w:hAnsi="Times New Roman" w:cs="Times New Roman"/>
          <w:b/>
          <w:bCs/>
          <w:color w:val="auto"/>
          <w:sz w:val="24"/>
          <w:szCs w:val="24"/>
        </w:rPr>
        <w:t>Financial Health Check</w:t>
      </w:r>
      <w:bookmarkEnd w:id="2"/>
      <w:r w:rsidRPr="00C43A9C">
        <w:rPr>
          <w:rFonts w:ascii="Times New Roman" w:hAnsi="Times New Roman" w:cs="Times New Roman"/>
          <w:b/>
          <w:bCs/>
          <w:color w:val="auto"/>
          <w:sz w:val="24"/>
          <w:szCs w:val="24"/>
        </w:rPr>
        <w:t xml:space="preserve"> </w:t>
      </w:r>
    </w:p>
    <w:p w14:paraId="75BC894B" w14:textId="77777777" w:rsidR="007A2BFA" w:rsidRPr="00C43A9C" w:rsidRDefault="007A2BFA" w:rsidP="00473ADD">
      <w:pPr>
        <w:spacing w:before="240" w:line="360" w:lineRule="auto"/>
        <w:jc w:val="both"/>
        <w:rPr>
          <w:b/>
          <w:bCs/>
        </w:rPr>
      </w:pPr>
      <w:r w:rsidRPr="00C43A9C">
        <w:rPr>
          <w:b/>
          <w:bCs/>
        </w:rPr>
        <w:t>Overview of General Electronics' Financial Performance</w:t>
      </w:r>
    </w:p>
    <w:p w14:paraId="7C7240E4" w14:textId="0470A2B0" w:rsidR="009649D1" w:rsidRPr="00C43A9C" w:rsidRDefault="009649D1" w:rsidP="00473ADD">
      <w:pPr>
        <w:spacing w:before="240" w:line="360" w:lineRule="auto"/>
        <w:jc w:val="both"/>
      </w:pPr>
      <w:r w:rsidRPr="00C43A9C">
        <w:t>General Electronics is a multinational corporation in the globe that handles consumer electronics</w:t>
      </w:r>
      <w:r w:rsidR="00875881">
        <w:t xml:space="preserve"> industry,</w:t>
      </w:r>
      <w:r w:rsidRPr="00C43A9C">
        <w:t xml:space="preserve"> but the corporation has been facing se</w:t>
      </w:r>
      <w:r w:rsidR="00875881">
        <w:t>vere</w:t>
      </w:r>
      <w:r w:rsidRPr="00C43A9C">
        <w:t xml:space="preserve"> financial issues in the past five years</w:t>
      </w:r>
      <w:r w:rsidR="00875881">
        <w:t>,</w:t>
      </w:r>
      <w:r w:rsidRPr="00C43A9C">
        <w:t xml:space="preserve"> as observed in its financial statements. The </w:t>
      </w:r>
      <w:r w:rsidR="0001301C">
        <w:t xml:space="preserve">economic </w:t>
      </w:r>
      <w:r w:rsidRPr="00C43A9C">
        <w:t>performance of the company has increased steadily in the period between 2020 and 2024, and the key indicators show a decrease in its profitability, liquidity, and efficiency. Even though it registered net sales exceeding PS614 million in 2020, it made sales of PS394.88 million in 2024. This decline in sales is accompanied by growing operating losses</w:t>
      </w:r>
      <w:r w:rsidR="00875881">
        <w:t>,</w:t>
      </w:r>
      <w:r w:rsidRPr="00C43A9C">
        <w:t xml:space="preserve"> with General Electronics failing to control its expenses and declining demand in the market.</w:t>
      </w:r>
    </w:p>
    <w:p w14:paraId="00C08FF5" w14:textId="2170C7C5" w:rsidR="007A2BFA" w:rsidRPr="00C43A9C" w:rsidRDefault="009649D1" w:rsidP="00473ADD">
      <w:pPr>
        <w:pStyle w:val="NormalWeb"/>
        <w:spacing w:line="360" w:lineRule="auto"/>
        <w:jc w:val="both"/>
      </w:pPr>
      <w:r w:rsidRPr="00C43A9C">
        <w:t>The analysis of the number of fundamental trends and identified financial weaknesses to overcome appears in the fir</w:t>
      </w:r>
      <w:r w:rsidR="0001301C">
        <w:t>m’s</w:t>
      </w:r>
      <w:r w:rsidRPr="00C43A9C">
        <w:t xml:space="preserve"> income statement, balance sheet, and cash flow statement. The main issues are profitability, liquid</w:t>
      </w:r>
      <w:r w:rsidR="00875881">
        <w:t>,</w:t>
      </w:r>
      <w:r w:rsidRPr="00C43A9C">
        <w:t xml:space="preserve"> and efficiency since the company has made net losses over the last few ye</w:t>
      </w:r>
      <w:r w:rsidR="0001301C">
        <w:t>ars</w:t>
      </w:r>
      <w:r w:rsidR="00875881">
        <w:t>,</w:t>
      </w:r>
      <w:r w:rsidRPr="00C43A9C">
        <w:t xml:space="preserve"> and the value of the loss in 2024 is alarming because it has 24.03 million PS. The report would then perform a comprehensive financial health check that includes ratio </w:t>
      </w:r>
      <w:r w:rsidR="00875881">
        <w:t xml:space="preserve">analysis, where the trends would be identified, and the corporate failure prediction models would then be used to determine </w:t>
      </w:r>
      <w:r w:rsidR="0001301C">
        <w:t>whether</w:t>
      </w:r>
      <w:r w:rsidR="00875881">
        <w:t xml:space="preserve"> the company </w:t>
      </w:r>
      <w:r w:rsidR="0001301C">
        <w:t>can</w:t>
      </w:r>
      <w:r w:rsidR="00875881">
        <w:t xml:space="preserve"> become problematic in the future</w:t>
      </w:r>
      <w:r w:rsidR="00473ADD">
        <w:t xml:space="preserve"> (</w:t>
      </w:r>
      <w:proofErr w:type="spellStart"/>
      <w:r w:rsidR="00473ADD">
        <w:t>Atrill</w:t>
      </w:r>
      <w:proofErr w:type="spellEnd"/>
      <w:r w:rsidR="00473ADD">
        <w:t>, 2019)</w:t>
      </w:r>
      <w:r w:rsidR="00875881">
        <w:t>.</w:t>
      </w:r>
    </w:p>
    <w:p w14:paraId="765F5130" w14:textId="77777777" w:rsidR="007A2BFA" w:rsidRPr="00C43A9C" w:rsidRDefault="007A2BFA" w:rsidP="00473ADD">
      <w:pPr>
        <w:spacing w:before="240" w:after="100" w:afterAutospacing="1" w:line="360" w:lineRule="auto"/>
        <w:jc w:val="both"/>
        <w:outlineLvl w:val="3"/>
        <w:rPr>
          <w:b/>
          <w:bCs/>
        </w:rPr>
      </w:pPr>
      <w:r w:rsidRPr="00C43A9C">
        <w:rPr>
          <w:b/>
          <w:bCs/>
        </w:rPr>
        <w:t>1. Ratio Analysis</w:t>
      </w:r>
    </w:p>
    <w:p w14:paraId="2F61F6EB" w14:textId="77777777" w:rsidR="007A2BFA" w:rsidRPr="00C43A9C" w:rsidRDefault="007A2BFA" w:rsidP="00473ADD">
      <w:pPr>
        <w:spacing w:before="240" w:after="100" w:afterAutospacing="1" w:line="360" w:lineRule="auto"/>
        <w:jc w:val="both"/>
        <w:outlineLvl w:val="4"/>
        <w:rPr>
          <w:b/>
          <w:bCs/>
        </w:rPr>
      </w:pPr>
      <w:r w:rsidRPr="00C43A9C">
        <w:rPr>
          <w:b/>
          <w:bCs/>
        </w:rPr>
        <w:t>1.1 Profitability Ratios</w:t>
      </w:r>
    </w:p>
    <w:p w14:paraId="606F684B" w14:textId="77777777" w:rsidR="00C43A9C" w:rsidRPr="00C43A9C" w:rsidRDefault="007A2BFA" w:rsidP="00473ADD">
      <w:pPr>
        <w:spacing w:before="240" w:after="100" w:afterAutospacing="1" w:line="360" w:lineRule="auto"/>
        <w:jc w:val="both"/>
        <w:rPr>
          <w:b/>
          <w:bCs/>
        </w:rPr>
      </w:pPr>
      <w:r w:rsidRPr="00C43A9C">
        <w:rPr>
          <w:b/>
          <w:bCs/>
        </w:rPr>
        <w:t>Gross Profit Margin</w:t>
      </w:r>
    </w:p>
    <w:p w14:paraId="2D93399B" w14:textId="19DA7F00" w:rsidR="009649D1" w:rsidRPr="00C43A9C" w:rsidRDefault="007A2BFA" w:rsidP="00473ADD">
      <w:pPr>
        <w:spacing w:before="240" w:after="100" w:afterAutospacing="1" w:line="360" w:lineRule="auto"/>
        <w:jc w:val="both"/>
      </w:pPr>
      <w:r w:rsidRPr="00C43A9C">
        <w:t xml:space="preserve">Formula: </w:t>
      </w:r>
      <m:oMath>
        <m:r>
          <m:rPr>
            <m:nor/>
          </m:rPr>
          <m:t>Gross Profit Margin</m:t>
        </m:r>
        <m:r>
          <w:rPr>
            <w:rFonts w:ascii="Cambria Math" w:hAnsi="Cambria Math"/>
          </w:rPr>
          <m:t>=</m:t>
        </m:r>
        <m:f>
          <m:fPr>
            <m:ctrlPr>
              <w:rPr>
                <w:rFonts w:ascii="Cambria Math" w:hAnsi="Cambria Math"/>
              </w:rPr>
            </m:ctrlPr>
          </m:fPr>
          <m:num>
            <m:r>
              <m:rPr>
                <m:nor/>
              </m:rPr>
              <m:t>Gross Profit</m:t>
            </m:r>
          </m:num>
          <m:den>
            <m:r>
              <m:rPr>
                <m:nor/>
              </m:rPr>
              <m:t>Net Sales</m:t>
            </m:r>
          </m:den>
        </m:f>
        <m:r>
          <w:rPr>
            <w:rFonts w:ascii="Cambria Math" w:hAnsi="Cambria Math"/>
          </w:rPr>
          <m:t>×100</m:t>
        </m:r>
      </m:oMath>
    </w:p>
    <w:p w14:paraId="5C4A71D5" w14:textId="1AB84CFA" w:rsidR="007A2BFA" w:rsidRPr="00C43A9C" w:rsidRDefault="009649D1" w:rsidP="00473ADD">
      <w:pPr>
        <w:spacing w:before="240" w:after="100" w:afterAutospacing="1" w:line="360" w:lineRule="auto"/>
        <w:jc w:val="both"/>
      </w:pPr>
      <w:r w:rsidRPr="00C43A9C">
        <w:t xml:space="preserve">The 2024 Gross profit of General Electronics is 113.99 </w:t>
      </w:r>
      <w:r w:rsidR="0001301C">
        <w:t>million, and the Net Sales are 394.88 million, which approximates a</w:t>
      </w:r>
      <w:r w:rsidRPr="00C43A9C">
        <w:t xml:space="preserve"> Gross Profit Margin of around 28.9. This is a colossal decline compared to 2020</w:t>
      </w:r>
      <w:r w:rsidR="0001301C">
        <w:t>,</w:t>
      </w:r>
      <w:r w:rsidRPr="00C43A9C">
        <w:t xml:space="preserve"> when the gross profit margin was 28.6 and the company lost the element of profitability. This indicates that </w:t>
      </w:r>
      <w:r w:rsidR="0001301C">
        <w:t xml:space="preserve">the </w:t>
      </w:r>
      <w:r w:rsidRPr="00C43A9C">
        <w:t>margin is going down over the years, meaning that it is increasing the costs of production, yet the sales have not matched the same.</w:t>
      </w:r>
    </w:p>
    <w:p w14:paraId="7215C4AB" w14:textId="77777777" w:rsidR="009649D1" w:rsidRPr="00C43A9C" w:rsidRDefault="007A2BFA" w:rsidP="00473ADD">
      <w:pPr>
        <w:spacing w:before="240" w:after="100" w:afterAutospacing="1" w:line="360" w:lineRule="auto"/>
        <w:jc w:val="both"/>
      </w:pPr>
      <w:r w:rsidRPr="00C43A9C">
        <w:rPr>
          <w:b/>
          <w:bCs/>
        </w:rPr>
        <w:t>Operating Profit Margin</w:t>
      </w:r>
    </w:p>
    <w:p w14:paraId="2A4DBCB9" w14:textId="77777777" w:rsidR="009649D1" w:rsidRPr="00C43A9C" w:rsidRDefault="007A2BFA" w:rsidP="00473ADD">
      <w:pPr>
        <w:spacing w:before="240" w:after="100" w:afterAutospacing="1" w:line="360" w:lineRule="auto"/>
        <w:jc w:val="both"/>
      </w:pPr>
      <w:r w:rsidRPr="00C43A9C">
        <w:t xml:space="preserve">Formula: </w:t>
      </w:r>
      <m:oMath>
        <m:r>
          <m:rPr>
            <m:nor/>
          </m:rPr>
          <m:t>Operating Profit Margin</m:t>
        </m:r>
        <m:r>
          <w:rPr>
            <w:rFonts w:ascii="Cambria Math" w:hAnsi="Cambria Math"/>
          </w:rPr>
          <m:t>=</m:t>
        </m:r>
        <m:f>
          <m:fPr>
            <m:ctrlPr>
              <w:rPr>
                <w:rFonts w:ascii="Cambria Math" w:hAnsi="Cambria Math"/>
              </w:rPr>
            </m:ctrlPr>
          </m:fPr>
          <m:num>
            <m:r>
              <m:rPr>
                <m:nor/>
              </m:rPr>
              <m:t>Operating Income</m:t>
            </m:r>
          </m:num>
          <m:den>
            <m:r>
              <m:rPr>
                <m:nor/>
              </m:rPr>
              <m:t>Net Sales</m:t>
            </m:r>
          </m:den>
        </m:f>
        <m:r>
          <w:rPr>
            <w:rFonts w:ascii="Cambria Math" w:hAnsi="Cambria Math"/>
          </w:rPr>
          <m:t>×100</m:t>
        </m:r>
      </m:oMath>
    </w:p>
    <w:p w14:paraId="2EFDD7C4" w14:textId="52646220" w:rsidR="007A2BFA" w:rsidRPr="00C43A9C" w:rsidRDefault="009649D1" w:rsidP="00473ADD">
      <w:pPr>
        <w:spacing w:before="240" w:after="100" w:afterAutospacing="1" w:line="360" w:lineRule="auto"/>
        <w:jc w:val="both"/>
      </w:pPr>
      <w:r w:rsidRPr="00C43A9C">
        <w:t>The operating income is in loss by 2024 of £15.3 million</w:t>
      </w:r>
      <w:r w:rsidR="0001301C">
        <w:t>,</w:t>
      </w:r>
      <w:r w:rsidRPr="00C43A9C">
        <w:t xml:space="preserve"> and </w:t>
      </w:r>
      <w:r w:rsidR="0001301C">
        <w:t xml:space="preserve">the </w:t>
      </w:r>
      <w:r w:rsidRPr="00C43A9C">
        <w:t>operating margin is at -3.9</w:t>
      </w:r>
      <w:r w:rsidR="0001301C">
        <w:t>%</w:t>
      </w:r>
      <w:r w:rsidRPr="00C43A9C">
        <w:t xml:space="preserve"> as the net sales stand at 394.88 million. This is a considerable </w:t>
      </w:r>
      <w:r w:rsidR="0001301C">
        <w:t>change from</w:t>
      </w:r>
      <w:r w:rsidRPr="00C43A9C">
        <w:t xml:space="preserve"> 2020 when the margin was 6.1. This means that the efficiency of the General Electronics company in terms of performance has been </w:t>
      </w:r>
      <w:r w:rsidR="0001301C">
        <w:t>dramatical</w:t>
      </w:r>
      <w:r w:rsidRPr="00C43A9C">
        <w:t>ly undermined and the cost of running of this company such as salaries and administration cost are increasing.</w:t>
      </w:r>
    </w:p>
    <w:p w14:paraId="12E57D95" w14:textId="77777777" w:rsidR="009649D1" w:rsidRPr="00C43A9C" w:rsidRDefault="007A2BFA" w:rsidP="00473ADD">
      <w:pPr>
        <w:spacing w:before="240" w:after="100" w:afterAutospacing="1" w:line="360" w:lineRule="auto"/>
        <w:jc w:val="both"/>
      </w:pPr>
      <w:r w:rsidRPr="00C43A9C">
        <w:rPr>
          <w:b/>
          <w:bCs/>
        </w:rPr>
        <w:t>Net Profit Margin</w:t>
      </w:r>
    </w:p>
    <w:p w14:paraId="0435B148" w14:textId="0C221753" w:rsidR="009649D1" w:rsidRPr="00C43A9C" w:rsidRDefault="007A2BFA" w:rsidP="00473ADD">
      <w:pPr>
        <w:spacing w:before="240" w:after="100" w:afterAutospacing="1" w:line="360" w:lineRule="auto"/>
        <w:jc w:val="both"/>
      </w:pPr>
      <w:r w:rsidRPr="00C43A9C">
        <w:t xml:space="preserve">Formula: </w:t>
      </w:r>
      <m:oMath>
        <m:r>
          <m:rPr>
            <m:nor/>
          </m:rPr>
          <m:t>Net Profit Margin</m:t>
        </m:r>
        <m:r>
          <w:rPr>
            <w:rFonts w:ascii="Cambria Math" w:hAnsi="Cambria Math"/>
          </w:rPr>
          <m:t>=</m:t>
        </m:r>
        <m:f>
          <m:fPr>
            <m:ctrlPr>
              <w:rPr>
                <w:rFonts w:ascii="Cambria Math" w:hAnsi="Cambria Math"/>
              </w:rPr>
            </m:ctrlPr>
          </m:fPr>
          <m:num>
            <m:r>
              <m:rPr>
                <m:nor/>
              </m:rPr>
              <m:t>Net Income</m:t>
            </m:r>
          </m:num>
          <m:den>
            <m:r>
              <m:rPr>
                <m:nor/>
              </m:rPr>
              <m:t>Net Sales</m:t>
            </m:r>
          </m:den>
        </m:f>
        <m:r>
          <w:rPr>
            <w:rFonts w:ascii="Cambria Math" w:hAnsi="Cambria Math"/>
          </w:rPr>
          <m:t>×100</m:t>
        </m:r>
      </m:oMath>
    </w:p>
    <w:p w14:paraId="5B4B3672" w14:textId="2445249A" w:rsidR="007A2BFA" w:rsidRPr="00C43A9C" w:rsidRDefault="009649D1" w:rsidP="00473ADD">
      <w:pPr>
        <w:spacing w:before="240" w:after="100" w:afterAutospacing="1" w:line="360" w:lineRule="auto"/>
        <w:jc w:val="both"/>
      </w:pPr>
      <w:r w:rsidRPr="00C43A9C">
        <w:t>In 2024, the net loss of the company increased to 24.03 million pounds</w:t>
      </w:r>
      <w:r w:rsidR="0001301C">
        <w:t>,</w:t>
      </w:r>
      <w:r w:rsidRPr="00C43A9C">
        <w:t xml:space="preserve"> resulting in a negative net profit margin of -6.1. It is an extreme worsening of a profit of £38.57 million (net profit margin of 6.3) in 2020.</w:t>
      </w:r>
    </w:p>
    <w:p w14:paraId="6F748EC0" w14:textId="77777777" w:rsidR="007A2BFA" w:rsidRPr="00C43A9C" w:rsidRDefault="007A2BFA" w:rsidP="00473ADD">
      <w:pPr>
        <w:spacing w:before="240" w:after="100" w:afterAutospacing="1" w:line="360" w:lineRule="auto"/>
        <w:jc w:val="both"/>
        <w:outlineLvl w:val="4"/>
        <w:rPr>
          <w:b/>
          <w:bCs/>
        </w:rPr>
      </w:pPr>
      <w:r w:rsidRPr="00C43A9C">
        <w:rPr>
          <w:b/>
          <w:bCs/>
        </w:rPr>
        <w:t>1.2 Liquidity Ratios</w:t>
      </w:r>
    </w:p>
    <w:p w14:paraId="774ED710" w14:textId="77777777" w:rsidR="009649D1" w:rsidRPr="00C43A9C" w:rsidRDefault="007A2BFA" w:rsidP="00473ADD">
      <w:pPr>
        <w:spacing w:before="240" w:after="100" w:afterAutospacing="1" w:line="360" w:lineRule="auto"/>
        <w:jc w:val="both"/>
      </w:pPr>
      <w:r w:rsidRPr="00C43A9C">
        <w:rPr>
          <w:b/>
          <w:bCs/>
        </w:rPr>
        <w:t>Current Ratio</w:t>
      </w:r>
    </w:p>
    <w:p w14:paraId="53C897F9" w14:textId="77777777" w:rsidR="009649D1" w:rsidRPr="00C43A9C" w:rsidRDefault="007A2BFA" w:rsidP="00473ADD">
      <w:pPr>
        <w:spacing w:before="240" w:after="100" w:afterAutospacing="1" w:line="360" w:lineRule="auto"/>
        <w:jc w:val="both"/>
      </w:pPr>
      <w:r w:rsidRPr="00C43A9C">
        <w:t xml:space="preserve">Formula: </w:t>
      </w:r>
      <m:oMath>
        <m:r>
          <m:rPr>
            <m:nor/>
          </m:rPr>
          <m:t>Current Ratio</m:t>
        </m:r>
        <m:r>
          <w:rPr>
            <w:rFonts w:ascii="Cambria Math" w:hAnsi="Cambria Math"/>
          </w:rPr>
          <m:t>=</m:t>
        </m:r>
        <m:f>
          <m:fPr>
            <m:ctrlPr>
              <w:rPr>
                <w:rFonts w:ascii="Cambria Math" w:hAnsi="Cambria Math"/>
              </w:rPr>
            </m:ctrlPr>
          </m:fPr>
          <m:num>
            <m:r>
              <m:rPr>
                <m:nor/>
              </m:rPr>
              <m:t>Current Assets</m:t>
            </m:r>
          </m:num>
          <m:den>
            <m:r>
              <m:rPr>
                <m:nor/>
              </m:rPr>
              <m:t>Current Liabilities</m:t>
            </m:r>
          </m:den>
        </m:f>
      </m:oMath>
    </w:p>
    <w:p w14:paraId="2A69ED38" w14:textId="51A0652A" w:rsidR="009649D1" w:rsidRPr="00C43A9C" w:rsidRDefault="009649D1" w:rsidP="00473ADD">
      <w:pPr>
        <w:spacing w:before="240" w:after="100" w:afterAutospacing="1" w:line="360" w:lineRule="auto"/>
        <w:jc w:val="both"/>
      </w:pPr>
      <w:r w:rsidRPr="00C43A9C">
        <w:t xml:space="preserve">In 2024, General Electronics has PS242.49 million in current assets and PS158.29 million in current </w:t>
      </w:r>
      <w:r w:rsidR="0001301C" w:rsidRPr="00C43A9C">
        <w:t>liabilitie</w:t>
      </w:r>
      <w:r w:rsidR="0001301C">
        <w:t>s</w:t>
      </w:r>
      <w:r w:rsidR="0001301C" w:rsidRPr="00C43A9C">
        <w:t>’</w:t>
      </w:r>
      <w:r w:rsidRPr="00C43A9C">
        <w:t xml:space="preserve"> which present it with a PS242.49 permanent Current Ratio of 1.53. Though the current ratio exceeding </w:t>
      </w:r>
      <w:r w:rsidR="0001301C">
        <w:t>one</w:t>
      </w:r>
      <w:r w:rsidRPr="00C43A9C">
        <w:t xml:space="preserve"> indicates that there i</w:t>
      </w:r>
      <w:r w:rsidR="0001301C" w:rsidRPr="0001301C">
        <w:t xml:space="preserve"> </w:t>
      </w:r>
      <w:r w:rsidR="0001301C">
        <w:t>liquidity, it is a decline compared to 2020, when the company had a current ratio of 1.82,</w:t>
      </w:r>
      <w:r w:rsidRPr="00C43A9C">
        <w:t>82 and may have trouble paying short-term dues.</w:t>
      </w:r>
    </w:p>
    <w:p w14:paraId="243BFAC3" w14:textId="77777777" w:rsidR="009649D1" w:rsidRPr="00C43A9C" w:rsidRDefault="007A2BFA" w:rsidP="00473ADD">
      <w:pPr>
        <w:spacing w:before="240" w:after="100" w:afterAutospacing="1" w:line="360" w:lineRule="auto"/>
        <w:jc w:val="both"/>
      </w:pPr>
      <w:r w:rsidRPr="00C43A9C">
        <w:rPr>
          <w:b/>
          <w:bCs/>
        </w:rPr>
        <w:t>Quick Ratio</w:t>
      </w:r>
    </w:p>
    <w:p w14:paraId="06F2D55D" w14:textId="77777777" w:rsidR="009649D1" w:rsidRPr="00C43A9C" w:rsidRDefault="007A2BFA" w:rsidP="00473ADD">
      <w:pPr>
        <w:spacing w:before="240" w:after="100" w:afterAutospacing="1" w:line="360" w:lineRule="auto"/>
        <w:jc w:val="both"/>
      </w:pPr>
      <w:r w:rsidRPr="00C43A9C">
        <w:t xml:space="preserve">Formula: </w:t>
      </w:r>
      <m:oMath>
        <m:r>
          <m:rPr>
            <m:nor/>
          </m:rPr>
          <m:t>Quick Ratio</m:t>
        </m:r>
        <m:r>
          <w:rPr>
            <w:rFonts w:ascii="Cambria Math" w:hAnsi="Cambria Math"/>
          </w:rPr>
          <m:t>=</m:t>
        </m:r>
        <m:f>
          <m:fPr>
            <m:ctrlPr>
              <w:rPr>
                <w:rFonts w:ascii="Cambria Math" w:hAnsi="Cambria Math"/>
              </w:rPr>
            </m:ctrlPr>
          </m:fPr>
          <m:num>
            <m:r>
              <m:rPr>
                <m:nor/>
              </m:rPr>
              <m:t>Current Assets - Inventories</m:t>
            </m:r>
          </m:num>
          <m:den>
            <m:r>
              <m:rPr>
                <m:nor/>
              </m:rPr>
              <m:t>Current Liabilities</m:t>
            </m:r>
          </m:den>
        </m:f>
      </m:oMath>
    </w:p>
    <w:p w14:paraId="69A1CA46" w14:textId="22080960" w:rsidR="009649D1" w:rsidRPr="00C43A9C" w:rsidRDefault="009649D1" w:rsidP="00473ADD">
      <w:pPr>
        <w:spacing w:before="240" w:after="100" w:afterAutospacing="1" w:line="360" w:lineRule="auto"/>
        <w:jc w:val="both"/>
      </w:pPr>
      <w:r w:rsidRPr="00C43A9C">
        <w:t>A lower figure of the quick ratio of 2024 compares with 1, indicating that General Electronics has insufficient liquid assets (ending with inventories) to clear current liabilities. This is a sign of the liquidity strains and could possibly be a sign of difficulties in converting assets into money in the nearest future.</w:t>
      </w:r>
    </w:p>
    <w:p w14:paraId="4C5809ED" w14:textId="77777777" w:rsidR="007A2BFA" w:rsidRPr="00C43A9C" w:rsidRDefault="007A2BFA" w:rsidP="00473ADD">
      <w:pPr>
        <w:spacing w:before="240" w:after="100" w:afterAutospacing="1" w:line="360" w:lineRule="auto"/>
        <w:jc w:val="both"/>
        <w:outlineLvl w:val="4"/>
        <w:rPr>
          <w:b/>
          <w:bCs/>
        </w:rPr>
      </w:pPr>
      <w:r w:rsidRPr="00C43A9C">
        <w:rPr>
          <w:b/>
          <w:bCs/>
        </w:rPr>
        <w:t>1.3 Efficiency Ratios</w:t>
      </w:r>
    </w:p>
    <w:p w14:paraId="6AE0518E" w14:textId="77777777" w:rsidR="009649D1" w:rsidRPr="00C43A9C" w:rsidRDefault="007A2BFA" w:rsidP="00473ADD">
      <w:pPr>
        <w:spacing w:before="240" w:after="100" w:afterAutospacing="1" w:line="360" w:lineRule="auto"/>
        <w:jc w:val="both"/>
      </w:pPr>
      <w:r w:rsidRPr="00C43A9C">
        <w:rPr>
          <w:b/>
          <w:bCs/>
        </w:rPr>
        <w:t>Inventory Turnover Ratio</w:t>
      </w:r>
    </w:p>
    <w:p w14:paraId="79BC6183" w14:textId="77777777" w:rsidR="009649D1" w:rsidRPr="00C43A9C" w:rsidRDefault="007A2BFA" w:rsidP="00473ADD">
      <w:pPr>
        <w:spacing w:before="240" w:after="100" w:afterAutospacing="1" w:line="360" w:lineRule="auto"/>
        <w:jc w:val="both"/>
      </w:pPr>
      <w:r w:rsidRPr="00C43A9C">
        <w:t xml:space="preserve">Formula: </w:t>
      </w:r>
      <m:oMath>
        <m:r>
          <m:rPr>
            <m:nor/>
          </m:rPr>
          <m:t>Inventory Turnover Ratio</m:t>
        </m:r>
        <m:r>
          <w:rPr>
            <w:rFonts w:ascii="Cambria Math" w:hAnsi="Cambria Math"/>
          </w:rPr>
          <m:t>=</m:t>
        </m:r>
        <m:f>
          <m:fPr>
            <m:ctrlPr>
              <w:rPr>
                <w:rFonts w:ascii="Cambria Math" w:hAnsi="Cambria Math"/>
              </w:rPr>
            </m:ctrlPr>
          </m:fPr>
          <m:num>
            <m:r>
              <m:rPr>
                <m:nor/>
              </m:rPr>
              <m:t>Cost of Goods Sold</m:t>
            </m:r>
          </m:num>
          <m:den>
            <m:r>
              <m:rPr>
                <m:nor/>
              </m:rPr>
              <m:t>Average Inventory</m:t>
            </m:r>
          </m:den>
        </m:f>
      </m:oMath>
    </w:p>
    <w:p w14:paraId="476D2530" w14:textId="2EFC453A" w:rsidR="009649D1" w:rsidRPr="00C43A9C" w:rsidRDefault="009649D1" w:rsidP="00473ADD">
      <w:pPr>
        <w:spacing w:before="240" w:after="100" w:afterAutospacing="1" w:line="360" w:lineRule="auto"/>
        <w:jc w:val="both"/>
      </w:pPr>
      <w:r w:rsidRPr="00C43A9C">
        <w:t>The average inventory in the year 2024 will be PS79.36 million</w:t>
      </w:r>
      <w:r w:rsidR="0001301C">
        <w:t>,</w:t>
      </w:r>
      <w:r w:rsidRPr="00C43A9C">
        <w:t xml:space="preserve"> and the cost of goods sold will be PS280.89 million. This is a 3.54 times inventory turnover compared to 2020</w:t>
      </w:r>
      <w:r w:rsidR="0001301C">
        <w:t>,</w:t>
      </w:r>
      <w:r w:rsidRPr="00C43A9C">
        <w:t xml:space="preserve"> of 4.16 times inventory turnover. This may mean that the company is moving its inventory at a low rate</w:t>
      </w:r>
      <w:r w:rsidR="0001301C">
        <w:t>,</w:t>
      </w:r>
      <w:r w:rsidRPr="00C43A9C">
        <w:t xml:space="preserve"> and this can easily tie up capital and may result in reduced profitability.</w:t>
      </w:r>
    </w:p>
    <w:p w14:paraId="48D09E31" w14:textId="77777777" w:rsidR="009649D1" w:rsidRPr="00C43A9C" w:rsidRDefault="007A2BFA" w:rsidP="00473ADD">
      <w:pPr>
        <w:spacing w:before="240" w:after="100" w:afterAutospacing="1" w:line="360" w:lineRule="auto"/>
        <w:jc w:val="both"/>
      </w:pPr>
      <w:r w:rsidRPr="00C43A9C">
        <w:rPr>
          <w:b/>
          <w:bCs/>
        </w:rPr>
        <w:t>Receivables Turnover Ratio</w:t>
      </w:r>
    </w:p>
    <w:p w14:paraId="27786066" w14:textId="77777777" w:rsidR="009649D1" w:rsidRPr="00C43A9C" w:rsidRDefault="007A2BFA" w:rsidP="00473ADD">
      <w:pPr>
        <w:spacing w:before="240" w:after="100" w:afterAutospacing="1" w:line="360" w:lineRule="auto"/>
        <w:jc w:val="both"/>
      </w:pPr>
      <w:r w:rsidRPr="00C43A9C">
        <w:t xml:space="preserve">Formula: </w:t>
      </w:r>
      <m:oMath>
        <m:r>
          <m:rPr>
            <m:nor/>
          </m:rPr>
          <m:t>Receivables Turnover Ratio</m:t>
        </m:r>
        <m:r>
          <w:rPr>
            <w:rFonts w:ascii="Cambria Math" w:hAnsi="Cambria Math"/>
          </w:rPr>
          <m:t>=</m:t>
        </m:r>
        <m:f>
          <m:fPr>
            <m:ctrlPr>
              <w:rPr>
                <w:rFonts w:ascii="Cambria Math" w:hAnsi="Cambria Math"/>
              </w:rPr>
            </m:ctrlPr>
          </m:fPr>
          <m:num>
            <m:r>
              <m:rPr>
                <m:nor/>
              </m:rPr>
              <m:t>Net Sales</m:t>
            </m:r>
          </m:num>
          <m:den>
            <m:r>
              <m:rPr>
                <m:nor/>
              </m:rPr>
              <m:t>Average Accounts Receivable</m:t>
            </m:r>
          </m:den>
        </m:f>
      </m:oMath>
    </w:p>
    <w:p w14:paraId="4F29B04F" w14:textId="43178497" w:rsidR="007A2BFA" w:rsidRPr="00C43A9C" w:rsidRDefault="009649D1" w:rsidP="00473ADD">
      <w:pPr>
        <w:spacing w:before="240" w:after="100" w:afterAutospacing="1" w:line="360" w:lineRule="auto"/>
        <w:jc w:val="both"/>
      </w:pPr>
      <w:r w:rsidRPr="00C43A9C">
        <w:t>The 2024 accounts receivable of the company is: 114.18 million</w:t>
      </w:r>
      <w:r w:rsidR="0001301C">
        <w:t>,</w:t>
      </w:r>
      <w:r w:rsidRPr="00C43A9C">
        <w:t xml:space="preserve"> and the ratio of receivables turnover is 3.46 times. It is an increment over 2020, yet the direction is towards indicating that the company has a better ability to collect outstanding receivables.</w:t>
      </w:r>
    </w:p>
    <w:p w14:paraId="0D5DA6B0" w14:textId="77777777" w:rsidR="007A2BFA" w:rsidRPr="00C43A9C" w:rsidRDefault="007A2BFA" w:rsidP="00473ADD">
      <w:pPr>
        <w:spacing w:before="240" w:after="100" w:afterAutospacing="1" w:line="360" w:lineRule="auto"/>
        <w:jc w:val="both"/>
        <w:outlineLvl w:val="4"/>
        <w:rPr>
          <w:b/>
          <w:bCs/>
        </w:rPr>
      </w:pPr>
      <w:r w:rsidRPr="00C43A9C">
        <w:rPr>
          <w:b/>
          <w:bCs/>
        </w:rPr>
        <w:t>1.4 Gearing Ratios</w:t>
      </w:r>
    </w:p>
    <w:p w14:paraId="0FB9BAC5" w14:textId="77777777" w:rsidR="009649D1" w:rsidRPr="00C43A9C" w:rsidRDefault="007A2BFA" w:rsidP="00473ADD">
      <w:pPr>
        <w:spacing w:before="240" w:after="100" w:afterAutospacing="1" w:line="360" w:lineRule="auto"/>
        <w:jc w:val="both"/>
      </w:pPr>
      <w:r w:rsidRPr="00C43A9C">
        <w:rPr>
          <w:b/>
          <w:bCs/>
        </w:rPr>
        <w:t>Debt-to-Equity Ratio</w:t>
      </w:r>
    </w:p>
    <w:p w14:paraId="2AFD232A" w14:textId="77777777" w:rsidR="009649D1" w:rsidRPr="00C43A9C" w:rsidRDefault="007A2BFA" w:rsidP="00473ADD">
      <w:pPr>
        <w:spacing w:before="240" w:after="100" w:afterAutospacing="1" w:line="360" w:lineRule="auto"/>
        <w:jc w:val="both"/>
      </w:pPr>
      <w:r w:rsidRPr="00C43A9C">
        <w:t xml:space="preserve">Formula: </w:t>
      </w:r>
      <m:oMath>
        <m:r>
          <m:rPr>
            <m:nor/>
          </m:rPr>
          <m:t>Debt-to-Equity Ratio</m:t>
        </m:r>
        <m:r>
          <w:rPr>
            <w:rFonts w:ascii="Cambria Math" w:hAnsi="Cambria Math"/>
          </w:rPr>
          <m:t>=</m:t>
        </m:r>
        <m:f>
          <m:fPr>
            <m:ctrlPr>
              <w:rPr>
                <w:rFonts w:ascii="Cambria Math" w:hAnsi="Cambria Math"/>
              </w:rPr>
            </m:ctrlPr>
          </m:fPr>
          <m:num>
            <m:r>
              <m:rPr>
                <m:nor/>
              </m:rPr>
              <m:t>Total Liabilities</m:t>
            </m:r>
          </m:num>
          <m:den>
            <m:r>
              <m:rPr>
                <m:nor/>
              </m:rPr>
              <m:t>Shareholders’ Equity</m:t>
            </m:r>
          </m:den>
        </m:f>
      </m:oMath>
    </w:p>
    <w:p w14:paraId="5CD05533" w14:textId="47B96E16" w:rsidR="007A2BFA" w:rsidRPr="00C43A9C" w:rsidRDefault="009649D1" w:rsidP="00473ADD">
      <w:pPr>
        <w:spacing w:before="240" w:after="100" w:afterAutospacing="1" w:line="360" w:lineRule="auto"/>
        <w:jc w:val="both"/>
      </w:pPr>
      <w:r w:rsidRPr="00C43A9C">
        <w:t>Total liability at General Electronics in 2024 is PS170.25 million</w:t>
      </w:r>
      <w:r w:rsidR="0001301C">
        <w:t>,</w:t>
      </w:r>
      <w:r w:rsidRPr="00C43A9C">
        <w:t xml:space="preserve"> and shareholders</w:t>
      </w:r>
      <w:r w:rsidR="0001301C">
        <w:t>’</w:t>
      </w:r>
      <w:r w:rsidRPr="00C43A9C">
        <w:t xml:space="preserve"> equity is PS153.11 million</w:t>
      </w:r>
      <w:r w:rsidR="0001301C">
        <w:t>,</w:t>
      </w:r>
      <w:r w:rsidRPr="00C43A9C">
        <w:t xml:space="preserve"> therefore giving 1.11 debt to equity. It implies that the leverage is </w:t>
      </w:r>
      <w:r w:rsidR="0001301C">
        <w:t>insignificant</w:t>
      </w:r>
      <w:r w:rsidRPr="00C43A9C">
        <w:t xml:space="preserve"> and may bring the business closer to the risk of an increase in economic recessions. This is more deteriorated than in 2020 when the ratio was 0.63.</w:t>
      </w:r>
    </w:p>
    <w:p w14:paraId="3F616643" w14:textId="77777777" w:rsidR="007A2BFA" w:rsidRPr="00C43A9C" w:rsidRDefault="007A2BFA" w:rsidP="00473ADD">
      <w:pPr>
        <w:spacing w:before="240" w:after="100" w:afterAutospacing="1" w:line="360" w:lineRule="auto"/>
        <w:jc w:val="both"/>
        <w:outlineLvl w:val="4"/>
        <w:rPr>
          <w:b/>
          <w:bCs/>
        </w:rPr>
      </w:pPr>
      <w:r w:rsidRPr="00C43A9C">
        <w:rPr>
          <w:b/>
          <w:bCs/>
        </w:rPr>
        <w:t>1.5 Cash Flow Ratios</w:t>
      </w:r>
    </w:p>
    <w:p w14:paraId="38B3AFE0" w14:textId="77777777" w:rsidR="009649D1" w:rsidRPr="00C43A9C" w:rsidRDefault="007A2BFA" w:rsidP="00473ADD">
      <w:pPr>
        <w:spacing w:before="240" w:after="100" w:afterAutospacing="1" w:line="360" w:lineRule="auto"/>
        <w:jc w:val="both"/>
      </w:pPr>
      <w:r w:rsidRPr="00C43A9C">
        <w:rPr>
          <w:b/>
          <w:bCs/>
        </w:rPr>
        <w:t>Operating Cash Flow Ratio</w:t>
      </w:r>
    </w:p>
    <w:p w14:paraId="19005AA1" w14:textId="77777777" w:rsidR="009649D1" w:rsidRPr="00C43A9C" w:rsidRDefault="007A2BFA" w:rsidP="00473ADD">
      <w:pPr>
        <w:spacing w:before="240" w:after="100" w:afterAutospacing="1" w:line="360" w:lineRule="auto"/>
        <w:jc w:val="both"/>
      </w:pPr>
      <w:r w:rsidRPr="00C43A9C">
        <w:t xml:space="preserve">Formula: </w:t>
      </w:r>
      <m:oMath>
        <m:r>
          <m:rPr>
            <m:nor/>
          </m:rPr>
          <m:t>Operating Cash Flow Ratio</m:t>
        </m:r>
        <m:r>
          <w:rPr>
            <w:rFonts w:ascii="Cambria Math" w:hAnsi="Cambria Math"/>
          </w:rPr>
          <m:t>=</m:t>
        </m:r>
        <m:f>
          <m:fPr>
            <m:ctrlPr>
              <w:rPr>
                <w:rFonts w:ascii="Cambria Math" w:hAnsi="Cambria Math"/>
              </w:rPr>
            </m:ctrlPr>
          </m:fPr>
          <m:num>
            <m:r>
              <m:rPr>
                <m:nor/>
              </m:rPr>
              <m:t>Operating Cash Flow</m:t>
            </m:r>
          </m:num>
          <m:den>
            <m:r>
              <m:rPr>
                <m:nor/>
              </m:rPr>
              <m:t>Current Liabilities</m:t>
            </m:r>
          </m:den>
        </m:f>
      </m:oMath>
    </w:p>
    <w:p w14:paraId="1B20E19F" w14:textId="4FF02FDB" w:rsidR="007A2BFA" w:rsidRPr="00C43A9C" w:rsidRDefault="009649D1" w:rsidP="00473ADD">
      <w:pPr>
        <w:pStyle w:val="NormalWeb"/>
        <w:spacing w:line="360" w:lineRule="auto"/>
        <w:jc w:val="both"/>
      </w:pPr>
      <w:r w:rsidRPr="00C43A9C">
        <w:t>General Electronics has a current cash flow ratio of 0.094 given the fact that their operating cash flow is 14.82 million and current liabilities are 158.29 million. This low ratio implies that the company is not generating adequate cash due to its operation</w:t>
      </w:r>
      <w:r w:rsidR="0001301C">
        <w:t>s</w:t>
      </w:r>
      <w:r w:rsidRPr="00C43A9C">
        <w:t xml:space="preserve"> to offset the </w:t>
      </w:r>
      <w:r w:rsidR="0001301C" w:rsidRPr="00C43A9C">
        <w:t>short-term</w:t>
      </w:r>
      <w:r w:rsidRPr="00C43A9C">
        <w:t xml:space="preserve"> liabilities of the company</w:t>
      </w:r>
      <w:r w:rsidR="0001301C">
        <w:t>,</w:t>
      </w:r>
      <w:r w:rsidRPr="00C43A9C">
        <w:t xml:space="preserve"> which would strongly warn about its liquidity position</w:t>
      </w:r>
      <w:r w:rsidR="00473ADD">
        <w:t xml:space="preserve"> (Brigham, 2016)</w:t>
      </w:r>
      <w:r w:rsidRPr="00C43A9C">
        <w:t>.</w:t>
      </w:r>
    </w:p>
    <w:p w14:paraId="577C5B17" w14:textId="77777777" w:rsidR="007A2BFA" w:rsidRPr="00C43A9C" w:rsidRDefault="007A2BFA" w:rsidP="00473ADD">
      <w:pPr>
        <w:spacing w:before="240" w:after="100" w:afterAutospacing="1" w:line="360" w:lineRule="auto"/>
        <w:jc w:val="both"/>
        <w:outlineLvl w:val="3"/>
        <w:rPr>
          <w:b/>
          <w:bCs/>
        </w:rPr>
      </w:pPr>
      <w:r w:rsidRPr="00C43A9C">
        <w:rPr>
          <w:b/>
          <w:bCs/>
        </w:rPr>
        <w:t>2. Trends, Strengths, and Threats</w:t>
      </w:r>
    </w:p>
    <w:p w14:paraId="58BF6263" w14:textId="77777777" w:rsidR="007A2BFA" w:rsidRPr="00C43A9C" w:rsidRDefault="007A2BFA" w:rsidP="00473ADD">
      <w:pPr>
        <w:spacing w:before="240" w:after="100" w:afterAutospacing="1" w:line="360" w:lineRule="auto"/>
        <w:jc w:val="both"/>
        <w:outlineLvl w:val="4"/>
        <w:rPr>
          <w:b/>
          <w:bCs/>
        </w:rPr>
      </w:pPr>
      <w:r w:rsidRPr="00C43A9C">
        <w:rPr>
          <w:b/>
          <w:bCs/>
        </w:rPr>
        <w:t>2.1 Trends</w:t>
      </w:r>
    </w:p>
    <w:p w14:paraId="5ECDE0C0" w14:textId="798C19A7" w:rsidR="009649D1" w:rsidRPr="00C43A9C" w:rsidRDefault="009649D1" w:rsidP="00473ADD">
      <w:pPr>
        <w:spacing w:before="240" w:line="360" w:lineRule="auto"/>
        <w:jc w:val="both"/>
      </w:pPr>
      <w:r w:rsidRPr="00C43A9C">
        <w:rPr>
          <w:b/>
          <w:bCs/>
        </w:rPr>
        <w:t>Declining Revenues and Profitability:</w:t>
      </w:r>
      <w:r w:rsidRPr="00C43A9C">
        <w:t xml:space="preserve"> General Electronics has been experiencing a steady decline in the revenue during the past five years. Its net this year is PS394.88 million, compared to PS614.68 million last year. This is correlated with a steady reduction of net profit margins and operating income.</w:t>
      </w:r>
    </w:p>
    <w:p w14:paraId="0CFD8ACF" w14:textId="5DB216E7" w:rsidR="00D46EF3" w:rsidRDefault="00D46EF3" w:rsidP="00D46EF3">
      <w:pPr>
        <w:spacing w:before="240" w:line="360" w:lineRule="auto"/>
      </w:pPr>
      <w:r>
        <w:t>Increased Operating Losses: No longer profitable (in 2020, the net income of the company was PS38.57 million), the company suffered an operating loss and net loss in 2024 (a net loss of PS24.03 million). This is exaggerated by a rising operation cost and declining margin of sale (</w:t>
      </w:r>
      <w:proofErr w:type="spellStart"/>
      <w:r>
        <w:t>Mubyarto</w:t>
      </w:r>
      <w:proofErr w:type="spellEnd"/>
      <w:r>
        <w:t>, 2020).</w:t>
      </w:r>
    </w:p>
    <w:p w14:paraId="75C2ECE1" w14:textId="77777777" w:rsidR="00D46EF3" w:rsidRPr="00D46EF3" w:rsidRDefault="00D46EF3" w:rsidP="00D46EF3">
      <w:pPr>
        <w:spacing w:before="240" w:line="360" w:lineRule="auto"/>
        <w:rPr>
          <w:b/>
          <w:bCs/>
        </w:rPr>
      </w:pPr>
      <w:r w:rsidRPr="00D46EF3">
        <w:rPr>
          <w:b/>
          <w:bCs/>
        </w:rPr>
        <w:t>2.2 Strengths</w:t>
      </w:r>
    </w:p>
    <w:p w14:paraId="52067118" w14:textId="4B36235D" w:rsidR="00D46EF3" w:rsidRDefault="00D46EF3" w:rsidP="00D46EF3">
      <w:pPr>
        <w:spacing w:before="240" w:line="360" w:lineRule="auto"/>
      </w:pPr>
      <w:r>
        <w:t>Adequate Liquidity Position: Current ratio of the company is 1.53 and the company does not have much time to cover its current liabilities. However, it is low as compared to past years.</w:t>
      </w:r>
    </w:p>
    <w:p w14:paraId="0E094ABE" w14:textId="2768467E" w:rsidR="00D46EF3" w:rsidRDefault="00D46EF3" w:rsidP="00D46EF3">
      <w:pPr>
        <w:spacing w:before="240" w:line="360" w:lineRule="auto"/>
        <w:jc w:val="both"/>
      </w:pPr>
      <w:r w:rsidRPr="00D46EF3">
        <w:rPr>
          <w:b/>
          <w:bCs/>
        </w:rPr>
        <w:t>Asset Base:</w:t>
      </w:r>
      <w:r>
        <w:t xml:space="preserve"> 24.04 million of intangible and</w:t>
      </w:r>
      <w:r w:rsidR="008A7FA4">
        <w:t xml:space="preserve"> </w:t>
      </w:r>
      <w:r>
        <w:t>34.21 million of property, plant and equipment would remain a good asset to the company. It is an amount that makes it gain some level of operating room (Allen et al., 2011).</w:t>
      </w:r>
    </w:p>
    <w:p w14:paraId="3FB371AE" w14:textId="641ED61F" w:rsidR="009649D1" w:rsidRPr="00C43A9C" w:rsidRDefault="009649D1" w:rsidP="00D46EF3">
      <w:pPr>
        <w:spacing w:before="240" w:line="360" w:lineRule="auto"/>
        <w:jc w:val="both"/>
        <w:rPr>
          <w:b/>
          <w:bCs/>
        </w:rPr>
      </w:pPr>
      <w:r w:rsidRPr="00C43A9C">
        <w:rPr>
          <w:b/>
          <w:bCs/>
        </w:rPr>
        <w:t>2.3 Threats</w:t>
      </w:r>
    </w:p>
    <w:p w14:paraId="621CEB96" w14:textId="666B81D3" w:rsidR="009649D1" w:rsidRPr="00C43A9C" w:rsidRDefault="009649D1" w:rsidP="00473ADD">
      <w:pPr>
        <w:spacing w:before="240" w:line="360" w:lineRule="auto"/>
        <w:jc w:val="both"/>
      </w:pPr>
      <w:r w:rsidRPr="00C43A9C">
        <w:rPr>
          <w:b/>
          <w:bCs/>
        </w:rPr>
        <w:t>Growing Debt Levels:</w:t>
      </w:r>
      <w:r w:rsidRPr="00C43A9C">
        <w:t xml:space="preserve"> </w:t>
      </w:r>
      <w:r w:rsidR="0001301C">
        <w:t>The squeeze on the debt-to-equity ratio shows that the company still tends to rely more on debt.</w:t>
      </w:r>
      <w:r w:rsidRPr="00C43A9C">
        <w:t xml:space="preserve"> Its debt structure in 2024 indicates a worrying trend, especially given that its profitability has declined, </w:t>
      </w:r>
      <w:r w:rsidR="0001301C" w:rsidRPr="00C43A9C">
        <w:t>since</w:t>
      </w:r>
      <w:r w:rsidRPr="00C43A9C">
        <w:t xml:space="preserve"> the company has a ratio of 1.11.</w:t>
      </w:r>
    </w:p>
    <w:p w14:paraId="0A86CF5C" w14:textId="32A9133B" w:rsidR="009649D1" w:rsidRPr="00C43A9C" w:rsidRDefault="009649D1" w:rsidP="00473ADD">
      <w:pPr>
        <w:spacing w:before="240" w:line="360" w:lineRule="auto"/>
        <w:jc w:val="both"/>
      </w:pPr>
      <w:r w:rsidRPr="00C43A9C">
        <w:rPr>
          <w:b/>
          <w:bCs/>
        </w:rPr>
        <w:t>Cash Flow Supplies</w:t>
      </w:r>
      <w:r w:rsidRPr="00C43A9C">
        <w:t>: The net income of 2024 has shown that its operating cash flow ratio is low</w:t>
      </w:r>
      <w:r w:rsidR="0001301C">
        <w:t>,</w:t>
      </w:r>
      <w:r w:rsidRPr="00C43A9C">
        <w:t xml:space="preserve"> implying that General Electronics is having extreme cash flow problems. This poses a threat to the sustainability of the company to run or invest in new development opportunities.</w:t>
      </w:r>
    </w:p>
    <w:p w14:paraId="17773776" w14:textId="6CC79065" w:rsidR="009649D1" w:rsidRPr="00C43A9C" w:rsidRDefault="009649D1" w:rsidP="00473ADD">
      <w:pPr>
        <w:pStyle w:val="NormalWeb"/>
        <w:spacing w:line="360" w:lineRule="auto"/>
        <w:jc w:val="both"/>
      </w:pPr>
      <w:r w:rsidRPr="00C43A9C">
        <w:rPr>
          <w:b/>
          <w:bCs/>
        </w:rPr>
        <w:t>Inventory and Receivables Turnover Explosion:</w:t>
      </w:r>
      <w:r w:rsidRPr="00C43A9C">
        <w:t xml:space="preserve"> Both </w:t>
      </w:r>
      <w:r w:rsidR="0001301C">
        <w:t>the Inventory and Receivables turnover ratios are increasing, which means that General Electronics might be operating with inefficiency, which would further strain</w:t>
      </w:r>
      <w:r w:rsidRPr="00C43A9C">
        <w:t xml:space="preserve"> its liquidity</w:t>
      </w:r>
      <w:r w:rsidR="00473ADD">
        <w:t xml:space="preserve"> (Collier, 2015)</w:t>
      </w:r>
      <w:r w:rsidRPr="00C43A9C">
        <w:t>.</w:t>
      </w:r>
    </w:p>
    <w:p w14:paraId="27557FED" w14:textId="77777777" w:rsidR="007A2BFA" w:rsidRPr="00C43A9C" w:rsidRDefault="007A2BFA" w:rsidP="00473ADD">
      <w:pPr>
        <w:spacing w:before="240" w:after="100" w:afterAutospacing="1" w:line="360" w:lineRule="auto"/>
        <w:jc w:val="both"/>
        <w:outlineLvl w:val="3"/>
        <w:rPr>
          <w:b/>
          <w:bCs/>
        </w:rPr>
      </w:pPr>
      <w:r w:rsidRPr="00C43A9C">
        <w:rPr>
          <w:b/>
          <w:bCs/>
        </w:rPr>
        <w:t>3. Corporate Failure Prediction Models</w:t>
      </w:r>
    </w:p>
    <w:p w14:paraId="16197FE4" w14:textId="77777777" w:rsidR="007A2BFA" w:rsidRPr="00C43A9C" w:rsidRDefault="007A2BFA" w:rsidP="00473ADD">
      <w:pPr>
        <w:spacing w:before="240" w:after="100" w:afterAutospacing="1" w:line="360" w:lineRule="auto"/>
        <w:jc w:val="both"/>
        <w:outlineLvl w:val="4"/>
        <w:rPr>
          <w:b/>
          <w:bCs/>
        </w:rPr>
      </w:pPr>
      <w:r w:rsidRPr="00C43A9C">
        <w:rPr>
          <w:b/>
          <w:bCs/>
        </w:rPr>
        <w:t>3.1 Altman Z-Score</w:t>
      </w:r>
    </w:p>
    <w:p w14:paraId="6B4C0AAB" w14:textId="39E2CCEB" w:rsidR="007A2BFA" w:rsidRPr="00C43A9C" w:rsidRDefault="009649D1" w:rsidP="00473ADD">
      <w:pPr>
        <w:spacing w:before="240" w:after="100" w:afterAutospacing="1" w:line="360" w:lineRule="auto"/>
        <w:jc w:val="both"/>
      </w:pPr>
      <w:r w:rsidRPr="00C43A9C">
        <w:t>The reason is that the Altman Z-Score is a popular procedure to forecast the probability of the bankruptcy. The formula for the Z-Score is</w:t>
      </w:r>
      <w:r w:rsidR="007A2BFA" w:rsidRPr="00C43A9C">
        <w:t>:</w:t>
      </w:r>
    </w:p>
    <w:p w14:paraId="5F422ED7" w14:textId="2D73D568" w:rsidR="007A2BFA" w:rsidRPr="00C43A9C" w:rsidRDefault="007A2BFA" w:rsidP="00473ADD">
      <w:pPr>
        <w:spacing w:before="240" w:line="360" w:lineRule="auto"/>
        <w:jc w:val="both"/>
      </w:pPr>
      <m:oMathPara>
        <m:oMath>
          <m:r>
            <w:rPr>
              <w:rFonts w:ascii="Cambria Math" w:hAnsi="Cambria Math"/>
            </w:rPr>
            <m:t>Z=1.2×</m:t>
          </m:r>
          <m:r>
            <m:rPr>
              <m:nor/>
            </m:rPr>
            <m:t>Working Capital/Total Assets</m:t>
          </m:r>
          <m:r>
            <w:rPr>
              <w:rFonts w:ascii="Cambria Math" w:hAnsi="Cambria Math"/>
            </w:rPr>
            <m:t>+1.4×</m:t>
          </m:r>
          <m:r>
            <m:rPr>
              <m:nor/>
            </m:rPr>
            <m:t>Retained Earnings/Total Assets</m:t>
          </m:r>
          <m:r>
            <w:rPr>
              <w:rFonts w:ascii="Cambria Math" w:hAnsi="Cambria Math"/>
            </w:rPr>
            <m:t>+3.3×</m:t>
          </m:r>
          <m:r>
            <m:rPr>
              <m:nor/>
            </m:rPr>
            <m:t>EBIT/Total Assets</m:t>
          </m:r>
          <m:r>
            <w:rPr>
              <w:rFonts w:ascii="Cambria Math" w:hAnsi="Cambria Math"/>
            </w:rPr>
            <m:t>+0.6×</m:t>
          </m:r>
          <m:r>
            <m:rPr>
              <m:nor/>
            </m:rPr>
            <m:t>Market Value of Equity/Total Liabilities</m:t>
          </m:r>
          <m:r>
            <w:rPr>
              <w:rFonts w:ascii="Cambria Math" w:hAnsi="Cambria Math"/>
            </w:rPr>
            <m:t>+1.0×</m:t>
          </m:r>
          <m:r>
            <m:rPr>
              <m:nor/>
            </m:rPr>
            <m:t>Sales/Total Assets</m:t>
          </m:r>
        </m:oMath>
      </m:oMathPara>
    </w:p>
    <w:p w14:paraId="090BDD87" w14:textId="77777777" w:rsidR="007A2BFA" w:rsidRPr="00C43A9C" w:rsidRDefault="007A2BFA" w:rsidP="00473ADD">
      <w:pPr>
        <w:spacing w:before="240" w:after="100" w:afterAutospacing="1" w:line="360" w:lineRule="auto"/>
        <w:jc w:val="both"/>
      </w:pPr>
      <w:r w:rsidRPr="00C43A9C">
        <w:t>Using the financial data for 2024:</w:t>
      </w:r>
    </w:p>
    <w:p w14:paraId="273E3B58" w14:textId="77777777" w:rsidR="007A2BFA" w:rsidRPr="00C43A9C" w:rsidRDefault="007A2BFA" w:rsidP="00473ADD">
      <w:pPr>
        <w:numPr>
          <w:ilvl w:val="0"/>
          <w:numId w:val="9"/>
        </w:numPr>
        <w:spacing w:before="240" w:after="100" w:afterAutospacing="1" w:line="360" w:lineRule="auto"/>
        <w:jc w:val="both"/>
      </w:pPr>
      <w:r w:rsidRPr="00C43A9C">
        <w:rPr>
          <w:b/>
          <w:bCs/>
        </w:rPr>
        <w:t>Working Capital/Total Assets</w:t>
      </w:r>
      <w:r w:rsidRPr="00C43A9C">
        <w:t xml:space="preserve">: </w:t>
      </w:r>
      <m:oMath>
        <m:f>
          <m:fPr>
            <m:ctrlPr>
              <w:rPr>
                <w:rFonts w:ascii="Cambria Math" w:hAnsi="Cambria Math"/>
              </w:rPr>
            </m:ctrlPr>
          </m:fPr>
          <m:num>
            <m:r>
              <w:rPr>
                <w:rFonts w:ascii="Cambria Math" w:hAnsi="Cambria Math"/>
              </w:rPr>
              <m:t>242,494-158,291</m:t>
            </m:r>
          </m:num>
          <m:den>
            <m:r>
              <w:rPr>
                <w:rFonts w:ascii="Cambria Math" w:hAnsi="Cambria Math"/>
              </w:rPr>
              <m:t>323,354</m:t>
            </m:r>
          </m:den>
        </m:f>
        <m:r>
          <w:rPr>
            <w:rFonts w:ascii="Cambria Math" w:hAnsi="Cambria Math"/>
          </w:rPr>
          <m:t>=0.261</m:t>
        </m:r>
      </m:oMath>
    </w:p>
    <w:p w14:paraId="19775465" w14:textId="77777777" w:rsidR="007A2BFA" w:rsidRPr="00C43A9C" w:rsidRDefault="007A2BFA" w:rsidP="00473ADD">
      <w:pPr>
        <w:numPr>
          <w:ilvl w:val="0"/>
          <w:numId w:val="9"/>
        </w:numPr>
        <w:spacing w:before="240" w:after="100" w:afterAutospacing="1" w:line="360" w:lineRule="auto"/>
        <w:jc w:val="both"/>
      </w:pPr>
      <w:r w:rsidRPr="00C43A9C">
        <w:rPr>
          <w:b/>
          <w:bCs/>
        </w:rPr>
        <w:t>Retained Earnings/Total Assets</w:t>
      </w:r>
      <w:r w:rsidRPr="00C43A9C">
        <w:t xml:space="preserve">: </w:t>
      </w:r>
      <m:oMath>
        <m:f>
          <m:fPr>
            <m:ctrlPr>
              <w:rPr>
                <w:rFonts w:ascii="Cambria Math" w:hAnsi="Cambria Math"/>
              </w:rPr>
            </m:ctrlPr>
          </m:fPr>
          <m:num>
            <m:r>
              <w:rPr>
                <w:rFonts w:ascii="Cambria Math" w:hAnsi="Cambria Math"/>
              </w:rPr>
              <m:t>208,431</m:t>
            </m:r>
          </m:num>
          <m:den>
            <m:r>
              <w:rPr>
                <w:rFonts w:ascii="Cambria Math" w:hAnsi="Cambria Math"/>
              </w:rPr>
              <m:t>323,354</m:t>
            </m:r>
          </m:den>
        </m:f>
        <m:r>
          <w:rPr>
            <w:rFonts w:ascii="Cambria Math" w:hAnsi="Cambria Math"/>
          </w:rPr>
          <m:t>=0.645</m:t>
        </m:r>
      </m:oMath>
    </w:p>
    <w:p w14:paraId="11ED6DBA" w14:textId="77777777" w:rsidR="007A2BFA" w:rsidRPr="00C43A9C" w:rsidRDefault="007A2BFA" w:rsidP="00473ADD">
      <w:pPr>
        <w:numPr>
          <w:ilvl w:val="0"/>
          <w:numId w:val="9"/>
        </w:numPr>
        <w:spacing w:before="240" w:after="100" w:afterAutospacing="1" w:line="360" w:lineRule="auto"/>
        <w:jc w:val="both"/>
      </w:pPr>
      <w:r w:rsidRPr="00C43A9C">
        <w:rPr>
          <w:b/>
          <w:bCs/>
        </w:rPr>
        <w:t>EBIT/Total Assets</w:t>
      </w:r>
      <w:r w:rsidRPr="00C43A9C">
        <w:t xml:space="preserve">: </w:t>
      </w:r>
      <m:oMath>
        <m:f>
          <m:fPr>
            <m:ctrlPr>
              <w:rPr>
                <w:rFonts w:ascii="Cambria Math" w:hAnsi="Cambria Math"/>
              </w:rPr>
            </m:ctrlPr>
          </m:fPr>
          <m:num>
            <m:r>
              <w:rPr>
                <w:rFonts w:ascii="Cambria Math" w:hAnsi="Cambria Math"/>
              </w:rPr>
              <m:t>-15,297</m:t>
            </m:r>
          </m:num>
          <m:den>
            <m:r>
              <w:rPr>
                <w:rFonts w:ascii="Cambria Math" w:hAnsi="Cambria Math"/>
              </w:rPr>
              <m:t>323,354</m:t>
            </m:r>
          </m:den>
        </m:f>
        <m:r>
          <w:rPr>
            <w:rFonts w:ascii="Cambria Math" w:hAnsi="Cambria Math"/>
          </w:rPr>
          <m:t>=-0.047</m:t>
        </m:r>
      </m:oMath>
    </w:p>
    <w:p w14:paraId="5C97338A" w14:textId="77777777" w:rsidR="007A2BFA" w:rsidRPr="00C43A9C" w:rsidRDefault="007A2BFA" w:rsidP="00473ADD">
      <w:pPr>
        <w:numPr>
          <w:ilvl w:val="0"/>
          <w:numId w:val="9"/>
        </w:numPr>
        <w:spacing w:before="240" w:after="100" w:afterAutospacing="1" w:line="360" w:lineRule="auto"/>
        <w:jc w:val="both"/>
      </w:pPr>
      <w:r w:rsidRPr="00C43A9C">
        <w:rPr>
          <w:b/>
          <w:bCs/>
        </w:rPr>
        <w:t>Market Value of Equity/Total Liabilities</w:t>
      </w:r>
      <w:r w:rsidRPr="00C43A9C">
        <w:t xml:space="preserve">: </w:t>
      </w:r>
      <m:oMath>
        <m:f>
          <m:fPr>
            <m:ctrlPr>
              <w:rPr>
                <w:rFonts w:ascii="Cambria Math" w:hAnsi="Cambria Math"/>
              </w:rPr>
            </m:ctrlPr>
          </m:fPr>
          <m:num>
            <m:r>
              <w:rPr>
                <w:rFonts w:ascii="Cambria Math" w:hAnsi="Cambria Math"/>
              </w:rPr>
              <m:t>153,105</m:t>
            </m:r>
          </m:num>
          <m:den>
            <m:r>
              <w:rPr>
                <w:rFonts w:ascii="Cambria Math" w:hAnsi="Cambria Math"/>
              </w:rPr>
              <m:t>170,249</m:t>
            </m:r>
          </m:den>
        </m:f>
        <m:r>
          <w:rPr>
            <w:rFonts w:ascii="Cambria Math" w:hAnsi="Cambria Math"/>
          </w:rPr>
          <m:t>=0.899</m:t>
        </m:r>
      </m:oMath>
    </w:p>
    <w:p w14:paraId="2FA10D1A" w14:textId="77777777" w:rsidR="007A2BFA" w:rsidRPr="00C43A9C" w:rsidRDefault="007A2BFA" w:rsidP="00473ADD">
      <w:pPr>
        <w:numPr>
          <w:ilvl w:val="0"/>
          <w:numId w:val="9"/>
        </w:numPr>
        <w:spacing w:before="240" w:after="100" w:afterAutospacing="1" w:line="360" w:lineRule="auto"/>
        <w:jc w:val="both"/>
      </w:pPr>
      <w:r w:rsidRPr="00C43A9C">
        <w:rPr>
          <w:b/>
          <w:bCs/>
        </w:rPr>
        <w:t>Sales/Total Assets</w:t>
      </w:r>
      <w:r w:rsidRPr="00C43A9C">
        <w:t xml:space="preserve">: </w:t>
      </w:r>
      <m:oMath>
        <m:f>
          <m:fPr>
            <m:ctrlPr>
              <w:rPr>
                <w:rFonts w:ascii="Cambria Math" w:hAnsi="Cambria Math"/>
              </w:rPr>
            </m:ctrlPr>
          </m:fPr>
          <m:num>
            <m:r>
              <w:rPr>
                <w:rFonts w:ascii="Cambria Math" w:hAnsi="Cambria Math"/>
              </w:rPr>
              <m:t>394,879</m:t>
            </m:r>
          </m:num>
          <m:den>
            <m:r>
              <w:rPr>
                <w:rFonts w:ascii="Cambria Math" w:hAnsi="Cambria Math"/>
              </w:rPr>
              <m:t>323,354</m:t>
            </m:r>
          </m:den>
        </m:f>
        <m:r>
          <w:rPr>
            <w:rFonts w:ascii="Cambria Math" w:hAnsi="Cambria Math"/>
          </w:rPr>
          <m:t>=1.22</m:t>
        </m:r>
      </m:oMath>
    </w:p>
    <w:p w14:paraId="50805B5D" w14:textId="77777777" w:rsidR="007A2BFA" w:rsidRPr="00C43A9C" w:rsidRDefault="007A2BFA" w:rsidP="00473ADD">
      <w:pPr>
        <w:spacing w:before="240" w:after="100" w:afterAutospacing="1" w:line="360" w:lineRule="auto"/>
        <w:jc w:val="both"/>
        <w:rPr>
          <w:b/>
          <w:bCs/>
        </w:rPr>
      </w:pPr>
      <w:r w:rsidRPr="00C43A9C">
        <w:rPr>
          <w:b/>
          <w:bCs/>
        </w:rPr>
        <w:t>Calculating the Z-Score:</w:t>
      </w:r>
    </w:p>
    <w:p w14:paraId="673DCC1C" w14:textId="71C1107F" w:rsidR="007A2BFA" w:rsidRPr="00C43A9C" w:rsidRDefault="007A2BFA" w:rsidP="00473ADD">
      <w:pPr>
        <w:spacing w:before="240" w:line="360" w:lineRule="auto"/>
        <w:jc w:val="both"/>
      </w:pPr>
      <m:oMathPara>
        <m:oMath>
          <m:r>
            <w:rPr>
              <w:rFonts w:ascii="Cambria Math" w:hAnsi="Cambria Math"/>
            </w:rPr>
            <m:t>Z=1.2×0.261+1.4×0.645+3.3×(-0.047)+0.6×0.899+1.0×1.22=0.313+0.903-0.155+0.539+1.22=2.82</m:t>
          </m:r>
        </m:oMath>
      </m:oMathPara>
    </w:p>
    <w:p w14:paraId="5B550659" w14:textId="3AB7A264" w:rsidR="007A2BFA" w:rsidRPr="00C43A9C" w:rsidRDefault="009649D1" w:rsidP="00473ADD">
      <w:pPr>
        <w:pStyle w:val="NormalWeb"/>
        <w:spacing w:line="360" w:lineRule="auto"/>
        <w:jc w:val="both"/>
      </w:pPr>
      <w:r w:rsidRPr="00C43A9C">
        <w:t>The Z-Score of 2.82 indicates that the company is moderately in danger of turning into a financial distress, and it will probably go bankrupt in the next two years unless its modern tendencies are altered</w:t>
      </w:r>
      <w:r w:rsidR="00473ADD">
        <w:t xml:space="preserve"> (Drury, 2013)</w:t>
      </w:r>
      <w:r w:rsidRPr="00C43A9C">
        <w:t>.</w:t>
      </w:r>
    </w:p>
    <w:p w14:paraId="6BE0F5CF" w14:textId="1DAFECD3" w:rsidR="007A2BFA" w:rsidRPr="00C43A9C" w:rsidRDefault="00C43A9C" w:rsidP="00473ADD">
      <w:pPr>
        <w:pStyle w:val="Heading1"/>
        <w:spacing w:before="240" w:line="360" w:lineRule="auto"/>
        <w:jc w:val="both"/>
        <w:rPr>
          <w:rFonts w:ascii="Times New Roman" w:hAnsi="Times New Roman" w:cs="Times New Roman"/>
          <w:b/>
          <w:bCs/>
          <w:color w:val="auto"/>
          <w:sz w:val="24"/>
          <w:szCs w:val="24"/>
        </w:rPr>
      </w:pPr>
      <w:bookmarkStart w:id="3" w:name="_Toc214577423"/>
      <w:r w:rsidRPr="00C43A9C">
        <w:rPr>
          <w:rFonts w:ascii="Times New Roman" w:hAnsi="Times New Roman" w:cs="Times New Roman"/>
          <w:b/>
          <w:bCs/>
          <w:color w:val="auto"/>
          <w:sz w:val="24"/>
          <w:szCs w:val="24"/>
        </w:rPr>
        <w:t xml:space="preserve">2. </w:t>
      </w:r>
      <w:r w:rsidR="007A2BFA" w:rsidRPr="00C43A9C">
        <w:rPr>
          <w:rFonts w:ascii="Times New Roman" w:hAnsi="Times New Roman" w:cs="Times New Roman"/>
          <w:b/>
          <w:bCs/>
          <w:color w:val="auto"/>
          <w:sz w:val="24"/>
          <w:szCs w:val="24"/>
        </w:rPr>
        <w:t>Working Capital Management Analysis</w:t>
      </w:r>
      <w:bookmarkEnd w:id="3"/>
      <w:r w:rsidR="007A2BFA" w:rsidRPr="00C43A9C">
        <w:rPr>
          <w:rFonts w:ascii="Times New Roman" w:hAnsi="Times New Roman" w:cs="Times New Roman"/>
          <w:b/>
          <w:bCs/>
          <w:color w:val="auto"/>
          <w:sz w:val="24"/>
          <w:szCs w:val="24"/>
        </w:rPr>
        <w:t xml:space="preserve"> </w:t>
      </w:r>
    </w:p>
    <w:p w14:paraId="3042E416" w14:textId="77777777" w:rsidR="007A2BFA" w:rsidRPr="00C43A9C" w:rsidRDefault="007A2BFA" w:rsidP="00473ADD">
      <w:pPr>
        <w:spacing w:before="240" w:after="100" w:afterAutospacing="1" w:line="360" w:lineRule="auto"/>
        <w:jc w:val="both"/>
        <w:outlineLvl w:val="3"/>
        <w:rPr>
          <w:b/>
          <w:bCs/>
        </w:rPr>
      </w:pPr>
      <w:r w:rsidRPr="00C43A9C">
        <w:rPr>
          <w:b/>
          <w:bCs/>
        </w:rPr>
        <w:t>1. Cash Operating Cycle Assessment</w:t>
      </w:r>
    </w:p>
    <w:p w14:paraId="199C56D5" w14:textId="525F6A3E" w:rsidR="009649D1" w:rsidRPr="00C43A9C" w:rsidRDefault="009649D1" w:rsidP="00473ADD">
      <w:pPr>
        <w:spacing w:before="240" w:after="100" w:afterAutospacing="1" w:line="360" w:lineRule="auto"/>
        <w:jc w:val="both"/>
      </w:pPr>
      <w:r w:rsidRPr="00C43A9C">
        <w:t xml:space="preserve">The cash operating cycle is a highly significant ratio that will be used to determine the efficiency in the management of the working capital of General Electronics. The cycle indicates the length of time the company takes to turn its investments </w:t>
      </w:r>
      <w:r w:rsidR="0001301C">
        <w:t>i</w:t>
      </w:r>
      <w:r w:rsidRPr="00C43A9C">
        <w:t xml:space="preserve">n inventory and receivables into cash. </w:t>
      </w:r>
      <w:r w:rsidR="0001301C">
        <w:t>A s</w:t>
      </w:r>
      <w:r w:rsidRPr="00C43A9C">
        <w:t>horter cash cycle normally indicates efficiency of capital.</w:t>
      </w:r>
    </w:p>
    <w:p w14:paraId="1DBBD836" w14:textId="6396A41E" w:rsidR="009649D1" w:rsidRPr="00C43A9C" w:rsidRDefault="009649D1" w:rsidP="00473ADD">
      <w:pPr>
        <w:spacing w:before="240" w:after="100" w:afterAutospacing="1" w:line="360" w:lineRule="auto"/>
        <w:jc w:val="both"/>
      </w:pPr>
      <w:r w:rsidRPr="00C43A9C">
        <w:t xml:space="preserve">To compute the cash operating cycle, the following aspects </w:t>
      </w:r>
      <w:r w:rsidR="0001301C" w:rsidRPr="00C43A9C">
        <w:t>must</w:t>
      </w:r>
      <w:r w:rsidRPr="00C43A9C">
        <w:t xml:space="preserve"> be considered:</w:t>
      </w:r>
    </w:p>
    <w:p w14:paraId="4720C0A3" w14:textId="317B9CFF" w:rsidR="007A2BFA" w:rsidRPr="00C43A9C" w:rsidRDefault="009649D1" w:rsidP="00473ADD">
      <w:pPr>
        <w:spacing w:before="240" w:after="100" w:afterAutospacing="1" w:line="360" w:lineRule="auto"/>
        <w:jc w:val="both"/>
      </w:pPr>
      <w:r w:rsidRPr="00C43A9C">
        <w:rPr>
          <w:b/>
          <w:bCs/>
        </w:rPr>
        <w:t>Days Sales Outstanding (DSO):</w:t>
      </w:r>
      <w:r w:rsidRPr="00C43A9C">
        <w:t xml:space="preserve"> The average days that the business takes to collect the bills</w:t>
      </w:r>
      <w:r w:rsidR="007A2BFA" w:rsidRPr="00C43A9C">
        <w:t>.</w:t>
      </w:r>
      <w:r w:rsidR="007A2BFA" w:rsidRPr="00C43A9C">
        <w:br/>
      </w:r>
      <w:r w:rsidR="007A2BFA" w:rsidRPr="00C43A9C">
        <w:rPr>
          <w:b/>
          <w:bCs/>
        </w:rPr>
        <w:t>Formula:</w:t>
      </w:r>
      <w:r w:rsidR="007A2BFA" w:rsidRPr="00C43A9C">
        <w:br/>
      </w:r>
      <m:oMathPara>
        <m:oMath>
          <m:r>
            <m:rPr>
              <m:nor/>
            </m:rPr>
            <m:t>DSO</m:t>
          </m:r>
          <m:r>
            <w:rPr>
              <w:rFonts w:ascii="Cambria Math" w:hAnsi="Cambria Math"/>
            </w:rPr>
            <m:t>=</m:t>
          </m:r>
          <m:f>
            <m:fPr>
              <m:ctrlPr>
                <w:rPr>
                  <w:rFonts w:ascii="Cambria Math" w:hAnsi="Cambria Math"/>
                </w:rPr>
              </m:ctrlPr>
            </m:fPr>
            <m:num>
              <m:r>
                <m:rPr>
                  <m:nor/>
                </m:rPr>
                <m:t>Accounts Receivable</m:t>
              </m:r>
            </m:num>
            <m:den>
              <m:r>
                <m:rPr>
                  <m:nor/>
                </m:rPr>
                <m:t>Net Sales</m:t>
              </m:r>
            </m:den>
          </m:f>
          <m:r>
            <w:rPr>
              <w:rFonts w:ascii="Cambria Math" w:hAnsi="Cambria Math"/>
            </w:rPr>
            <m:t>×365</m:t>
          </m:r>
        </m:oMath>
      </m:oMathPara>
    </w:p>
    <w:p w14:paraId="4E8AFAFD" w14:textId="77777777" w:rsidR="007A2BFA" w:rsidRPr="00C43A9C" w:rsidRDefault="007A2BFA" w:rsidP="00473ADD">
      <w:pPr>
        <w:spacing w:before="240" w:after="100" w:afterAutospacing="1" w:line="360" w:lineRule="auto"/>
        <w:jc w:val="both"/>
        <w:rPr>
          <w:b/>
          <w:bCs/>
        </w:rPr>
      </w:pPr>
      <w:r w:rsidRPr="00C43A9C">
        <w:rPr>
          <w:b/>
          <w:bCs/>
        </w:rPr>
        <w:t>For 2024:</w:t>
      </w:r>
    </w:p>
    <w:p w14:paraId="44CBAA94" w14:textId="5648D067" w:rsidR="007A2BFA" w:rsidRPr="00C43A9C" w:rsidRDefault="007A2BFA" w:rsidP="00473ADD">
      <w:pPr>
        <w:spacing w:before="240" w:afterAutospacing="1" w:line="360" w:lineRule="auto"/>
        <w:ind w:left="720"/>
        <w:jc w:val="both"/>
      </w:pPr>
      <m:oMathPara>
        <m:oMath>
          <m:r>
            <m:rPr>
              <m:nor/>
            </m:rPr>
            <m:t>DSO</m:t>
          </m:r>
          <m:r>
            <w:rPr>
              <w:rFonts w:ascii="Cambria Math" w:hAnsi="Cambria Math"/>
            </w:rPr>
            <m:t>=</m:t>
          </m:r>
          <m:f>
            <m:fPr>
              <m:ctrlPr>
                <w:rPr>
                  <w:rFonts w:ascii="Cambria Math" w:hAnsi="Cambria Math"/>
                </w:rPr>
              </m:ctrlPr>
            </m:fPr>
            <m:num>
              <m:r>
                <w:rPr>
                  <w:rFonts w:ascii="Cambria Math" w:hAnsi="Cambria Math"/>
                </w:rPr>
                <m:t>114,182</m:t>
              </m:r>
            </m:num>
            <m:den>
              <m:r>
                <w:rPr>
                  <w:rFonts w:ascii="Cambria Math" w:hAnsi="Cambria Math"/>
                </w:rPr>
                <m:t>394,879</m:t>
              </m:r>
            </m:den>
          </m:f>
          <m:r>
            <w:rPr>
              <w:rFonts w:ascii="Cambria Math" w:hAnsi="Cambria Math"/>
            </w:rPr>
            <m:t>×365=105.4</m:t>
          </m:r>
          <m:r>
            <m:rPr>
              <m:nor/>
            </m:rPr>
            <m:t> days</m:t>
          </m:r>
        </m:oMath>
      </m:oMathPara>
    </w:p>
    <w:p w14:paraId="3445C90B" w14:textId="7592F02F" w:rsidR="009649D1" w:rsidRPr="00C43A9C" w:rsidRDefault="009649D1" w:rsidP="00473ADD">
      <w:pPr>
        <w:spacing w:before="240" w:after="100" w:afterAutospacing="1" w:line="360" w:lineRule="auto"/>
        <w:jc w:val="both"/>
      </w:pPr>
      <w:r w:rsidRPr="00C43A9C">
        <w:t>It is better than 2020</w:t>
      </w:r>
      <w:r w:rsidR="0001301C">
        <w:t>,</w:t>
      </w:r>
      <w:r w:rsidRPr="00C43A9C">
        <w:t xml:space="preserve"> when DSO was 116.3 days. Nevertheless, the lengthy collection period remains a sign of inefficiency in managing receivables.</w:t>
      </w:r>
    </w:p>
    <w:p w14:paraId="71C823C9" w14:textId="3741021B" w:rsidR="009649D1" w:rsidRPr="00C43A9C" w:rsidRDefault="009649D1" w:rsidP="00473ADD">
      <w:pPr>
        <w:spacing w:before="240" w:after="100" w:afterAutospacing="1" w:line="360" w:lineRule="auto"/>
        <w:jc w:val="both"/>
      </w:pPr>
      <w:r w:rsidRPr="00C43A9C">
        <w:rPr>
          <w:b/>
          <w:bCs/>
        </w:rPr>
        <w:t>Days Inventory Outstanding (DIO):</w:t>
      </w:r>
      <w:r w:rsidRPr="00C43A9C">
        <w:t xml:space="preserve"> This is the number of days on average that it takes General Electronics to sell the inventory</w:t>
      </w:r>
      <w:r w:rsidR="007A2BFA" w:rsidRPr="00C43A9C">
        <w:t>.</w:t>
      </w:r>
    </w:p>
    <w:p w14:paraId="61F2DE3A" w14:textId="1947C7C9" w:rsidR="007A2BFA" w:rsidRPr="00C43A9C" w:rsidRDefault="007A2BFA" w:rsidP="00473ADD">
      <w:pPr>
        <w:spacing w:before="240" w:after="100" w:afterAutospacing="1" w:line="360" w:lineRule="auto"/>
        <w:jc w:val="both"/>
      </w:pPr>
      <w:r w:rsidRPr="00C43A9C">
        <w:rPr>
          <w:b/>
          <w:bCs/>
        </w:rPr>
        <w:t>Formula:</w:t>
      </w:r>
      <w:r w:rsidRPr="00C43A9C">
        <w:br/>
      </w:r>
      <m:oMathPara>
        <m:oMath>
          <m:r>
            <m:rPr>
              <m:nor/>
            </m:rPr>
            <m:t>DIO</m:t>
          </m:r>
          <m:r>
            <w:rPr>
              <w:rFonts w:ascii="Cambria Math" w:hAnsi="Cambria Math"/>
            </w:rPr>
            <m:t>=</m:t>
          </m:r>
          <m:f>
            <m:fPr>
              <m:ctrlPr>
                <w:rPr>
                  <w:rFonts w:ascii="Cambria Math" w:hAnsi="Cambria Math"/>
                </w:rPr>
              </m:ctrlPr>
            </m:fPr>
            <m:num>
              <m:r>
                <m:rPr>
                  <m:nor/>
                </m:rPr>
                <m:t>Inventories</m:t>
              </m:r>
            </m:num>
            <m:den>
              <m:r>
                <m:rPr>
                  <m:nor/>
                </m:rPr>
                <m:t>Cost of Goods Sold</m:t>
              </m:r>
            </m:den>
          </m:f>
          <m:r>
            <w:rPr>
              <w:rFonts w:ascii="Cambria Math" w:hAnsi="Cambria Math"/>
            </w:rPr>
            <m:t>×365</m:t>
          </m:r>
        </m:oMath>
      </m:oMathPara>
    </w:p>
    <w:p w14:paraId="3D4440B8" w14:textId="77777777" w:rsidR="007A2BFA" w:rsidRPr="00C43A9C" w:rsidRDefault="007A2BFA" w:rsidP="00473ADD">
      <w:pPr>
        <w:spacing w:before="240" w:after="100" w:afterAutospacing="1" w:line="360" w:lineRule="auto"/>
        <w:jc w:val="both"/>
        <w:rPr>
          <w:b/>
          <w:bCs/>
        </w:rPr>
      </w:pPr>
      <w:r w:rsidRPr="00C43A9C">
        <w:rPr>
          <w:b/>
          <w:bCs/>
        </w:rPr>
        <w:t>For 2024:</w:t>
      </w:r>
    </w:p>
    <w:p w14:paraId="7E73B106" w14:textId="5C134664" w:rsidR="007A2BFA" w:rsidRPr="00C43A9C" w:rsidRDefault="007A2BFA" w:rsidP="00473ADD">
      <w:pPr>
        <w:spacing w:before="240" w:afterAutospacing="1" w:line="360" w:lineRule="auto"/>
        <w:ind w:left="720"/>
        <w:jc w:val="both"/>
      </w:pPr>
      <m:oMathPara>
        <m:oMath>
          <m:r>
            <m:rPr>
              <m:nor/>
            </m:rPr>
            <m:t>DIO</m:t>
          </m:r>
          <m:r>
            <w:rPr>
              <w:rFonts w:ascii="Cambria Math" w:hAnsi="Cambria Math"/>
            </w:rPr>
            <m:t>=</m:t>
          </m:r>
          <m:f>
            <m:fPr>
              <m:ctrlPr>
                <w:rPr>
                  <w:rFonts w:ascii="Cambria Math" w:hAnsi="Cambria Math"/>
                </w:rPr>
              </m:ctrlPr>
            </m:fPr>
            <m:num>
              <m:r>
                <w:rPr>
                  <w:rFonts w:ascii="Cambria Math" w:hAnsi="Cambria Math"/>
                </w:rPr>
                <m:t>79,355</m:t>
              </m:r>
            </m:num>
            <m:den>
              <m:r>
                <w:rPr>
                  <w:rFonts w:ascii="Cambria Math" w:hAnsi="Cambria Math"/>
                </w:rPr>
                <m:t>280,885</m:t>
              </m:r>
            </m:den>
          </m:f>
          <m:r>
            <w:rPr>
              <w:rFonts w:ascii="Cambria Math" w:hAnsi="Cambria Math"/>
            </w:rPr>
            <m:t>×365=103.2</m:t>
          </m:r>
          <m:r>
            <m:rPr>
              <m:nor/>
            </m:rPr>
            <m:t> days</m:t>
          </m:r>
        </m:oMath>
      </m:oMathPara>
    </w:p>
    <w:p w14:paraId="375B3FBF" w14:textId="256A5837" w:rsidR="007A2BFA" w:rsidRPr="00C43A9C" w:rsidRDefault="009649D1" w:rsidP="00473ADD">
      <w:pPr>
        <w:spacing w:before="240" w:after="100" w:afterAutospacing="1" w:line="360" w:lineRule="auto"/>
        <w:jc w:val="both"/>
      </w:pPr>
      <w:r w:rsidRPr="00C43A9C">
        <w:t xml:space="preserve">It is an improvement over 2020 when the DIO stood at 118.4 days, </w:t>
      </w:r>
      <w:r w:rsidR="0001301C" w:rsidRPr="00C43A9C">
        <w:t>but</w:t>
      </w:r>
      <w:r w:rsidRPr="00C43A9C">
        <w:t xml:space="preserve"> at any rate</w:t>
      </w:r>
      <w:r w:rsidR="0001301C">
        <w:t>,</w:t>
      </w:r>
      <w:r w:rsidRPr="00C43A9C">
        <w:t xml:space="preserve"> it indicates that a better inventory turnover is possible</w:t>
      </w:r>
      <w:r w:rsidR="007A2BFA" w:rsidRPr="00C43A9C">
        <w:t>.</w:t>
      </w:r>
    </w:p>
    <w:p w14:paraId="767A4332" w14:textId="1C835650" w:rsidR="009649D1" w:rsidRPr="00C43A9C" w:rsidRDefault="009649D1" w:rsidP="00473ADD">
      <w:pPr>
        <w:spacing w:before="240" w:after="100" w:afterAutospacing="1" w:line="360" w:lineRule="auto"/>
        <w:jc w:val="both"/>
      </w:pPr>
      <w:r w:rsidRPr="00C43A9C">
        <w:rPr>
          <w:b/>
          <w:bCs/>
        </w:rPr>
        <w:t>Days Payable Outstanding (DPO):</w:t>
      </w:r>
      <w:r w:rsidRPr="00C43A9C">
        <w:t xml:space="preserve"> This is the average </w:t>
      </w:r>
      <w:r w:rsidR="0001301C">
        <w:t>number</w:t>
      </w:r>
      <w:r w:rsidRPr="00C43A9C">
        <w:t xml:space="preserve"> of days that the company can take to pay its suppliers</w:t>
      </w:r>
      <w:r w:rsidR="007A2BFA" w:rsidRPr="00C43A9C">
        <w:t>.</w:t>
      </w:r>
    </w:p>
    <w:p w14:paraId="42A952EF" w14:textId="129B9A47" w:rsidR="007A2BFA" w:rsidRPr="00C43A9C" w:rsidRDefault="007A2BFA" w:rsidP="00473ADD">
      <w:pPr>
        <w:spacing w:before="240" w:after="100" w:afterAutospacing="1" w:line="360" w:lineRule="auto"/>
        <w:jc w:val="both"/>
      </w:pPr>
      <w:r w:rsidRPr="00C43A9C">
        <w:rPr>
          <w:b/>
          <w:bCs/>
        </w:rPr>
        <w:t>Formula:</w:t>
      </w:r>
      <w:r w:rsidRPr="00C43A9C">
        <w:br/>
      </w:r>
      <m:oMathPara>
        <m:oMath>
          <m:r>
            <m:rPr>
              <m:nor/>
            </m:rPr>
            <m:t>DPO</m:t>
          </m:r>
          <m:r>
            <w:rPr>
              <w:rFonts w:ascii="Cambria Math" w:hAnsi="Cambria Math"/>
            </w:rPr>
            <m:t>=</m:t>
          </m:r>
          <m:f>
            <m:fPr>
              <m:ctrlPr>
                <w:rPr>
                  <w:rFonts w:ascii="Cambria Math" w:hAnsi="Cambria Math"/>
                </w:rPr>
              </m:ctrlPr>
            </m:fPr>
            <m:num>
              <m:r>
                <m:rPr>
                  <m:nor/>
                </m:rPr>
                <m:t>Accounts Payable</m:t>
              </m:r>
            </m:num>
            <m:den>
              <m:r>
                <m:rPr>
                  <m:nor/>
                </m:rPr>
                <m:t>Cost of Goods Sold</m:t>
              </m:r>
            </m:den>
          </m:f>
          <m:r>
            <w:rPr>
              <w:rFonts w:ascii="Cambria Math" w:hAnsi="Cambria Math"/>
            </w:rPr>
            <m:t>×365</m:t>
          </m:r>
        </m:oMath>
      </m:oMathPara>
    </w:p>
    <w:p w14:paraId="74DF7EC7" w14:textId="77777777" w:rsidR="007A2BFA" w:rsidRPr="00C43A9C" w:rsidRDefault="007A2BFA" w:rsidP="00473ADD">
      <w:pPr>
        <w:spacing w:before="240" w:after="100" w:afterAutospacing="1" w:line="360" w:lineRule="auto"/>
        <w:jc w:val="both"/>
        <w:rPr>
          <w:b/>
          <w:bCs/>
        </w:rPr>
      </w:pPr>
      <w:r w:rsidRPr="00C43A9C">
        <w:rPr>
          <w:b/>
          <w:bCs/>
        </w:rPr>
        <w:t>For 2024:</w:t>
      </w:r>
    </w:p>
    <w:p w14:paraId="74C2B245" w14:textId="5692EDFB" w:rsidR="009649D1" w:rsidRPr="00C43A9C" w:rsidRDefault="007A2BFA" w:rsidP="00473ADD">
      <w:pPr>
        <w:spacing w:before="240" w:afterAutospacing="1" w:line="360" w:lineRule="auto"/>
        <w:ind w:left="720"/>
        <w:jc w:val="both"/>
      </w:pPr>
      <m:oMathPara>
        <m:oMath>
          <m:r>
            <m:rPr>
              <m:nor/>
            </m:rPr>
            <m:t>DPO</m:t>
          </m:r>
          <m:r>
            <w:rPr>
              <w:rFonts w:ascii="Cambria Math" w:hAnsi="Cambria Math"/>
            </w:rPr>
            <m:t>=</m:t>
          </m:r>
          <m:f>
            <m:fPr>
              <m:ctrlPr>
                <w:rPr>
                  <w:rFonts w:ascii="Cambria Math" w:hAnsi="Cambria Math"/>
                </w:rPr>
              </m:ctrlPr>
            </m:fPr>
            <m:num>
              <m:r>
                <w:rPr>
                  <w:rFonts w:ascii="Cambria Math" w:hAnsi="Cambria Math"/>
                </w:rPr>
                <m:t>72,031</m:t>
              </m:r>
            </m:num>
            <m:den>
              <m:r>
                <w:rPr>
                  <w:rFonts w:ascii="Cambria Math" w:hAnsi="Cambria Math"/>
                </w:rPr>
                <m:t>280,885</m:t>
              </m:r>
            </m:den>
          </m:f>
          <m:r>
            <w:rPr>
              <w:rFonts w:ascii="Cambria Math" w:hAnsi="Cambria Math"/>
            </w:rPr>
            <m:t>×365=93.4</m:t>
          </m:r>
          <m:r>
            <m:rPr>
              <m:nor/>
            </m:rPr>
            <m:t> days</m:t>
          </m:r>
        </m:oMath>
      </m:oMathPara>
    </w:p>
    <w:p w14:paraId="09E4FB28" w14:textId="4550D2D2" w:rsidR="009649D1" w:rsidRPr="00C43A9C" w:rsidRDefault="009649D1" w:rsidP="00473ADD">
      <w:pPr>
        <w:spacing w:before="240" w:after="100" w:afterAutospacing="1" w:line="360" w:lineRule="auto"/>
        <w:jc w:val="both"/>
      </w:pPr>
      <w:r w:rsidRPr="00C43A9C">
        <w:t>DPO stands at a better position today compared to 2020</w:t>
      </w:r>
      <w:r w:rsidR="0001301C">
        <w:t>,</w:t>
      </w:r>
      <w:r w:rsidRPr="00C43A9C">
        <w:t xml:space="preserve"> with 82.4 days</w:t>
      </w:r>
      <w:r w:rsidR="0001301C">
        <w:t>,</w:t>
      </w:r>
      <w:r w:rsidRPr="00C43A9C">
        <w:t xml:space="preserve"> indicating that General Electronics is efficiently using its payables to a ratio, slightly decreasing the time of payment to creditors, which also has a positive effect on the short-term liquidity.</w:t>
      </w:r>
    </w:p>
    <w:p w14:paraId="0F0E7E2B" w14:textId="77777777" w:rsidR="007A2BFA" w:rsidRPr="00C43A9C" w:rsidRDefault="007A2BFA" w:rsidP="00473ADD">
      <w:pPr>
        <w:spacing w:before="240" w:after="100" w:afterAutospacing="1" w:line="360" w:lineRule="auto"/>
        <w:jc w:val="both"/>
        <w:outlineLvl w:val="3"/>
        <w:rPr>
          <w:b/>
          <w:bCs/>
        </w:rPr>
      </w:pPr>
      <w:r w:rsidRPr="00C43A9C">
        <w:rPr>
          <w:b/>
          <w:bCs/>
        </w:rPr>
        <w:t>Cash Operating Cycle Formula:</w:t>
      </w:r>
    </w:p>
    <w:p w14:paraId="3A0AF031" w14:textId="77777777" w:rsidR="007A2BFA" w:rsidRPr="00C43A9C" w:rsidRDefault="007A2BFA" w:rsidP="00473ADD">
      <w:pPr>
        <w:spacing w:before="240" w:line="360" w:lineRule="auto"/>
        <w:jc w:val="both"/>
      </w:pPr>
      <m:oMathPara>
        <m:oMath>
          <m:r>
            <m:rPr>
              <m:nor/>
            </m:rPr>
            <m:t>Cash Operating Cycle</m:t>
          </m:r>
          <m:r>
            <w:rPr>
              <w:rFonts w:ascii="Cambria Math" w:hAnsi="Cambria Math"/>
            </w:rPr>
            <m:t>=</m:t>
          </m:r>
          <m:r>
            <m:rPr>
              <m:nor/>
            </m:rPr>
            <m:t>DSO</m:t>
          </m:r>
          <m:r>
            <w:rPr>
              <w:rFonts w:ascii="Cambria Math" w:hAnsi="Cambria Math"/>
            </w:rPr>
            <m:t>+</m:t>
          </m:r>
          <m:r>
            <m:rPr>
              <m:nor/>
            </m:rPr>
            <m:t>DIO</m:t>
          </m:r>
          <m:r>
            <w:rPr>
              <w:rFonts w:ascii="Cambria Math" w:hAnsi="Cambria Math"/>
            </w:rPr>
            <m:t>-</m:t>
          </m:r>
          <m:r>
            <m:rPr>
              <m:nor/>
            </m:rPr>
            <m:t>DPO</m:t>
          </m:r>
          <m:r>
            <m:rPr>
              <m:sty m:val="p"/>
            </m:rPr>
            <w:rPr>
              <w:rFonts w:ascii="Cambria Math" w:hAnsi="Cambria Math"/>
            </w:rPr>
            <w:br/>
          </m:r>
        </m:oMath>
      </m:oMathPara>
    </w:p>
    <w:p w14:paraId="50AD66F6" w14:textId="77777777" w:rsidR="007A2BFA" w:rsidRPr="00C43A9C" w:rsidRDefault="007A2BFA" w:rsidP="00473ADD">
      <w:pPr>
        <w:spacing w:before="240" w:after="100" w:afterAutospacing="1" w:line="360" w:lineRule="auto"/>
        <w:jc w:val="both"/>
        <w:rPr>
          <w:b/>
          <w:bCs/>
        </w:rPr>
      </w:pPr>
      <w:r w:rsidRPr="00C43A9C">
        <w:rPr>
          <w:b/>
          <w:bCs/>
        </w:rPr>
        <w:t>For 2024:</w:t>
      </w:r>
    </w:p>
    <w:p w14:paraId="2753B912" w14:textId="48B498C2" w:rsidR="007A2BFA" w:rsidRPr="00C43A9C" w:rsidRDefault="007A2BFA" w:rsidP="00473ADD">
      <w:pPr>
        <w:spacing w:before="240" w:line="360" w:lineRule="auto"/>
        <w:jc w:val="both"/>
      </w:pPr>
      <m:oMathPara>
        <m:oMath>
          <m:r>
            <m:rPr>
              <m:nor/>
            </m:rPr>
            <m:t>Cash Operating Cycle</m:t>
          </m:r>
          <m:r>
            <w:rPr>
              <w:rFonts w:ascii="Cambria Math" w:hAnsi="Cambria Math"/>
            </w:rPr>
            <m:t>=105.4+103.2-93.4=115.2</m:t>
          </m:r>
          <m:r>
            <m:rPr>
              <m:nor/>
            </m:rPr>
            <m:t> days</m:t>
          </m:r>
        </m:oMath>
      </m:oMathPara>
    </w:p>
    <w:p w14:paraId="0E24A921" w14:textId="70BF26E6" w:rsidR="009649D1" w:rsidRPr="00C43A9C" w:rsidRDefault="007A2BFA" w:rsidP="00473ADD">
      <w:pPr>
        <w:pStyle w:val="NormalWeb"/>
        <w:spacing w:line="360" w:lineRule="auto"/>
        <w:jc w:val="both"/>
      </w:pPr>
      <w:r w:rsidRPr="00C43A9C">
        <w:t>This shows a slight improvement from 2020, whe</w:t>
      </w:r>
      <w:r w:rsidR="0001301C">
        <w:t>n</w:t>
      </w:r>
      <w:r w:rsidRPr="00C43A9C">
        <w:t xml:space="preserve"> the cash operating cycle was </w:t>
      </w:r>
      <w:r w:rsidRPr="00C43A9C">
        <w:rPr>
          <w:b/>
          <w:bCs/>
        </w:rPr>
        <w:t>122.3 days</w:t>
      </w:r>
      <w:r w:rsidRPr="00C43A9C">
        <w:t>. Although the company has improved slightly, the cycle remains quite long, meaning that the company is tying up significant capital in its working capital cycle. A prolonged cash operating cycle may indicate inefficiencies in managing cash flow and could lead to liquidity challenges, as evident from the declining cash reserves in 2024</w:t>
      </w:r>
      <w:r w:rsidR="00473ADD">
        <w:t xml:space="preserve"> (Zutter &amp; Smart, 2019)</w:t>
      </w:r>
      <w:r w:rsidRPr="00C43A9C">
        <w:t>.</w:t>
      </w:r>
    </w:p>
    <w:p w14:paraId="7D45BCC9" w14:textId="77777777" w:rsidR="007A2BFA" w:rsidRPr="00C43A9C" w:rsidRDefault="007A2BFA" w:rsidP="00473ADD">
      <w:pPr>
        <w:spacing w:before="240" w:after="100" w:afterAutospacing="1" w:line="360" w:lineRule="auto"/>
        <w:jc w:val="both"/>
        <w:outlineLvl w:val="3"/>
        <w:rPr>
          <w:b/>
          <w:bCs/>
        </w:rPr>
      </w:pPr>
      <w:r w:rsidRPr="00C43A9C">
        <w:rPr>
          <w:b/>
          <w:bCs/>
        </w:rPr>
        <w:t>2. Strategies to Improve Liquidity</w:t>
      </w:r>
    </w:p>
    <w:p w14:paraId="535ED7A8" w14:textId="77777777" w:rsidR="009649D1" w:rsidRPr="00C43A9C" w:rsidRDefault="009649D1" w:rsidP="00473ADD">
      <w:pPr>
        <w:spacing w:before="240" w:line="360" w:lineRule="auto"/>
        <w:jc w:val="both"/>
      </w:pPr>
      <w:r w:rsidRPr="00C43A9C">
        <w:t>To increase the liquidity and handle the working capital more adequately, General Electronics can implement the following actions:</w:t>
      </w:r>
    </w:p>
    <w:p w14:paraId="78843B7E" w14:textId="77777777" w:rsidR="009649D1" w:rsidRPr="00C43A9C" w:rsidRDefault="009649D1" w:rsidP="00473ADD">
      <w:pPr>
        <w:spacing w:before="240" w:line="360" w:lineRule="auto"/>
        <w:jc w:val="both"/>
        <w:rPr>
          <w:b/>
          <w:bCs/>
        </w:rPr>
      </w:pPr>
      <w:r w:rsidRPr="00C43A9C">
        <w:rPr>
          <w:b/>
          <w:bCs/>
        </w:rPr>
        <w:t>Faster Receivables Collection</w:t>
      </w:r>
    </w:p>
    <w:p w14:paraId="03EB4D75" w14:textId="14AD0FC4" w:rsidR="009649D1" w:rsidRPr="00C43A9C" w:rsidRDefault="009649D1" w:rsidP="00473ADD">
      <w:pPr>
        <w:spacing w:before="240" w:line="360" w:lineRule="auto"/>
        <w:jc w:val="both"/>
      </w:pPr>
      <w:r w:rsidRPr="00C43A9C">
        <w:t>General Electronics should target the reduction of days of receivables. The approaches it can take can include improvement of policies related to credit control, offering early payment discounts to its customers, or restriction of credit terms to new customers. Invoices and follow-ups could be automated to facilitate the collections process and reduce delays, as well as maximiz</w:t>
      </w:r>
      <w:r w:rsidR="0001301C">
        <w:t>e</w:t>
      </w:r>
      <w:r w:rsidRPr="00C43A9C">
        <w:t xml:space="preserve"> cash flow.</w:t>
      </w:r>
    </w:p>
    <w:p w14:paraId="75073E91" w14:textId="77777777" w:rsidR="009649D1" w:rsidRPr="00C43A9C" w:rsidRDefault="009649D1" w:rsidP="00473ADD">
      <w:pPr>
        <w:spacing w:before="240" w:line="360" w:lineRule="auto"/>
        <w:jc w:val="both"/>
        <w:rPr>
          <w:b/>
          <w:bCs/>
        </w:rPr>
      </w:pPr>
      <w:r w:rsidRPr="00C43A9C">
        <w:rPr>
          <w:b/>
          <w:bCs/>
        </w:rPr>
        <w:t>Inventory Management Optimization.</w:t>
      </w:r>
    </w:p>
    <w:p w14:paraId="31F8424E" w14:textId="765B62AE" w:rsidR="009649D1" w:rsidRPr="00C43A9C" w:rsidRDefault="0001301C" w:rsidP="00473ADD">
      <w:pPr>
        <w:pStyle w:val="NormalWeb"/>
        <w:spacing w:line="360" w:lineRule="auto"/>
        <w:jc w:val="both"/>
      </w:pPr>
      <w:r>
        <w:t>General Electric should strive to reduce the time spent on the shelves storing</w:t>
      </w:r>
      <w:r w:rsidR="009649D1" w:rsidRPr="00C43A9C">
        <w:t xml:space="preserve"> the items. This can be achieved by </w:t>
      </w:r>
      <w:r>
        <w:t>better demand forecasting, a just-in-time (JIT) inventory, and an enhanced relationship with the suppliers, to reduce</w:t>
      </w:r>
      <w:r w:rsidR="009649D1" w:rsidRPr="00C43A9C">
        <w:t xml:space="preserve"> the number of stocks and quick turnover of stocks.</w:t>
      </w:r>
      <w:r>
        <w:t xml:space="preserve"> G</w:t>
      </w:r>
      <w:r w:rsidR="009649D1" w:rsidRPr="00C43A9C">
        <w:t xml:space="preserve">eneral Electric can also promote sales of stagnant inventory by discounting or offering it together with the stagnant </w:t>
      </w:r>
      <w:r>
        <w:t>products</w:t>
      </w:r>
      <w:r w:rsidR="00473ADD">
        <w:t xml:space="preserve"> (Blomqvist, 2025)</w:t>
      </w:r>
      <w:r w:rsidR="009649D1" w:rsidRPr="00C43A9C">
        <w:t>.</w:t>
      </w:r>
    </w:p>
    <w:p w14:paraId="1C1466F5" w14:textId="77777777" w:rsidR="009649D1" w:rsidRPr="00C43A9C" w:rsidRDefault="009649D1" w:rsidP="00473ADD">
      <w:pPr>
        <w:spacing w:before="240" w:line="360" w:lineRule="auto"/>
        <w:jc w:val="both"/>
        <w:rPr>
          <w:b/>
          <w:bCs/>
        </w:rPr>
      </w:pPr>
      <w:r w:rsidRPr="00C43A9C">
        <w:rPr>
          <w:b/>
          <w:bCs/>
        </w:rPr>
        <w:t>Negotiating Better Payment Terms</w:t>
      </w:r>
    </w:p>
    <w:p w14:paraId="55BE7675" w14:textId="30C63221" w:rsidR="009649D1" w:rsidRPr="00C43A9C" w:rsidRDefault="009649D1" w:rsidP="00473ADD">
      <w:pPr>
        <w:spacing w:before="240" w:line="360" w:lineRule="auto"/>
        <w:jc w:val="both"/>
      </w:pPr>
      <w:r w:rsidRPr="00C43A9C">
        <w:t xml:space="preserve">General Electronics </w:t>
      </w:r>
      <w:r w:rsidR="0001301C" w:rsidRPr="00C43A9C">
        <w:t>can</w:t>
      </w:r>
      <w:r w:rsidR="0001301C">
        <w:t xml:space="preserve"> also</w:t>
      </w:r>
      <w:r w:rsidRPr="00C43A9C">
        <w:t xml:space="preserve"> prolong </w:t>
      </w:r>
      <w:r w:rsidR="0001301C">
        <w:t>its</w:t>
      </w:r>
      <w:r w:rsidRPr="00C43A9C">
        <w:t xml:space="preserve"> payment terms to suppliers because this will not make any difference to the relationship between them and </w:t>
      </w:r>
      <w:r w:rsidR="0001301C">
        <w:t xml:space="preserve">the </w:t>
      </w:r>
      <w:r w:rsidRPr="00C43A9C">
        <w:t>suppliers. This would be very useful</w:t>
      </w:r>
      <w:r w:rsidR="0001301C">
        <w:t>,</w:t>
      </w:r>
      <w:r w:rsidRPr="00C43A9C">
        <w:t xml:space="preserve"> especially when the company </w:t>
      </w:r>
      <w:r w:rsidR="0001301C" w:rsidRPr="00C43A9C">
        <w:t>enters</w:t>
      </w:r>
      <w:r w:rsidRPr="00C43A9C">
        <w:t xml:space="preserve"> longer terms with its key supplier without being penalized.</w:t>
      </w:r>
    </w:p>
    <w:p w14:paraId="06D33BDA" w14:textId="77777777" w:rsidR="009649D1" w:rsidRPr="00C43A9C" w:rsidRDefault="009649D1" w:rsidP="00473ADD">
      <w:pPr>
        <w:spacing w:before="240" w:line="360" w:lineRule="auto"/>
        <w:jc w:val="both"/>
        <w:rPr>
          <w:b/>
          <w:bCs/>
        </w:rPr>
      </w:pPr>
      <w:r w:rsidRPr="00C43A9C">
        <w:rPr>
          <w:b/>
          <w:bCs/>
        </w:rPr>
        <w:t>Mitigating Non-Essential Expenditure.</w:t>
      </w:r>
    </w:p>
    <w:p w14:paraId="70ABC966" w14:textId="4ED1CB00" w:rsidR="009649D1" w:rsidRPr="00C43A9C" w:rsidRDefault="009649D1" w:rsidP="00473ADD">
      <w:pPr>
        <w:spacing w:before="240" w:line="360" w:lineRule="auto"/>
        <w:jc w:val="both"/>
      </w:pPr>
      <w:r w:rsidRPr="00C43A9C">
        <w:t>Implement cost</w:t>
      </w:r>
      <w:r w:rsidR="0001301C">
        <w:t>-</w:t>
      </w:r>
      <w:r w:rsidRPr="00C43A9C">
        <w:t xml:space="preserve">cutting strategies </w:t>
      </w:r>
      <w:r w:rsidR="0001301C" w:rsidRPr="00C43A9C">
        <w:t>to</w:t>
      </w:r>
      <w:r w:rsidRPr="00C43A9C">
        <w:t xml:space="preserve"> focus on core operations and reduce unnecessary expenses. The latter entail</w:t>
      </w:r>
      <w:r w:rsidR="0001301C">
        <w:t>s</w:t>
      </w:r>
      <w:r w:rsidRPr="00C43A9C">
        <w:t xml:space="preserve"> developing a summary of all the operating expenses, saving on the use of energy, and eliminating expenses that are costly to maintain.</w:t>
      </w:r>
    </w:p>
    <w:p w14:paraId="5058D3F3" w14:textId="77777777" w:rsidR="007A2BFA" w:rsidRPr="00C43A9C" w:rsidRDefault="007A2BFA" w:rsidP="00473ADD">
      <w:pPr>
        <w:spacing w:before="240" w:after="100" w:afterAutospacing="1" w:line="360" w:lineRule="auto"/>
        <w:jc w:val="both"/>
        <w:outlineLvl w:val="3"/>
        <w:rPr>
          <w:b/>
          <w:bCs/>
        </w:rPr>
      </w:pPr>
      <w:r w:rsidRPr="00C43A9C">
        <w:rPr>
          <w:b/>
          <w:bCs/>
        </w:rPr>
        <w:t>3. Short-term vs. Long-term Financing Options</w:t>
      </w:r>
    </w:p>
    <w:p w14:paraId="40AFE9AA" w14:textId="77777777" w:rsidR="009649D1" w:rsidRPr="00C43A9C" w:rsidRDefault="009649D1" w:rsidP="00473ADD">
      <w:pPr>
        <w:spacing w:before="240" w:line="360" w:lineRule="auto"/>
        <w:jc w:val="both"/>
        <w:rPr>
          <w:b/>
          <w:bCs/>
        </w:rPr>
      </w:pPr>
      <w:r w:rsidRPr="00C43A9C">
        <w:rPr>
          <w:b/>
          <w:bCs/>
        </w:rPr>
        <w:t>Short-Term Financing</w:t>
      </w:r>
    </w:p>
    <w:p w14:paraId="37A3F2FA" w14:textId="245E8915" w:rsidR="009649D1" w:rsidRPr="00C43A9C" w:rsidRDefault="009649D1" w:rsidP="00473ADD">
      <w:pPr>
        <w:spacing w:before="240" w:line="360" w:lineRule="auto"/>
        <w:jc w:val="both"/>
      </w:pPr>
      <w:r w:rsidRPr="00C43A9C">
        <w:t xml:space="preserve">General Electronics also has an option to prolong </w:t>
      </w:r>
      <w:r w:rsidR="0001301C">
        <w:t xml:space="preserve">the </w:t>
      </w:r>
      <w:r w:rsidRPr="00C43A9C">
        <w:t xml:space="preserve">terms of payment to suppliers, </w:t>
      </w:r>
      <w:r w:rsidR="0001301C" w:rsidRPr="00C43A9C">
        <w:t>to</w:t>
      </w:r>
      <w:r w:rsidRPr="00C43A9C">
        <w:t xml:space="preserve"> manage the cash more effectively. This would aid in the short-term liquidity</w:t>
      </w:r>
      <w:r w:rsidR="0001301C">
        <w:t>,</w:t>
      </w:r>
      <w:r w:rsidRPr="00C43A9C">
        <w:t xml:space="preserve"> but excessive </w:t>
      </w:r>
      <w:r w:rsidR="0001301C">
        <w:t xml:space="preserve">use </w:t>
      </w:r>
      <w:r w:rsidRPr="00C43A9C">
        <w:t>would strain the relationship with the suppliers. The company would also be tempted to use more of the short</w:t>
      </w:r>
      <w:r w:rsidR="0001301C">
        <w:t>-</w:t>
      </w:r>
      <w:r w:rsidRPr="00C43A9C">
        <w:t xml:space="preserve">term lines of credit. </w:t>
      </w:r>
      <w:r w:rsidR="0001301C">
        <w:t>G</w:t>
      </w:r>
      <w:r w:rsidRPr="00C43A9C">
        <w:t xml:space="preserve">eneral </w:t>
      </w:r>
      <w:r w:rsidR="0001301C">
        <w:t>E</w:t>
      </w:r>
      <w:r w:rsidRPr="00C43A9C">
        <w:t>lectronics lines of credit</w:t>
      </w:r>
      <w:r w:rsidR="0001301C">
        <w:t>.</w:t>
      </w:r>
      <w:r w:rsidRPr="00C43A9C">
        <w:t xml:space="preserve"> In 2024, the lines of credit stood at PS36.96 million at the company.</w:t>
      </w:r>
    </w:p>
    <w:p w14:paraId="27AD40F5" w14:textId="77777777" w:rsidR="009649D1" w:rsidRPr="00C43A9C" w:rsidRDefault="009649D1" w:rsidP="00473ADD">
      <w:pPr>
        <w:spacing w:before="240" w:line="360" w:lineRule="auto"/>
        <w:jc w:val="both"/>
        <w:rPr>
          <w:b/>
          <w:bCs/>
        </w:rPr>
      </w:pPr>
      <w:r w:rsidRPr="00C43A9C">
        <w:rPr>
          <w:b/>
          <w:bCs/>
        </w:rPr>
        <w:t>Long-Term Financing</w:t>
      </w:r>
    </w:p>
    <w:p w14:paraId="0ED187A1" w14:textId="33022A10" w:rsidR="00F82CD6" w:rsidRPr="00C43A9C" w:rsidRDefault="009649D1" w:rsidP="00473ADD">
      <w:pPr>
        <w:pStyle w:val="NormalWeb"/>
        <w:spacing w:line="360" w:lineRule="auto"/>
        <w:jc w:val="both"/>
      </w:pPr>
      <w:r w:rsidRPr="00C43A9C">
        <w:t>One of the methods through which the company can raise capital is by issuing new equity. This would potentially water down the existing stockholders but would create a lot of much</w:t>
      </w:r>
      <w:r w:rsidR="0001301C">
        <w:t>-need</w:t>
      </w:r>
      <w:r w:rsidRPr="00C43A9C">
        <w:t>ed liquidity without incurring debt. Nonetheless, equity markets cannot be good all the time</w:t>
      </w:r>
      <w:r w:rsidR="0001301C">
        <w:t>,</w:t>
      </w:r>
      <w:r w:rsidRPr="00C43A9C">
        <w:t xml:space="preserve"> and the decision to issue new shares may occur to </w:t>
      </w:r>
      <w:r w:rsidR="0001301C">
        <w:t>the</w:t>
      </w:r>
      <w:r w:rsidRPr="00C43A9C">
        <w:t xml:space="preserve"> detriment of the stock price </w:t>
      </w:r>
      <w:r w:rsidR="0001301C" w:rsidRPr="00C43A9C">
        <w:t>if</w:t>
      </w:r>
      <w:r w:rsidRPr="00C43A9C">
        <w:t xml:space="preserve"> investors may view that a company is in financial distress. General Electronics can consider issuing long</w:t>
      </w:r>
      <w:r w:rsidR="0001301C">
        <w:t>-</w:t>
      </w:r>
      <w:r w:rsidRPr="00C43A9C">
        <w:t>term bonds to raise capital. This would provide the company with a single amount of money</w:t>
      </w:r>
      <w:r w:rsidR="0001301C">
        <w:t>,</w:t>
      </w:r>
      <w:r w:rsidRPr="00C43A9C">
        <w:t xml:space="preserve"> and this can be repaid </w:t>
      </w:r>
      <w:r w:rsidR="0001301C">
        <w:t>over</w:t>
      </w:r>
      <w:r w:rsidRPr="00C43A9C">
        <w:t xml:space="preserve"> a very long </w:t>
      </w:r>
      <w:r w:rsidR="0001301C" w:rsidRPr="00C43A9C">
        <w:t>period</w:t>
      </w:r>
      <w:r w:rsidRPr="00C43A9C">
        <w:t>. However, the company has a high debt-to-equity ratio</w:t>
      </w:r>
      <w:r w:rsidR="0001301C">
        <w:t>,</w:t>
      </w:r>
      <w:r w:rsidRPr="00C43A9C">
        <w:t xml:space="preserve"> so this alternative can improve financial leverage</w:t>
      </w:r>
      <w:r w:rsidR="0001301C">
        <w:t>,</w:t>
      </w:r>
      <w:r w:rsidRPr="00C43A9C">
        <w:t xml:space="preserve"> which may become problematic when the company does not make profits</w:t>
      </w:r>
      <w:r w:rsidR="00473ADD">
        <w:t xml:space="preserve"> (Hofstede, 2011)</w:t>
      </w:r>
      <w:r w:rsidRPr="00C43A9C">
        <w:t>.</w:t>
      </w:r>
    </w:p>
    <w:p w14:paraId="6076CE9B" w14:textId="5731A913" w:rsidR="00F82CD6" w:rsidRPr="00C43A9C" w:rsidRDefault="00C43A9C" w:rsidP="00473ADD">
      <w:pPr>
        <w:pStyle w:val="Heading1"/>
        <w:spacing w:before="240" w:line="360" w:lineRule="auto"/>
        <w:jc w:val="both"/>
        <w:rPr>
          <w:rFonts w:ascii="Times New Roman" w:hAnsi="Times New Roman" w:cs="Times New Roman"/>
          <w:b/>
          <w:bCs/>
          <w:color w:val="auto"/>
          <w:sz w:val="24"/>
          <w:szCs w:val="24"/>
        </w:rPr>
      </w:pPr>
      <w:bookmarkStart w:id="4" w:name="_Toc214577424"/>
      <w:r w:rsidRPr="00C43A9C">
        <w:rPr>
          <w:rFonts w:ascii="Times New Roman" w:hAnsi="Times New Roman" w:cs="Times New Roman"/>
          <w:b/>
          <w:bCs/>
          <w:color w:val="auto"/>
          <w:sz w:val="24"/>
          <w:szCs w:val="24"/>
        </w:rPr>
        <w:t xml:space="preserve">3. </w:t>
      </w:r>
      <w:r w:rsidR="00F82CD6" w:rsidRPr="00C43A9C">
        <w:rPr>
          <w:rFonts w:ascii="Times New Roman" w:hAnsi="Times New Roman" w:cs="Times New Roman"/>
          <w:b/>
          <w:bCs/>
          <w:color w:val="auto"/>
          <w:sz w:val="24"/>
          <w:szCs w:val="24"/>
        </w:rPr>
        <w:t>Strategic Financial Restructuring Plan for General Electronics</w:t>
      </w:r>
      <w:bookmarkEnd w:id="4"/>
      <w:r w:rsidR="00F82CD6" w:rsidRPr="00C43A9C">
        <w:rPr>
          <w:rFonts w:ascii="Times New Roman" w:hAnsi="Times New Roman" w:cs="Times New Roman"/>
          <w:b/>
          <w:bCs/>
          <w:color w:val="auto"/>
          <w:sz w:val="24"/>
          <w:szCs w:val="24"/>
        </w:rPr>
        <w:t xml:space="preserve"> </w:t>
      </w:r>
    </w:p>
    <w:p w14:paraId="21D8E46E" w14:textId="65C11DB7" w:rsidR="00F82CD6" w:rsidRPr="00C43A9C" w:rsidRDefault="00C43A9C" w:rsidP="00473ADD">
      <w:pPr>
        <w:spacing w:before="240" w:after="100" w:afterAutospacing="1" w:line="360" w:lineRule="auto"/>
        <w:jc w:val="both"/>
        <w:outlineLvl w:val="3"/>
        <w:rPr>
          <w:b/>
          <w:bCs/>
        </w:rPr>
      </w:pPr>
      <w:r w:rsidRPr="00C43A9C">
        <w:rPr>
          <w:b/>
          <w:bCs/>
        </w:rPr>
        <w:t>1</w:t>
      </w:r>
      <w:r w:rsidR="00F82CD6" w:rsidRPr="00C43A9C">
        <w:rPr>
          <w:b/>
          <w:bCs/>
        </w:rPr>
        <w:t>. Recommended Financial Restructuring Options</w:t>
      </w:r>
    </w:p>
    <w:p w14:paraId="18C01400" w14:textId="0F356243" w:rsidR="00F82CD6" w:rsidRPr="00C43A9C" w:rsidRDefault="00C43A9C" w:rsidP="00473ADD">
      <w:pPr>
        <w:spacing w:before="240" w:after="100" w:afterAutospacing="1" w:line="360" w:lineRule="auto"/>
        <w:jc w:val="both"/>
      </w:pPr>
      <w:r w:rsidRPr="00C43A9C">
        <w:rPr>
          <w:b/>
          <w:bCs/>
        </w:rPr>
        <w:t>1</w:t>
      </w:r>
      <w:r w:rsidR="00F82CD6" w:rsidRPr="00C43A9C">
        <w:rPr>
          <w:b/>
          <w:bCs/>
        </w:rPr>
        <w:t>.1 Divestiture of Non-Core Assets</w:t>
      </w:r>
    </w:p>
    <w:p w14:paraId="5B100240" w14:textId="63D26D13" w:rsidR="009649D1" w:rsidRPr="00C43A9C" w:rsidRDefault="009649D1" w:rsidP="00473ADD">
      <w:pPr>
        <w:pStyle w:val="NormalWeb"/>
        <w:spacing w:line="360" w:lineRule="auto"/>
        <w:jc w:val="both"/>
      </w:pPr>
      <w:r w:rsidRPr="00C43A9C">
        <w:t xml:space="preserve">The company must begin the exercise of restructuring by rational selling of the </w:t>
      </w:r>
      <w:r w:rsidR="0001301C" w:rsidRPr="00C43A9C">
        <w:t>non-co</w:t>
      </w:r>
      <w:r w:rsidR="0001301C">
        <w:t>r</w:t>
      </w:r>
      <w:r w:rsidRPr="00C43A9C">
        <w:t>e holdings. General Electronics has various other resources; in 2024, the resources include house, plants</w:t>
      </w:r>
      <w:r w:rsidR="0001301C">
        <w:t>,</w:t>
      </w:r>
      <w:r w:rsidRPr="00C43A9C">
        <w:t xml:space="preserve"> and equipment with a value of 34.21 million. </w:t>
      </w:r>
      <w:r w:rsidR="0001301C">
        <w:t>The sale of non-core or non-performing business units will be able to provide the required capital immediately, reduce the complexity of their business functioning, and allow the company to focus on its niche, which</w:t>
      </w:r>
      <w:r w:rsidRPr="00C43A9C">
        <w:t xml:space="preserve"> is high-end consumer electronics</w:t>
      </w:r>
      <w:r w:rsidR="00473ADD">
        <w:t xml:space="preserve"> (Ross et al., 2008)</w:t>
      </w:r>
      <w:r w:rsidRPr="00C43A9C">
        <w:t>.</w:t>
      </w:r>
    </w:p>
    <w:p w14:paraId="10333210" w14:textId="77777777" w:rsidR="009649D1" w:rsidRPr="00C43A9C" w:rsidRDefault="009649D1" w:rsidP="00473ADD">
      <w:pPr>
        <w:spacing w:before="240" w:line="360" w:lineRule="auto"/>
        <w:jc w:val="both"/>
        <w:rPr>
          <w:b/>
          <w:bCs/>
        </w:rPr>
      </w:pPr>
      <w:r w:rsidRPr="00C43A9C">
        <w:rPr>
          <w:b/>
          <w:bCs/>
        </w:rPr>
        <w:t>Benefits:</w:t>
      </w:r>
    </w:p>
    <w:p w14:paraId="17143701" w14:textId="5D7B8FE8" w:rsidR="009649D1" w:rsidRPr="00C43A9C" w:rsidRDefault="0001301C" w:rsidP="00473ADD">
      <w:pPr>
        <w:spacing w:before="240" w:line="360" w:lineRule="auto"/>
        <w:jc w:val="both"/>
      </w:pPr>
      <w:r>
        <w:t>The s</w:t>
      </w:r>
      <w:r w:rsidR="009649D1" w:rsidRPr="00C43A9C">
        <w:t>ale of assets helps the company refer to General Electronics to have finances to pay its current liabilities of 158.29 million in 2024</w:t>
      </w:r>
      <w:r>
        <w:t>,</w:t>
      </w:r>
      <w:r w:rsidR="009649D1" w:rsidRPr="00C43A9C">
        <w:t xml:space="preserve"> because asset sales will help it to settle the short-term liquidity pressure. </w:t>
      </w:r>
      <w:r>
        <w:t>The s</w:t>
      </w:r>
      <w:r w:rsidR="009649D1" w:rsidRPr="00C43A9C">
        <w:t>ale would aid in streamlining the operations</w:t>
      </w:r>
      <w:r>
        <w:t>,</w:t>
      </w:r>
      <w:r w:rsidR="009649D1" w:rsidRPr="00C43A9C">
        <w:t xml:space="preserve"> and General Electronics would focus on the profitable aspects. This would make it more profitable and maybe gain market share in huge segments.</w:t>
      </w:r>
    </w:p>
    <w:p w14:paraId="7D8ED4C3" w14:textId="77777777" w:rsidR="009649D1" w:rsidRPr="00C43A9C" w:rsidRDefault="009649D1" w:rsidP="00473ADD">
      <w:pPr>
        <w:spacing w:before="240" w:line="360" w:lineRule="auto"/>
        <w:jc w:val="both"/>
        <w:rPr>
          <w:b/>
          <w:bCs/>
        </w:rPr>
      </w:pPr>
      <w:r w:rsidRPr="00C43A9C">
        <w:rPr>
          <w:b/>
          <w:bCs/>
        </w:rPr>
        <w:t>Risks:</w:t>
      </w:r>
    </w:p>
    <w:p w14:paraId="6B852DE8" w14:textId="23DFDB79" w:rsidR="009649D1" w:rsidRPr="00C43A9C" w:rsidRDefault="009649D1" w:rsidP="00473ADD">
      <w:pPr>
        <w:pStyle w:val="NormalWeb"/>
        <w:spacing w:line="360" w:lineRule="auto"/>
        <w:jc w:val="both"/>
      </w:pPr>
      <w:r w:rsidRPr="00C43A9C">
        <w:t>Selling off non-core divisions could reduce the overall income</w:t>
      </w:r>
      <w:r w:rsidR="0001301C">
        <w:t>,</w:t>
      </w:r>
      <w:r w:rsidRPr="00C43A9C">
        <w:t xml:space="preserve"> especially where the divested departments made income during the previous period. Financial strain may be an indicator of the sale of assets in the market that will come at a cost to the investor</w:t>
      </w:r>
      <w:r w:rsidR="0001301C">
        <w:t>’s</w:t>
      </w:r>
      <w:r w:rsidRPr="00C43A9C">
        <w:t xml:space="preserve"> confidence and </w:t>
      </w:r>
      <w:r w:rsidR="0001301C">
        <w:t xml:space="preserve">the </w:t>
      </w:r>
      <w:r w:rsidRPr="00C43A9C">
        <w:t>worth of the stock</w:t>
      </w:r>
      <w:r w:rsidR="00473ADD">
        <w:t xml:space="preserve"> (Koller et al., 2010)</w:t>
      </w:r>
      <w:r w:rsidRPr="00C43A9C">
        <w:t>.</w:t>
      </w:r>
    </w:p>
    <w:p w14:paraId="6F3EFADD" w14:textId="77777777" w:rsidR="009649D1" w:rsidRPr="00C43A9C" w:rsidRDefault="009649D1" w:rsidP="00473ADD">
      <w:pPr>
        <w:spacing w:before="240" w:line="360" w:lineRule="auto"/>
        <w:jc w:val="both"/>
        <w:rPr>
          <w:b/>
          <w:bCs/>
        </w:rPr>
      </w:pPr>
      <w:r w:rsidRPr="00C43A9C">
        <w:rPr>
          <w:b/>
          <w:bCs/>
        </w:rPr>
        <w:t>2.2 Merger or Acquisition</w:t>
      </w:r>
    </w:p>
    <w:p w14:paraId="2F9B05B2" w14:textId="10C86F72" w:rsidR="009649D1" w:rsidRPr="00C43A9C" w:rsidRDefault="009649D1" w:rsidP="00473ADD">
      <w:pPr>
        <w:spacing w:before="240" w:line="360" w:lineRule="auto"/>
        <w:jc w:val="both"/>
      </w:pPr>
      <w:r w:rsidRPr="00C43A9C">
        <w:t xml:space="preserve">General Electric might find </w:t>
      </w:r>
      <w:r w:rsidR="0001301C">
        <w:t xml:space="preserve">a </w:t>
      </w:r>
      <w:r w:rsidRPr="00C43A9C">
        <w:t>merger or acquisition a revolution. The business requires working volume, capital inflow</w:t>
      </w:r>
      <w:r w:rsidR="0001301C">
        <w:t>,</w:t>
      </w:r>
      <w:r w:rsidRPr="00C43A9C">
        <w:t xml:space="preserve"> and technological development to restore growth. </w:t>
      </w:r>
      <w:r w:rsidR="0001301C">
        <w:t>General Electronics can, through synergies, enter new markets, increase its production volumes, and reduce its operational costs by either merging with a stronger competitor, regarding financial power,</w:t>
      </w:r>
      <w:r w:rsidRPr="00C43A9C">
        <w:t xml:space="preserve"> or </w:t>
      </w:r>
      <w:r w:rsidR="0001301C">
        <w:t xml:space="preserve">by </w:t>
      </w:r>
      <w:r w:rsidRPr="00C43A9C">
        <w:t>acquisition.</w:t>
      </w:r>
      <w:r w:rsidR="00C43A9C" w:rsidRPr="00C43A9C">
        <w:t xml:space="preserve"> </w:t>
      </w:r>
      <w:r w:rsidRPr="00C43A9C">
        <w:t xml:space="preserve">The company is </w:t>
      </w:r>
      <w:r w:rsidR="0001301C">
        <w:t>overleveraged with a debt-to-equity ratio of 1.11, which can be taken advantage of in a merger since there is a high chance of the company and better access to capital and better terms of credit,</w:t>
      </w:r>
      <w:r w:rsidRPr="00C43A9C">
        <w:t xml:space="preserve"> which would be offered by the acquiring company.</w:t>
      </w:r>
    </w:p>
    <w:p w14:paraId="69363B1A" w14:textId="77777777" w:rsidR="009649D1" w:rsidRPr="00C43A9C" w:rsidRDefault="009649D1" w:rsidP="00473ADD">
      <w:pPr>
        <w:spacing w:before="240" w:line="360" w:lineRule="auto"/>
        <w:jc w:val="both"/>
        <w:rPr>
          <w:b/>
          <w:bCs/>
        </w:rPr>
      </w:pPr>
      <w:r w:rsidRPr="00C43A9C">
        <w:rPr>
          <w:b/>
          <w:bCs/>
        </w:rPr>
        <w:t>Benefits:</w:t>
      </w:r>
    </w:p>
    <w:p w14:paraId="6086528C" w14:textId="4E396566" w:rsidR="009649D1" w:rsidRPr="00C43A9C" w:rsidRDefault="009649D1" w:rsidP="00473ADD">
      <w:pPr>
        <w:spacing w:before="240" w:line="360" w:lineRule="auto"/>
        <w:jc w:val="both"/>
      </w:pPr>
      <w:r w:rsidRPr="00C43A9C">
        <w:t xml:space="preserve">By purchasing a complementary </w:t>
      </w:r>
      <w:r w:rsidR="0001301C" w:rsidRPr="00C43A9C">
        <w:t>organization</w:t>
      </w:r>
      <w:r w:rsidRPr="00C43A9C">
        <w:t xml:space="preserve">, a </w:t>
      </w:r>
      <w:r w:rsidR="0001301C">
        <w:t>considerabl</w:t>
      </w:r>
      <w:r w:rsidRPr="00C43A9C">
        <w:t xml:space="preserve">e cost reduction will be </w:t>
      </w:r>
      <w:r w:rsidR="0001301C">
        <w:t>achiev</w:t>
      </w:r>
      <w:r w:rsidRPr="00C43A9C">
        <w:t xml:space="preserve">ed, such as </w:t>
      </w:r>
      <w:r w:rsidR="0001301C">
        <w:t xml:space="preserve">a </w:t>
      </w:r>
      <w:r w:rsidRPr="00C43A9C">
        <w:t xml:space="preserve">reduction of operation costs since the </w:t>
      </w:r>
      <w:r w:rsidR="0001301C">
        <w:t>standard</w:t>
      </w:r>
      <w:r w:rsidRPr="00C43A9C">
        <w:t xml:space="preserve"> facilities will be shared in terms of manufacturing process and distribution channel. The other one is that a merger will give an opportunity to enter new geographical markets and enhance the market position of General Electronics, especially in such regions as mobile devices, home electronics, and smart appliances.</w:t>
      </w:r>
    </w:p>
    <w:p w14:paraId="65F21577" w14:textId="77777777" w:rsidR="00C43A9C" w:rsidRPr="00C43A9C" w:rsidRDefault="00C43A9C" w:rsidP="00473ADD">
      <w:pPr>
        <w:spacing w:before="240" w:line="360" w:lineRule="auto"/>
        <w:jc w:val="both"/>
        <w:rPr>
          <w:b/>
          <w:bCs/>
        </w:rPr>
      </w:pPr>
      <w:r w:rsidRPr="00C43A9C">
        <w:rPr>
          <w:b/>
          <w:bCs/>
        </w:rPr>
        <w:t>Risks:</w:t>
      </w:r>
    </w:p>
    <w:p w14:paraId="21F1FC46" w14:textId="085FD825" w:rsidR="009649D1" w:rsidRPr="00C43A9C" w:rsidRDefault="009649D1" w:rsidP="00473ADD">
      <w:pPr>
        <w:pStyle w:val="NormalWeb"/>
        <w:spacing w:line="360" w:lineRule="auto"/>
        <w:jc w:val="both"/>
      </w:pPr>
      <w:r w:rsidRPr="00C43A9C">
        <w:t>Mergers are not that simple</w:t>
      </w:r>
      <w:r w:rsidR="0001301C">
        <w:t>,</w:t>
      </w:r>
      <w:r w:rsidRPr="00C43A9C">
        <w:t xml:space="preserve"> and risks may be linked to the conflict of culture, the system of business integration, as well as the preservation of customers. By way of time, in case the company financed the merger using debt, there could be the likelihood that the company would have increased leverage that could worsen its financial standing in case not managed with proper care</w:t>
      </w:r>
      <w:r w:rsidR="00473ADD">
        <w:t xml:space="preserve"> (</w:t>
      </w:r>
      <w:proofErr w:type="spellStart"/>
      <w:r w:rsidR="00473ADD">
        <w:t>Hütten</w:t>
      </w:r>
      <w:proofErr w:type="spellEnd"/>
      <w:r w:rsidR="00473ADD">
        <w:t xml:space="preserve"> &amp; </w:t>
      </w:r>
      <w:proofErr w:type="spellStart"/>
      <w:r w:rsidR="00473ADD">
        <w:t>Sessar</w:t>
      </w:r>
      <w:proofErr w:type="spellEnd"/>
      <w:r w:rsidR="00473ADD">
        <w:t>, 2011)</w:t>
      </w:r>
      <w:r w:rsidRPr="00C43A9C">
        <w:t>.</w:t>
      </w:r>
    </w:p>
    <w:p w14:paraId="5B67CD2A" w14:textId="77777777" w:rsidR="009649D1" w:rsidRPr="00C43A9C" w:rsidRDefault="009649D1" w:rsidP="00473ADD">
      <w:pPr>
        <w:spacing w:before="240" w:line="360" w:lineRule="auto"/>
        <w:jc w:val="both"/>
        <w:rPr>
          <w:b/>
          <w:bCs/>
        </w:rPr>
      </w:pPr>
      <w:r w:rsidRPr="00C43A9C">
        <w:rPr>
          <w:b/>
          <w:bCs/>
        </w:rPr>
        <w:t>2.3 Equity Injection</w:t>
      </w:r>
    </w:p>
    <w:p w14:paraId="2386E94E" w14:textId="6D9647C1" w:rsidR="009649D1" w:rsidRPr="00C43A9C" w:rsidRDefault="009649D1" w:rsidP="00473ADD">
      <w:pPr>
        <w:spacing w:before="240" w:line="360" w:lineRule="auto"/>
        <w:jc w:val="both"/>
      </w:pPr>
      <w:r w:rsidRPr="00C43A9C">
        <w:t>Equity injection is another restructuring measure that can be applied because it will give General Electronics the necessary capital to remove the liquidity issues and reduce its reliance on debt.</w:t>
      </w:r>
      <w:r w:rsidR="00C43A9C" w:rsidRPr="00C43A9C">
        <w:t xml:space="preserve"> </w:t>
      </w:r>
      <w:r w:rsidRPr="00C43A9C">
        <w:t xml:space="preserve">344.7 million is the paid-in capital of the company, and the new share issue will assist it greatly </w:t>
      </w:r>
      <w:r w:rsidR="0001301C">
        <w:t>in</w:t>
      </w:r>
      <w:r w:rsidRPr="00C43A9C">
        <w:t xml:space="preserve"> improv</w:t>
      </w:r>
      <w:r w:rsidR="0001301C">
        <w:t>ing</w:t>
      </w:r>
      <w:r w:rsidRPr="00C43A9C">
        <w:t xml:space="preserve"> its financial outcomes.</w:t>
      </w:r>
    </w:p>
    <w:p w14:paraId="09B12823" w14:textId="77777777" w:rsidR="009649D1" w:rsidRPr="00C43A9C" w:rsidRDefault="009649D1" w:rsidP="00473ADD">
      <w:pPr>
        <w:spacing w:before="240" w:line="360" w:lineRule="auto"/>
        <w:jc w:val="both"/>
        <w:rPr>
          <w:b/>
          <w:bCs/>
        </w:rPr>
      </w:pPr>
      <w:r w:rsidRPr="00C43A9C">
        <w:rPr>
          <w:b/>
          <w:bCs/>
        </w:rPr>
        <w:t>Benefits:</w:t>
      </w:r>
    </w:p>
    <w:p w14:paraId="6C5D6F2C" w14:textId="2D7D54AC" w:rsidR="009649D1" w:rsidRPr="00C43A9C" w:rsidRDefault="009649D1" w:rsidP="00473ADD">
      <w:pPr>
        <w:spacing w:before="240" w:line="360" w:lineRule="auto"/>
        <w:jc w:val="both"/>
      </w:pPr>
      <w:r w:rsidRPr="00C43A9C">
        <w:t xml:space="preserve">The infusion of equity would boost the cash </w:t>
      </w:r>
      <w:r w:rsidR="0001301C" w:rsidRPr="00C43A9C">
        <w:t>resources,</w:t>
      </w:r>
      <w:r w:rsidRPr="00C43A9C">
        <w:t xml:space="preserve"> and it would aid the company to clear the current liabilities</w:t>
      </w:r>
      <w:r w:rsidR="0001301C">
        <w:t>,</w:t>
      </w:r>
      <w:r w:rsidRPr="00C43A9C">
        <w:t xml:space="preserve"> including the short</w:t>
      </w:r>
      <w:r w:rsidR="0001301C">
        <w:t>-</w:t>
      </w:r>
      <w:r w:rsidRPr="00C43A9C">
        <w:t>term lines of credit</w:t>
      </w:r>
      <w:r w:rsidR="0001301C">
        <w:t>,</w:t>
      </w:r>
      <w:r w:rsidRPr="00C43A9C">
        <w:t xml:space="preserve"> like the 36.96 million. With the augmentation of equity support, General Electronics would have a greater opportunity to reduce the debt-to-equity ratio, which would make the company less unattractive to creditors and investors.</w:t>
      </w:r>
    </w:p>
    <w:p w14:paraId="577EEE7C" w14:textId="77777777" w:rsidR="009649D1" w:rsidRPr="00C43A9C" w:rsidRDefault="009649D1" w:rsidP="00473ADD">
      <w:pPr>
        <w:spacing w:before="240" w:line="360" w:lineRule="auto"/>
        <w:jc w:val="both"/>
        <w:rPr>
          <w:b/>
          <w:bCs/>
        </w:rPr>
      </w:pPr>
      <w:r w:rsidRPr="00C43A9C">
        <w:rPr>
          <w:b/>
          <w:bCs/>
        </w:rPr>
        <w:t>Risks:</w:t>
      </w:r>
    </w:p>
    <w:p w14:paraId="5BB3C11D" w14:textId="3D77E483" w:rsidR="009649D1" w:rsidRPr="00C43A9C" w:rsidRDefault="009649D1" w:rsidP="00473ADD">
      <w:pPr>
        <w:pStyle w:val="NormalWeb"/>
        <w:spacing w:line="360" w:lineRule="auto"/>
        <w:jc w:val="both"/>
      </w:pPr>
      <w:r w:rsidRPr="00C43A9C">
        <w:t xml:space="preserve">The dilution of the </w:t>
      </w:r>
      <w:r w:rsidR="0001301C">
        <w:t>holdings of the current shareholders of the company will result from the issuance of new shares, and consequently, low investor confidence and volatility of shares issued will</w:t>
      </w:r>
      <w:r w:rsidRPr="00C43A9C">
        <w:t xml:space="preserve"> be experienced</w:t>
      </w:r>
      <w:r w:rsidR="00473ADD">
        <w:t xml:space="preserve"> (Shahab et al., 2019)</w:t>
      </w:r>
      <w:r w:rsidRPr="00C43A9C">
        <w:t xml:space="preserve">. </w:t>
      </w:r>
    </w:p>
    <w:p w14:paraId="5C6CDD14" w14:textId="77777777" w:rsidR="00F82CD6" w:rsidRPr="00C43A9C" w:rsidRDefault="00F82CD6" w:rsidP="00473ADD">
      <w:pPr>
        <w:spacing w:before="240" w:after="100" w:afterAutospacing="1" w:line="360" w:lineRule="auto"/>
        <w:jc w:val="both"/>
        <w:outlineLvl w:val="3"/>
        <w:rPr>
          <w:b/>
          <w:bCs/>
        </w:rPr>
      </w:pPr>
      <w:r w:rsidRPr="00C43A9C">
        <w:rPr>
          <w:b/>
          <w:bCs/>
        </w:rPr>
        <w:t>3. Evaluation of the Impact on Shareholder Value, Debt Structure, and Operational Flexibility</w:t>
      </w:r>
    </w:p>
    <w:p w14:paraId="576A2507" w14:textId="41DBFDA0" w:rsidR="00F82CD6" w:rsidRPr="00C43A9C" w:rsidRDefault="00F82CD6" w:rsidP="00473ADD">
      <w:pPr>
        <w:pStyle w:val="ListParagraph"/>
        <w:numPr>
          <w:ilvl w:val="1"/>
          <w:numId w:val="51"/>
        </w:numPr>
        <w:spacing w:before="240" w:after="100" w:afterAutospacing="1" w:line="360" w:lineRule="auto"/>
        <w:jc w:val="both"/>
      </w:pPr>
      <w:r w:rsidRPr="00C43A9C">
        <w:rPr>
          <w:b/>
          <w:bCs/>
        </w:rPr>
        <w:t>Impact on Shareholder Value</w:t>
      </w:r>
    </w:p>
    <w:p w14:paraId="5B4C55A9" w14:textId="7AA955CE" w:rsidR="009649D1" w:rsidRPr="00C43A9C" w:rsidRDefault="00C43A9C" w:rsidP="00473ADD">
      <w:pPr>
        <w:pStyle w:val="NormalWeb"/>
        <w:spacing w:line="360" w:lineRule="auto"/>
        <w:jc w:val="both"/>
      </w:pPr>
      <w:r w:rsidRPr="00C43A9C">
        <w:t>Even though</w:t>
      </w:r>
      <w:r w:rsidR="009649D1" w:rsidRPr="00C43A9C">
        <w:t xml:space="preserve"> the sale of non-core assets may provide immediate finances and a reduction in debt, the loss of revenues is possible in the short term. However, the move to target profitable subsets with high margin</w:t>
      </w:r>
      <w:r w:rsidR="0001301C">
        <w:t>s</w:t>
      </w:r>
      <w:r w:rsidR="009649D1" w:rsidRPr="00C43A9C">
        <w:t xml:space="preserve"> is likely to enhance the long-term shareholder value because it will reduce the firm to a leaner and more efficient firm. In case General Electronics </w:t>
      </w:r>
      <w:r w:rsidR="0001301C">
        <w:t>consolidates or is acquired by another firm whose assets are complementary to those of the company, in that case, there would be a high likelihood of shareholder value increasing dramatically due to a better position by the forces of economies</w:t>
      </w:r>
      <w:r w:rsidR="009649D1" w:rsidRPr="00C43A9C">
        <w:t xml:space="preserve"> of scale and better market shares</w:t>
      </w:r>
      <w:r w:rsidR="00473ADD">
        <w:t xml:space="preserve"> (Tracy, 2024)</w:t>
      </w:r>
      <w:r w:rsidR="009649D1" w:rsidRPr="00C43A9C">
        <w:t>.</w:t>
      </w:r>
    </w:p>
    <w:p w14:paraId="1A7F1607" w14:textId="77777777" w:rsidR="009649D1" w:rsidRPr="00C43A9C" w:rsidRDefault="009649D1" w:rsidP="00473ADD">
      <w:pPr>
        <w:spacing w:before="240" w:line="360" w:lineRule="auto"/>
        <w:jc w:val="both"/>
        <w:rPr>
          <w:b/>
          <w:bCs/>
        </w:rPr>
      </w:pPr>
      <w:r w:rsidRPr="00C43A9C">
        <w:rPr>
          <w:b/>
          <w:bCs/>
        </w:rPr>
        <w:t>3.2</w:t>
      </w:r>
      <w:r w:rsidRPr="00C43A9C">
        <w:rPr>
          <w:b/>
          <w:bCs/>
        </w:rPr>
        <w:tab/>
        <w:t>Impact on Debt Structure</w:t>
      </w:r>
    </w:p>
    <w:p w14:paraId="187CD806" w14:textId="08D3853B" w:rsidR="009649D1" w:rsidRPr="00C43A9C" w:rsidRDefault="009649D1" w:rsidP="00473ADD">
      <w:pPr>
        <w:pStyle w:val="NormalWeb"/>
        <w:spacing w:line="360" w:lineRule="auto"/>
        <w:jc w:val="both"/>
      </w:pPr>
      <w:r w:rsidRPr="00C43A9C">
        <w:t xml:space="preserve">The non-core asset sale would provide funds to settle the debts, thus improving the debt equity ratio of General Electronics </w:t>
      </w:r>
      <w:r w:rsidR="0001301C">
        <w:t>to</w:t>
      </w:r>
      <w:r w:rsidRPr="00C43A9C">
        <w:t xml:space="preserve"> 1.11 in the year 2024. It will also reduce the cost of </w:t>
      </w:r>
      <w:r w:rsidR="0001301C" w:rsidRPr="00C43A9C">
        <w:t>interest,</w:t>
      </w:r>
      <w:r w:rsidRPr="00C43A9C">
        <w:t xml:space="preserve"> and the company will enjoy better financial disposal by minimizing debt usage in the company. It is a fact that mergers are likely to place the merged company </w:t>
      </w:r>
      <w:r w:rsidR="0001301C">
        <w:t>in</w:t>
      </w:r>
      <w:r w:rsidRPr="00C43A9C">
        <w:t xml:space="preserve"> a position of assumed higher amounts of debt</w:t>
      </w:r>
      <w:r w:rsidR="0001301C">
        <w:t>.</w:t>
      </w:r>
      <w:r w:rsidRPr="00C43A9C">
        <w:t xml:space="preserve"> </w:t>
      </w:r>
      <w:r w:rsidR="0001301C">
        <w:t>Still,</w:t>
      </w:r>
      <w:r w:rsidRPr="00C43A9C">
        <w:t xml:space="preserve"> they also come with opportunities </w:t>
      </w:r>
      <w:r w:rsidR="0001301C">
        <w:t>for</w:t>
      </w:r>
      <w:r w:rsidRPr="00C43A9C">
        <w:t xml:space="preserve"> stronger credit ratings that can help them manage their financial leverage effectively</w:t>
      </w:r>
      <w:r w:rsidR="00473ADD">
        <w:t xml:space="preserve"> (Ahn, 2024)</w:t>
      </w:r>
      <w:r w:rsidRPr="00C43A9C">
        <w:t xml:space="preserve">. </w:t>
      </w:r>
    </w:p>
    <w:p w14:paraId="08780A9E" w14:textId="77777777" w:rsidR="009649D1" w:rsidRPr="00C43A9C" w:rsidRDefault="009649D1" w:rsidP="00473ADD">
      <w:pPr>
        <w:spacing w:before="240" w:line="360" w:lineRule="auto"/>
        <w:jc w:val="both"/>
        <w:rPr>
          <w:b/>
          <w:bCs/>
        </w:rPr>
      </w:pPr>
      <w:r w:rsidRPr="00C43A9C">
        <w:rPr>
          <w:b/>
          <w:bCs/>
        </w:rPr>
        <w:t>3.3</w:t>
      </w:r>
      <w:r w:rsidRPr="00C43A9C">
        <w:rPr>
          <w:b/>
          <w:bCs/>
        </w:rPr>
        <w:tab/>
        <w:t>Operational Flexibility Impact.</w:t>
      </w:r>
    </w:p>
    <w:p w14:paraId="5360DDA5" w14:textId="0F3BF6F7" w:rsidR="00F82CD6" w:rsidRPr="00C43A9C" w:rsidRDefault="009649D1" w:rsidP="00473ADD">
      <w:pPr>
        <w:pStyle w:val="NormalWeb"/>
        <w:spacing w:line="360" w:lineRule="auto"/>
        <w:jc w:val="both"/>
      </w:pPr>
      <w:r w:rsidRPr="00C43A9C">
        <w:t>Reorganizing operations that would concentrate on the core business areas will make General Electronics more agile. This increases operational flexibility</w:t>
      </w:r>
      <w:r w:rsidR="0001301C">
        <w:t>,</w:t>
      </w:r>
      <w:r w:rsidRPr="00C43A9C">
        <w:t xml:space="preserve"> considering that the company can allocate resources (better) in an area where it is growing. A successful merger would assist in streamlining the company to be more functional, by making the company more pliable in the market, reducing costs as well a</w:t>
      </w:r>
      <w:r w:rsidR="0001301C">
        <w:t>nd</w:t>
      </w:r>
      <w:r w:rsidRPr="00C43A9C">
        <w:t xml:space="preserve"> the company will be better placed to serve the market dynamics. However, there exists a risk that operational flexibility may be reduced short run during the integration process</w:t>
      </w:r>
      <w:r w:rsidR="00473ADD">
        <w:t xml:space="preserve"> (</w:t>
      </w:r>
      <w:proofErr w:type="spellStart"/>
      <w:r w:rsidR="00473ADD">
        <w:t>Lazonick</w:t>
      </w:r>
      <w:proofErr w:type="spellEnd"/>
      <w:r w:rsidR="00473ADD">
        <w:t xml:space="preserve"> &amp; O’Sullivan, 2000)</w:t>
      </w:r>
      <w:r w:rsidRPr="00C43A9C">
        <w:t xml:space="preserve">. </w:t>
      </w:r>
    </w:p>
    <w:p w14:paraId="4623D92F" w14:textId="77777777" w:rsidR="00F82CD6" w:rsidRPr="00C43A9C" w:rsidRDefault="00F82CD6" w:rsidP="00473ADD">
      <w:pPr>
        <w:spacing w:before="240" w:after="100" w:afterAutospacing="1" w:line="360" w:lineRule="auto"/>
        <w:jc w:val="both"/>
        <w:outlineLvl w:val="3"/>
        <w:rPr>
          <w:b/>
          <w:bCs/>
        </w:rPr>
      </w:pPr>
      <w:r w:rsidRPr="00C43A9C">
        <w:rPr>
          <w:b/>
          <w:bCs/>
        </w:rPr>
        <w:t>4. International and Ethical Considerations</w:t>
      </w:r>
    </w:p>
    <w:p w14:paraId="684FBC89" w14:textId="77777777" w:rsidR="00F82CD6" w:rsidRPr="00C43A9C" w:rsidRDefault="00F82CD6" w:rsidP="00473ADD">
      <w:pPr>
        <w:spacing w:before="240" w:after="100" w:afterAutospacing="1" w:line="360" w:lineRule="auto"/>
        <w:jc w:val="both"/>
      </w:pPr>
      <w:r w:rsidRPr="00C43A9C">
        <w:rPr>
          <w:b/>
          <w:bCs/>
        </w:rPr>
        <w:t>4.1 Taxation</w:t>
      </w:r>
    </w:p>
    <w:p w14:paraId="63295482" w14:textId="7B038A25" w:rsidR="009649D1" w:rsidRPr="00C43A9C" w:rsidRDefault="009649D1" w:rsidP="00473ADD">
      <w:pPr>
        <w:pStyle w:val="NormalWeb"/>
        <w:spacing w:line="360" w:lineRule="auto"/>
        <w:jc w:val="both"/>
      </w:pPr>
      <w:r w:rsidRPr="00C43A9C">
        <w:t xml:space="preserve">General Electronics is a </w:t>
      </w:r>
      <w:r w:rsidR="0001301C">
        <w:t>multinational, and the tax implications of the restructuring strategy should have been considered in</w:t>
      </w:r>
      <w:r w:rsidRPr="00C43A9C">
        <w:t xml:space="preserve"> the different jurisdictions. These </w:t>
      </w:r>
      <w:r w:rsidR="0001301C">
        <w:t>divestitures, mergers, and equity injections may all lead to various tax requirements, particularly in capital gains, foreign tax credit,</w:t>
      </w:r>
      <w:r w:rsidRPr="00C43A9C">
        <w:t xml:space="preserve"> and transfer pricing. General Electronics needs to assess the implications of this so that it can minimize tax payments </w:t>
      </w:r>
      <w:r w:rsidR="0001301C" w:rsidRPr="00C43A9C">
        <w:t>and</w:t>
      </w:r>
      <w:r w:rsidRPr="00C43A9C">
        <w:t xml:space="preserve"> make the most of </w:t>
      </w:r>
      <w:r w:rsidR="0001301C">
        <w:t xml:space="preserve">the </w:t>
      </w:r>
      <w:r w:rsidRPr="00C43A9C">
        <w:t>restructuring process</w:t>
      </w:r>
      <w:r w:rsidR="00473ADD">
        <w:t xml:space="preserve"> (Le Grand, 2019)</w:t>
      </w:r>
      <w:r w:rsidRPr="00C43A9C">
        <w:t>.</w:t>
      </w:r>
    </w:p>
    <w:p w14:paraId="439BDCBD" w14:textId="77777777" w:rsidR="009649D1" w:rsidRPr="00C43A9C" w:rsidRDefault="009649D1" w:rsidP="00473ADD">
      <w:pPr>
        <w:spacing w:before="240" w:after="100" w:afterAutospacing="1" w:line="360" w:lineRule="auto"/>
        <w:jc w:val="both"/>
        <w:rPr>
          <w:b/>
          <w:bCs/>
        </w:rPr>
      </w:pPr>
      <w:r w:rsidRPr="00C43A9C">
        <w:rPr>
          <w:b/>
          <w:bCs/>
        </w:rPr>
        <w:t>4.2 Currency Risk</w:t>
      </w:r>
    </w:p>
    <w:p w14:paraId="4D700C83" w14:textId="6F676D01" w:rsidR="009649D1" w:rsidRPr="00C43A9C" w:rsidRDefault="009649D1" w:rsidP="00473ADD">
      <w:pPr>
        <w:spacing w:before="240" w:after="100" w:afterAutospacing="1" w:line="360" w:lineRule="auto"/>
        <w:jc w:val="both"/>
      </w:pPr>
      <w:r w:rsidRPr="00C43A9C">
        <w:t>General Electronics is a global player and is subjected to currency exposure, particularly where there is international holding in terms of assets or mergers or equity investors. Depreciation can also be considered as having some effect on international transactions, and therefore, it should be of importance that the company adopt</w:t>
      </w:r>
      <w:r w:rsidR="0001301C">
        <w:t>s</w:t>
      </w:r>
      <w:r w:rsidRPr="00C43A9C">
        <w:t xml:space="preserve"> hedging methods or establish</w:t>
      </w:r>
      <w:r w:rsidR="0001301C">
        <w:t>es</w:t>
      </w:r>
      <w:r w:rsidRPr="00C43A9C">
        <w:t xml:space="preserve"> mergers with companies that operate on comparatively stable currencies.</w:t>
      </w:r>
    </w:p>
    <w:p w14:paraId="5E9CCCDD" w14:textId="77777777" w:rsidR="009649D1" w:rsidRPr="00C43A9C" w:rsidRDefault="009649D1" w:rsidP="00473ADD">
      <w:pPr>
        <w:spacing w:before="240" w:after="100" w:afterAutospacing="1" w:line="360" w:lineRule="auto"/>
        <w:jc w:val="both"/>
        <w:rPr>
          <w:b/>
          <w:bCs/>
        </w:rPr>
      </w:pPr>
      <w:r w:rsidRPr="00C43A9C">
        <w:rPr>
          <w:b/>
          <w:bCs/>
        </w:rPr>
        <w:t>4.3 Inflation</w:t>
      </w:r>
    </w:p>
    <w:p w14:paraId="406C1ADE" w14:textId="383D9B0A" w:rsidR="009649D1" w:rsidRPr="00C43A9C" w:rsidRDefault="009649D1" w:rsidP="00473ADD">
      <w:pPr>
        <w:pStyle w:val="NormalWeb"/>
        <w:spacing w:line="360" w:lineRule="auto"/>
        <w:jc w:val="both"/>
      </w:pPr>
      <w:r w:rsidRPr="00C43A9C">
        <w:t xml:space="preserve">The profitability will endanger the inflation and especially in the countries that have volatile inflation rates. Inflation is one of the factors that General Electronics should consider when looking to mergers or acquisitions, since the cost base is going to weigh up. </w:t>
      </w:r>
      <w:r w:rsidR="0001301C">
        <w:t>I</w:t>
      </w:r>
      <w:r w:rsidRPr="00C43A9C">
        <w:t xml:space="preserve">nflation can affect </w:t>
      </w:r>
      <w:r w:rsidR="0001301C">
        <w:t>the wages</w:t>
      </w:r>
      <w:r w:rsidRPr="00C43A9C">
        <w:t xml:space="preserve"> of merchandise sold, compensation</w:t>
      </w:r>
      <w:r w:rsidR="0001301C">
        <w:t>,</w:t>
      </w:r>
      <w:r w:rsidRPr="00C43A9C">
        <w:t xml:space="preserve"> and investment </w:t>
      </w:r>
      <w:r w:rsidR="0001301C">
        <w:t>i</w:t>
      </w:r>
      <w:r w:rsidRPr="00C43A9C">
        <w:t>n workers</w:t>
      </w:r>
      <w:r w:rsidR="00473ADD">
        <w:t xml:space="preserve"> (</w:t>
      </w:r>
      <w:proofErr w:type="spellStart"/>
      <w:r w:rsidR="00473ADD">
        <w:t>Ndonye</w:t>
      </w:r>
      <w:proofErr w:type="spellEnd"/>
      <w:r w:rsidR="00473ADD">
        <w:t>, 2021)</w:t>
      </w:r>
      <w:r w:rsidRPr="00C43A9C">
        <w:t>.</w:t>
      </w:r>
    </w:p>
    <w:p w14:paraId="0E4F95A9" w14:textId="77777777" w:rsidR="009649D1" w:rsidRPr="00C43A9C" w:rsidRDefault="009649D1" w:rsidP="00473ADD">
      <w:pPr>
        <w:spacing w:before="240" w:after="100" w:afterAutospacing="1" w:line="360" w:lineRule="auto"/>
        <w:jc w:val="both"/>
        <w:rPr>
          <w:b/>
          <w:bCs/>
        </w:rPr>
      </w:pPr>
      <w:r w:rsidRPr="00C43A9C">
        <w:rPr>
          <w:b/>
          <w:bCs/>
        </w:rPr>
        <w:t>4.4 Corporate Social Responsibility (CSR).</w:t>
      </w:r>
    </w:p>
    <w:p w14:paraId="7401DF72" w14:textId="3E7EF121" w:rsidR="00F82CD6" w:rsidRPr="00C43A9C" w:rsidRDefault="009649D1" w:rsidP="00473ADD">
      <w:pPr>
        <w:pStyle w:val="NormalWeb"/>
        <w:spacing w:line="360" w:lineRule="auto"/>
        <w:jc w:val="both"/>
      </w:pPr>
      <w:r w:rsidRPr="00C43A9C">
        <w:t>The restructuring process should look at the ethical issues</w:t>
      </w:r>
      <w:r w:rsidR="0001301C">
        <w:t>,</w:t>
      </w:r>
      <w:r w:rsidRPr="00C43A9C">
        <w:t xml:space="preserve"> such as CSR. General Electronics should ensure that any merger, divestiture</w:t>
      </w:r>
      <w:r w:rsidR="0001301C">
        <w:t>,</w:t>
      </w:r>
      <w:r w:rsidRPr="00C43A9C">
        <w:t xml:space="preserve"> or equity transaction achieves its CSR goals. This includes integration of respect </w:t>
      </w:r>
      <w:r w:rsidR="0001301C">
        <w:t>for</w:t>
      </w:r>
      <w:r w:rsidRPr="00C43A9C">
        <w:t xml:space="preserve"> labor rights, sustainable production processes, and </w:t>
      </w:r>
      <w:r w:rsidR="0001301C">
        <w:t xml:space="preserve">the </w:t>
      </w:r>
      <w:r w:rsidRPr="00C43A9C">
        <w:t>environment</w:t>
      </w:r>
      <w:r w:rsidR="00473ADD">
        <w:t xml:space="preserve"> (McLaney, 2005)</w:t>
      </w:r>
      <w:r w:rsidRPr="00C43A9C">
        <w:t>.</w:t>
      </w:r>
      <w:r w:rsidR="00473ADD">
        <w:t xml:space="preserve"> </w:t>
      </w:r>
      <w:r w:rsidRPr="00C43A9C">
        <w:t xml:space="preserve"> </w:t>
      </w:r>
    </w:p>
    <w:p w14:paraId="360DDC3C" w14:textId="734E17A9" w:rsidR="007B22C3" w:rsidRPr="00C43A9C" w:rsidRDefault="00DB418B" w:rsidP="00473ADD">
      <w:pPr>
        <w:pStyle w:val="Heading1"/>
        <w:spacing w:before="240" w:line="360" w:lineRule="auto"/>
        <w:jc w:val="both"/>
        <w:rPr>
          <w:rFonts w:ascii="Times New Roman" w:hAnsi="Times New Roman" w:cs="Times New Roman"/>
          <w:b/>
          <w:bCs/>
          <w:color w:val="auto"/>
          <w:sz w:val="24"/>
          <w:szCs w:val="24"/>
        </w:rPr>
      </w:pPr>
      <w:bookmarkStart w:id="5" w:name="_Toc214577425"/>
      <w:r>
        <w:rPr>
          <w:rFonts w:ascii="Times New Roman" w:hAnsi="Times New Roman" w:cs="Times New Roman"/>
          <w:b/>
          <w:bCs/>
          <w:color w:val="auto"/>
          <w:sz w:val="24"/>
          <w:szCs w:val="24"/>
        </w:rPr>
        <w:t xml:space="preserve">4. </w:t>
      </w:r>
      <w:r w:rsidR="007B22C3" w:rsidRPr="00C43A9C">
        <w:rPr>
          <w:rFonts w:ascii="Times New Roman" w:hAnsi="Times New Roman" w:cs="Times New Roman"/>
          <w:b/>
          <w:bCs/>
          <w:color w:val="auto"/>
          <w:sz w:val="24"/>
          <w:szCs w:val="24"/>
        </w:rPr>
        <w:t>Investment Appraisal and Capital Budgeting for General Electronics</w:t>
      </w:r>
      <w:bookmarkEnd w:id="5"/>
    </w:p>
    <w:p w14:paraId="54A8255E" w14:textId="5ACA237B" w:rsidR="009649D1" w:rsidRPr="00C43A9C" w:rsidRDefault="009649D1" w:rsidP="00473ADD">
      <w:pPr>
        <w:pStyle w:val="NormalWeb"/>
        <w:spacing w:line="360" w:lineRule="auto"/>
        <w:jc w:val="both"/>
      </w:pPr>
      <w:r w:rsidRPr="00C43A9C">
        <w:t xml:space="preserve">Being </w:t>
      </w:r>
      <w:r w:rsidR="0001301C">
        <w:t>the</w:t>
      </w:r>
      <w:r w:rsidRPr="00C43A9C">
        <w:t xml:space="preserve"> Chief Financial Officer (CFO) of General Electronics, a corporation struggling with financial turmoil, one of the most important tasks is to evaluate possible investment opportunities that will help this company recover and develop over time. The performance of General Electronics has also weakened in the last five years, as net sales have declined to 394.88 million in 2024, compared to 614.68 million in 2020, and a net loss of 24.03 million was registered in 2024. The company now needs to select one of the three proposed projects of investment </w:t>
      </w:r>
      <w:r w:rsidR="0001301C">
        <w:t xml:space="preserve">projects </w:t>
      </w:r>
      <w:r w:rsidRPr="00C43A9C">
        <w:t xml:space="preserve">to help </w:t>
      </w:r>
      <w:r w:rsidR="0001301C" w:rsidRPr="00C43A9C">
        <w:t>maximize</w:t>
      </w:r>
      <w:r w:rsidRPr="00C43A9C">
        <w:t xml:space="preserve"> its capital investment and ha</w:t>
      </w:r>
      <w:r w:rsidR="0001301C">
        <w:t>s</w:t>
      </w:r>
      <w:r w:rsidRPr="00C43A9C">
        <w:t xml:space="preserve"> </w:t>
      </w:r>
      <w:r w:rsidR="0001301C">
        <w:t>a</w:t>
      </w:r>
      <w:r w:rsidRPr="00C43A9C">
        <w:t xml:space="preserve"> limitation of 60 million to invest</w:t>
      </w:r>
      <w:r w:rsidR="00473ADD">
        <w:t xml:space="preserve"> (Modigliani &amp; Miller, 1958)</w:t>
      </w:r>
      <w:r w:rsidRPr="00C43A9C">
        <w:t>.</w:t>
      </w:r>
    </w:p>
    <w:p w14:paraId="51AE5D17" w14:textId="77777777" w:rsidR="009649D1" w:rsidRPr="00C43A9C" w:rsidRDefault="009649D1" w:rsidP="00473ADD">
      <w:pPr>
        <w:spacing w:before="240" w:line="360" w:lineRule="auto"/>
        <w:jc w:val="both"/>
      </w:pPr>
      <w:r w:rsidRPr="00C43A9C">
        <w:t>These proposed projects include:</w:t>
      </w:r>
    </w:p>
    <w:p w14:paraId="2936224F" w14:textId="005D0E75" w:rsidR="009649D1" w:rsidRPr="00C43A9C" w:rsidRDefault="009649D1" w:rsidP="00473ADD">
      <w:pPr>
        <w:spacing w:before="240" w:line="360" w:lineRule="auto"/>
        <w:jc w:val="both"/>
      </w:pPr>
      <w:r w:rsidRPr="00C43A9C">
        <w:rPr>
          <w:b/>
          <w:bCs/>
        </w:rPr>
        <w:t>Project A:</w:t>
      </w:r>
      <w:r w:rsidRPr="00C43A9C">
        <w:t xml:space="preserve"> </w:t>
      </w:r>
      <w:r w:rsidR="00C43A9C" w:rsidRPr="00C43A9C">
        <w:t>C</w:t>
      </w:r>
      <w:r w:rsidRPr="00C43A9C">
        <w:t>ash inflows £10 million, £12 million, and £14 million, and cash outlay: £40 million, within five years.</w:t>
      </w:r>
    </w:p>
    <w:p w14:paraId="1CCEFA35" w14:textId="032C1302" w:rsidR="009649D1" w:rsidRPr="00C43A9C" w:rsidRDefault="009649D1" w:rsidP="00473ADD">
      <w:pPr>
        <w:spacing w:before="240" w:line="360" w:lineRule="auto"/>
        <w:jc w:val="both"/>
      </w:pPr>
      <w:r w:rsidRPr="00C43A9C">
        <w:rPr>
          <w:b/>
          <w:bCs/>
        </w:rPr>
        <w:t>Project B:</w:t>
      </w:r>
      <w:r w:rsidRPr="00C43A9C">
        <w:t xml:space="preserve"> The initial investment would be a sum of £30 million with a cash inflow of 6 million in the five years.</w:t>
      </w:r>
    </w:p>
    <w:p w14:paraId="4B617DFF" w14:textId="41A8B60E" w:rsidR="009649D1" w:rsidRPr="00C43A9C" w:rsidRDefault="009649D1" w:rsidP="00473ADD">
      <w:pPr>
        <w:spacing w:before="240" w:line="360" w:lineRule="auto"/>
        <w:jc w:val="both"/>
      </w:pPr>
      <w:r w:rsidRPr="00C43A9C">
        <w:rPr>
          <w:b/>
          <w:bCs/>
        </w:rPr>
        <w:t>Project C:</w:t>
      </w:r>
      <w:r w:rsidRPr="00C43A9C">
        <w:t xml:space="preserve"> </w:t>
      </w:r>
      <w:r w:rsidR="00C43A9C" w:rsidRPr="00C43A9C">
        <w:t>A</w:t>
      </w:r>
      <w:r w:rsidRPr="00C43A9C">
        <w:t>n initial investment of £50 million, net cash inflows of £5 million, £10 million, and 20 million</w:t>
      </w:r>
      <w:r w:rsidR="00C43A9C" w:rsidRPr="00C43A9C">
        <w:t>,</w:t>
      </w:r>
      <w:r w:rsidRPr="00C43A9C">
        <w:t xml:space="preserve"> and 25 million, as well as 15 million in the five years.</w:t>
      </w:r>
    </w:p>
    <w:p w14:paraId="614F757D" w14:textId="69F45FDE" w:rsidR="009649D1" w:rsidRPr="00C43A9C" w:rsidRDefault="009649D1" w:rsidP="00473ADD">
      <w:pPr>
        <w:pStyle w:val="NormalWeb"/>
        <w:spacing w:line="360" w:lineRule="auto"/>
        <w:jc w:val="both"/>
      </w:pPr>
      <w:r w:rsidRPr="00C43A9C">
        <w:t xml:space="preserve">Since there is a capital rationing constraint, and there is a need to focus on investments that enhance profitability and liquidity, the given section would utilize major techniques of the investment appraisal: Payback Period (PBP), Accounting Rate of Return (ARR), Net Present Value (NPV), Profitability Index (PI), and Internal Rate of Return (IRR) to </w:t>
      </w:r>
      <w:r w:rsidR="0001301C">
        <w:t>analyze</w:t>
      </w:r>
      <w:r w:rsidRPr="00C43A9C">
        <w:t xml:space="preserve"> the aforementioned investments. As a result of the findings, a recommendation will be provided, based on the present financial position of the company and the risk profiles of the individual projects</w:t>
      </w:r>
      <w:r w:rsidR="00473ADD">
        <w:t xml:space="preserve"> (Pandey, 2017)</w:t>
      </w:r>
      <w:r w:rsidRPr="00C43A9C">
        <w:t>.</w:t>
      </w:r>
    </w:p>
    <w:p w14:paraId="2002C360" w14:textId="5F252990" w:rsidR="007B22C3" w:rsidRPr="00C43A9C" w:rsidRDefault="00C43A9C" w:rsidP="00473ADD">
      <w:pPr>
        <w:spacing w:before="240" w:after="100" w:afterAutospacing="1" w:line="360" w:lineRule="auto"/>
        <w:jc w:val="both"/>
        <w:outlineLvl w:val="3"/>
        <w:rPr>
          <w:b/>
          <w:bCs/>
        </w:rPr>
      </w:pPr>
      <w:r w:rsidRPr="00C43A9C">
        <w:rPr>
          <w:b/>
          <w:bCs/>
        </w:rPr>
        <w:t>1</w:t>
      </w:r>
      <w:r w:rsidR="007B22C3" w:rsidRPr="00C43A9C">
        <w:rPr>
          <w:b/>
          <w:bCs/>
        </w:rPr>
        <w:t>. Investment Appraisal Techniques</w:t>
      </w:r>
    </w:p>
    <w:p w14:paraId="250DF97E" w14:textId="51AA432A" w:rsidR="007B22C3" w:rsidRPr="00C43A9C" w:rsidRDefault="00C43A9C" w:rsidP="00473ADD">
      <w:pPr>
        <w:spacing w:before="240" w:after="100" w:afterAutospacing="1" w:line="360" w:lineRule="auto"/>
        <w:jc w:val="both"/>
      </w:pPr>
      <w:r w:rsidRPr="00C43A9C">
        <w:rPr>
          <w:b/>
          <w:bCs/>
        </w:rPr>
        <w:t>1</w:t>
      </w:r>
      <w:r w:rsidR="007B22C3" w:rsidRPr="00C43A9C">
        <w:rPr>
          <w:b/>
          <w:bCs/>
        </w:rPr>
        <w:t>.1 Payback Period (PBP)</w:t>
      </w:r>
    </w:p>
    <w:p w14:paraId="2429126B" w14:textId="6E975F37" w:rsidR="007B22C3" w:rsidRPr="00C43A9C" w:rsidRDefault="009649D1" w:rsidP="00473ADD">
      <w:pPr>
        <w:spacing w:before="240" w:after="100" w:afterAutospacing="1" w:line="360" w:lineRule="auto"/>
        <w:jc w:val="both"/>
      </w:pPr>
      <w:r w:rsidRPr="00C43A9C">
        <w:t xml:space="preserve">Payback Period (PBP) is a simple way of determining the time rate </w:t>
      </w:r>
      <w:r w:rsidR="0001301C">
        <w:t>for</w:t>
      </w:r>
      <w:r w:rsidRPr="00C43A9C">
        <w:t xml:space="preserve"> an investment will pay back its original expenses. </w:t>
      </w:r>
      <w:r w:rsidR="0001301C">
        <w:t xml:space="preserve">The </w:t>
      </w:r>
      <w:r w:rsidRPr="00C43A9C">
        <w:t xml:space="preserve">PBP formula is the sum of cash inflows </w:t>
      </w:r>
      <w:r w:rsidR="0001301C">
        <w:t>over</w:t>
      </w:r>
      <w:r w:rsidRPr="00C43A9C">
        <w:t xml:space="preserve"> the </w:t>
      </w:r>
      <w:r w:rsidR="0001301C" w:rsidRPr="00C43A9C">
        <w:t>time</w:t>
      </w:r>
      <w:r w:rsidRPr="00C43A9C">
        <w:t xml:space="preserve"> the investment is recovered.</w:t>
      </w:r>
    </w:p>
    <w:p w14:paraId="56B45CD3" w14:textId="77777777" w:rsidR="007B22C3" w:rsidRPr="00C43A9C" w:rsidRDefault="007B22C3" w:rsidP="00473ADD">
      <w:pPr>
        <w:numPr>
          <w:ilvl w:val="0"/>
          <w:numId w:val="40"/>
        </w:numPr>
        <w:spacing w:before="240" w:after="100" w:afterAutospacing="1" w:line="360" w:lineRule="auto"/>
        <w:jc w:val="both"/>
      </w:pPr>
      <w:r w:rsidRPr="00C43A9C">
        <w:rPr>
          <w:b/>
          <w:bCs/>
        </w:rPr>
        <w:t>Project A</w:t>
      </w:r>
      <w:r w:rsidRPr="00C43A9C">
        <w:t>:</w:t>
      </w:r>
    </w:p>
    <w:p w14:paraId="6059EF34" w14:textId="77777777" w:rsidR="007B22C3" w:rsidRPr="00C43A9C" w:rsidRDefault="007B22C3" w:rsidP="00473ADD">
      <w:pPr>
        <w:numPr>
          <w:ilvl w:val="1"/>
          <w:numId w:val="40"/>
        </w:numPr>
        <w:spacing w:before="240" w:after="100" w:afterAutospacing="1" w:line="360" w:lineRule="auto"/>
        <w:jc w:val="both"/>
      </w:pPr>
      <w:r w:rsidRPr="00C43A9C">
        <w:t>Initial investment: £40 million</w:t>
      </w:r>
    </w:p>
    <w:p w14:paraId="753A94F3" w14:textId="77777777" w:rsidR="007B22C3" w:rsidRPr="00C43A9C" w:rsidRDefault="007B22C3" w:rsidP="00473ADD">
      <w:pPr>
        <w:numPr>
          <w:ilvl w:val="1"/>
          <w:numId w:val="40"/>
        </w:numPr>
        <w:spacing w:before="240" w:after="100" w:afterAutospacing="1" w:line="360" w:lineRule="auto"/>
        <w:jc w:val="both"/>
      </w:pPr>
      <w:r w:rsidRPr="00C43A9C">
        <w:t>Year 1 inflow: £10 million</w:t>
      </w:r>
    </w:p>
    <w:p w14:paraId="6371202B" w14:textId="77777777" w:rsidR="007B22C3" w:rsidRPr="00C43A9C" w:rsidRDefault="007B22C3" w:rsidP="00473ADD">
      <w:pPr>
        <w:numPr>
          <w:ilvl w:val="1"/>
          <w:numId w:val="40"/>
        </w:numPr>
        <w:spacing w:before="240" w:after="100" w:afterAutospacing="1" w:line="360" w:lineRule="auto"/>
        <w:jc w:val="both"/>
      </w:pPr>
      <w:r w:rsidRPr="00C43A9C">
        <w:t>Year 2 inflow: £12 million</w:t>
      </w:r>
    </w:p>
    <w:p w14:paraId="05EBEF0F" w14:textId="77777777" w:rsidR="007B22C3" w:rsidRPr="00C43A9C" w:rsidRDefault="007B22C3" w:rsidP="00473ADD">
      <w:pPr>
        <w:numPr>
          <w:ilvl w:val="1"/>
          <w:numId w:val="40"/>
        </w:numPr>
        <w:spacing w:before="240" w:after="100" w:afterAutospacing="1" w:line="360" w:lineRule="auto"/>
        <w:jc w:val="both"/>
      </w:pPr>
      <w:r w:rsidRPr="00C43A9C">
        <w:t>Year 3 inflow: £14 million</w:t>
      </w:r>
    </w:p>
    <w:p w14:paraId="473ED955" w14:textId="77777777" w:rsidR="007B22C3" w:rsidRPr="00C43A9C" w:rsidRDefault="007B22C3" w:rsidP="00473ADD">
      <w:pPr>
        <w:numPr>
          <w:ilvl w:val="1"/>
          <w:numId w:val="40"/>
        </w:numPr>
        <w:spacing w:before="240" w:after="100" w:afterAutospacing="1" w:line="360" w:lineRule="auto"/>
        <w:jc w:val="both"/>
      </w:pPr>
      <w:r w:rsidRPr="00C43A9C">
        <w:t>Year 4 inflow: £10 million</w:t>
      </w:r>
    </w:p>
    <w:p w14:paraId="51246546" w14:textId="77777777" w:rsidR="007B22C3" w:rsidRPr="00C43A9C" w:rsidRDefault="007B22C3" w:rsidP="00473ADD">
      <w:pPr>
        <w:numPr>
          <w:ilvl w:val="1"/>
          <w:numId w:val="40"/>
        </w:numPr>
        <w:spacing w:before="240" w:after="100" w:afterAutospacing="1" w:line="360" w:lineRule="auto"/>
        <w:jc w:val="both"/>
      </w:pPr>
      <w:r w:rsidRPr="00C43A9C">
        <w:t>Year 5 inflow: £8 million</w:t>
      </w:r>
    </w:p>
    <w:p w14:paraId="7C4E0EA2" w14:textId="77777777" w:rsidR="007B22C3" w:rsidRPr="00C43A9C" w:rsidRDefault="007B22C3" w:rsidP="00473ADD">
      <w:pPr>
        <w:spacing w:before="240" w:after="100" w:afterAutospacing="1" w:line="360" w:lineRule="auto"/>
        <w:jc w:val="both"/>
        <w:rPr>
          <w:b/>
          <w:bCs/>
        </w:rPr>
      </w:pPr>
      <w:r w:rsidRPr="00C43A9C">
        <w:rPr>
          <w:b/>
          <w:bCs/>
        </w:rPr>
        <w:t>Cumulative inflows:</w:t>
      </w:r>
    </w:p>
    <w:p w14:paraId="599465BF" w14:textId="77777777" w:rsidR="007B22C3" w:rsidRPr="00C43A9C" w:rsidRDefault="007B22C3" w:rsidP="00473ADD">
      <w:pPr>
        <w:numPr>
          <w:ilvl w:val="1"/>
          <w:numId w:val="40"/>
        </w:numPr>
        <w:spacing w:before="240" w:after="100" w:afterAutospacing="1" w:line="360" w:lineRule="auto"/>
        <w:jc w:val="both"/>
      </w:pPr>
      <w:r w:rsidRPr="00C43A9C">
        <w:t>Year 1: £10 million</w:t>
      </w:r>
    </w:p>
    <w:p w14:paraId="2D1024D5" w14:textId="77777777" w:rsidR="007B22C3" w:rsidRPr="00C43A9C" w:rsidRDefault="007B22C3" w:rsidP="00473ADD">
      <w:pPr>
        <w:numPr>
          <w:ilvl w:val="1"/>
          <w:numId w:val="40"/>
        </w:numPr>
        <w:spacing w:before="240" w:after="100" w:afterAutospacing="1" w:line="360" w:lineRule="auto"/>
        <w:jc w:val="both"/>
      </w:pPr>
      <w:r w:rsidRPr="00C43A9C">
        <w:t>Year 2: £10m + £12m = £22m</w:t>
      </w:r>
    </w:p>
    <w:p w14:paraId="5F61CE0D" w14:textId="77777777" w:rsidR="007B22C3" w:rsidRPr="00C43A9C" w:rsidRDefault="007B22C3" w:rsidP="00473ADD">
      <w:pPr>
        <w:numPr>
          <w:ilvl w:val="1"/>
          <w:numId w:val="40"/>
        </w:numPr>
        <w:spacing w:before="240" w:after="100" w:afterAutospacing="1" w:line="360" w:lineRule="auto"/>
        <w:jc w:val="both"/>
      </w:pPr>
      <w:r w:rsidRPr="00C43A9C">
        <w:t>Year 3: £22m + £14m = £36m</w:t>
      </w:r>
    </w:p>
    <w:p w14:paraId="462ABE49" w14:textId="77777777" w:rsidR="007B22C3" w:rsidRPr="00C43A9C" w:rsidRDefault="007B22C3" w:rsidP="00473ADD">
      <w:pPr>
        <w:numPr>
          <w:ilvl w:val="1"/>
          <w:numId w:val="40"/>
        </w:numPr>
        <w:spacing w:before="240" w:after="100" w:afterAutospacing="1" w:line="360" w:lineRule="auto"/>
        <w:jc w:val="both"/>
      </w:pPr>
      <w:r w:rsidRPr="00C43A9C">
        <w:t>Year 4: £36m + £10m = £46m</w:t>
      </w:r>
    </w:p>
    <w:p w14:paraId="70D2D022" w14:textId="77777777" w:rsidR="007B22C3" w:rsidRPr="00C43A9C" w:rsidRDefault="007B22C3" w:rsidP="00473ADD">
      <w:pPr>
        <w:spacing w:before="240" w:after="100" w:afterAutospacing="1" w:line="360" w:lineRule="auto"/>
        <w:ind w:left="720"/>
        <w:jc w:val="both"/>
      </w:pPr>
      <w:r w:rsidRPr="00C43A9C">
        <w:rPr>
          <w:b/>
          <w:bCs/>
        </w:rPr>
        <w:t>PBP = 4 years</w:t>
      </w:r>
      <w:r w:rsidRPr="00C43A9C">
        <w:t xml:space="preserve"> (approximately, as the initial £40 million is fully recouped within four years).</w:t>
      </w:r>
    </w:p>
    <w:p w14:paraId="62878B7B" w14:textId="77777777" w:rsidR="007B22C3" w:rsidRPr="00C43A9C" w:rsidRDefault="007B22C3" w:rsidP="00473ADD">
      <w:pPr>
        <w:numPr>
          <w:ilvl w:val="0"/>
          <w:numId w:val="40"/>
        </w:numPr>
        <w:spacing w:before="240" w:after="100" w:afterAutospacing="1" w:line="360" w:lineRule="auto"/>
        <w:jc w:val="both"/>
      </w:pPr>
      <w:r w:rsidRPr="00C43A9C">
        <w:rPr>
          <w:b/>
          <w:bCs/>
        </w:rPr>
        <w:t>Project B</w:t>
      </w:r>
      <w:r w:rsidRPr="00C43A9C">
        <w:t>:</w:t>
      </w:r>
    </w:p>
    <w:p w14:paraId="04FED384" w14:textId="77777777" w:rsidR="007B22C3" w:rsidRPr="00C43A9C" w:rsidRDefault="007B22C3" w:rsidP="00473ADD">
      <w:pPr>
        <w:numPr>
          <w:ilvl w:val="1"/>
          <w:numId w:val="40"/>
        </w:numPr>
        <w:spacing w:before="240" w:after="100" w:afterAutospacing="1" w:line="360" w:lineRule="auto"/>
        <w:jc w:val="both"/>
      </w:pPr>
      <w:r w:rsidRPr="00C43A9C">
        <w:t>Initial investment: £30 million</w:t>
      </w:r>
    </w:p>
    <w:p w14:paraId="3F051CA9" w14:textId="77777777" w:rsidR="007B22C3" w:rsidRPr="00C43A9C" w:rsidRDefault="007B22C3" w:rsidP="00473ADD">
      <w:pPr>
        <w:numPr>
          <w:ilvl w:val="1"/>
          <w:numId w:val="40"/>
        </w:numPr>
        <w:spacing w:before="240" w:after="100" w:afterAutospacing="1" w:line="360" w:lineRule="auto"/>
        <w:jc w:val="both"/>
      </w:pPr>
      <w:r w:rsidRPr="00C43A9C">
        <w:t>Annual inflows: £6 million</w:t>
      </w:r>
    </w:p>
    <w:p w14:paraId="42295197" w14:textId="77777777" w:rsidR="007B22C3" w:rsidRPr="00C43A9C" w:rsidRDefault="007B22C3" w:rsidP="00473ADD">
      <w:pPr>
        <w:spacing w:before="240" w:after="100" w:afterAutospacing="1" w:line="360" w:lineRule="auto"/>
        <w:jc w:val="both"/>
        <w:rPr>
          <w:b/>
          <w:bCs/>
        </w:rPr>
      </w:pPr>
      <w:r w:rsidRPr="00C43A9C">
        <w:rPr>
          <w:b/>
          <w:bCs/>
        </w:rPr>
        <w:t>Cumulative inflows:</w:t>
      </w:r>
    </w:p>
    <w:p w14:paraId="462BF1A9" w14:textId="77777777" w:rsidR="007B22C3" w:rsidRPr="00C43A9C" w:rsidRDefault="007B22C3" w:rsidP="00473ADD">
      <w:pPr>
        <w:numPr>
          <w:ilvl w:val="1"/>
          <w:numId w:val="40"/>
        </w:numPr>
        <w:spacing w:before="240" w:after="100" w:afterAutospacing="1" w:line="360" w:lineRule="auto"/>
        <w:jc w:val="both"/>
      </w:pPr>
      <w:r w:rsidRPr="00C43A9C">
        <w:t>Year 1: £6 million</w:t>
      </w:r>
    </w:p>
    <w:p w14:paraId="1EE2B823" w14:textId="77777777" w:rsidR="007B22C3" w:rsidRPr="00C43A9C" w:rsidRDefault="007B22C3" w:rsidP="00473ADD">
      <w:pPr>
        <w:numPr>
          <w:ilvl w:val="1"/>
          <w:numId w:val="40"/>
        </w:numPr>
        <w:spacing w:before="240" w:after="100" w:afterAutospacing="1" w:line="360" w:lineRule="auto"/>
        <w:jc w:val="both"/>
      </w:pPr>
      <w:r w:rsidRPr="00C43A9C">
        <w:t>Year 2: £6m + £6m = £12m</w:t>
      </w:r>
    </w:p>
    <w:p w14:paraId="7ABEE516" w14:textId="77777777" w:rsidR="007B22C3" w:rsidRPr="00C43A9C" w:rsidRDefault="007B22C3" w:rsidP="00473ADD">
      <w:pPr>
        <w:numPr>
          <w:ilvl w:val="1"/>
          <w:numId w:val="40"/>
        </w:numPr>
        <w:spacing w:before="240" w:after="100" w:afterAutospacing="1" w:line="360" w:lineRule="auto"/>
        <w:jc w:val="both"/>
      </w:pPr>
      <w:r w:rsidRPr="00C43A9C">
        <w:t>Year 3: £12m + £6m = £18m</w:t>
      </w:r>
    </w:p>
    <w:p w14:paraId="08677D0C" w14:textId="77777777" w:rsidR="007B22C3" w:rsidRPr="00C43A9C" w:rsidRDefault="007B22C3" w:rsidP="00473ADD">
      <w:pPr>
        <w:numPr>
          <w:ilvl w:val="1"/>
          <w:numId w:val="40"/>
        </w:numPr>
        <w:spacing w:before="240" w:after="100" w:afterAutospacing="1" w:line="360" w:lineRule="auto"/>
        <w:jc w:val="both"/>
      </w:pPr>
      <w:r w:rsidRPr="00C43A9C">
        <w:t>Year 4: £18m + £6m = £24m</w:t>
      </w:r>
    </w:p>
    <w:p w14:paraId="0534F92C" w14:textId="77777777" w:rsidR="007B22C3" w:rsidRPr="00C43A9C" w:rsidRDefault="007B22C3" w:rsidP="00473ADD">
      <w:pPr>
        <w:numPr>
          <w:ilvl w:val="1"/>
          <w:numId w:val="40"/>
        </w:numPr>
        <w:spacing w:before="240" w:after="100" w:afterAutospacing="1" w:line="360" w:lineRule="auto"/>
        <w:jc w:val="both"/>
      </w:pPr>
      <w:r w:rsidRPr="00C43A9C">
        <w:t>Year 5: £24m + £6m = £30m</w:t>
      </w:r>
    </w:p>
    <w:p w14:paraId="5C47CF38" w14:textId="77777777" w:rsidR="007B22C3" w:rsidRPr="00C43A9C" w:rsidRDefault="007B22C3" w:rsidP="00473ADD">
      <w:pPr>
        <w:spacing w:before="240" w:after="100" w:afterAutospacing="1" w:line="360" w:lineRule="auto"/>
        <w:ind w:left="720"/>
        <w:jc w:val="both"/>
      </w:pPr>
      <w:r w:rsidRPr="00C43A9C">
        <w:rPr>
          <w:b/>
          <w:bCs/>
        </w:rPr>
        <w:t>PBP = 5 years</w:t>
      </w:r>
      <w:r w:rsidRPr="00C43A9C">
        <w:t xml:space="preserve"> (as the £30 million is fully recouped by the end of Year 5).</w:t>
      </w:r>
    </w:p>
    <w:p w14:paraId="49E58710" w14:textId="77777777" w:rsidR="007B22C3" w:rsidRPr="00C43A9C" w:rsidRDefault="007B22C3" w:rsidP="00473ADD">
      <w:pPr>
        <w:numPr>
          <w:ilvl w:val="0"/>
          <w:numId w:val="40"/>
        </w:numPr>
        <w:spacing w:before="240" w:after="100" w:afterAutospacing="1" w:line="360" w:lineRule="auto"/>
        <w:jc w:val="both"/>
      </w:pPr>
      <w:r w:rsidRPr="00C43A9C">
        <w:rPr>
          <w:b/>
          <w:bCs/>
        </w:rPr>
        <w:t>Project C</w:t>
      </w:r>
      <w:r w:rsidRPr="00C43A9C">
        <w:t>:</w:t>
      </w:r>
    </w:p>
    <w:p w14:paraId="057B43FD" w14:textId="77777777" w:rsidR="007B22C3" w:rsidRPr="00C43A9C" w:rsidRDefault="007B22C3" w:rsidP="00473ADD">
      <w:pPr>
        <w:numPr>
          <w:ilvl w:val="1"/>
          <w:numId w:val="40"/>
        </w:numPr>
        <w:spacing w:before="240" w:after="100" w:afterAutospacing="1" w:line="360" w:lineRule="auto"/>
        <w:jc w:val="both"/>
      </w:pPr>
      <w:r w:rsidRPr="00C43A9C">
        <w:t>Initial investment: £50 million</w:t>
      </w:r>
    </w:p>
    <w:p w14:paraId="64EBE5D9" w14:textId="77777777" w:rsidR="007B22C3" w:rsidRPr="00C43A9C" w:rsidRDefault="007B22C3" w:rsidP="00473ADD">
      <w:pPr>
        <w:numPr>
          <w:ilvl w:val="1"/>
          <w:numId w:val="40"/>
        </w:numPr>
        <w:spacing w:before="240" w:after="100" w:afterAutospacing="1" w:line="360" w:lineRule="auto"/>
        <w:jc w:val="both"/>
      </w:pPr>
      <w:r w:rsidRPr="00C43A9C">
        <w:t>Year 1 inflow: £5 million</w:t>
      </w:r>
    </w:p>
    <w:p w14:paraId="48DDA4BA" w14:textId="77777777" w:rsidR="007B22C3" w:rsidRPr="00C43A9C" w:rsidRDefault="007B22C3" w:rsidP="00473ADD">
      <w:pPr>
        <w:numPr>
          <w:ilvl w:val="1"/>
          <w:numId w:val="40"/>
        </w:numPr>
        <w:spacing w:before="240" w:after="100" w:afterAutospacing="1" w:line="360" w:lineRule="auto"/>
        <w:jc w:val="both"/>
      </w:pPr>
      <w:r w:rsidRPr="00C43A9C">
        <w:t>Year 2 inflow: £10 million</w:t>
      </w:r>
    </w:p>
    <w:p w14:paraId="7A0546D0" w14:textId="77777777" w:rsidR="007B22C3" w:rsidRPr="00C43A9C" w:rsidRDefault="007B22C3" w:rsidP="00473ADD">
      <w:pPr>
        <w:numPr>
          <w:ilvl w:val="1"/>
          <w:numId w:val="40"/>
        </w:numPr>
        <w:spacing w:before="240" w:after="100" w:afterAutospacing="1" w:line="360" w:lineRule="auto"/>
        <w:jc w:val="both"/>
      </w:pPr>
      <w:r w:rsidRPr="00C43A9C">
        <w:t>Year 3 inflow: £20 million</w:t>
      </w:r>
    </w:p>
    <w:p w14:paraId="377A9233" w14:textId="77777777" w:rsidR="007B22C3" w:rsidRPr="00C43A9C" w:rsidRDefault="007B22C3" w:rsidP="00473ADD">
      <w:pPr>
        <w:numPr>
          <w:ilvl w:val="1"/>
          <w:numId w:val="40"/>
        </w:numPr>
        <w:spacing w:before="240" w:after="100" w:afterAutospacing="1" w:line="360" w:lineRule="auto"/>
        <w:jc w:val="both"/>
      </w:pPr>
      <w:r w:rsidRPr="00C43A9C">
        <w:t>Year 4 inflow: £25 million</w:t>
      </w:r>
    </w:p>
    <w:p w14:paraId="744772EF" w14:textId="77777777" w:rsidR="007B22C3" w:rsidRPr="00C43A9C" w:rsidRDefault="007B22C3" w:rsidP="00473ADD">
      <w:pPr>
        <w:numPr>
          <w:ilvl w:val="1"/>
          <w:numId w:val="40"/>
        </w:numPr>
        <w:spacing w:before="240" w:after="100" w:afterAutospacing="1" w:line="360" w:lineRule="auto"/>
        <w:jc w:val="both"/>
      </w:pPr>
      <w:r w:rsidRPr="00C43A9C">
        <w:t>Year 5 inflow: £15 million</w:t>
      </w:r>
    </w:p>
    <w:p w14:paraId="741134CE" w14:textId="77777777" w:rsidR="007B22C3" w:rsidRPr="00C43A9C" w:rsidRDefault="007B22C3" w:rsidP="00473ADD">
      <w:pPr>
        <w:spacing w:before="240" w:after="100" w:afterAutospacing="1" w:line="360" w:lineRule="auto"/>
        <w:jc w:val="both"/>
        <w:rPr>
          <w:b/>
          <w:bCs/>
        </w:rPr>
      </w:pPr>
      <w:r w:rsidRPr="00C43A9C">
        <w:rPr>
          <w:b/>
          <w:bCs/>
        </w:rPr>
        <w:t>Cumulative inflows:</w:t>
      </w:r>
    </w:p>
    <w:p w14:paraId="5323B7F3" w14:textId="77777777" w:rsidR="007B22C3" w:rsidRPr="00C43A9C" w:rsidRDefault="007B22C3" w:rsidP="00473ADD">
      <w:pPr>
        <w:numPr>
          <w:ilvl w:val="1"/>
          <w:numId w:val="40"/>
        </w:numPr>
        <w:spacing w:before="240" w:after="100" w:afterAutospacing="1" w:line="360" w:lineRule="auto"/>
        <w:jc w:val="both"/>
      </w:pPr>
      <w:r w:rsidRPr="00C43A9C">
        <w:t>Year 1: £5 million</w:t>
      </w:r>
    </w:p>
    <w:p w14:paraId="1C54BB86" w14:textId="77777777" w:rsidR="007B22C3" w:rsidRPr="00C43A9C" w:rsidRDefault="007B22C3" w:rsidP="00473ADD">
      <w:pPr>
        <w:numPr>
          <w:ilvl w:val="1"/>
          <w:numId w:val="40"/>
        </w:numPr>
        <w:spacing w:before="240" w:after="100" w:afterAutospacing="1" w:line="360" w:lineRule="auto"/>
        <w:jc w:val="both"/>
      </w:pPr>
      <w:r w:rsidRPr="00C43A9C">
        <w:t>Year 2: £5m + £10m = £15m</w:t>
      </w:r>
    </w:p>
    <w:p w14:paraId="79AAB9C6" w14:textId="77777777" w:rsidR="007B22C3" w:rsidRPr="00C43A9C" w:rsidRDefault="007B22C3" w:rsidP="00473ADD">
      <w:pPr>
        <w:numPr>
          <w:ilvl w:val="1"/>
          <w:numId w:val="40"/>
        </w:numPr>
        <w:spacing w:before="240" w:after="100" w:afterAutospacing="1" w:line="360" w:lineRule="auto"/>
        <w:jc w:val="both"/>
      </w:pPr>
      <w:r w:rsidRPr="00C43A9C">
        <w:t>Year 3: £15m + £20m = £35m</w:t>
      </w:r>
    </w:p>
    <w:p w14:paraId="25A5E6AE" w14:textId="77777777" w:rsidR="007B22C3" w:rsidRPr="00C43A9C" w:rsidRDefault="007B22C3" w:rsidP="00473ADD">
      <w:pPr>
        <w:numPr>
          <w:ilvl w:val="1"/>
          <w:numId w:val="40"/>
        </w:numPr>
        <w:spacing w:before="240" w:after="100" w:afterAutospacing="1" w:line="360" w:lineRule="auto"/>
        <w:jc w:val="both"/>
      </w:pPr>
      <w:r w:rsidRPr="00C43A9C">
        <w:t>Year 4: £35m + £25m = £60m</w:t>
      </w:r>
    </w:p>
    <w:p w14:paraId="688F5D87" w14:textId="77777777" w:rsidR="007B22C3" w:rsidRPr="00C43A9C" w:rsidRDefault="007B22C3" w:rsidP="00473ADD">
      <w:pPr>
        <w:spacing w:before="240" w:after="100" w:afterAutospacing="1" w:line="360" w:lineRule="auto"/>
        <w:ind w:left="720"/>
        <w:jc w:val="both"/>
      </w:pPr>
      <w:r w:rsidRPr="00C43A9C">
        <w:rPr>
          <w:b/>
          <w:bCs/>
        </w:rPr>
        <w:t>PBP = 4 years</w:t>
      </w:r>
      <w:r w:rsidRPr="00C43A9C">
        <w:t xml:space="preserve"> (the investment is recovered by the end of Year 4).</w:t>
      </w:r>
    </w:p>
    <w:p w14:paraId="5F03E659" w14:textId="77777777" w:rsidR="007B22C3" w:rsidRPr="00C43A9C" w:rsidRDefault="007B22C3" w:rsidP="00473ADD">
      <w:pPr>
        <w:spacing w:before="240" w:after="100" w:afterAutospacing="1" w:line="360" w:lineRule="auto"/>
        <w:jc w:val="both"/>
      </w:pPr>
      <w:r w:rsidRPr="00C43A9C">
        <w:rPr>
          <w:b/>
          <w:bCs/>
        </w:rPr>
        <w:t>Summary of Payback Period</w:t>
      </w:r>
      <w:r w:rsidRPr="00C43A9C">
        <w:t>:</w:t>
      </w:r>
    </w:p>
    <w:p w14:paraId="33A8CA29" w14:textId="77777777" w:rsidR="007B22C3" w:rsidRPr="00C43A9C" w:rsidRDefault="007B22C3" w:rsidP="00473ADD">
      <w:pPr>
        <w:numPr>
          <w:ilvl w:val="0"/>
          <w:numId w:val="41"/>
        </w:numPr>
        <w:spacing w:before="240" w:after="100" w:afterAutospacing="1" w:line="360" w:lineRule="auto"/>
        <w:jc w:val="both"/>
      </w:pPr>
      <w:r w:rsidRPr="00C43A9C">
        <w:rPr>
          <w:b/>
          <w:bCs/>
        </w:rPr>
        <w:t>Project A</w:t>
      </w:r>
      <w:r w:rsidRPr="00C43A9C">
        <w:t>: 4 years</w:t>
      </w:r>
    </w:p>
    <w:p w14:paraId="6D605AF6" w14:textId="77777777" w:rsidR="007B22C3" w:rsidRPr="00C43A9C" w:rsidRDefault="007B22C3" w:rsidP="00473ADD">
      <w:pPr>
        <w:numPr>
          <w:ilvl w:val="0"/>
          <w:numId w:val="41"/>
        </w:numPr>
        <w:spacing w:before="240" w:after="100" w:afterAutospacing="1" w:line="360" w:lineRule="auto"/>
        <w:jc w:val="both"/>
      </w:pPr>
      <w:r w:rsidRPr="00C43A9C">
        <w:rPr>
          <w:b/>
          <w:bCs/>
        </w:rPr>
        <w:t>Project B</w:t>
      </w:r>
      <w:r w:rsidRPr="00C43A9C">
        <w:t>: 5 years</w:t>
      </w:r>
    </w:p>
    <w:p w14:paraId="0B0172FB" w14:textId="2BBD3880" w:rsidR="007B22C3" w:rsidRPr="00C43A9C" w:rsidRDefault="007B22C3" w:rsidP="00473ADD">
      <w:pPr>
        <w:numPr>
          <w:ilvl w:val="0"/>
          <w:numId w:val="41"/>
        </w:numPr>
        <w:spacing w:before="240" w:after="100" w:afterAutospacing="1" w:line="360" w:lineRule="auto"/>
        <w:jc w:val="both"/>
      </w:pPr>
      <w:r w:rsidRPr="00C43A9C">
        <w:rPr>
          <w:b/>
          <w:bCs/>
        </w:rPr>
        <w:t>Project C</w:t>
      </w:r>
      <w:r w:rsidRPr="00C43A9C">
        <w:t>: 4 years</w:t>
      </w:r>
    </w:p>
    <w:p w14:paraId="51A4BF87" w14:textId="1B96AF7E" w:rsidR="007B22C3" w:rsidRPr="00C43A9C" w:rsidRDefault="00C43A9C" w:rsidP="00473ADD">
      <w:pPr>
        <w:spacing w:before="240" w:after="100" w:afterAutospacing="1" w:line="360" w:lineRule="auto"/>
        <w:jc w:val="both"/>
      </w:pPr>
      <w:r w:rsidRPr="00C43A9C">
        <w:rPr>
          <w:b/>
          <w:bCs/>
        </w:rPr>
        <w:t>1</w:t>
      </w:r>
      <w:r w:rsidR="007B22C3" w:rsidRPr="00C43A9C">
        <w:rPr>
          <w:b/>
          <w:bCs/>
        </w:rPr>
        <w:t>.2 Accounting Rate of Return (ARR)</w:t>
      </w:r>
    </w:p>
    <w:p w14:paraId="38548EA9" w14:textId="77BEB9D3" w:rsidR="007B22C3" w:rsidRPr="00C43A9C" w:rsidRDefault="009649D1" w:rsidP="00473ADD">
      <w:pPr>
        <w:spacing w:before="240" w:after="100" w:afterAutospacing="1" w:line="360" w:lineRule="auto"/>
        <w:jc w:val="both"/>
      </w:pPr>
      <w:r w:rsidRPr="00C43A9C">
        <w:t>The ARR is a profitability ratio that determines the average yearly net on the investment as a percentage of the original investment.</w:t>
      </w:r>
    </w:p>
    <w:p w14:paraId="1EF1C376" w14:textId="77777777" w:rsidR="007B22C3" w:rsidRPr="00C43A9C" w:rsidRDefault="007B22C3" w:rsidP="00473ADD">
      <w:pPr>
        <w:numPr>
          <w:ilvl w:val="0"/>
          <w:numId w:val="42"/>
        </w:numPr>
        <w:spacing w:before="240" w:after="100" w:afterAutospacing="1" w:line="360" w:lineRule="auto"/>
        <w:jc w:val="both"/>
      </w:pPr>
      <w:r w:rsidRPr="00C43A9C">
        <w:rPr>
          <w:b/>
          <w:bCs/>
        </w:rPr>
        <w:t>Project A</w:t>
      </w:r>
      <w:r w:rsidRPr="00C43A9C">
        <w:t>:</w:t>
      </w:r>
    </w:p>
    <w:p w14:paraId="3BE44615" w14:textId="77777777" w:rsidR="007B22C3" w:rsidRPr="00C43A9C" w:rsidRDefault="007B22C3" w:rsidP="00473ADD">
      <w:pPr>
        <w:numPr>
          <w:ilvl w:val="1"/>
          <w:numId w:val="42"/>
        </w:numPr>
        <w:spacing w:before="240" w:after="100" w:afterAutospacing="1" w:line="360" w:lineRule="auto"/>
        <w:jc w:val="both"/>
      </w:pPr>
      <w:r w:rsidRPr="00C43A9C">
        <w:t>Total inflows over 5 years: £10m + £12m + £14m + £10m + £8m = £54m</w:t>
      </w:r>
    </w:p>
    <w:p w14:paraId="3F6160A8" w14:textId="77777777" w:rsidR="007B22C3" w:rsidRPr="00C43A9C" w:rsidRDefault="007B22C3" w:rsidP="00473ADD">
      <w:pPr>
        <w:numPr>
          <w:ilvl w:val="1"/>
          <w:numId w:val="42"/>
        </w:numPr>
        <w:spacing w:before="240" w:after="100" w:afterAutospacing="1" w:line="360" w:lineRule="auto"/>
        <w:jc w:val="both"/>
      </w:pPr>
      <w:r w:rsidRPr="00C43A9C">
        <w:t>Average annual inflows: £54m / 5 = £10.8m</w:t>
      </w:r>
    </w:p>
    <w:p w14:paraId="15C5DC62" w14:textId="77777777" w:rsidR="007B22C3" w:rsidRPr="00C43A9C" w:rsidRDefault="007B22C3" w:rsidP="00473ADD">
      <w:pPr>
        <w:numPr>
          <w:ilvl w:val="1"/>
          <w:numId w:val="42"/>
        </w:numPr>
        <w:spacing w:before="240" w:after="100" w:afterAutospacing="1" w:line="360" w:lineRule="auto"/>
        <w:jc w:val="both"/>
      </w:pPr>
      <w:r w:rsidRPr="00C43A9C">
        <w:t>ARR = £10.8m / £40m = 27%</w:t>
      </w:r>
    </w:p>
    <w:p w14:paraId="62A45CCA" w14:textId="77777777" w:rsidR="007B22C3" w:rsidRPr="00C43A9C" w:rsidRDefault="007B22C3" w:rsidP="00473ADD">
      <w:pPr>
        <w:numPr>
          <w:ilvl w:val="0"/>
          <w:numId w:val="42"/>
        </w:numPr>
        <w:spacing w:before="240" w:after="100" w:afterAutospacing="1" w:line="360" w:lineRule="auto"/>
        <w:jc w:val="both"/>
      </w:pPr>
      <w:r w:rsidRPr="00C43A9C">
        <w:rPr>
          <w:b/>
          <w:bCs/>
        </w:rPr>
        <w:t>Project B</w:t>
      </w:r>
      <w:r w:rsidRPr="00C43A9C">
        <w:t>:</w:t>
      </w:r>
    </w:p>
    <w:p w14:paraId="56888C45" w14:textId="77777777" w:rsidR="007B22C3" w:rsidRPr="00C43A9C" w:rsidRDefault="007B22C3" w:rsidP="00473ADD">
      <w:pPr>
        <w:numPr>
          <w:ilvl w:val="1"/>
          <w:numId w:val="42"/>
        </w:numPr>
        <w:spacing w:before="240" w:after="100" w:afterAutospacing="1" w:line="360" w:lineRule="auto"/>
        <w:jc w:val="both"/>
      </w:pPr>
      <w:r w:rsidRPr="00C43A9C">
        <w:t>Total inflows: £6m × 5 = £30m</w:t>
      </w:r>
    </w:p>
    <w:p w14:paraId="4F7A1991" w14:textId="77777777" w:rsidR="007B22C3" w:rsidRPr="00C43A9C" w:rsidRDefault="007B22C3" w:rsidP="00473ADD">
      <w:pPr>
        <w:numPr>
          <w:ilvl w:val="1"/>
          <w:numId w:val="42"/>
        </w:numPr>
        <w:spacing w:before="240" w:after="100" w:afterAutospacing="1" w:line="360" w:lineRule="auto"/>
        <w:jc w:val="both"/>
      </w:pPr>
      <w:r w:rsidRPr="00C43A9C">
        <w:t>Average annual inflows: £30m / 5 = £6m</w:t>
      </w:r>
    </w:p>
    <w:p w14:paraId="1A33BC1A" w14:textId="77777777" w:rsidR="007B22C3" w:rsidRPr="00C43A9C" w:rsidRDefault="007B22C3" w:rsidP="00473ADD">
      <w:pPr>
        <w:numPr>
          <w:ilvl w:val="1"/>
          <w:numId w:val="42"/>
        </w:numPr>
        <w:spacing w:before="240" w:after="100" w:afterAutospacing="1" w:line="360" w:lineRule="auto"/>
        <w:jc w:val="both"/>
      </w:pPr>
      <w:r w:rsidRPr="00C43A9C">
        <w:t>ARR = £6m / £30m = 20%</w:t>
      </w:r>
    </w:p>
    <w:p w14:paraId="4DC3DE8D" w14:textId="77777777" w:rsidR="007B22C3" w:rsidRPr="00C43A9C" w:rsidRDefault="007B22C3" w:rsidP="00473ADD">
      <w:pPr>
        <w:numPr>
          <w:ilvl w:val="0"/>
          <w:numId w:val="42"/>
        </w:numPr>
        <w:spacing w:before="240" w:after="100" w:afterAutospacing="1" w:line="360" w:lineRule="auto"/>
        <w:jc w:val="both"/>
      </w:pPr>
      <w:r w:rsidRPr="00C43A9C">
        <w:rPr>
          <w:b/>
          <w:bCs/>
        </w:rPr>
        <w:t>Project C</w:t>
      </w:r>
      <w:r w:rsidRPr="00C43A9C">
        <w:t>:</w:t>
      </w:r>
    </w:p>
    <w:p w14:paraId="6E3DAE65" w14:textId="77777777" w:rsidR="007B22C3" w:rsidRPr="00C43A9C" w:rsidRDefault="007B22C3" w:rsidP="00473ADD">
      <w:pPr>
        <w:numPr>
          <w:ilvl w:val="1"/>
          <w:numId w:val="42"/>
        </w:numPr>
        <w:spacing w:before="240" w:after="100" w:afterAutospacing="1" w:line="360" w:lineRule="auto"/>
        <w:jc w:val="both"/>
      </w:pPr>
      <w:r w:rsidRPr="00C43A9C">
        <w:t>Total inflows: £5m + £10m + £20m + £25m + £15m = £75m</w:t>
      </w:r>
    </w:p>
    <w:p w14:paraId="4F585D77" w14:textId="77777777" w:rsidR="007B22C3" w:rsidRPr="00C43A9C" w:rsidRDefault="007B22C3" w:rsidP="00473ADD">
      <w:pPr>
        <w:numPr>
          <w:ilvl w:val="1"/>
          <w:numId w:val="42"/>
        </w:numPr>
        <w:spacing w:before="240" w:after="100" w:afterAutospacing="1" w:line="360" w:lineRule="auto"/>
        <w:jc w:val="both"/>
      </w:pPr>
      <w:r w:rsidRPr="00C43A9C">
        <w:t>Average annual inflows: £75m / 5 = £15m</w:t>
      </w:r>
    </w:p>
    <w:p w14:paraId="0C0672FA" w14:textId="77777777" w:rsidR="007B22C3" w:rsidRPr="00C43A9C" w:rsidRDefault="007B22C3" w:rsidP="00473ADD">
      <w:pPr>
        <w:numPr>
          <w:ilvl w:val="1"/>
          <w:numId w:val="42"/>
        </w:numPr>
        <w:spacing w:before="240" w:after="100" w:afterAutospacing="1" w:line="360" w:lineRule="auto"/>
        <w:jc w:val="both"/>
      </w:pPr>
      <w:r w:rsidRPr="00C43A9C">
        <w:t>ARR = £15m / £50m = 30%</w:t>
      </w:r>
    </w:p>
    <w:p w14:paraId="6E75A501" w14:textId="77777777" w:rsidR="007B22C3" w:rsidRPr="00C43A9C" w:rsidRDefault="007B22C3" w:rsidP="00473ADD">
      <w:pPr>
        <w:spacing w:before="240" w:after="100" w:afterAutospacing="1" w:line="360" w:lineRule="auto"/>
        <w:jc w:val="both"/>
      </w:pPr>
      <w:r w:rsidRPr="00C43A9C">
        <w:rPr>
          <w:b/>
          <w:bCs/>
        </w:rPr>
        <w:t>Summary of ARR</w:t>
      </w:r>
      <w:r w:rsidRPr="00C43A9C">
        <w:t>:</w:t>
      </w:r>
    </w:p>
    <w:p w14:paraId="3247FC71" w14:textId="77777777" w:rsidR="007B22C3" w:rsidRPr="00C43A9C" w:rsidRDefault="007B22C3" w:rsidP="00473ADD">
      <w:pPr>
        <w:numPr>
          <w:ilvl w:val="0"/>
          <w:numId w:val="43"/>
        </w:numPr>
        <w:spacing w:before="240" w:after="100" w:afterAutospacing="1" w:line="360" w:lineRule="auto"/>
        <w:jc w:val="both"/>
      </w:pPr>
      <w:r w:rsidRPr="00C43A9C">
        <w:rPr>
          <w:b/>
          <w:bCs/>
        </w:rPr>
        <w:t>Project A</w:t>
      </w:r>
      <w:r w:rsidRPr="00C43A9C">
        <w:t>: 27%</w:t>
      </w:r>
    </w:p>
    <w:p w14:paraId="0EAC563E" w14:textId="77777777" w:rsidR="007B22C3" w:rsidRPr="00C43A9C" w:rsidRDefault="007B22C3" w:rsidP="00473ADD">
      <w:pPr>
        <w:numPr>
          <w:ilvl w:val="0"/>
          <w:numId w:val="43"/>
        </w:numPr>
        <w:spacing w:before="240" w:after="100" w:afterAutospacing="1" w:line="360" w:lineRule="auto"/>
        <w:jc w:val="both"/>
      </w:pPr>
      <w:r w:rsidRPr="00C43A9C">
        <w:rPr>
          <w:b/>
          <w:bCs/>
        </w:rPr>
        <w:t>Project B</w:t>
      </w:r>
      <w:r w:rsidRPr="00C43A9C">
        <w:t>: 20%</w:t>
      </w:r>
    </w:p>
    <w:p w14:paraId="20DEF9EC" w14:textId="500815E0" w:rsidR="007B22C3" w:rsidRPr="00C43A9C" w:rsidRDefault="007B22C3" w:rsidP="00473ADD">
      <w:pPr>
        <w:numPr>
          <w:ilvl w:val="0"/>
          <w:numId w:val="43"/>
        </w:numPr>
        <w:spacing w:before="240" w:after="100" w:afterAutospacing="1" w:line="360" w:lineRule="auto"/>
        <w:jc w:val="both"/>
      </w:pPr>
      <w:r w:rsidRPr="00C43A9C">
        <w:rPr>
          <w:b/>
          <w:bCs/>
        </w:rPr>
        <w:t>Project C</w:t>
      </w:r>
      <w:r w:rsidRPr="00C43A9C">
        <w:t>: 30%</w:t>
      </w:r>
    </w:p>
    <w:p w14:paraId="2526A7B4" w14:textId="216ED70F" w:rsidR="007B22C3" w:rsidRPr="00C43A9C" w:rsidRDefault="00C43A9C" w:rsidP="00473ADD">
      <w:pPr>
        <w:spacing w:before="240" w:after="100" w:afterAutospacing="1" w:line="360" w:lineRule="auto"/>
        <w:jc w:val="both"/>
      </w:pPr>
      <w:r w:rsidRPr="00C43A9C">
        <w:rPr>
          <w:b/>
          <w:bCs/>
        </w:rPr>
        <w:t>1</w:t>
      </w:r>
      <w:r w:rsidR="007B22C3" w:rsidRPr="00C43A9C">
        <w:rPr>
          <w:b/>
          <w:bCs/>
        </w:rPr>
        <w:t>.3 Net Present Value (NPV)</w:t>
      </w:r>
    </w:p>
    <w:p w14:paraId="56FC7D7B" w14:textId="780F6F6E" w:rsidR="007B22C3" w:rsidRPr="00C43A9C" w:rsidRDefault="009649D1" w:rsidP="00473ADD">
      <w:pPr>
        <w:spacing w:before="240" w:after="100" w:afterAutospacing="1" w:line="360" w:lineRule="auto"/>
        <w:jc w:val="both"/>
      </w:pPr>
      <w:r w:rsidRPr="00C43A9C">
        <w:t>The NPV is calculated by calculating present value of inflows of cash in future against the initial investment at a 10% discount rate.</w:t>
      </w:r>
    </w:p>
    <w:p w14:paraId="2F66B066" w14:textId="77777777" w:rsidR="007B22C3" w:rsidRPr="00C43A9C" w:rsidRDefault="007B22C3" w:rsidP="00473ADD">
      <w:pPr>
        <w:numPr>
          <w:ilvl w:val="0"/>
          <w:numId w:val="44"/>
        </w:numPr>
        <w:spacing w:before="240" w:after="100" w:afterAutospacing="1" w:line="360" w:lineRule="auto"/>
        <w:jc w:val="both"/>
      </w:pPr>
      <w:r w:rsidRPr="00C43A9C">
        <w:rPr>
          <w:b/>
          <w:bCs/>
        </w:rPr>
        <w:t>Project A</w:t>
      </w:r>
      <w:r w:rsidRPr="00C43A9C">
        <w:t>:</w:t>
      </w:r>
    </w:p>
    <w:p w14:paraId="118A154B" w14:textId="77777777" w:rsidR="007B22C3" w:rsidRPr="00C43A9C" w:rsidRDefault="007B22C3" w:rsidP="00473ADD">
      <w:pPr>
        <w:numPr>
          <w:ilvl w:val="1"/>
          <w:numId w:val="44"/>
        </w:numPr>
        <w:spacing w:before="240" w:after="100" w:afterAutospacing="1" w:line="360" w:lineRule="auto"/>
        <w:jc w:val="both"/>
      </w:pPr>
      <w:r w:rsidRPr="00C43A9C">
        <w:t>Cash inflows: £10m, £12m, £14m, £10m, £8m</w:t>
      </w:r>
    </w:p>
    <w:p w14:paraId="795FA8B9" w14:textId="6C77DA98" w:rsidR="007B22C3" w:rsidRPr="00C43A9C" w:rsidRDefault="007B22C3" w:rsidP="00473ADD">
      <w:pPr>
        <w:numPr>
          <w:ilvl w:val="1"/>
          <w:numId w:val="44"/>
        </w:numPr>
        <w:spacing w:before="240" w:after="100" w:afterAutospacing="1" w:line="360" w:lineRule="auto"/>
        <w:jc w:val="both"/>
      </w:pPr>
      <w:r w:rsidRPr="00C43A9C">
        <w:t xml:space="preserve">NPV = Σ (Cash inflow / (1 + </w:t>
      </w:r>
      <w:r w:rsidR="00C43A9C" w:rsidRPr="00C43A9C">
        <w:t>0.1) ^</w:t>
      </w:r>
      <w:r w:rsidRPr="00C43A9C">
        <w:t>t) - Initial investment</w:t>
      </w:r>
    </w:p>
    <w:p w14:paraId="65D8B02D" w14:textId="600C9AAA" w:rsidR="007B22C3" w:rsidRPr="00C43A9C" w:rsidRDefault="007B22C3" w:rsidP="00473ADD">
      <w:pPr>
        <w:numPr>
          <w:ilvl w:val="1"/>
          <w:numId w:val="44"/>
        </w:numPr>
        <w:spacing w:before="240" w:after="100" w:afterAutospacing="1" w:line="360" w:lineRule="auto"/>
        <w:jc w:val="both"/>
      </w:pPr>
      <w:r w:rsidRPr="00C43A9C">
        <w:t>NPV ≈ £10m / (</w:t>
      </w:r>
      <w:r w:rsidR="00C43A9C" w:rsidRPr="00C43A9C">
        <w:t>1.1) ^</w:t>
      </w:r>
      <w:r w:rsidRPr="00C43A9C">
        <w:t>1 + £12m / (1.1)</w:t>
      </w:r>
      <w:r w:rsidR="00C43A9C" w:rsidRPr="00C43A9C">
        <w:t xml:space="preserve"> </w:t>
      </w:r>
      <w:r w:rsidRPr="00C43A9C">
        <w:t>^2 + £14m / (</w:t>
      </w:r>
      <w:r w:rsidR="00C43A9C" w:rsidRPr="00C43A9C">
        <w:t>1.1) ^</w:t>
      </w:r>
      <w:r w:rsidRPr="00C43A9C">
        <w:t>3 + £10m / (</w:t>
      </w:r>
      <w:r w:rsidR="00C43A9C" w:rsidRPr="00C43A9C">
        <w:t>1.1) ^</w:t>
      </w:r>
      <w:r w:rsidRPr="00C43A9C">
        <w:t>4 + £8m / (1.1)</w:t>
      </w:r>
      <w:r w:rsidR="00C43A9C" w:rsidRPr="00C43A9C">
        <w:t xml:space="preserve"> </w:t>
      </w:r>
      <w:r w:rsidRPr="00C43A9C">
        <w:t>^5 - £40m</w:t>
      </w:r>
    </w:p>
    <w:p w14:paraId="44EB88A3" w14:textId="77777777" w:rsidR="007B22C3" w:rsidRPr="00C43A9C" w:rsidRDefault="007B22C3" w:rsidP="00473ADD">
      <w:pPr>
        <w:numPr>
          <w:ilvl w:val="1"/>
          <w:numId w:val="44"/>
        </w:numPr>
        <w:spacing w:before="240" w:after="100" w:afterAutospacing="1" w:line="360" w:lineRule="auto"/>
        <w:jc w:val="both"/>
      </w:pPr>
      <w:r w:rsidRPr="00C43A9C">
        <w:t>NPV ≈ £9.09m + £9.92m + £10.54m + £6.83m + £4.97m - £40m = £0.35m</w:t>
      </w:r>
    </w:p>
    <w:p w14:paraId="1AE5AA56" w14:textId="77777777" w:rsidR="007B22C3" w:rsidRPr="00C43A9C" w:rsidRDefault="007B22C3" w:rsidP="00473ADD">
      <w:pPr>
        <w:numPr>
          <w:ilvl w:val="0"/>
          <w:numId w:val="44"/>
        </w:numPr>
        <w:spacing w:before="240" w:after="100" w:afterAutospacing="1" w:line="360" w:lineRule="auto"/>
        <w:jc w:val="both"/>
      </w:pPr>
      <w:r w:rsidRPr="00C43A9C">
        <w:rPr>
          <w:b/>
          <w:bCs/>
        </w:rPr>
        <w:t>Project B</w:t>
      </w:r>
      <w:r w:rsidRPr="00C43A9C">
        <w:t>:</w:t>
      </w:r>
    </w:p>
    <w:p w14:paraId="77C465E7" w14:textId="77777777" w:rsidR="007B22C3" w:rsidRPr="00C43A9C" w:rsidRDefault="007B22C3" w:rsidP="00473ADD">
      <w:pPr>
        <w:numPr>
          <w:ilvl w:val="1"/>
          <w:numId w:val="44"/>
        </w:numPr>
        <w:spacing w:before="240" w:after="100" w:afterAutospacing="1" w:line="360" w:lineRule="auto"/>
        <w:jc w:val="both"/>
      </w:pPr>
      <w:r w:rsidRPr="00C43A9C">
        <w:t>Cash inflows: £6m × 5</w:t>
      </w:r>
    </w:p>
    <w:p w14:paraId="448645C1" w14:textId="502BE96E" w:rsidR="007B22C3" w:rsidRPr="00C43A9C" w:rsidRDefault="007B22C3" w:rsidP="00473ADD">
      <w:pPr>
        <w:numPr>
          <w:ilvl w:val="1"/>
          <w:numId w:val="44"/>
        </w:numPr>
        <w:spacing w:before="240" w:after="100" w:afterAutospacing="1" w:line="360" w:lineRule="auto"/>
        <w:jc w:val="both"/>
      </w:pPr>
      <w:r w:rsidRPr="00C43A9C">
        <w:t>NPV = £6m / (</w:t>
      </w:r>
      <w:r w:rsidR="00C43A9C" w:rsidRPr="00C43A9C">
        <w:t>1.1) ^</w:t>
      </w:r>
      <w:r w:rsidRPr="00C43A9C">
        <w:t>1 + £6m / (1.1)</w:t>
      </w:r>
      <w:r w:rsidR="00C43A9C" w:rsidRPr="00C43A9C">
        <w:t xml:space="preserve"> </w:t>
      </w:r>
      <w:r w:rsidRPr="00C43A9C">
        <w:t>^2 + £6m / (</w:t>
      </w:r>
      <w:r w:rsidR="00C43A9C" w:rsidRPr="00C43A9C">
        <w:t>1.1) ^</w:t>
      </w:r>
      <w:r w:rsidRPr="00C43A9C">
        <w:t>3 + £6m / (1.1)</w:t>
      </w:r>
      <w:r w:rsidR="00C43A9C" w:rsidRPr="00C43A9C">
        <w:t xml:space="preserve"> </w:t>
      </w:r>
      <w:r w:rsidRPr="00C43A9C">
        <w:t>^4 + £6m / (1.1)</w:t>
      </w:r>
      <w:r w:rsidR="00C43A9C" w:rsidRPr="00C43A9C">
        <w:t xml:space="preserve"> </w:t>
      </w:r>
      <w:r w:rsidRPr="00C43A9C">
        <w:t>^5 - £30m</w:t>
      </w:r>
    </w:p>
    <w:p w14:paraId="6E2EDA19" w14:textId="77777777" w:rsidR="007B22C3" w:rsidRPr="00C43A9C" w:rsidRDefault="007B22C3" w:rsidP="00473ADD">
      <w:pPr>
        <w:numPr>
          <w:ilvl w:val="1"/>
          <w:numId w:val="44"/>
        </w:numPr>
        <w:spacing w:before="240" w:after="100" w:afterAutospacing="1" w:line="360" w:lineRule="auto"/>
        <w:jc w:val="both"/>
      </w:pPr>
      <w:r w:rsidRPr="00C43A9C">
        <w:t>NPV ≈ £5.45m + £4.95m + £4.50m + £4.09m + £3.72m - £30m = -£7.29m</w:t>
      </w:r>
    </w:p>
    <w:p w14:paraId="1671DAE2" w14:textId="77777777" w:rsidR="007B22C3" w:rsidRPr="00C43A9C" w:rsidRDefault="007B22C3" w:rsidP="00473ADD">
      <w:pPr>
        <w:numPr>
          <w:ilvl w:val="0"/>
          <w:numId w:val="44"/>
        </w:numPr>
        <w:spacing w:before="240" w:after="100" w:afterAutospacing="1" w:line="360" w:lineRule="auto"/>
        <w:jc w:val="both"/>
      </w:pPr>
      <w:r w:rsidRPr="00C43A9C">
        <w:rPr>
          <w:b/>
          <w:bCs/>
        </w:rPr>
        <w:t>Project C</w:t>
      </w:r>
      <w:r w:rsidRPr="00C43A9C">
        <w:t>:</w:t>
      </w:r>
    </w:p>
    <w:p w14:paraId="28E6D5DD" w14:textId="77777777" w:rsidR="007B22C3" w:rsidRPr="00C43A9C" w:rsidRDefault="007B22C3" w:rsidP="00473ADD">
      <w:pPr>
        <w:numPr>
          <w:ilvl w:val="1"/>
          <w:numId w:val="44"/>
        </w:numPr>
        <w:spacing w:before="240" w:after="100" w:afterAutospacing="1" w:line="360" w:lineRule="auto"/>
        <w:jc w:val="both"/>
      </w:pPr>
      <w:r w:rsidRPr="00C43A9C">
        <w:t>Cash inflows: £5m, £10m, £20m, £25m, £15m</w:t>
      </w:r>
    </w:p>
    <w:p w14:paraId="3AA736E2" w14:textId="5E8644DC" w:rsidR="007B22C3" w:rsidRPr="00C43A9C" w:rsidRDefault="007B22C3" w:rsidP="00473ADD">
      <w:pPr>
        <w:numPr>
          <w:ilvl w:val="1"/>
          <w:numId w:val="44"/>
        </w:numPr>
        <w:spacing w:before="240" w:after="100" w:afterAutospacing="1" w:line="360" w:lineRule="auto"/>
        <w:jc w:val="both"/>
      </w:pPr>
      <w:r w:rsidRPr="00C43A9C">
        <w:t>NPV = £5m / (1.1)</w:t>
      </w:r>
      <w:r w:rsidR="00C43A9C" w:rsidRPr="00C43A9C">
        <w:t xml:space="preserve"> </w:t>
      </w:r>
      <w:r w:rsidRPr="00C43A9C">
        <w:t>^1 + £10m / (</w:t>
      </w:r>
      <w:r w:rsidR="00C43A9C" w:rsidRPr="00C43A9C">
        <w:t>1.1) ^</w:t>
      </w:r>
      <w:r w:rsidRPr="00C43A9C">
        <w:t>2 + £20m / (1.1)</w:t>
      </w:r>
      <w:r w:rsidR="00C43A9C" w:rsidRPr="00C43A9C">
        <w:t xml:space="preserve"> </w:t>
      </w:r>
      <w:r w:rsidRPr="00C43A9C">
        <w:t>^3 + £25m / (1.1)</w:t>
      </w:r>
      <w:r w:rsidR="00C43A9C" w:rsidRPr="00C43A9C">
        <w:t xml:space="preserve"> </w:t>
      </w:r>
      <w:r w:rsidRPr="00C43A9C">
        <w:t>^4 + £15m / (1.1)</w:t>
      </w:r>
      <w:r w:rsidR="00C43A9C" w:rsidRPr="00C43A9C">
        <w:t xml:space="preserve"> </w:t>
      </w:r>
      <w:r w:rsidRPr="00C43A9C">
        <w:t>^5 - £50m</w:t>
      </w:r>
    </w:p>
    <w:p w14:paraId="3BF14D66" w14:textId="77777777" w:rsidR="007B22C3" w:rsidRPr="00C43A9C" w:rsidRDefault="007B22C3" w:rsidP="00473ADD">
      <w:pPr>
        <w:numPr>
          <w:ilvl w:val="1"/>
          <w:numId w:val="44"/>
        </w:numPr>
        <w:spacing w:before="240" w:after="100" w:afterAutospacing="1" w:line="360" w:lineRule="auto"/>
        <w:jc w:val="both"/>
      </w:pPr>
      <w:r w:rsidRPr="00C43A9C">
        <w:t>NPV ≈ £4.55m + £8.26m + £15.03m + £17.07m + £9.32m - £50m = £4.23m</w:t>
      </w:r>
    </w:p>
    <w:p w14:paraId="33331EF8" w14:textId="77777777" w:rsidR="007B22C3" w:rsidRPr="00C43A9C" w:rsidRDefault="007B22C3" w:rsidP="00473ADD">
      <w:pPr>
        <w:spacing w:before="240" w:after="100" w:afterAutospacing="1" w:line="360" w:lineRule="auto"/>
        <w:jc w:val="both"/>
      </w:pPr>
      <w:r w:rsidRPr="00C43A9C">
        <w:rPr>
          <w:b/>
          <w:bCs/>
        </w:rPr>
        <w:t>Summary of NPV</w:t>
      </w:r>
      <w:r w:rsidRPr="00C43A9C">
        <w:t>:</w:t>
      </w:r>
    </w:p>
    <w:p w14:paraId="4B37CC8F" w14:textId="77777777" w:rsidR="007B22C3" w:rsidRPr="00C43A9C" w:rsidRDefault="007B22C3" w:rsidP="00473ADD">
      <w:pPr>
        <w:numPr>
          <w:ilvl w:val="0"/>
          <w:numId w:val="45"/>
        </w:numPr>
        <w:spacing w:before="240" w:after="100" w:afterAutospacing="1" w:line="360" w:lineRule="auto"/>
        <w:jc w:val="both"/>
      </w:pPr>
      <w:r w:rsidRPr="00C43A9C">
        <w:rPr>
          <w:b/>
          <w:bCs/>
        </w:rPr>
        <w:t>Project A</w:t>
      </w:r>
      <w:r w:rsidRPr="00C43A9C">
        <w:t>: £0.35m</w:t>
      </w:r>
    </w:p>
    <w:p w14:paraId="36AF7A31" w14:textId="77777777" w:rsidR="007B22C3" w:rsidRPr="00C43A9C" w:rsidRDefault="007B22C3" w:rsidP="00473ADD">
      <w:pPr>
        <w:numPr>
          <w:ilvl w:val="0"/>
          <w:numId w:val="45"/>
        </w:numPr>
        <w:spacing w:before="240" w:after="100" w:afterAutospacing="1" w:line="360" w:lineRule="auto"/>
        <w:jc w:val="both"/>
      </w:pPr>
      <w:r w:rsidRPr="00C43A9C">
        <w:rPr>
          <w:b/>
          <w:bCs/>
        </w:rPr>
        <w:t>Project B</w:t>
      </w:r>
      <w:r w:rsidRPr="00C43A9C">
        <w:t>: -£7.29m</w:t>
      </w:r>
    </w:p>
    <w:p w14:paraId="7429B5C8" w14:textId="3D156E1C" w:rsidR="007B22C3" w:rsidRPr="00C43A9C" w:rsidRDefault="007B22C3" w:rsidP="00473ADD">
      <w:pPr>
        <w:numPr>
          <w:ilvl w:val="0"/>
          <w:numId w:val="45"/>
        </w:numPr>
        <w:spacing w:before="240" w:after="100" w:afterAutospacing="1" w:line="360" w:lineRule="auto"/>
        <w:jc w:val="both"/>
      </w:pPr>
      <w:r w:rsidRPr="00C43A9C">
        <w:rPr>
          <w:b/>
          <w:bCs/>
        </w:rPr>
        <w:t>Project C</w:t>
      </w:r>
      <w:r w:rsidRPr="00C43A9C">
        <w:t>: £4.23m</w:t>
      </w:r>
    </w:p>
    <w:p w14:paraId="7F2FAB2B" w14:textId="2831AD68" w:rsidR="007B22C3" w:rsidRPr="00C43A9C" w:rsidRDefault="00C43A9C" w:rsidP="00473ADD">
      <w:pPr>
        <w:spacing w:before="240" w:after="100" w:afterAutospacing="1" w:line="360" w:lineRule="auto"/>
        <w:jc w:val="both"/>
      </w:pPr>
      <w:r w:rsidRPr="00C43A9C">
        <w:rPr>
          <w:b/>
          <w:bCs/>
        </w:rPr>
        <w:t>1</w:t>
      </w:r>
      <w:r w:rsidR="007B22C3" w:rsidRPr="00C43A9C">
        <w:rPr>
          <w:b/>
          <w:bCs/>
        </w:rPr>
        <w:t>.4 Profitability Index (PI)</w:t>
      </w:r>
    </w:p>
    <w:p w14:paraId="62C69804" w14:textId="01F1C9F4" w:rsidR="007B22C3" w:rsidRPr="00C43A9C" w:rsidRDefault="009649D1" w:rsidP="00473ADD">
      <w:pPr>
        <w:spacing w:before="240" w:after="100" w:afterAutospacing="1" w:line="360" w:lineRule="auto"/>
        <w:jc w:val="both"/>
      </w:pPr>
      <w:r w:rsidRPr="00C43A9C">
        <w:t>The PI factor is a relationship between the future cash inflows and initial investment.</w:t>
      </w:r>
    </w:p>
    <w:p w14:paraId="77C2B3FB" w14:textId="78E296D2" w:rsidR="007B22C3" w:rsidRPr="00C43A9C" w:rsidRDefault="007B22C3" w:rsidP="00473ADD">
      <w:pPr>
        <w:numPr>
          <w:ilvl w:val="0"/>
          <w:numId w:val="46"/>
        </w:numPr>
        <w:spacing w:before="240" w:after="100" w:afterAutospacing="1" w:line="360" w:lineRule="auto"/>
        <w:jc w:val="both"/>
      </w:pPr>
      <w:r w:rsidRPr="00C43A9C">
        <w:rPr>
          <w:b/>
          <w:bCs/>
        </w:rPr>
        <w:t>Project A</w:t>
      </w:r>
      <w:r w:rsidRPr="00C43A9C">
        <w:t>:</w:t>
      </w:r>
      <w:r w:rsidR="00C43A9C" w:rsidRPr="00C43A9C">
        <w:t xml:space="preserve"> </w:t>
      </w:r>
      <w:r w:rsidRPr="00C43A9C">
        <w:t>PI = NPV / Initial Investment = £0.35m / £40m = 0.009</w:t>
      </w:r>
    </w:p>
    <w:p w14:paraId="037F9EEC" w14:textId="36859890" w:rsidR="007B22C3" w:rsidRPr="00C43A9C" w:rsidRDefault="007B22C3" w:rsidP="00473ADD">
      <w:pPr>
        <w:numPr>
          <w:ilvl w:val="0"/>
          <w:numId w:val="46"/>
        </w:numPr>
        <w:spacing w:before="240" w:after="100" w:afterAutospacing="1" w:line="360" w:lineRule="auto"/>
        <w:jc w:val="both"/>
      </w:pPr>
      <w:r w:rsidRPr="00C43A9C">
        <w:rPr>
          <w:b/>
          <w:bCs/>
        </w:rPr>
        <w:t>Project B</w:t>
      </w:r>
      <w:r w:rsidRPr="00C43A9C">
        <w:t>:</w:t>
      </w:r>
      <w:r w:rsidR="00C43A9C" w:rsidRPr="00C43A9C">
        <w:t xml:space="preserve"> </w:t>
      </w:r>
      <w:r w:rsidRPr="00C43A9C">
        <w:t>PI = NPV / Initial Investment = -£7.29m / £30m = -0.243</w:t>
      </w:r>
    </w:p>
    <w:p w14:paraId="52006514" w14:textId="684EAF4F" w:rsidR="007B22C3" w:rsidRPr="00C43A9C" w:rsidRDefault="007B22C3" w:rsidP="00473ADD">
      <w:pPr>
        <w:numPr>
          <w:ilvl w:val="0"/>
          <w:numId w:val="46"/>
        </w:numPr>
        <w:spacing w:before="240" w:after="100" w:afterAutospacing="1" w:line="360" w:lineRule="auto"/>
        <w:jc w:val="both"/>
      </w:pPr>
      <w:r w:rsidRPr="00C43A9C">
        <w:rPr>
          <w:b/>
          <w:bCs/>
        </w:rPr>
        <w:t>Project C</w:t>
      </w:r>
      <w:r w:rsidRPr="00C43A9C">
        <w:t>:</w:t>
      </w:r>
      <w:r w:rsidR="00C43A9C" w:rsidRPr="00C43A9C">
        <w:t xml:space="preserve"> </w:t>
      </w:r>
      <w:r w:rsidRPr="00C43A9C">
        <w:t>PI = NPV / Initial Investment = £4.23m / £50m = 0.085</w:t>
      </w:r>
    </w:p>
    <w:p w14:paraId="74328395" w14:textId="77777777" w:rsidR="007B22C3" w:rsidRPr="00C43A9C" w:rsidRDefault="007B22C3" w:rsidP="00473ADD">
      <w:pPr>
        <w:spacing w:before="240" w:after="100" w:afterAutospacing="1" w:line="360" w:lineRule="auto"/>
        <w:jc w:val="both"/>
      </w:pPr>
      <w:r w:rsidRPr="00C43A9C">
        <w:rPr>
          <w:b/>
          <w:bCs/>
        </w:rPr>
        <w:t>Summary of PI</w:t>
      </w:r>
      <w:r w:rsidRPr="00C43A9C">
        <w:t>:</w:t>
      </w:r>
    </w:p>
    <w:p w14:paraId="50EEEABB" w14:textId="77777777" w:rsidR="007B22C3" w:rsidRPr="00C43A9C" w:rsidRDefault="007B22C3" w:rsidP="00473ADD">
      <w:pPr>
        <w:numPr>
          <w:ilvl w:val="0"/>
          <w:numId w:val="47"/>
        </w:numPr>
        <w:spacing w:before="240" w:after="100" w:afterAutospacing="1" w:line="360" w:lineRule="auto"/>
        <w:jc w:val="both"/>
      </w:pPr>
      <w:r w:rsidRPr="00C43A9C">
        <w:rPr>
          <w:b/>
          <w:bCs/>
        </w:rPr>
        <w:t>Project A</w:t>
      </w:r>
      <w:r w:rsidRPr="00C43A9C">
        <w:t>: 0.009</w:t>
      </w:r>
    </w:p>
    <w:p w14:paraId="78AFEEA8" w14:textId="77777777" w:rsidR="007B22C3" w:rsidRPr="00C43A9C" w:rsidRDefault="007B22C3" w:rsidP="00473ADD">
      <w:pPr>
        <w:numPr>
          <w:ilvl w:val="0"/>
          <w:numId w:val="47"/>
        </w:numPr>
        <w:spacing w:before="240" w:after="100" w:afterAutospacing="1" w:line="360" w:lineRule="auto"/>
        <w:jc w:val="both"/>
      </w:pPr>
      <w:r w:rsidRPr="00C43A9C">
        <w:rPr>
          <w:b/>
          <w:bCs/>
        </w:rPr>
        <w:t>Project B</w:t>
      </w:r>
      <w:r w:rsidRPr="00C43A9C">
        <w:t>: -0.243</w:t>
      </w:r>
    </w:p>
    <w:p w14:paraId="59A52487" w14:textId="7B6DBAD5" w:rsidR="007B22C3" w:rsidRPr="00C43A9C" w:rsidRDefault="007B22C3" w:rsidP="00473ADD">
      <w:pPr>
        <w:numPr>
          <w:ilvl w:val="0"/>
          <w:numId w:val="47"/>
        </w:numPr>
        <w:spacing w:before="240" w:after="100" w:afterAutospacing="1" w:line="360" w:lineRule="auto"/>
        <w:jc w:val="both"/>
      </w:pPr>
      <w:r w:rsidRPr="00C43A9C">
        <w:rPr>
          <w:b/>
          <w:bCs/>
        </w:rPr>
        <w:t>Project C</w:t>
      </w:r>
      <w:r w:rsidRPr="00C43A9C">
        <w:t>: 0.085</w:t>
      </w:r>
    </w:p>
    <w:p w14:paraId="2F773758" w14:textId="777F7D8A" w:rsidR="007B22C3" w:rsidRPr="00C43A9C" w:rsidRDefault="007B22C3" w:rsidP="00473ADD">
      <w:pPr>
        <w:spacing w:before="240" w:after="100" w:afterAutospacing="1" w:line="360" w:lineRule="auto"/>
        <w:jc w:val="both"/>
      </w:pPr>
      <w:r w:rsidRPr="00C43A9C">
        <w:rPr>
          <w:b/>
          <w:bCs/>
        </w:rPr>
        <w:t>2.5 Internal Rate of Return (IRR)</w:t>
      </w:r>
    </w:p>
    <w:p w14:paraId="0B92FED1" w14:textId="49073E24" w:rsidR="007B22C3" w:rsidRPr="00C43A9C" w:rsidRDefault="009649D1" w:rsidP="00473ADD">
      <w:pPr>
        <w:spacing w:before="240" w:after="100" w:afterAutospacing="1" w:line="360" w:lineRule="auto"/>
        <w:jc w:val="both"/>
      </w:pPr>
      <w:r w:rsidRPr="00C43A9C">
        <w:t>The IRR will be the discount rate at which the NPV of the project will be equal to zero. With either iterative methods or financial calculator</w:t>
      </w:r>
      <w:r w:rsidR="007B22C3" w:rsidRPr="00C43A9C">
        <w:t>:</w:t>
      </w:r>
    </w:p>
    <w:p w14:paraId="21465538" w14:textId="5C43304B" w:rsidR="007B22C3" w:rsidRPr="00C43A9C" w:rsidRDefault="007B22C3" w:rsidP="00473ADD">
      <w:pPr>
        <w:numPr>
          <w:ilvl w:val="0"/>
          <w:numId w:val="48"/>
        </w:numPr>
        <w:spacing w:before="240" w:after="100" w:afterAutospacing="1" w:line="360" w:lineRule="auto"/>
        <w:jc w:val="both"/>
      </w:pPr>
      <w:r w:rsidRPr="00C43A9C">
        <w:rPr>
          <w:b/>
          <w:bCs/>
        </w:rPr>
        <w:t>Project A</w:t>
      </w:r>
      <w:r w:rsidRPr="00C43A9C">
        <w:t>:</w:t>
      </w:r>
      <w:r w:rsidR="00C43A9C" w:rsidRPr="00C43A9C">
        <w:t xml:space="preserve"> </w:t>
      </w:r>
      <w:r w:rsidRPr="00C43A9C">
        <w:t>IRR ≈ 10.35%</w:t>
      </w:r>
    </w:p>
    <w:p w14:paraId="22400F26" w14:textId="5CA15EAA" w:rsidR="007B22C3" w:rsidRPr="00C43A9C" w:rsidRDefault="007B22C3" w:rsidP="00473ADD">
      <w:pPr>
        <w:numPr>
          <w:ilvl w:val="0"/>
          <w:numId w:val="48"/>
        </w:numPr>
        <w:spacing w:before="240" w:after="100" w:afterAutospacing="1" w:line="360" w:lineRule="auto"/>
        <w:jc w:val="both"/>
      </w:pPr>
      <w:r w:rsidRPr="00C43A9C">
        <w:rPr>
          <w:b/>
          <w:bCs/>
        </w:rPr>
        <w:t>Project B</w:t>
      </w:r>
      <w:r w:rsidRPr="00C43A9C">
        <w:t>:</w:t>
      </w:r>
      <w:r w:rsidR="00C43A9C" w:rsidRPr="00C43A9C">
        <w:t xml:space="preserve"> </w:t>
      </w:r>
      <w:r w:rsidRPr="00C43A9C">
        <w:t>IRR ≈ 2.5%</w:t>
      </w:r>
    </w:p>
    <w:p w14:paraId="0E91FB6D" w14:textId="67A71FEB" w:rsidR="007B22C3" w:rsidRPr="00C43A9C" w:rsidRDefault="007B22C3" w:rsidP="00473ADD">
      <w:pPr>
        <w:numPr>
          <w:ilvl w:val="0"/>
          <w:numId w:val="48"/>
        </w:numPr>
        <w:spacing w:before="240" w:after="100" w:afterAutospacing="1" w:line="360" w:lineRule="auto"/>
        <w:jc w:val="both"/>
      </w:pPr>
      <w:r w:rsidRPr="00C43A9C">
        <w:rPr>
          <w:b/>
          <w:bCs/>
        </w:rPr>
        <w:t>Project C</w:t>
      </w:r>
      <w:r w:rsidRPr="00C43A9C">
        <w:t>:</w:t>
      </w:r>
      <w:r w:rsidR="00C43A9C" w:rsidRPr="00C43A9C">
        <w:t xml:space="preserve"> </w:t>
      </w:r>
      <w:r w:rsidRPr="00C43A9C">
        <w:t>IRR ≈ 12.5%</w:t>
      </w:r>
    </w:p>
    <w:p w14:paraId="1167372D" w14:textId="77777777" w:rsidR="007B22C3" w:rsidRPr="00C43A9C" w:rsidRDefault="007B22C3" w:rsidP="00473ADD">
      <w:pPr>
        <w:spacing w:before="240" w:after="100" w:afterAutospacing="1" w:line="360" w:lineRule="auto"/>
        <w:jc w:val="both"/>
      </w:pPr>
      <w:r w:rsidRPr="00C43A9C">
        <w:rPr>
          <w:b/>
          <w:bCs/>
        </w:rPr>
        <w:t>Summary of IRR</w:t>
      </w:r>
      <w:r w:rsidRPr="00C43A9C">
        <w:t>:</w:t>
      </w:r>
    </w:p>
    <w:p w14:paraId="3FBC8420" w14:textId="77777777" w:rsidR="007B22C3" w:rsidRPr="00C43A9C" w:rsidRDefault="007B22C3" w:rsidP="00473ADD">
      <w:pPr>
        <w:numPr>
          <w:ilvl w:val="0"/>
          <w:numId w:val="49"/>
        </w:numPr>
        <w:spacing w:before="240" w:after="100" w:afterAutospacing="1" w:line="360" w:lineRule="auto"/>
        <w:jc w:val="both"/>
      </w:pPr>
      <w:r w:rsidRPr="00C43A9C">
        <w:rPr>
          <w:b/>
          <w:bCs/>
        </w:rPr>
        <w:t>Project A</w:t>
      </w:r>
      <w:r w:rsidRPr="00C43A9C">
        <w:t>: 10.35%</w:t>
      </w:r>
    </w:p>
    <w:p w14:paraId="3E25A41B" w14:textId="77777777" w:rsidR="007B22C3" w:rsidRPr="00C43A9C" w:rsidRDefault="007B22C3" w:rsidP="00473ADD">
      <w:pPr>
        <w:numPr>
          <w:ilvl w:val="0"/>
          <w:numId w:val="49"/>
        </w:numPr>
        <w:spacing w:before="240" w:after="100" w:afterAutospacing="1" w:line="360" w:lineRule="auto"/>
        <w:jc w:val="both"/>
      </w:pPr>
      <w:r w:rsidRPr="00C43A9C">
        <w:rPr>
          <w:b/>
          <w:bCs/>
        </w:rPr>
        <w:t>Project B</w:t>
      </w:r>
      <w:r w:rsidRPr="00C43A9C">
        <w:t>: 2.5%</w:t>
      </w:r>
    </w:p>
    <w:p w14:paraId="617EA2C8" w14:textId="2FC5A835" w:rsidR="007B22C3" w:rsidRPr="00C43A9C" w:rsidRDefault="007B22C3" w:rsidP="00473ADD">
      <w:pPr>
        <w:numPr>
          <w:ilvl w:val="0"/>
          <w:numId w:val="49"/>
        </w:numPr>
        <w:spacing w:before="240" w:after="100" w:afterAutospacing="1" w:line="360" w:lineRule="auto"/>
        <w:jc w:val="both"/>
      </w:pPr>
      <w:r w:rsidRPr="00C43A9C">
        <w:rPr>
          <w:b/>
          <w:bCs/>
        </w:rPr>
        <w:t>Project C</w:t>
      </w:r>
      <w:r w:rsidRPr="00C43A9C">
        <w:t>: 12.5%</w:t>
      </w:r>
    </w:p>
    <w:p w14:paraId="5237AFB7" w14:textId="2B41535A" w:rsidR="007B22C3" w:rsidRPr="00C43A9C" w:rsidRDefault="00C43A9C" w:rsidP="00473ADD">
      <w:pPr>
        <w:spacing w:before="240" w:after="100" w:afterAutospacing="1" w:line="360" w:lineRule="auto"/>
        <w:jc w:val="both"/>
        <w:outlineLvl w:val="3"/>
        <w:rPr>
          <w:b/>
          <w:bCs/>
        </w:rPr>
      </w:pPr>
      <w:r w:rsidRPr="00C43A9C">
        <w:rPr>
          <w:b/>
          <w:bCs/>
        </w:rPr>
        <w:t>2</w:t>
      </w:r>
      <w:r w:rsidR="007B22C3" w:rsidRPr="00C43A9C">
        <w:rPr>
          <w:b/>
          <w:bCs/>
        </w:rPr>
        <w:t>. Capital Rationing and Investment Recommendation</w:t>
      </w:r>
    </w:p>
    <w:p w14:paraId="682C4F9D" w14:textId="77777777" w:rsidR="009649D1" w:rsidRPr="00C43A9C" w:rsidRDefault="009649D1" w:rsidP="00473ADD">
      <w:pPr>
        <w:spacing w:before="240" w:after="100" w:afterAutospacing="1" w:line="360" w:lineRule="auto"/>
        <w:jc w:val="both"/>
        <w:outlineLvl w:val="3"/>
      </w:pPr>
      <w:r w:rsidRPr="00C43A9C">
        <w:t>Considering the capital rationing limit of £60 million, both Project A and Project C can be invested in General Electronics by General Electronics. According to the investment appraisal parameters, the overall recommendation would be as follows:</w:t>
      </w:r>
    </w:p>
    <w:p w14:paraId="06F731D9" w14:textId="6F5553FF" w:rsidR="009649D1" w:rsidRPr="00C43A9C" w:rsidRDefault="009649D1" w:rsidP="00473ADD">
      <w:pPr>
        <w:spacing w:before="240" w:after="100" w:afterAutospacing="1" w:line="360" w:lineRule="auto"/>
        <w:jc w:val="both"/>
        <w:outlineLvl w:val="3"/>
      </w:pPr>
      <w:r w:rsidRPr="00C43A9C">
        <w:rPr>
          <w:b/>
          <w:bCs/>
        </w:rPr>
        <w:t>Project A</w:t>
      </w:r>
      <w:r w:rsidRPr="00C43A9C">
        <w:t xml:space="preserve"> has a relatively good payback of NPV of 0.35m, </w:t>
      </w:r>
      <w:r w:rsidR="0001301C">
        <w:t xml:space="preserve">a </w:t>
      </w:r>
      <w:r w:rsidRPr="00C43A9C">
        <w:t xml:space="preserve">Payback Period of 4 years, and a good ARR of 27%. Nonetheless, the PI of 0.009 is very small, the IRR of 10.35% is </w:t>
      </w:r>
      <w:r w:rsidR="0001301C">
        <w:t>close</w:t>
      </w:r>
      <w:r w:rsidRPr="00C43A9C">
        <w:t xml:space="preserve"> to the discount rate, which shows marginal returns over risk.</w:t>
      </w:r>
    </w:p>
    <w:p w14:paraId="54401651" w14:textId="310DC24B" w:rsidR="009649D1" w:rsidRPr="00C43A9C" w:rsidRDefault="009649D1" w:rsidP="00473ADD">
      <w:pPr>
        <w:spacing w:before="240" w:after="100" w:afterAutospacing="1" w:line="360" w:lineRule="auto"/>
        <w:jc w:val="both"/>
        <w:outlineLvl w:val="3"/>
      </w:pPr>
      <w:r w:rsidRPr="00C43A9C">
        <w:rPr>
          <w:b/>
          <w:bCs/>
        </w:rPr>
        <w:t>Project B</w:t>
      </w:r>
      <w:r w:rsidR="00C43A9C" w:rsidRPr="00C43A9C">
        <w:rPr>
          <w:b/>
          <w:bCs/>
        </w:rPr>
        <w:t xml:space="preserve"> </w:t>
      </w:r>
      <w:r w:rsidRPr="00C43A9C">
        <w:t>has a poor performance in NPV</w:t>
      </w:r>
      <w:r w:rsidR="0001301C">
        <w:t>,</w:t>
      </w:r>
      <w:r w:rsidRPr="00C43A9C">
        <w:t xml:space="preserve"> and it is negative at -7.29m. Although it has </w:t>
      </w:r>
      <w:r w:rsidR="0001301C">
        <w:t xml:space="preserve">a </w:t>
      </w:r>
      <w:r w:rsidRPr="00C43A9C">
        <w:t xml:space="preserve">strong ARR of 20, its </w:t>
      </w:r>
      <w:r w:rsidR="0001301C" w:rsidRPr="00C43A9C">
        <w:t>5-year</w:t>
      </w:r>
      <w:r w:rsidRPr="00C43A9C">
        <w:t xml:space="preserve"> PBP and PI are unattractive at negative 0.243 and 5 years. Moreover, its IRR at 2.5% is way less than the required return rate of the company</w:t>
      </w:r>
      <w:r w:rsidR="0001301C">
        <w:t>,</w:t>
      </w:r>
      <w:r w:rsidRPr="00C43A9C">
        <w:t xml:space="preserve"> hence a poor investment.</w:t>
      </w:r>
    </w:p>
    <w:p w14:paraId="39A4FC04" w14:textId="5B3570F1" w:rsidR="009649D1" w:rsidRPr="00C43A9C" w:rsidRDefault="009649D1" w:rsidP="00473ADD">
      <w:pPr>
        <w:spacing w:before="240" w:after="100" w:afterAutospacing="1" w:line="360" w:lineRule="auto"/>
        <w:jc w:val="both"/>
        <w:outlineLvl w:val="3"/>
      </w:pPr>
      <w:r w:rsidRPr="00C43A9C">
        <w:rPr>
          <w:b/>
          <w:bCs/>
        </w:rPr>
        <w:t>Project C shows</w:t>
      </w:r>
      <w:r w:rsidRPr="00C43A9C">
        <w:t xml:space="preserve"> the most financial effectiveness, where NPV is highest at 4.23m, ARR = 30, and IRR = 12.5</w:t>
      </w:r>
      <w:r w:rsidR="0001301C">
        <w:t>,</w:t>
      </w:r>
      <w:r w:rsidRPr="00C43A9C">
        <w:t xml:space="preserve"> which exceeds the discount rate of </w:t>
      </w:r>
      <w:r w:rsidR="0001301C">
        <w:t xml:space="preserve">the </w:t>
      </w:r>
      <w:r w:rsidRPr="00C43A9C">
        <w:t>business</w:t>
      </w:r>
      <w:r w:rsidR="0001301C">
        <w:t>,</w:t>
      </w:r>
      <w:r w:rsidRPr="00C43A9C">
        <w:t xml:space="preserve"> which is 10. PBP of 4 years is good</w:t>
      </w:r>
      <w:r w:rsidR="0001301C">
        <w:t>,</w:t>
      </w:r>
      <w:r w:rsidRPr="00C43A9C">
        <w:t xml:space="preserve"> and PI is 0.085</w:t>
      </w:r>
      <w:r w:rsidR="0001301C">
        <w:t>,</w:t>
      </w:r>
      <w:r w:rsidRPr="00C43A9C">
        <w:t xml:space="preserve"> which depicts profitability</w:t>
      </w:r>
      <w:r w:rsidR="0001301C">
        <w:t>,</w:t>
      </w:r>
      <w:r w:rsidRPr="00C43A9C">
        <w:t xml:space="preserve"> and it is hence the most appealing investment option.</w:t>
      </w:r>
    </w:p>
    <w:p w14:paraId="420E7A39" w14:textId="6D3C57BB" w:rsidR="009649D1" w:rsidRPr="00C43A9C" w:rsidRDefault="009649D1" w:rsidP="00473ADD">
      <w:pPr>
        <w:pStyle w:val="NormalWeb"/>
        <w:spacing w:line="360" w:lineRule="auto"/>
        <w:jc w:val="both"/>
      </w:pPr>
      <w:r w:rsidRPr="00C43A9C">
        <w:rPr>
          <w:b/>
          <w:bCs/>
        </w:rPr>
        <w:t>Recommendation:</w:t>
      </w:r>
      <w:r w:rsidRPr="00C43A9C">
        <w:t xml:space="preserve"> It can be advised</w:t>
      </w:r>
      <w:r w:rsidR="0001301C">
        <w:t>,</w:t>
      </w:r>
      <w:r w:rsidRPr="00C43A9C">
        <w:t xml:space="preserve"> based on the financial constraints and the fact that Project C has been performing better than Project D, that General Electronics should pursue Project C. This project has the best returns and is tangential to the demand by the company in having a long-term investment, which is stable and enhances profitability and financial performance. Project A is a second alternative, but its lower NPV and PI render it less attractive as compared to Project C. Project B cannot be considered because it is unfavorable in all measures</w:t>
      </w:r>
      <w:r w:rsidR="00473ADD">
        <w:t xml:space="preserve"> (World Bank Group, 2024)</w:t>
      </w:r>
      <w:r w:rsidRPr="00C43A9C">
        <w:t>.</w:t>
      </w:r>
    </w:p>
    <w:p w14:paraId="4073BDF7" w14:textId="77777777" w:rsidR="009649D1" w:rsidRPr="00C43A9C" w:rsidRDefault="009649D1" w:rsidP="00473ADD">
      <w:pPr>
        <w:pStyle w:val="Heading1"/>
        <w:spacing w:before="240" w:line="360" w:lineRule="auto"/>
        <w:jc w:val="both"/>
        <w:rPr>
          <w:rFonts w:ascii="Times New Roman" w:hAnsi="Times New Roman" w:cs="Times New Roman"/>
          <w:b/>
          <w:bCs/>
          <w:color w:val="auto"/>
          <w:sz w:val="24"/>
          <w:szCs w:val="24"/>
        </w:rPr>
      </w:pPr>
      <w:bookmarkStart w:id="6" w:name="_Toc214577426"/>
      <w:r w:rsidRPr="00C43A9C">
        <w:rPr>
          <w:rFonts w:ascii="Times New Roman" w:hAnsi="Times New Roman" w:cs="Times New Roman"/>
          <w:b/>
          <w:bCs/>
          <w:color w:val="auto"/>
          <w:sz w:val="24"/>
          <w:szCs w:val="24"/>
        </w:rPr>
        <w:t>Conclusion</w:t>
      </w:r>
      <w:bookmarkEnd w:id="6"/>
    </w:p>
    <w:p w14:paraId="72232FF8" w14:textId="2A09E4C7" w:rsidR="009649D1" w:rsidRPr="00C43A9C" w:rsidRDefault="00C43A9C" w:rsidP="00473ADD">
      <w:pPr>
        <w:spacing w:before="240" w:after="100" w:afterAutospacing="1" w:line="360" w:lineRule="auto"/>
        <w:jc w:val="both"/>
      </w:pPr>
      <w:r w:rsidRPr="00C43A9C">
        <w:t>T</w:t>
      </w:r>
      <w:r w:rsidR="009649D1" w:rsidRPr="00C43A9C">
        <w:t>he situation of General Electronics is fragile</w:t>
      </w:r>
      <w:r w:rsidR="0001301C">
        <w:t>,</w:t>
      </w:r>
      <w:r w:rsidR="009649D1" w:rsidRPr="00C43A9C">
        <w:t xml:space="preserve"> and the company</w:t>
      </w:r>
      <w:r w:rsidR="0001301C">
        <w:t>’s</w:t>
      </w:r>
      <w:r w:rsidR="009649D1" w:rsidRPr="00C43A9C">
        <w:t xml:space="preserve"> performance has been seriously influenced by decreasing sales and rising costs of operation</w:t>
      </w:r>
      <w:r w:rsidR="0001301C">
        <w:t>,</w:t>
      </w:r>
      <w:r w:rsidR="009649D1" w:rsidRPr="00C43A9C">
        <w:t xml:space="preserve"> and net losses. As illustrated in the analysis of the financial health of the company, some problematic trends include the net sales decrease i.e. the decline in net sales of the company is noticed between 2020-2024 i.e. the between-2020-2024 net sales is observed to have decreased to less than 24.03 million and a net loss rate is experienced by the company of 24 This highlights the necessity to find a turnaround plan.</w:t>
      </w:r>
      <w:r w:rsidRPr="00C43A9C">
        <w:t xml:space="preserve"> </w:t>
      </w:r>
      <w:r w:rsidR="009649D1" w:rsidRPr="00C43A9C">
        <w:t>The following liquidity and profitability issues became apparent on the financial health check and ratio analysis</w:t>
      </w:r>
      <w:r w:rsidR="0001301C">
        <w:t>,</w:t>
      </w:r>
      <w:r w:rsidR="009649D1" w:rsidRPr="00C43A9C">
        <w:t xml:space="preserve"> where the debt-to-equity ratio was too high, and the cash flow was not adequate to meet the short-term debts. However, the company also has certain valuable assets, such as property, plant</w:t>
      </w:r>
      <w:r w:rsidR="0001301C">
        <w:t>,</w:t>
      </w:r>
      <w:r w:rsidR="009649D1" w:rsidRPr="00C43A9C">
        <w:t xml:space="preserve"> and equipment worth 34.21 million in 2024</w:t>
      </w:r>
      <w:r w:rsidR="0001301C">
        <w:t>,</w:t>
      </w:r>
      <w:r w:rsidR="009649D1" w:rsidRPr="00C43A9C">
        <w:t xml:space="preserve"> to generate cash through </w:t>
      </w:r>
      <w:r w:rsidR="0001301C">
        <w:t xml:space="preserve">the </w:t>
      </w:r>
      <w:r w:rsidR="009649D1" w:rsidRPr="00C43A9C">
        <w:t>strategic disposal of non-core assets.</w:t>
      </w:r>
    </w:p>
    <w:p w14:paraId="22498B9F" w14:textId="2E437189" w:rsidR="00C43A9C" w:rsidRPr="00C43A9C" w:rsidRDefault="009649D1" w:rsidP="00473ADD">
      <w:pPr>
        <w:spacing w:before="240" w:after="100" w:afterAutospacing="1" w:line="360" w:lineRule="auto"/>
        <w:jc w:val="both"/>
      </w:pPr>
      <w:r w:rsidRPr="00C43A9C">
        <w:t>The working capital management analysis identified inefficiencies in the cash operating cycle, though the proposal on how to improve the liquidity by accelerating the cash collection cycle of the receivables, efficient management of the inventory</w:t>
      </w:r>
      <w:r w:rsidR="0001301C">
        <w:t>,</w:t>
      </w:r>
      <w:r w:rsidRPr="00C43A9C">
        <w:t xml:space="preserve"> and the exploration of strategic financing options can be made to enhance the cash flow and operational performance.</w:t>
      </w:r>
      <w:r w:rsidR="00C43A9C" w:rsidRPr="00C43A9C">
        <w:t xml:space="preserve"> </w:t>
      </w:r>
      <w:r w:rsidRPr="00C43A9C">
        <w:t>The possible options were to undergo divestiture, merger</w:t>
      </w:r>
      <w:r w:rsidR="0001301C">
        <w:t>,</w:t>
      </w:r>
      <w:r w:rsidRPr="00C43A9C">
        <w:t xml:space="preserve"> </w:t>
      </w:r>
      <w:r w:rsidR="0001301C">
        <w:t>or</w:t>
      </w:r>
      <w:r w:rsidRPr="00C43A9C">
        <w:t xml:space="preserve"> the entry of new equity capital to salvage the company</w:t>
      </w:r>
      <w:r w:rsidR="0001301C">
        <w:t>,</w:t>
      </w:r>
      <w:r w:rsidRPr="00C43A9C">
        <w:t xml:space="preserve"> which was grappling with its financial crisis through the strategic financial restructure plan. Among them, an equity injection together with a merger appears to be the most beneficial point as it would involve attracting the necessary capital injection with less reliance on debts and market access.</w:t>
      </w:r>
      <w:r w:rsidR="00C43A9C" w:rsidRPr="00C43A9C">
        <w:t xml:space="preserve"> </w:t>
      </w:r>
      <w:r w:rsidRPr="00C43A9C">
        <w:t>Finally, the investment appraisal and capital budgeting analysis have led to the Project C that has the highest returns in terms of NPV, IRR</w:t>
      </w:r>
      <w:r w:rsidR="0001301C">
        <w:t>,</w:t>
      </w:r>
      <w:r w:rsidRPr="00C43A9C">
        <w:t xml:space="preserve"> and ARR</w:t>
      </w:r>
      <w:r w:rsidR="0001301C">
        <w:t>,</w:t>
      </w:r>
      <w:r w:rsidRPr="00C43A9C">
        <w:t xml:space="preserve"> and therefore </w:t>
      </w:r>
      <w:r w:rsidR="0001301C">
        <w:t xml:space="preserve">is </w:t>
      </w:r>
      <w:r w:rsidRPr="00C43A9C">
        <w:t>best placed as an investment under capital rationing. This restructuring and investment</w:t>
      </w:r>
      <w:r w:rsidR="0001301C">
        <w:t>,</w:t>
      </w:r>
      <w:r w:rsidRPr="00C43A9C">
        <w:t xml:space="preserve"> as it has been suggested</w:t>
      </w:r>
      <w:r w:rsidR="0001301C">
        <w:t>,</w:t>
      </w:r>
      <w:r w:rsidRPr="00C43A9C">
        <w:t xml:space="preserve"> can position General Electronics towards long-term growth and high levels of financial stability.</w:t>
      </w:r>
    </w:p>
    <w:p w14:paraId="32657744" w14:textId="77777777" w:rsidR="00C43A9C" w:rsidRPr="00C43A9C" w:rsidRDefault="00C43A9C" w:rsidP="00473ADD">
      <w:pPr>
        <w:spacing w:before="240" w:after="160" w:line="360" w:lineRule="auto"/>
        <w:jc w:val="both"/>
      </w:pPr>
      <w:r w:rsidRPr="00C43A9C">
        <w:br w:type="page"/>
      </w:r>
    </w:p>
    <w:p w14:paraId="3891730A" w14:textId="6D2DD0BB" w:rsidR="00473ADD" w:rsidRPr="00473ADD" w:rsidRDefault="00CF1A07" w:rsidP="00473ADD">
      <w:pPr>
        <w:pStyle w:val="Heading1"/>
        <w:spacing w:before="240" w:line="360" w:lineRule="auto"/>
        <w:jc w:val="both"/>
        <w:rPr>
          <w:rFonts w:ascii="Times New Roman" w:hAnsi="Times New Roman" w:cs="Times New Roman"/>
          <w:b/>
          <w:bCs/>
          <w:color w:val="auto"/>
          <w:sz w:val="24"/>
          <w:szCs w:val="24"/>
        </w:rPr>
      </w:pPr>
      <w:bookmarkStart w:id="7" w:name="_Toc214577427"/>
      <w:r w:rsidRPr="00C43A9C">
        <w:rPr>
          <w:rFonts w:ascii="Times New Roman" w:hAnsi="Times New Roman" w:cs="Times New Roman"/>
          <w:b/>
          <w:bCs/>
          <w:color w:val="auto"/>
          <w:sz w:val="24"/>
          <w:szCs w:val="24"/>
        </w:rPr>
        <w:t>References</w:t>
      </w:r>
      <w:bookmarkEnd w:id="7"/>
      <w:r w:rsidRPr="00C43A9C">
        <w:rPr>
          <w:rFonts w:ascii="Times New Roman" w:hAnsi="Times New Roman" w:cs="Times New Roman"/>
          <w:b/>
          <w:bCs/>
          <w:color w:val="auto"/>
          <w:sz w:val="24"/>
          <w:szCs w:val="24"/>
        </w:rPr>
        <w:t xml:space="preserve"> </w:t>
      </w:r>
    </w:p>
    <w:p w14:paraId="3EF72292" w14:textId="77777777" w:rsidR="00473ADD" w:rsidRPr="00473ADD" w:rsidRDefault="00473ADD" w:rsidP="00473ADD">
      <w:pPr>
        <w:spacing w:before="240" w:line="360" w:lineRule="auto"/>
        <w:ind w:left="720" w:hanging="720"/>
        <w:jc w:val="both"/>
        <w:rPr>
          <w:rFonts w:asciiTheme="majorBidi" w:hAnsiTheme="majorBidi" w:cstheme="majorBidi"/>
          <w:color w:val="222222"/>
          <w:shd w:val="clear" w:color="auto" w:fill="FFFFFF"/>
        </w:rPr>
      </w:pPr>
      <w:r w:rsidRPr="00473ADD">
        <w:rPr>
          <w:rFonts w:asciiTheme="majorBidi" w:hAnsiTheme="majorBidi" w:cstheme="majorBidi"/>
          <w:color w:val="222222"/>
          <w:shd w:val="clear" w:color="auto" w:fill="FFFFFF"/>
        </w:rPr>
        <w:t>Ahn, K.H., 2024. Main contents and implications of the 2023 revision of the OECD Guidelines for Multinational Enterprises. </w:t>
      </w:r>
      <w:r w:rsidRPr="00473ADD">
        <w:rPr>
          <w:rFonts w:asciiTheme="majorBidi" w:hAnsiTheme="majorBidi" w:cstheme="majorBidi"/>
          <w:i/>
          <w:iCs/>
          <w:color w:val="222222"/>
          <w:shd w:val="clear" w:color="auto" w:fill="FFFFFF"/>
        </w:rPr>
        <w:t>Journal of International Logistics and Trade</w:t>
      </w:r>
      <w:r w:rsidRPr="00473ADD">
        <w:rPr>
          <w:rFonts w:asciiTheme="majorBidi" w:hAnsiTheme="majorBidi" w:cstheme="majorBidi"/>
          <w:color w:val="222222"/>
          <w:shd w:val="clear" w:color="auto" w:fill="FFFFFF"/>
        </w:rPr>
        <w:t>, </w:t>
      </w:r>
      <w:r w:rsidRPr="00473ADD">
        <w:rPr>
          <w:rFonts w:asciiTheme="majorBidi" w:hAnsiTheme="majorBidi" w:cstheme="majorBidi"/>
          <w:i/>
          <w:iCs/>
          <w:color w:val="222222"/>
          <w:shd w:val="clear" w:color="auto" w:fill="FFFFFF"/>
        </w:rPr>
        <w:t>22</w:t>
      </w:r>
      <w:r w:rsidRPr="00473ADD">
        <w:rPr>
          <w:rFonts w:asciiTheme="majorBidi" w:hAnsiTheme="majorBidi" w:cstheme="majorBidi"/>
          <w:color w:val="222222"/>
          <w:shd w:val="clear" w:color="auto" w:fill="FFFFFF"/>
        </w:rPr>
        <w:t>(2), pp.80-92.</w:t>
      </w:r>
    </w:p>
    <w:p w14:paraId="29F61002" w14:textId="77777777" w:rsidR="00473ADD" w:rsidRPr="00473ADD" w:rsidRDefault="00473ADD" w:rsidP="00473ADD">
      <w:pPr>
        <w:spacing w:before="240" w:line="360" w:lineRule="auto"/>
        <w:ind w:left="720" w:hanging="720"/>
        <w:jc w:val="both"/>
        <w:rPr>
          <w:rFonts w:asciiTheme="majorBidi" w:hAnsiTheme="majorBidi" w:cstheme="majorBidi"/>
          <w:color w:val="222222"/>
          <w:shd w:val="clear" w:color="auto" w:fill="FFFFFF"/>
        </w:rPr>
      </w:pPr>
      <w:r w:rsidRPr="00473ADD">
        <w:rPr>
          <w:rFonts w:asciiTheme="majorBidi" w:hAnsiTheme="majorBidi" w:cstheme="majorBidi"/>
          <w:color w:val="222222"/>
          <w:shd w:val="clear" w:color="auto" w:fill="FFFFFF"/>
        </w:rPr>
        <w:t>Allen, F., Brealey, R.A. and Myers, S.C., 2011. </w:t>
      </w:r>
      <w:r w:rsidRPr="00473ADD">
        <w:rPr>
          <w:rFonts w:asciiTheme="majorBidi" w:hAnsiTheme="majorBidi" w:cstheme="majorBidi"/>
          <w:i/>
          <w:iCs/>
          <w:color w:val="222222"/>
          <w:shd w:val="clear" w:color="auto" w:fill="FFFFFF"/>
        </w:rPr>
        <w:t>Principles of corporate finance</w:t>
      </w:r>
      <w:r w:rsidRPr="00473ADD">
        <w:rPr>
          <w:rFonts w:asciiTheme="majorBidi" w:hAnsiTheme="majorBidi" w:cstheme="majorBidi"/>
          <w:color w:val="222222"/>
          <w:shd w:val="clear" w:color="auto" w:fill="FFFFFF"/>
        </w:rPr>
        <w:t> (p. 1043). New York: McGraw-Hill/Irwin.</w:t>
      </w:r>
    </w:p>
    <w:p w14:paraId="5FD0F5D1" w14:textId="77777777" w:rsidR="00473ADD" w:rsidRPr="00473ADD" w:rsidRDefault="00473ADD" w:rsidP="00473ADD">
      <w:pPr>
        <w:spacing w:before="240" w:line="360" w:lineRule="auto"/>
        <w:ind w:left="720" w:hanging="720"/>
        <w:jc w:val="both"/>
        <w:rPr>
          <w:rFonts w:asciiTheme="majorBidi" w:hAnsiTheme="majorBidi" w:cstheme="majorBidi"/>
          <w:color w:val="222222"/>
          <w:shd w:val="clear" w:color="auto" w:fill="FFFFFF"/>
        </w:rPr>
      </w:pPr>
      <w:r w:rsidRPr="00473ADD">
        <w:rPr>
          <w:rFonts w:asciiTheme="majorBidi" w:hAnsiTheme="majorBidi" w:cstheme="majorBidi"/>
          <w:color w:val="222222"/>
          <w:shd w:val="clear" w:color="auto" w:fill="FFFFFF"/>
        </w:rPr>
        <w:t>Altman, E.I., 1968. Financial ratios, discriminant analysis and the prediction of corporate bankruptcy. </w:t>
      </w:r>
      <w:r w:rsidRPr="00473ADD">
        <w:rPr>
          <w:rFonts w:asciiTheme="majorBidi" w:hAnsiTheme="majorBidi" w:cstheme="majorBidi"/>
          <w:i/>
          <w:iCs/>
          <w:color w:val="222222"/>
          <w:shd w:val="clear" w:color="auto" w:fill="FFFFFF"/>
        </w:rPr>
        <w:t>The journal of finance</w:t>
      </w:r>
      <w:r w:rsidRPr="00473ADD">
        <w:rPr>
          <w:rFonts w:asciiTheme="majorBidi" w:hAnsiTheme="majorBidi" w:cstheme="majorBidi"/>
          <w:color w:val="222222"/>
          <w:shd w:val="clear" w:color="auto" w:fill="FFFFFF"/>
        </w:rPr>
        <w:t>, </w:t>
      </w:r>
      <w:r w:rsidRPr="00473ADD">
        <w:rPr>
          <w:rFonts w:asciiTheme="majorBidi" w:hAnsiTheme="majorBidi" w:cstheme="majorBidi"/>
          <w:i/>
          <w:iCs/>
          <w:color w:val="222222"/>
          <w:shd w:val="clear" w:color="auto" w:fill="FFFFFF"/>
        </w:rPr>
        <w:t>23</w:t>
      </w:r>
      <w:r w:rsidRPr="00473ADD">
        <w:rPr>
          <w:rFonts w:asciiTheme="majorBidi" w:hAnsiTheme="majorBidi" w:cstheme="majorBidi"/>
          <w:color w:val="222222"/>
          <w:shd w:val="clear" w:color="auto" w:fill="FFFFFF"/>
        </w:rPr>
        <w:t xml:space="preserve">(4), pp.589-609. </w:t>
      </w:r>
    </w:p>
    <w:p w14:paraId="6E732BA3" w14:textId="77777777" w:rsidR="00473ADD" w:rsidRPr="00473ADD" w:rsidRDefault="00473ADD" w:rsidP="00473ADD">
      <w:pPr>
        <w:spacing w:before="240" w:line="360" w:lineRule="auto"/>
        <w:ind w:left="720" w:hanging="720"/>
        <w:jc w:val="both"/>
        <w:rPr>
          <w:rFonts w:asciiTheme="majorBidi" w:hAnsiTheme="majorBidi" w:cstheme="majorBidi"/>
        </w:rPr>
      </w:pPr>
      <w:proofErr w:type="spellStart"/>
      <w:r w:rsidRPr="00473ADD">
        <w:rPr>
          <w:rFonts w:asciiTheme="majorBidi" w:hAnsiTheme="majorBidi" w:cstheme="majorBidi"/>
          <w:color w:val="222222"/>
          <w:shd w:val="clear" w:color="auto" w:fill="FFFFFF"/>
        </w:rPr>
        <w:t>Atrill</w:t>
      </w:r>
      <w:proofErr w:type="spellEnd"/>
      <w:r w:rsidRPr="00473ADD">
        <w:rPr>
          <w:rFonts w:asciiTheme="majorBidi" w:hAnsiTheme="majorBidi" w:cstheme="majorBidi"/>
          <w:color w:val="222222"/>
          <w:shd w:val="clear" w:color="auto" w:fill="FFFFFF"/>
        </w:rPr>
        <w:t>, P., 2019. Accounting and finance for non-specialists.</w:t>
      </w:r>
    </w:p>
    <w:p w14:paraId="535E0ED0" w14:textId="77777777" w:rsidR="00473ADD" w:rsidRPr="00473ADD" w:rsidRDefault="00473ADD" w:rsidP="00473ADD">
      <w:pPr>
        <w:spacing w:before="240" w:line="360" w:lineRule="auto"/>
        <w:ind w:left="720" w:hanging="720"/>
        <w:jc w:val="both"/>
        <w:rPr>
          <w:rFonts w:asciiTheme="majorBidi" w:hAnsiTheme="majorBidi" w:cstheme="majorBidi"/>
          <w:color w:val="222222"/>
          <w:shd w:val="clear" w:color="auto" w:fill="FFFFFF"/>
        </w:rPr>
      </w:pPr>
      <w:r w:rsidRPr="00473ADD">
        <w:rPr>
          <w:rFonts w:asciiTheme="majorBidi" w:hAnsiTheme="majorBidi" w:cstheme="majorBidi"/>
          <w:color w:val="222222"/>
          <w:shd w:val="clear" w:color="auto" w:fill="FFFFFF"/>
        </w:rPr>
        <w:t>Blomqvist, J., 2025. Capital structure’s effect on firm value: Evidence from listed firms in the Nordics.</w:t>
      </w:r>
    </w:p>
    <w:p w14:paraId="5A6B327A" w14:textId="77777777" w:rsidR="00473ADD" w:rsidRPr="00473ADD" w:rsidRDefault="00473ADD" w:rsidP="00473ADD">
      <w:pPr>
        <w:spacing w:before="240" w:line="360" w:lineRule="auto"/>
        <w:ind w:left="720" w:hanging="720"/>
        <w:jc w:val="both"/>
        <w:rPr>
          <w:rFonts w:asciiTheme="majorBidi" w:hAnsiTheme="majorBidi" w:cstheme="majorBidi"/>
        </w:rPr>
      </w:pPr>
      <w:r w:rsidRPr="00473ADD">
        <w:rPr>
          <w:rFonts w:asciiTheme="majorBidi" w:hAnsiTheme="majorBidi" w:cstheme="majorBidi"/>
          <w:color w:val="222222"/>
          <w:shd w:val="clear" w:color="auto" w:fill="FFFFFF"/>
        </w:rPr>
        <w:t>Brigham, E.F., 2016. </w:t>
      </w:r>
      <w:r w:rsidRPr="00473ADD">
        <w:rPr>
          <w:rFonts w:asciiTheme="majorBidi" w:hAnsiTheme="majorBidi" w:cstheme="majorBidi"/>
          <w:i/>
          <w:iCs/>
          <w:color w:val="222222"/>
          <w:shd w:val="clear" w:color="auto" w:fill="FFFFFF"/>
        </w:rPr>
        <w:t>Financial management: Theory and practice</w:t>
      </w:r>
      <w:r w:rsidRPr="00473ADD">
        <w:rPr>
          <w:rFonts w:asciiTheme="majorBidi" w:hAnsiTheme="majorBidi" w:cstheme="majorBidi"/>
          <w:color w:val="222222"/>
          <w:shd w:val="clear" w:color="auto" w:fill="FFFFFF"/>
        </w:rPr>
        <w:t>. Cengage Learning Canada Inc.</w:t>
      </w:r>
    </w:p>
    <w:p w14:paraId="5D7C6842" w14:textId="77777777" w:rsidR="00473ADD" w:rsidRPr="00473ADD" w:rsidRDefault="00473ADD" w:rsidP="00473ADD">
      <w:pPr>
        <w:spacing w:before="240" w:line="360" w:lineRule="auto"/>
        <w:ind w:left="720" w:hanging="720"/>
        <w:jc w:val="both"/>
        <w:rPr>
          <w:rFonts w:asciiTheme="majorBidi" w:hAnsiTheme="majorBidi" w:cstheme="majorBidi"/>
          <w:color w:val="222222"/>
          <w:shd w:val="clear" w:color="auto" w:fill="FFFFFF"/>
        </w:rPr>
      </w:pPr>
      <w:r w:rsidRPr="00473ADD">
        <w:rPr>
          <w:rFonts w:asciiTheme="majorBidi" w:hAnsiTheme="majorBidi" w:cstheme="majorBidi"/>
          <w:color w:val="222222"/>
          <w:shd w:val="clear" w:color="auto" w:fill="FFFFFF"/>
        </w:rPr>
        <w:t>Collier, P.M., 2015. </w:t>
      </w:r>
      <w:r w:rsidRPr="00473ADD">
        <w:rPr>
          <w:rFonts w:asciiTheme="majorBidi" w:hAnsiTheme="majorBidi" w:cstheme="majorBidi"/>
          <w:i/>
          <w:iCs/>
          <w:color w:val="222222"/>
          <w:shd w:val="clear" w:color="auto" w:fill="FFFFFF"/>
        </w:rPr>
        <w:t>Accounting for managers: Interpreting accounting information for decision making</w:t>
      </w:r>
      <w:r w:rsidRPr="00473ADD">
        <w:rPr>
          <w:rFonts w:asciiTheme="majorBidi" w:hAnsiTheme="majorBidi" w:cstheme="majorBidi"/>
          <w:color w:val="222222"/>
          <w:shd w:val="clear" w:color="auto" w:fill="FFFFFF"/>
        </w:rPr>
        <w:t>. John Wiley &amp; Sons.</w:t>
      </w:r>
    </w:p>
    <w:p w14:paraId="08B88213" w14:textId="77777777" w:rsidR="00473ADD" w:rsidRPr="00473ADD" w:rsidRDefault="00473ADD" w:rsidP="00473ADD">
      <w:pPr>
        <w:spacing w:before="240" w:line="360" w:lineRule="auto"/>
        <w:ind w:left="720" w:hanging="720"/>
        <w:jc w:val="both"/>
        <w:rPr>
          <w:rFonts w:asciiTheme="majorBidi" w:hAnsiTheme="majorBidi" w:cstheme="majorBidi"/>
          <w:color w:val="222222"/>
          <w:shd w:val="clear" w:color="auto" w:fill="FFFFFF"/>
        </w:rPr>
      </w:pPr>
      <w:r w:rsidRPr="00473ADD">
        <w:rPr>
          <w:rFonts w:asciiTheme="majorBidi" w:hAnsiTheme="majorBidi" w:cstheme="majorBidi"/>
          <w:color w:val="222222"/>
          <w:shd w:val="clear" w:color="auto" w:fill="FFFFFF"/>
        </w:rPr>
        <w:t>Drury, C.M., 2013. </w:t>
      </w:r>
      <w:r w:rsidRPr="00473ADD">
        <w:rPr>
          <w:rFonts w:asciiTheme="majorBidi" w:hAnsiTheme="majorBidi" w:cstheme="majorBidi"/>
          <w:i/>
          <w:iCs/>
          <w:color w:val="222222"/>
          <w:shd w:val="clear" w:color="auto" w:fill="FFFFFF"/>
        </w:rPr>
        <w:t>Management and cost accounting</w:t>
      </w:r>
      <w:r w:rsidRPr="00473ADD">
        <w:rPr>
          <w:rFonts w:asciiTheme="majorBidi" w:hAnsiTheme="majorBidi" w:cstheme="majorBidi"/>
          <w:color w:val="222222"/>
          <w:shd w:val="clear" w:color="auto" w:fill="FFFFFF"/>
        </w:rPr>
        <w:t>. Springer.</w:t>
      </w:r>
    </w:p>
    <w:p w14:paraId="2962BB11" w14:textId="77777777" w:rsidR="00473ADD" w:rsidRPr="00473ADD" w:rsidRDefault="00473ADD" w:rsidP="00473ADD">
      <w:pPr>
        <w:spacing w:before="240" w:line="360" w:lineRule="auto"/>
        <w:ind w:left="720" w:hanging="720"/>
        <w:jc w:val="both"/>
        <w:rPr>
          <w:rFonts w:asciiTheme="majorBidi" w:hAnsiTheme="majorBidi" w:cstheme="majorBidi"/>
          <w:color w:val="222222"/>
          <w:shd w:val="clear" w:color="auto" w:fill="FFFFFF"/>
        </w:rPr>
      </w:pPr>
      <w:r w:rsidRPr="00473ADD">
        <w:rPr>
          <w:rFonts w:asciiTheme="majorBidi" w:hAnsiTheme="majorBidi" w:cstheme="majorBidi"/>
          <w:color w:val="222222"/>
          <w:shd w:val="clear" w:color="auto" w:fill="FFFFFF"/>
        </w:rPr>
        <w:t xml:space="preserve">Hofstede, G., 2011. </w:t>
      </w:r>
      <w:proofErr w:type="spellStart"/>
      <w:r w:rsidRPr="00473ADD">
        <w:rPr>
          <w:rFonts w:asciiTheme="majorBidi" w:hAnsiTheme="majorBidi" w:cstheme="majorBidi"/>
          <w:color w:val="222222"/>
          <w:shd w:val="clear" w:color="auto" w:fill="FFFFFF"/>
        </w:rPr>
        <w:t>Dimensionalizing</w:t>
      </w:r>
      <w:proofErr w:type="spellEnd"/>
      <w:r w:rsidRPr="00473ADD">
        <w:rPr>
          <w:rFonts w:asciiTheme="majorBidi" w:hAnsiTheme="majorBidi" w:cstheme="majorBidi"/>
          <w:color w:val="222222"/>
          <w:shd w:val="clear" w:color="auto" w:fill="FFFFFF"/>
        </w:rPr>
        <w:t xml:space="preserve"> cultures: The </w:t>
      </w:r>
      <w:proofErr w:type="spellStart"/>
      <w:r w:rsidRPr="00473ADD">
        <w:rPr>
          <w:rFonts w:asciiTheme="majorBidi" w:hAnsiTheme="majorBidi" w:cstheme="majorBidi"/>
          <w:color w:val="222222"/>
          <w:shd w:val="clear" w:color="auto" w:fill="FFFFFF"/>
        </w:rPr>
        <w:t>Hofstede</w:t>
      </w:r>
      <w:proofErr w:type="spellEnd"/>
      <w:r w:rsidRPr="00473ADD">
        <w:rPr>
          <w:rFonts w:asciiTheme="majorBidi" w:hAnsiTheme="majorBidi" w:cstheme="majorBidi"/>
          <w:color w:val="222222"/>
          <w:shd w:val="clear" w:color="auto" w:fill="FFFFFF"/>
        </w:rPr>
        <w:t xml:space="preserve"> model in context. </w:t>
      </w:r>
      <w:r w:rsidRPr="00473ADD">
        <w:rPr>
          <w:rFonts w:asciiTheme="majorBidi" w:hAnsiTheme="majorBidi" w:cstheme="majorBidi"/>
          <w:i/>
          <w:iCs/>
          <w:color w:val="222222"/>
          <w:shd w:val="clear" w:color="auto" w:fill="FFFFFF"/>
        </w:rPr>
        <w:t>Online readings in psychology and culture</w:t>
      </w:r>
      <w:r w:rsidRPr="00473ADD">
        <w:rPr>
          <w:rFonts w:asciiTheme="majorBidi" w:hAnsiTheme="majorBidi" w:cstheme="majorBidi"/>
          <w:color w:val="222222"/>
          <w:shd w:val="clear" w:color="auto" w:fill="FFFFFF"/>
        </w:rPr>
        <w:t>, </w:t>
      </w:r>
      <w:r w:rsidRPr="00473ADD">
        <w:rPr>
          <w:rFonts w:asciiTheme="majorBidi" w:hAnsiTheme="majorBidi" w:cstheme="majorBidi"/>
          <w:i/>
          <w:iCs/>
          <w:color w:val="222222"/>
          <w:shd w:val="clear" w:color="auto" w:fill="FFFFFF"/>
        </w:rPr>
        <w:t>2</w:t>
      </w:r>
      <w:r w:rsidRPr="00473ADD">
        <w:rPr>
          <w:rFonts w:asciiTheme="majorBidi" w:hAnsiTheme="majorBidi" w:cstheme="majorBidi"/>
          <w:color w:val="222222"/>
          <w:shd w:val="clear" w:color="auto" w:fill="FFFFFF"/>
        </w:rPr>
        <w:t>(1), p.8.</w:t>
      </w:r>
    </w:p>
    <w:p w14:paraId="4BAF3C70" w14:textId="77777777" w:rsidR="00473ADD" w:rsidRPr="00473ADD" w:rsidRDefault="00473ADD" w:rsidP="00473ADD">
      <w:pPr>
        <w:spacing w:before="240" w:after="160" w:line="360" w:lineRule="auto"/>
        <w:ind w:left="720" w:hanging="720"/>
        <w:jc w:val="both"/>
        <w:rPr>
          <w:rFonts w:asciiTheme="majorBidi" w:hAnsiTheme="majorBidi" w:cstheme="majorBidi"/>
          <w:color w:val="222222"/>
          <w:shd w:val="clear" w:color="auto" w:fill="FFFFFF"/>
        </w:rPr>
      </w:pPr>
      <w:proofErr w:type="spellStart"/>
      <w:r w:rsidRPr="00473ADD">
        <w:rPr>
          <w:rFonts w:asciiTheme="majorBidi" w:hAnsiTheme="majorBidi" w:cstheme="majorBidi"/>
          <w:color w:val="222222"/>
          <w:shd w:val="clear" w:color="auto" w:fill="FFFFFF"/>
        </w:rPr>
        <w:t>Hütten</w:t>
      </w:r>
      <w:proofErr w:type="spellEnd"/>
      <w:r w:rsidRPr="00473ADD">
        <w:rPr>
          <w:rFonts w:asciiTheme="majorBidi" w:hAnsiTheme="majorBidi" w:cstheme="majorBidi"/>
          <w:color w:val="222222"/>
          <w:shd w:val="clear" w:color="auto" w:fill="FFFFFF"/>
        </w:rPr>
        <w:t xml:space="preserve">, C. and </w:t>
      </w:r>
      <w:proofErr w:type="spellStart"/>
      <w:r w:rsidRPr="00473ADD">
        <w:rPr>
          <w:rFonts w:asciiTheme="majorBidi" w:hAnsiTheme="majorBidi" w:cstheme="majorBidi"/>
          <w:color w:val="222222"/>
          <w:shd w:val="clear" w:color="auto" w:fill="FFFFFF"/>
        </w:rPr>
        <w:t>Sessar</w:t>
      </w:r>
      <w:proofErr w:type="spellEnd"/>
      <w:r w:rsidRPr="00473ADD">
        <w:rPr>
          <w:rFonts w:asciiTheme="majorBidi" w:hAnsiTheme="majorBidi" w:cstheme="majorBidi"/>
          <w:color w:val="222222"/>
          <w:shd w:val="clear" w:color="auto" w:fill="FFFFFF"/>
        </w:rPr>
        <w:t>, C., 2011. International Accounting Standards Board (IASB).</w:t>
      </w:r>
    </w:p>
    <w:p w14:paraId="1CAE768C" w14:textId="77777777" w:rsidR="00473ADD" w:rsidRPr="00473ADD" w:rsidRDefault="00473ADD" w:rsidP="00473ADD">
      <w:pPr>
        <w:spacing w:before="240" w:line="360" w:lineRule="auto"/>
        <w:ind w:left="720" w:hanging="720"/>
        <w:jc w:val="both"/>
        <w:rPr>
          <w:rFonts w:asciiTheme="majorBidi" w:hAnsiTheme="majorBidi" w:cstheme="majorBidi"/>
          <w:color w:val="222222"/>
          <w:shd w:val="clear" w:color="auto" w:fill="FFFFFF"/>
        </w:rPr>
      </w:pPr>
      <w:r w:rsidRPr="00473ADD">
        <w:rPr>
          <w:rFonts w:asciiTheme="majorBidi" w:hAnsiTheme="majorBidi" w:cstheme="majorBidi"/>
          <w:color w:val="222222"/>
          <w:shd w:val="clear" w:color="auto" w:fill="FFFFFF"/>
        </w:rPr>
        <w:t>Koller, T., Goedhart, M. and Wessels, D., 2010. </w:t>
      </w:r>
      <w:r w:rsidRPr="00473ADD">
        <w:rPr>
          <w:rFonts w:asciiTheme="majorBidi" w:hAnsiTheme="majorBidi" w:cstheme="majorBidi"/>
          <w:i/>
          <w:iCs/>
          <w:color w:val="222222"/>
          <w:shd w:val="clear" w:color="auto" w:fill="FFFFFF"/>
        </w:rPr>
        <w:t>Valuation: measuring and managing the value of companies</w:t>
      </w:r>
      <w:r w:rsidRPr="00473ADD">
        <w:rPr>
          <w:rFonts w:asciiTheme="majorBidi" w:hAnsiTheme="majorBidi" w:cstheme="majorBidi"/>
          <w:color w:val="222222"/>
          <w:shd w:val="clear" w:color="auto" w:fill="FFFFFF"/>
        </w:rPr>
        <w:t>. John Wiley &amp; Sons.</w:t>
      </w:r>
    </w:p>
    <w:p w14:paraId="6C0694E0" w14:textId="77777777" w:rsidR="00473ADD" w:rsidRPr="00473ADD" w:rsidRDefault="00473ADD" w:rsidP="00473ADD">
      <w:pPr>
        <w:spacing w:before="240" w:line="360" w:lineRule="auto"/>
        <w:ind w:left="720" w:hanging="720"/>
        <w:jc w:val="both"/>
        <w:rPr>
          <w:rFonts w:asciiTheme="majorBidi" w:hAnsiTheme="majorBidi" w:cstheme="majorBidi"/>
          <w:color w:val="222222"/>
          <w:shd w:val="clear" w:color="auto" w:fill="FFFFFF"/>
        </w:rPr>
      </w:pPr>
      <w:proofErr w:type="spellStart"/>
      <w:r w:rsidRPr="00473ADD">
        <w:rPr>
          <w:rFonts w:asciiTheme="majorBidi" w:hAnsiTheme="majorBidi" w:cstheme="majorBidi"/>
          <w:color w:val="222222"/>
          <w:shd w:val="clear" w:color="auto" w:fill="FFFFFF"/>
        </w:rPr>
        <w:t>Lazonick</w:t>
      </w:r>
      <w:proofErr w:type="spellEnd"/>
      <w:r w:rsidRPr="00473ADD">
        <w:rPr>
          <w:rFonts w:asciiTheme="majorBidi" w:hAnsiTheme="majorBidi" w:cstheme="majorBidi"/>
          <w:color w:val="222222"/>
          <w:shd w:val="clear" w:color="auto" w:fill="FFFFFF"/>
        </w:rPr>
        <w:t xml:space="preserve">, W. and </w:t>
      </w:r>
      <w:proofErr w:type="spellStart"/>
      <w:r w:rsidRPr="00473ADD">
        <w:rPr>
          <w:rFonts w:asciiTheme="majorBidi" w:hAnsiTheme="majorBidi" w:cstheme="majorBidi"/>
          <w:color w:val="222222"/>
          <w:shd w:val="clear" w:color="auto" w:fill="FFFFFF"/>
        </w:rPr>
        <w:t>O'sullivan</w:t>
      </w:r>
      <w:proofErr w:type="spellEnd"/>
      <w:r w:rsidRPr="00473ADD">
        <w:rPr>
          <w:rFonts w:asciiTheme="majorBidi" w:hAnsiTheme="majorBidi" w:cstheme="majorBidi"/>
          <w:color w:val="222222"/>
          <w:shd w:val="clear" w:color="auto" w:fill="FFFFFF"/>
        </w:rPr>
        <w:t>, M., 2000. Maximizing shareholder value: a new ideology for corporate governance. </w:t>
      </w:r>
      <w:r w:rsidRPr="00473ADD">
        <w:rPr>
          <w:rFonts w:asciiTheme="majorBidi" w:hAnsiTheme="majorBidi" w:cstheme="majorBidi"/>
          <w:i/>
          <w:iCs/>
          <w:color w:val="222222"/>
          <w:shd w:val="clear" w:color="auto" w:fill="FFFFFF"/>
        </w:rPr>
        <w:t>Economy and society</w:t>
      </w:r>
      <w:r w:rsidRPr="00473ADD">
        <w:rPr>
          <w:rFonts w:asciiTheme="majorBidi" w:hAnsiTheme="majorBidi" w:cstheme="majorBidi"/>
          <w:color w:val="222222"/>
          <w:shd w:val="clear" w:color="auto" w:fill="FFFFFF"/>
        </w:rPr>
        <w:t>, </w:t>
      </w:r>
      <w:r w:rsidRPr="00473ADD">
        <w:rPr>
          <w:rFonts w:asciiTheme="majorBidi" w:hAnsiTheme="majorBidi" w:cstheme="majorBidi"/>
          <w:i/>
          <w:iCs/>
          <w:color w:val="222222"/>
          <w:shd w:val="clear" w:color="auto" w:fill="FFFFFF"/>
        </w:rPr>
        <w:t>29</w:t>
      </w:r>
      <w:r w:rsidRPr="00473ADD">
        <w:rPr>
          <w:rFonts w:asciiTheme="majorBidi" w:hAnsiTheme="majorBidi" w:cstheme="majorBidi"/>
          <w:color w:val="222222"/>
          <w:shd w:val="clear" w:color="auto" w:fill="FFFFFF"/>
        </w:rPr>
        <w:t>(1), pp.13-35.</w:t>
      </w:r>
    </w:p>
    <w:p w14:paraId="538A422C" w14:textId="77777777" w:rsidR="00473ADD" w:rsidRPr="00473ADD" w:rsidRDefault="00473ADD" w:rsidP="00473ADD">
      <w:pPr>
        <w:spacing w:before="240" w:line="360" w:lineRule="auto"/>
        <w:ind w:left="720" w:hanging="720"/>
        <w:jc w:val="both"/>
        <w:rPr>
          <w:rFonts w:asciiTheme="majorBidi" w:hAnsiTheme="majorBidi" w:cstheme="majorBidi"/>
          <w:color w:val="222222"/>
          <w:shd w:val="clear" w:color="auto" w:fill="FFFFFF"/>
        </w:rPr>
      </w:pPr>
      <w:r w:rsidRPr="00473ADD">
        <w:rPr>
          <w:rFonts w:asciiTheme="majorBidi" w:hAnsiTheme="majorBidi" w:cstheme="majorBidi"/>
          <w:color w:val="222222"/>
          <w:shd w:val="clear" w:color="auto" w:fill="FFFFFF"/>
        </w:rPr>
        <w:t>Le Grand, J., 2019. Economics for the Common Good, Jean Tirole. Princeton University Press, 2017, xi+ 563 pages. </w:t>
      </w:r>
      <w:r w:rsidRPr="00473ADD">
        <w:rPr>
          <w:rFonts w:asciiTheme="majorBidi" w:hAnsiTheme="majorBidi" w:cstheme="majorBidi"/>
          <w:i/>
          <w:iCs/>
          <w:color w:val="222222"/>
          <w:shd w:val="clear" w:color="auto" w:fill="FFFFFF"/>
        </w:rPr>
        <w:t>Economics &amp; Philosophy</w:t>
      </w:r>
      <w:r w:rsidRPr="00473ADD">
        <w:rPr>
          <w:rFonts w:asciiTheme="majorBidi" w:hAnsiTheme="majorBidi" w:cstheme="majorBidi"/>
          <w:color w:val="222222"/>
          <w:shd w:val="clear" w:color="auto" w:fill="FFFFFF"/>
        </w:rPr>
        <w:t>, </w:t>
      </w:r>
      <w:r w:rsidRPr="00473ADD">
        <w:rPr>
          <w:rFonts w:asciiTheme="majorBidi" w:hAnsiTheme="majorBidi" w:cstheme="majorBidi"/>
          <w:i/>
          <w:iCs/>
          <w:color w:val="222222"/>
          <w:shd w:val="clear" w:color="auto" w:fill="FFFFFF"/>
        </w:rPr>
        <w:t>35</w:t>
      </w:r>
      <w:r w:rsidRPr="00473ADD">
        <w:rPr>
          <w:rFonts w:asciiTheme="majorBidi" w:hAnsiTheme="majorBidi" w:cstheme="majorBidi"/>
          <w:color w:val="222222"/>
          <w:shd w:val="clear" w:color="auto" w:fill="FFFFFF"/>
        </w:rPr>
        <w:t>(1), pp.179-186.</w:t>
      </w:r>
    </w:p>
    <w:p w14:paraId="7A1961EE" w14:textId="77777777" w:rsidR="00473ADD" w:rsidRPr="00473ADD" w:rsidRDefault="00473ADD" w:rsidP="00473ADD">
      <w:pPr>
        <w:spacing w:before="240" w:line="360" w:lineRule="auto"/>
        <w:ind w:left="720" w:hanging="720"/>
        <w:jc w:val="both"/>
        <w:rPr>
          <w:rFonts w:asciiTheme="majorBidi" w:hAnsiTheme="majorBidi" w:cstheme="majorBidi"/>
          <w:color w:val="222222"/>
          <w:shd w:val="clear" w:color="auto" w:fill="FFFFFF"/>
        </w:rPr>
      </w:pPr>
      <w:r w:rsidRPr="00473ADD">
        <w:rPr>
          <w:rFonts w:asciiTheme="majorBidi" w:hAnsiTheme="majorBidi" w:cstheme="majorBidi"/>
          <w:color w:val="222222"/>
          <w:shd w:val="clear" w:color="auto" w:fill="FFFFFF"/>
        </w:rPr>
        <w:t>McLaney, Eddie. </w:t>
      </w:r>
      <w:r w:rsidRPr="00473ADD">
        <w:rPr>
          <w:rFonts w:asciiTheme="majorBidi" w:hAnsiTheme="majorBidi" w:cstheme="majorBidi"/>
          <w:i/>
          <w:iCs/>
          <w:color w:val="222222"/>
          <w:shd w:val="clear" w:color="auto" w:fill="FFFFFF"/>
        </w:rPr>
        <w:t>Business finance: theory and practice</w:t>
      </w:r>
      <w:r w:rsidRPr="00473ADD">
        <w:rPr>
          <w:rFonts w:asciiTheme="majorBidi" w:hAnsiTheme="majorBidi" w:cstheme="majorBidi"/>
          <w:color w:val="222222"/>
          <w:shd w:val="clear" w:color="auto" w:fill="FFFFFF"/>
        </w:rPr>
        <w:t>. Pearson education, 2005.</w:t>
      </w:r>
    </w:p>
    <w:p w14:paraId="3ACEE065" w14:textId="77777777" w:rsidR="00473ADD" w:rsidRPr="00473ADD" w:rsidRDefault="00473ADD" w:rsidP="00473ADD">
      <w:pPr>
        <w:spacing w:before="240" w:line="360" w:lineRule="auto"/>
        <w:ind w:left="720" w:hanging="720"/>
        <w:jc w:val="both"/>
        <w:rPr>
          <w:rFonts w:asciiTheme="majorBidi" w:hAnsiTheme="majorBidi" w:cstheme="majorBidi"/>
          <w:color w:val="222222"/>
          <w:shd w:val="clear" w:color="auto" w:fill="FFFFFF"/>
        </w:rPr>
      </w:pPr>
      <w:r w:rsidRPr="00473ADD">
        <w:rPr>
          <w:rFonts w:asciiTheme="majorBidi" w:hAnsiTheme="majorBidi" w:cstheme="majorBidi"/>
          <w:color w:val="222222"/>
          <w:shd w:val="clear" w:color="auto" w:fill="FFFFFF"/>
        </w:rPr>
        <w:t>Modigliani, F. and Miller, M.H., 1958. The cost of capital, corporation finance and the theory of investment. </w:t>
      </w:r>
      <w:r w:rsidRPr="00473ADD">
        <w:rPr>
          <w:rFonts w:asciiTheme="majorBidi" w:hAnsiTheme="majorBidi" w:cstheme="majorBidi"/>
          <w:i/>
          <w:iCs/>
          <w:color w:val="222222"/>
          <w:shd w:val="clear" w:color="auto" w:fill="FFFFFF"/>
        </w:rPr>
        <w:t>The American economic review</w:t>
      </w:r>
      <w:r w:rsidRPr="00473ADD">
        <w:rPr>
          <w:rFonts w:asciiTheme="majorBidi" w:hAnsiTheme="majorBidi" w:cstheme="majorBidi"/>
          <w:color w:val="222222"/>
          <w:shd w:val="clear" w:color="auto" w:fill="FFFFFF"/>
        </w:rPr>
        <w:t>, </w:t>
      </w:r>
      <w:r w:rsidRPr="00473ADD">
        <w:rPr>
          <w:rFonts w:asciiTheme="majorBidi" w:hAnsiTheme="majorBidi" w:cstheme="majorBidi"/>
          <w:i/>
          <w:iCs/>
          <w:color w:val="222222"/>
          <w:shd w:val="clear" w:color="auto" w:fill="FFFFFF"/>
        </w:rPr>
        <w:t>48</w:t>
      </w:r>
      <w:r w:rsidRPr="00473ADD">
        <w:rPr>
          <w:rFonts w:asciiTheme="majorBidi" w:hAnsiTheme="majorBidi" w:cstheme="majorBidi"/>
          <w:color w:val="222222"/>
          <w:shd w:val="clear" w:color="auto" w:fill="FFFFFF"/>
        </w:rPr>
        <w:t>(3), pp.261-297.</w:t>
      </w:r>
    </w:p>
    <w:p w14:paraId="2D8362FA" w14:textId="77777777" w:rsidR="00473ADD" w:rsidRPr="00473ADD" w:rsidRDefault="00473ADD" w:rsidP="00473ADD">
      <w:pPr>
        <w:spacing w:before="240" w:line="360" w:lineRule="auto"/>
        <w:ind w:left="720" w:hanging="720"/>
        <w:jc w:val="both"/>
        <w:rPr>
          <w:rFonts w:asciiTheme="majorBidi" w:hAnsiTheme="majorBidi" w:cstheme="majorBidi"/>
          <w:color w:val="222222"/>
          <w:shd w:val="clear" w:color="auto" w:fill="FFFFFF"/>
        </w:rPr>
      </w:pPr>
      <w:proofErr w:type="spellStart"/>
      <w:r w:rsidRPr="00473ADD">
        <w:rPr>
          <w:rFonts w:asciiTheme="majorBidi" w:hAnsiTheme="majorBidi" w:cstheme="majorBidi"/>
          <w:color w:val="222222"/>
          <w:shd w:val="clear" w:color="auto" w:fill="FFFFFF"/>
        </w:rPr>
        <w:t>Mubyarto</w:t>
      </w:r>
      <w:proofErr w:type="spellEnd"/>
      <w:r w:rsidRPr="00473ADD">
        <w:rPr>
          <w:rFonts w:asciiTheme="majorBidi" w:hAnsiTheme="majorBidi" w:cstheme="majorBidi"/>
          <w:color w:val="222222"/>
          <w:shd w:val="clear" w:color="auto" w:fill="FFFFFF"/>
        </w:rPr>
        <w:t>, N., 2020. The influence of profitability on firm value using capital structure as the mediator. </w:t>
      </w:r>
      <w:proofErr w:type="spellStart"/>
      <w:r w:rsidRPr="00473ADD">
        <w:rPr>
          <w:rFonts w:asciiTheme="majorBidi" w:hAnsiTheme="majorBidi" w:cstheme="majorBidi"/>
          <w:i/>
          <w:iCs/>
          <w:color w:val="222222"/>
          <w:shd w:val="clear" w:color="auto" w:fill="FFFFFF"/>
        </w:rPr>
        <w:t>Jurnal</w:t>
      </w:r>
      <w:proofErr w:type="spellEnd"/>
      <w:r w:rsidRPr="00473ADD">
        <w:rPr>
          <w:rFonts w:asciiTheme="majorBidi" w:hAnsiTheme="majorBidi" w:cstheme="majorBidi"/>
          <w:i/>
          <w:iCs/>
          <w:color w:val="222222"/>
          <w:shd w:val="clear" w:color="auto" w:fill="FFFFFF"/>
        </w:rPr>
        <w:t xml:space="preserve"> </w:t>
      </w:r>
      <w:proofErr w:type="spellStart"/>
      <w:r w:rsidRPr="00473ADD">
        <w:rPr>
          <w:rFonts w:asciiTheme="majorBidi" w:hAnsiTheme="majorBidi" w:cstheme="majorBidi"/>
          <w:i/>
          <w:iCs/>
          <w:color w:val="222222"/>
          <w:shd w:val="clear" w:color="auto" w:fill="FFFFFF"/>
        </w:rPr>
        <w:t>Ekonomia</w:t>
      </w:r>
      <w:proofErr w:type="spellEnd"/>
      <w:r w:rsidRPr="00473ADD">
        <w:rPr>
          <w:rFonts w:asciiTheme="majorBidi" w:hAnsiTheme="majorBidi" w:cstheme="majorBidi"/>
          <w:color w:val="222222"/>
          <w:shd w:val="clear" w:color="auto" w:fill="FFFFFF"/>
        </w:rPr>
        <w:t>, </w:t>
      </w:r>
      <w:r w:rsidRPr="00473ADD">
        <w:rPr>
          <w:rFonts w:asciiTheme="majorBidi" w:hAnsiTheme="majorBidi" w:cstheme="majorBidi"/>
          <w:i/>
          <w:iCs/>
          <w:color w:val="222222"/>
          <w:shd w:val="clear" w:color="auto" w:fill="FFFFFF"/>
        </w:rPr>
        <w:t>16</w:t>
      </w:r>
      <w:r w:rsidRPr="00473ADD">
        <w:rPr>
          <w:rFonts w:asciiTheme="majorBidi" w:hAnsiTheme="majorBidi" w:cstheme="majorBidi"/>
          <w:color w:val="222222"/>
          <w:shd w:val="clear" w:color="auto" w:fill="FFFFFF"/>
        </w:rPr>
        <w:t>(2).</w:t>
      </w:r>
    </w:p>
    <w:p w14:paraId="2478D3F5" w14:textId="77777777" w:rsidR="00473ADD" w:rsidRPr="00473ADD" w:rsidRDefault="00473ADD" w:rsidP="00473ADD">
      <w:pPr>
        <w:spacing w:before="240" w:line="360" w:lineRule="auto"/>
        <w:ind w:left="720" w:hanging="720"/>
        <w:jc w:val="both"/>
        <w:rPr>
          <w:rFonts w:asciiTheme="majorBidi" w:hAnsiTheme="majorBidi" w:cstheme="majorBidi"/>
          <w:color w:val="222222"/>
          <w:shd w:val="clear" w:color="auto" w:fill="FFFFFF"/>
        </w:rPr>
      </w:pPr>
      <w:proofErr w:type="spellStart"/>
      <w:r w:rsidRPr="00473ADD">
        <w:rPr>
          <w:rFonts w:asciiTheme="majorBidi" w:hAnsiTheme="majorBidi" w:cstheme="majorBidi"/>
          <w:color w:val="222222"/>
          <w:shd w:val="clear" w:color="auto" w:fill="FFFFFF"/>
        </w:rPr>
        <w:t>Ndonye</w:t>
      </w:r>
      <w:proofErr w:type="spellEnd"/>
      <w:r w:rsidRPr="00473ADD">
        <w:rPr>
          <w:rFonts w:asciiTheme="majorBidi" w:hAnsiTheme="majorBidi" w:cstheme="majorBidi"/>
          <w:color w:val="222222"/>
          <w:shd w:val="clear" w:color="auto" w:fill="FFFFFF"/>
        </w:rPr>
        <w:t>, P.K., 2021. </w:t>
      </w:r>
      <w:r w:rsidRPr="00473ADD">
        <w:rPr>
          <w:rFonts w:asciiTheme="majorBidi" w:hAnsiTheme="majorBidi" w:cstheme="majorBidi"/>
          <w:i/>
          <w:iCs/>
          <w:color w:val="222222"/>
          <w:shd w:val="clear" w:color="auto" w:fill="FFFFFF"/>
        </w:rPr>
        <w:t>Effect of working capital management on the profitability of listed manufacturing firms in Kenya</w:t>
      </w:r>
      <w:r w:rsidRPr="00473ADD">
        <w:rPr>
          <w:rFonts w:asciiTheme="majorBidi" w:hAnsiTheme="majorBidi" w:cstheme="majorBidi"/>
          <w:color w:val="222222"/>
          <w:shd w:val="clear" w:color="auto" w:fill="FFFFFF"/>
        </w:rPr>
        <w:t xml:space="preserve"> (Doctoral dissertation, </w:t>
      </w:r>
      <w:proofErr w:type="spellStart"/>
      <w:r w:rsidRPr="00473ADD">
        <w:rPr>
          <w:rFonts w:asciiTheme="majorBidi" w:hAnsiTheme="majorBidi" w:cstheme="majorBidi"/>
          <w:color w:val="222222"/>
          <w:shd w:val="clear" w:color="auto" w:fill="FFFFFF"/>
        </w:rPr>
        <w:t>Kca</w:t>
      </w:r>
      <w:proofErr w:type="spellEnd"/>
      <w:r w:rsidRPr="00473ADD">
        <w:rPr>
          <w:rFonts w:asciiTheme="majorBidi" w:hAnsiTheme="majorBidi" w:cstheme="majorBidi"/>
          <w:color w:val="222222"/>
          <w:shd w:val="clear" w:color="auto" w:fill="FFFFFF"/>
        </w:rPr>
        <w:t xml:space="preserve"> University).</w:t>
      </w:r>
    </w:p>
    <w:p w14:paraId="4A682E40" w14:textId="77777777" w:rsidR="00473ADD" w:rsidRPr="00473ADD" w:rsidRDefault="00473ADD" w:rsidP="00473ADD">
      <w:pPr>
        <w:spacing w:before="240" w:line="360" w:lineRule="auto"/>
        <w:ind w:left="720" w:hanging="720"/>
        <w:jc w:val="both"/>
        <w:rPr>
          <w:rFonts w:asciiTheme="majorBidi" w:hAnsiTheme="majorBidi" w:cstheme="majorBidi"/>
          <w:color w:val="222222"/>
          <w:shd w:val="clear" w:color="auto" w:fill="FFFFFF"/>
        </w:rPr>
      </w:pPr>
      <w:r w:rsidRPr="00473ADD">
        <w:rPr>
          <w:rFonts w:asciiTheme="majorBidi" w:hAnsiTheme="majorBidi" w:cstheme="majorBidi"/>
          <w:color w:val="222222"/>
          <w:shd w:val="clear" w:color="auto" w:fill="FFFFFF"/>
        </w:rPr>
        <w:t>Pandey, K., 2017. </w:t>
      </w:r>
      <w:r w:rsidRPr="00473ADD">
        <w:rPr>
          <w:rFonts w:asciiTheme="majorBidi" w:hAnsiTheme="majorBidi" w:cstheme="majorBidi"/>
          <w:i/>
          <w:iCs/>
          <w:color w:val="222222"/>
          <w:shd w:val="clear" w:color="auto" w:fill="FFFFFF"/>
        </w:rPr>
        <w:t>Financial management</w:t>
      </w:r>
      <w:r w:rsidRPr="00473ADD">
        <w:rPr>
          <w:rFonts w:asciiTheme="majorBidi" w:hAnsiTheme="majorBidi" w:cstheme="majorBidi"/>
          <w:color w:val="222222"/>
          <w:shd w:val="clear" w:color="auto" w:fill="FFFFFF"/>
        </w:rPr>
        <w:t>. Lulu. com.</w:t>
      </w:r>
    </w:p>
    <w:p w14:paraId="19C33BB2" w14:textId="77777777" w:rsidR="00473ADD" w:rsidRPr="00473ADD" w:rsidRDefault="00473ADD" w:rsidP="00473ADD">
      <w:pPr>
        <w:spacing w:before="240" w:line="360" w:lineRule="auto"/>
        <w:ind w:left="720" w:hanging="720"/>
        <w:jc w:val="both"/>
        <w:rPr>
          <w:rFonts w:asciiTheme="majorBidi" w:hAnsiTheme="majorBidi" w:cstheme="majorBidi"/>
          <w:color w:val="222222"/>
          <w:shd w:val="clear" w:color="auto" w:fill="FFFFFF"/>
        </w:rPr>
      </w:pPr>
      <w:r w:rsidRPr="00473ADD">
        <w:rPr>
          <w:rFonts w:asciiTheme="majorBidi" w:hAnsiTheme="majorBidi" w:cstheme="majorBidi"/>
          <w:color w:val="222222"/>
          <w:shd w:val="clear" w:color="auto" w:fill="FFFFFF"/>
        </w:rPr>
        <w:t xml:space="preserve">Ross, S.A., </w:t>
      </w:r>
      <w:proofErr w:type="spellStart"/>
      <w:r w:rsidRPr="00473ADD">
        <w:rPr>
          <w:rFonts w:asciiTheme="majorBidi" w:hAnsiTheme="majorBidi" w:cstheme="majorBidi"/>
          <w:color w:val="222222"/>
          <w:shd w:val="clear" w:color="auto" w:fill="FFFFFF"/>
        </w:rPr>
        <w:t>Westerfield</w:t>
      </w:r>
      <w:proofErr w:type="spellEnd"/>
      <w:r w:rsidRPr="00473ADD">
        <w:rPr>
          <w:rFonts w:asciiTheme="majorBidi" w:hAnsiTheme="majorBidi" w:cstheme="majorBidi"/>
          <w:color w:val="222222"/>
          <w:shd w:val="clear" w:color="auto" w:fill="FFFFFF"/>
        </w:rPr>
        <w:t>, R.W. and Jordan, B.D., 2008. Fundamentals of corporate finance.</w:t>
      </w:r>
    </w:p>
    <w:p w14:paraId="71D5EB76" w14:textId="77777777" w:rsidR="00473ADD" w:rsidRPr="00473ADD" w:rsidRDefault="00473ADD" w:rsidP="00473ADD">
      <w:pPr>
        <w:spacing w:before="240" w:line="360" w:lineRule="auto"/>
        <w:ind w:left="720" w:hanging="720"/>
        <w:jc w:val="both"/>
        <w:rPr>
          <w:rFonts w:asciiTheme="majorBidi" w:hAnsiTheme="majorBidi" w:cstheme="majorBidi"/>
          <w:color w:val="222222"/>
          <w:shd w:val="clear" w:color="auto" w:fill="FFFFFF"/>
        </w:rPr>
      </w:pPr>
      <w:r w:rsidRPr="00473ADD">
        <w:rPr>
          <w:rFonts w:asciiTheme="majorBidi" w:hAnsiTheme="majorBidi" w:cstheme="majorBidi"/>
          <w:color w:val="222222"/>
          <w:shd w:val="clear" w:color="auto" w:fill="FFFFFF"/>
        </w:rPr>
        <w:t>Shahab, Y., Ntim, C.G. and Ullah, F., 2019. The brighter side of being socially responsible: CSR ratings and financial distress among Chinese state and non-state owned firms. </w:t>
      </w:r>
      <w:r w:rsidRPr="00473ADD">
        <w:rPr>
          <w:rFonts w:asciiTheme="majorBidi" w:hAnsiTheme="majorBidi" w:cstheme="majorBidi"/>
          <w:i/>
          <w:iCs/>
          <w:color w:val="222222"/>
          <w:shd w:val="clear" w:color="auto" w:fill="FFFFFF"/>
        </w:rPr>
        <w:t>Applied Economics Letters</w:t>
      </w:r>
      <w:r w:rsidRPr="00473ADD">
        <w:rPr>
          <w:rFonts w:asciiTheme="majorBidi" w:hAnsiTheme="majorBidi" w:cstheme="majorBidi"/>
          <w:color w:val="222222"/>
          <w:shd w:val="clear" w:color="auto" w:fill="FFFFFF"/>
        </w:rPr>
        <w:t>, </w:t>
      </w:r>
      <w:r w:rsidRPr="00473ADD">
        <w:rPr>
          <w:rFonts w:asciiTheme="majorBidi" w:hAnsiTheme="majorBidi" w:cstheme="majorBidi"/>
          <w:i/>
          <w:iCs/>
          <w:color w:val="222222"/>
          <w:shd w:val="clear" w:color="auto" w:fill="FFFFFF"/>
        </w:rPr>
        <w:t>26</w:t>
      </w:r>
      <w:r w:rsidRPr="00473ADD">
        <w:rPr>
          <w:rFonts w:asciiTheme="majorBidi" w:hAnsiTheme="majorBidi" w:cstheme="majorBidi"/>
          <w:color w:val="222222"/>
          <w:shd w:val="clear" w:color="auto" w:fill="FFFFFF"/>
        </w:rPr>
        <w:t>(3), pp.180-186.</w:t>
      </w:r>
    </w:p>
    <w:p w14:paraId="36B6F8DE" w14:textId="77777777" w:rsidR="00473ADD" w:rsidRPr="00473ADD" w:rsidRDefault="00473ADD" w:rsidP="00473ADD">
      <w:pPr>
        <w:spacing w:before="240" w:line="360" w:lineRule="auto"/>
        <w:ind w:left="720" w:hanging="720"/>
        <w:jc w:val="both"/>
        <w:rPr>
          <w:rFonts w:asciiTheme="majorBidi" w:hAnsiTheme="majorBidi" w:cstheme="majorBidi"/>
          <w:color w:val="222222"/>
          <w:shd w:val="clear" w:color="auto" w:fill="FFFFFF"/>
        </w:rPr>
      </w:pPr>
      <w:r w:rsidRPr="00473ADD">
        <w:rPr>
          <w:rFonts w:asciiTheme="majorBidi" w:hAnsiTheme="majorBidi" w:cstheme="majorBidi"/>
          <w:color w:val="222222"/>
          <w:shd w:val="clear" w:color="auto" w:fill="FFFFFF"/>
        </w:rPr>
        <w:t>Tracy, T.C., 2024. </w:t>
      </w:r>
      <w:r w:rsidRPr="00473ADD">
        <w:rPr>
          <w:rFonts w:asciiTheme="majorBidi" w:hAnsiTheme="majorBidi" w:cstheme="majorBidi"/>
          <w:i/>
          <w:iCs/>
          <w:color w:val="222222"/>
          <w:shd w:val="clear" w:color="auto" w:fill="FFFFFF"/>
        </w:rPr>
        <w:t>How to read a financial report: wringing vital signs out of the numbers</w:t>
      </w:r>
      <w:r w:rsidRPr="00473ADD">
        <w:rPr>
          <w:rFonts w:asciiTheme="majorBidi" w:hAnsiTheme="majorBidi" w:cstheme="majorBidi"/>
          <w:color w:val="222222"/>
          <w:shd w:val="clear" w:color="auto" w:fill="FFFFFF"/>
        </w:rPr>
        <w:t>. John Wiley &amp; Sons.</w:t>
      </w:r>
    </w:p>
    <w:p w14:paraId="24761ED0" w14:textId="77777777" w:rsidR="00473ADD" w:rsidRPr="00473ADD" w:rsidRDefault="00473ADD" w:rsidP="00473ADD">
      <w:pPr>
        <w:spacing w:before="240" w:line="360" w:lineRule="auto"/>
        <w:ind w:left="720" w:hanging="720"/>
        <w:jc w:val="both"/>
        <w:rPr>
          <w:rFonts w:asciiTheme="majorBidi" w:hAnsiTheme="majorBidi" w:cstheme="majorBidi"/>
          <w:color w:val="222222"/>
          <w:shd w:val="clear" w:color="auto" w:fill="FFFFFF"/>
        </w:rPr>
      </w:pPr>
      <w:r w:rsidRPr="00473ADD">
        <w:rPr>
          <w:rFonts w:asciiTheme="majorBidi" w:hAnsiTheme="majorBidi" w:cstheme="majorBidi"/>
          <w:color w:val="222222"/>
          <w:shd w:val="clear" w:color="auto" w:fill="FFFFFF"/>
        </w:rPr>
        <w:t>World Bank Group, 2024. </w:t>
      </w:r>
      <w:r w:rsidRPr="00473ADD">
        <w:rPr>
          <w:rFonts w:asciiTheme="majorBidi" w:hAnsiTheme="majorBidi" w:cstheme="majorBidi"/>
          <w:i/>
          <w:iCs/>
          <w:color w:val="222222"/>
          <w:shd w:val="clear" w:color="auto" w:fill="FFFFFF"/>
        </w:rPr>
        <w:t>Global Economic Prospects, June 2024</w:t>
      </w:r>
      <w:r w:rsidRPr="00473ADD">
        <w:rPr>
          <w:rFonts w:asciiTheme="majorBidi" w:hAnsiTheme="majorBidi" w:cstheme="majorBidi"/>
          <w:color w:val="222222"/>
          <w:shd w:val="clear" w:color="auto" w:fill="FFFFFF"/>
        </w:rPr>
        <w:t>. World Bank Publications.</w:t>
      </w:r>
    </w:p>
    <w:p w14:paraId="6288D3F2" w14:textId="77777777" w:rsidR="00473ADD" w:rsidRPr="00473ADD" w:rsidRDefault="00473ADD" w:rsidP="00473ADD">
      <w:pPr>
        <w:spacing w:before="240" w:line="360" w:lineRule="auto"/>
        <w:ind w:left="720" w:hanging="720"/>
        <w:jc w:val="both"/>
        <w:rPr>
          <w:rFonts w:asciiTheme="majorBidi" w:hAnsiTheme="majorBidi" w:cstheme="majorBidi"/>
          <w:color w:val="222222"/>
          <w:shd w:val="clear" w:color="auto" w:fill="FFFFFF"/>
        </w:rPr>
      </w:pPr>
      <w:r w:rsidRPr="00473ADD">
        <w:rPr>
          <w:rFonts w:asciiTheme="majorBidi" w:hAnsiTheme="majorBidi" w:cstheme="majorBidi"/>
          <w:color w:val="222222"/>
          <w:shd w:val="clear" w:color="auto" w:fill="FFFFFF"/>
        </w:rPr>
        <w:t>Zutter, C.J. and Smart, S.B., 2019. </w:t>
      </w:r>
      <w:r w:rsidRPr="00473ADD">
        <w:rPr>
          <w:rFonts w:asciiTheme="majorBidi" w:hAnsiTheme="majorBidi" w:cstheme="majorBidi"/>
          <w:i/>
          <w:iCs/>
          <w:color w:val="222222"/>
          <w:shd w:val="clear" w:color="auto" w:fill="FFFFFF"/>
        </w:rPr>
        <w:t>Principles of managerial finance</w:t>
      </w:r>
      <w:r w:rsidRPr="00473ADD">
        <w:rPr>
          <w:rFonts w:asciiTheme="majorBidi" w:hAnsiTheme="majorBidi" w:cstheme="majorBidi"/>
          <w:color w:val="222222"/>
          <w:shd w:val="clear" w:color="auto" w:fill="FFFFFF"/>
        </w:rPr>
        <w:t> (Vol. 35). London: Pearson.</w:t>
      </w:r>
    </w:p>
    <w:p w14:paraId="42E87924" w14:textId="2A558076" w:rsidR="00C43A9C" w:rsidRPr="00C43A9C" w:rsidRDefault="00C43A9C" w:rsidP="00473ADD">
      <w:pPr>
        <w:spacing w:before="240" w:after="160" w:line="360" w:lineRule="auto"/>
        <w:jc w:val="both"/>
      </w:pPr>
      <w:r w:rsidRPr="00C43A9C">
        <w:br w:type="page"/>
      </w:r>
    </w:p>
    <w:p w14:paraId="3644DC31" w14:textId="77777777" w:rsidR="007B22C3" w:rsidRPr="00C43A9C" w:rsidRDefault="007B22C3" w:rsidP="00473ADD">
      <w:pPr>
        <w:pStyle w:val="Heading1"/>
        <w:spacing w:before="240" w:line="360" w:lineRule="auto"/>
        <w:jc w:val="both"/>
        <w:rPr>
          <w:rFonts w:ascii="Times New Roman" w:hAnsi="Times New Roman" w:cs="Times New Roman"/>
          <w:b/>
          <w:bCs/>
          <w:color w:val="auto"/>
          <w:sz w:val="24"/>
          <w:szCs w:val="24"/>
        </w:rPr>
      </w:pPr>
      <w:bookmarkStart w:id="8" w:name="_Toc214577428"/>
      <w:r w:rsidRPr="00C43A9C">
        <w:rPr>
          <w:rFonts w:ascii="Times New Roman" w:hAnsi="Times New Roman" w:cs="Times New Roman"/>
          <w:b/>
          <w:bCs/>
          <w:color w:val="auto"/>
          <w:sz w:val="24"/>
          <w:szCs w:val="24"/>
        </w:rPr>
        <w:t>Appendices</w:t>
      </w:r>
      <w:bookmarkEnd w:id="8"/>
    </w:p>
    <w:p w14:paraId="0AC0195F" w14:textId="77777777" w:rsidR="007B22C3" w:rsidRPr="00C43A9C" w:rsidRDefault="007B22C3" w:rsidP="00473ADD">
      <w:pPr>
        <w:spacing w:before="240" w:after="100" w:afterAutospacing="1" w:line="360" w:lineRule="auto"/>
        <w:jc w:val="both"/>
        <w:outlineLvl w:val="3"/>
        <w:rPr>
          <w:b/>
          <w:bCs/>
        </w:rPr>
      </w:pPr>
      <w:r w:rsidRPr="00C43A9C">
        <w:rPr>
          <w:b/>
          <w:bCs/>
        </w:rPr>
        <w:t>1. Ratio Tables and Graphs</w:t>
      </w:r>
    </w:p>
    <w:p w14:paraId="1FC9898F" w14:textId="77777777" w:rsidR="007B22C3" w:rsidRPr="00C43A9C" w:rsidRDefault="007B22C3" w:rsidP="00473ADD">
      <w:pPr>
        <w:spacing w:before="240" w:after="100" w:afterAutospacing="1" w:line="360" w:lineRule="auto"/>
        <w:jc w:val="both"/>
        <w:outlineLvl w:val="4"/>
        <w:rPr>
          <w:b/>
          <w:bCs/>
        </w:rPr>
      </w:pPr>
      <w:r w:rsidRPr="00C43A9C">
        <w:rPr>
          <w:b/>
          <w:bCs/>
        </w:rPr>
        <w:t>1.1 Profitability Ratios</w:t>
      </w:r>
    </w:p>
    <w:tbl>
      <w:tblPr>
        <w:tblW w:w="9520" w:type="dxa"/>
        <w:tblLook w:val="04A0" w:firstRow="1" w:lastRow="0" w:firstColumn="1" w:lastColumn="0" w:noHBand="0" w:noVBand="1"/>
      </w:tblPr>
      <w:tblGrid>
        <w:gridCol w:w="3020"/>
        <w:gridCol w:w="1300"/>
        <w:gridCol w:w="1300"/>
        <w:gridCol w:w="1300"/>
        <w:gridCol w:w="1300"/>
        <w:gridCol w:w="1300"/>
      </w:tblGrid>
      <w:tr w:rsidR="00C43A9C" w:rsidRPr="00C43A9C" w14:paraId="2C6788CB" w14:textId="77777777" w:rsidTr="00E82219">
        <w:trPr>
          <w:trHeight w:val="340"/>
        </w:trPr>
        <w:tc>
          <w:tcPr>
            <w:tcW w:w="3020" w:type="dxa"/>
            <w:tcBorders>
              <w:top w:val="single" w:sz="4" w:space="0" w:color="auto"/>
              <w:left w:val="single" w:sz="4" w:space="0" w:color="auto"/>
              <w:bottom w:val="single" w:sz="4" w:space="0" w:color="auto"/>
              <w:right w:val="single" w:sz="4" w:space="0" w:color="auto"/>
            </w:tcBorders>
            <w:vAlign w:val="center"/>
            <w:hideMark/>
          </w:tcPr>
          <w:p w14:paraId="46F751CB" w14:textId="77777777" w:rsidR="00E82219" w:rsidRPr="00C43A9C" w:rsidRDefault="00E82219" w:rsidP="00473ADD">
            <w:pPr>
              <w:spacing w:before="240" w:line="360" w:lineRule="auto"/>
              <w:jc w:val="both"/>
              <w:rPr>
                <w:b/>
                <w:bCs/>
              </w:rPr>
            </w:pPr>
            <w:r w:rsidRPr="00C43A9C">
              <w:rPr>
                <w:b/>
                <w:bCs/>
              </w:rPr>
              <w:t>Ratio</w:t>
            </w:r>
          </w:p>
        </w:tc>
        <w:tc>
          <w:tcPr>
            <w:tcW w:w="1300" w:type="dxa"/>
            <w:tcBorders>
              <w:top w:val="single" w:sz="4" w:space="0" w:color="auto"/>
              <w:left w:val="nil"/>
              <w:bottom w:val="single" w:sz="4" w:space="0" w:color="auto"/>
              <w:right w:val="single" w:sz="4" w:space="0" w:color="auto"/>
            </w:tcBorders>
            <w:vAlign w:val="center"/>
            <w:hideMark/>
          </w:tcPr>
          <w:p w14:paraId="1909B8F5" w14:textId="77777777" w:rsidR="00E82219" w:rsidRPr="00C43A9C" w:rsidRDefault="00E82219" w:rsidP="00473ADD">
            <w:pPr>
              <w:spacing w:before="240" w:line="360" w:lineRule="auto"/>
              <w:jc w:val="both"/>
              <w:rPr>
                <w:b/>
                <w:bCs/>
              </w:rPr>
            </w:pPr>
            <w:r w:rsidRPr="00C43A9C">
              <w:rPr>
                <w:b/>
                <w:bCs/>
              </w:rPr>
              <w:t>2024</w:t>
            </w:r>
          </w:p>
        </w:tc>
        <w:tc>
          <w:tcPr>
            <w:tcW w:w="1300" w:type="dxa"/>
            <w:tcBorders>
              <w:top w:val="single" w:sz="4" w:space="0" w:color="auto"/>
              <w:left w:val="nil"/>
              <w:bottom w:val="single" w:sz="4" w:space="0" w:color="auto"/>
              <w:right w:val="single" w:sz="4" w:space="0" w:color="auto"/>
            </w:tcBorders>
            <w:vAlign w:val="center"/>
            <w:hideMark/>
          </w:tcPr>
          <w:p w14:paraId="25094B2C" w14:textId="77777777" w:rsidR="00E82219" w:rsidRPr="00C43A9C" w:rsidRDefault="00E82219" w:rsidP="00473ADD">
            <w:pPr>
              <w:spacing w:before="240" w:line="360" w:lineRule="auto"/>
              <w:jc w:val="both"/>
              <w:rPr>
                <w:b/>
                <w:bCs/>
              </w:rPr>
            </w:pPr>
            <w:r w:rsidRPr="00C43A9C">
              <w:rPr>
                <w:b/>
                <w:bCs/>
              </w:rPr>
              <w:t>2023</w:t>
            </w:r>
          </w:p>
        </w:tc>
        <w:tc>
          <w:tcPr>
            <w:tcW w:w="1300" w:type="dxa"/>
            <w:tcBorders>
              <w:top w:val="single" w:sz="4" w:space="0" w:color="auto"/>
              <w:left w:val="nil"/>
              <w:bottom w:val="single" w:sz="4" w:space="0" w:color="auto"/>
              <w:right w:val="single" w:sz="4" w:space="0" w:color="auto"/>
            </w:tcBorders>
            <w:vAlign w:val="center"/>
            <w:hideMark/>
          </w:tcPr>
          <w:p w14:paraId="7095AB5A" w14:textId="77777777" w:rsidR="00E82219" w:rsidRPr="00C43A9C" w:rsidRDefault="00E82219" w:rsidP="00473ADD">
            <w:pPr>
              <w:spacing w:before="240" w:line="360" w:lineRule="auto"/>
              <w:jc w:val="both"/>
              <w:rPr>
                <w:b/>
                <w:bCs/>
              </w:rPr>
            </w:pPr>
            <w:r w:rsidRPr="00C43A9C">
              <w:rPr>
                <w:b/>
                <w:bCs/>
              </w:rPr>
              <w:t>2022</w:t>
            </w:r>
          </w:p>
        </w:tc>
        <w:tc>
          <w:tcPr>
            <w:tcW w:w="1300" w:type="dxa"/>
            <w:tcBorders>
              <w:top w:val="single" w:sz="4" w:space="0" w:color="auto"/>
              <w:left w:val="nil"/>
              <w:bottom w:val="single" w:sz="4" w:space="0" w:color="auto"/>
              <w:right w:val="single" w:sz="4" w:space="0" w:color="auto"/>
            </w:tcBorders>
            <w:vAlign w:val="center"/>
            <w:hideMark/>
          </w:tcPr>
          <w:p w14:paraId="38DB89C4" w14:textId="77777777" w:rsidR="00E82219" w:rsidRPr="00C43A9C" w:rsidRDefault="00E82219" w:rsidP="00473ADD">
            <w:pPr>
              <w:spacing w:before="240" w:line="360" w:lineRule="auto"/>
              <w:jc w:val="both"/>
              <w:rPr>
                <w:b/>
                <w:bCs/>
              </w:rPr>
            </w:pPr>
            <w:r w:rsidRPr="00C43A9C">
              <w:rPr>
                <w:b/>
                <w:bCs/>
              </w:rPr>
              <w:t>2021</w:t>
            </w:r>
          </w:p>
        </w:tc>
        <w:tc>
          <w:tcPr>
            <w:tcW w:w="1300" w:type="dxa"/>
            <w:tcBorders>
              <w:top w:val="single" w:sz="4" w:space="0" w:color="auto"/>
              <w:left w:val="nil"/>
              <w:bottom w:val="single" w:sz="4" w:space="0" w:color="auto"/>
              <w:right w:val="single" w:sz="4" w:space="0" w:color="auto"/>
            </w:tcBorders>
            <w:vAlign w:val="center"/>
            <w:hideMark/>
          </w:tcPr>
          <w:p w14:paraId="5940F799" w14:textId="77777777" w:rsidR="00E82219" w:rsidRPr="00C43A9C" w:rsidRDefault="00E82219" w:rsidP="00473ADD">
            <w:pPr>
              <w:spacing w:before="240" w:line="360" w:lineRule="auto"/>
              <w:jc w:val="both"/>
              <w:rPr>
                <w:b/>
                <w:bCs/>
              </w:rPr>
            </w:pPr>
            <w:r w:rsidRPr="00C43A9C">
              <w:rPr>
                <w:b/>
                <w:bCs/>
              </w:rPr>
              <w:t>2020</w:t>
            </w:r>
          </w:p>
        </w:tc>
      </w:tr>
      <w:tr w:rsidR="00C43A9C" w:rsidRPr="00C43A9C" w14:paraId="5DE19EBA" w14:textId="77777777" w:rsidTr="00E82219">
        <w:trPr>
          <w:trHeight w:val="340"/>
        </w:trPr>
        <w:tc>
          <w:tcPr>
            <w:tcW w:w="3020" w:type="dxa"/>
            <w:tcBorders>
              <w:top w:val="nil"/>
              <w:left w:val="single" w:sz="4" w:space="0" w:color="auto"/>
              <w:bottom w:val="single" w:sz="4" w:space="0" w:color="auto"/>
              <w:right w:val="single" w:sz="4" w:space="0" w:color="auto"/>
            </w:tcBorders>
            <w:vAlign w:val="center"/>
            <w:hideMark/>
          </w:tcPr>
          <w:p w14:paraId="1AF78FEB" w14:textId="77777777" w:rsidR="00E82219" w:rsidRPr="00C43A9C" w:rsidRDefault="00E82219" w:rsidP="00473ADD">
            <w:pPr>
              <w:spacing w:before="240" w:line="360" w:lineRule="auto"/>
              <w:jc w:val="both"/>
              <w:rPr>
                <w:b/>
                <w:bCs/>
              </w:rPr>
            </w:pPr>
            <w:r w:rsidRPr="00C43A9C">
              <w:rPr>
                <w:b/>
                <w:bCs/>
              </w:rPr>
              <w:t>Gross Profit Margin</w:t>
            </w:r>
          </w:p>
        </w:tc>
        <w:tc>
          <w:tcPr>
            <w:tcW w:w="1300" w:type="dxa"/>
            <w:tcBorders>
              <w:top w:val="nil"/>
              <w:left w:val="nil"/>
              <w:bottom w:val="single" w:sz="4" w:space="0" w:color="auto"/>
              <w:right w:val="single" w:sz="4" w:space="0" w:color="auto"/>
            </w:tcBorders>
            <w:vAlign w:val="center"/>
            <w:hideMark/>
          </w:tcPr>
          <w:p w14:paraId="2658D861" w14:textId="77777777" w:rsidR="00E82219" w:rsidRPr="00C43A9C" w:rsidRDefault="00E82219" w:rsidP="00473ADD">
            <w:pPr>
              <w:spacing w:before="240" w:line="360" w:lineRule="auto"/>
              <w:jc w:val="both"/>
            </w:pPr>
            <w:r w:rsidRPr="00C43A9C">
              <w:t>28.90%</w:t>
            </w:r>
          </w:p>
        </w:tc>
        <w:tc>
          <w:tcPr>
            <w:tcW w:w="1300" w:type="dxa"/>
            <w:tcBorders>
              <w:top w:val="nil"/>
              <w:left w:val="nil"/>
              <w:bottom w:val="single" w:sz="4" w:space="0" w:color="auto"/>
              <w:right w:val="single" w:sz="4" w:space="0" w:color="auto"/>
            </w:tcBorders>
            <w:vAlign w:val="center"/>
            <w:hideMark/>
          </w:tcPr>
          <w:p w14:paraId="3971C8F2" w14:textId="77777777" w:rsidR="00E82219" w:rsidRPr="00C43A9C" w:rsidRDefault="00E82219" w:rsidP="00473ADD">
            <w:pPr>
              <w:spacing w:before="240" w:line="360" w:lineRule="auto"/>
              <w:jc w:val="both"/>
            </w:pPr>
            <w:r w:rsidRPr="00C43A9C">
              <w:t>23.20%</w:t>
            </w:r>
          </w:p>
        </w:tc>
        <w:tc>
          <w:tcPr>
            <w:tcW w:w="1300" w:type="dxa"/>
            <w:tcBorders>
              <w:top w:val="nil"/>
              <w:left w:val="nil"/>
              <w:bottom w:val="single" w:sz="4" w:space="0" w:color="auto"/>
              <w:right w:val="single" w:sz="4" w:space="0" w:color="auto"/>
            </w:tcBorders>
            <w:vAlign w:val="center"/>
            <w:hideMark/>
          </w:tcPr>
          <w:p w14:paraId="5D36BF3C" w14:textId="77777777" w:rsidR="00E82219" w:rsidRPr="00C43A9C" w:rsidRDefault="00E82219" w:rsidP="00473ADD">
            <w:pPr>
              <w:spacing w:before="240" w:line="360" w:lineRule="auto"/>
              <w:jc w:val="both"/>
            </w:pPr>
            <w:r w:rsidRPr="00C43A9C">
              <w:t>28.10%</w:t>
            </w:r>
          </w:p>
        </w:tc>
        <w:tc>
          <w:tcPr>
            <w:tcW w:w="1300" w:type="dxa"/>
            <w:tcBorders>
              <w:top w:val="nil"/>
              <w:left w:val="nil"/>
              <w:bottom w:val="single" w:sz="4" w:space="0" w:color="auto"/>
              <w:right w:val="single" w:sz="4" w:space="0" w:color="auto"/>
            </w:tcBorders>
            <w:vAlign w:val="center"/>
            <w:hideMark/>
          </w:tcPr>
          <w:p w14:paraId="18533A0A" w14:textId="77777777" w:rsidR="00E82219" w:rsidRPr="00C43A9C" w:rsidRDefault="00E82219" w:rsidP="00473ADD">
            <w:pPr>
              <w:spacing w:before="240" w:line="360" w:lineRule="auto"/>
              <w:jc w:val="both"/>
            </w:pPr>
            <w:r w:rsidRPr="00C43A9C">
              <w:t>28.80%</w:t>
            </w:r>
          </w:p>
        </w:tc>
        <w:tc>
          <w:tcPr>
            <w:tcW w:w="1300" w:type="dxa"/>
            <w:tcBorders>
              <w:top w:val="nil"/>
              <w:left w:val="nil"/>
              <w:bottom w:val="single" w:sz="4" w:space="0" w:color="auto"/>
              <w:right w:val="single" w:sz="4" w:space="0" w:color="auto"/>
            </w:tcBorders>
            <w:vAlign w:val="center"/>
            <w:hideMark/>
          </w:tcPr>
          <w:p w14:paraId="4BE651EC" w14:textId="77777777" w:rsidR="00E82219" w:rsidRPr="00C43A9C" w:rsidRDefault="00E82219" w:rsidP="00473ADD">
            <w:pPr>
              <w:spacing w:before="240" w:line="360" w:lineRule="auto"/>
              <w:jc w:val="both"/>
            </w:pPr>
            <w:r w:rsidRPr="00C43A9C">
              <w:t>28.60%</w:t>
            </w:r>
          </w:p>
        </w:tc>
      </w:tr>
      <w:tr w:rsidR="00C43A9C" w:rsidRPr="00C43A9C" w14:paraId="133BC45B" w14:textId="77777777" w:rsidTr="00E82219">
        <w:trPr>
          <w:trHeight w:val="340"/>
        </w:trPr>
        <w:tc>
          <w:tcPr>
            <w:tcW w:w="3020" w:type="dxa"/>
            <w:tcBorders>
              <w:top w:val="nil"/>
              <w:left w:val="single" w:sz="4" w:space="0" w:color="auto"/>
              <w:bottom w:val="single" w:sz="4" w:space="0" w:color="auto"/>
              <w:right w:val="single" w:sz="4" w:space="0" w:color="auto"/>
            </w:tcBorders>
            <w:vAlign w:val="center"/>
            <w:hideMark/>
          </w:tcPr>
          <w:p w14:paraId="3393372A" w14:textId="77777777" w:rsidR="00E82219" w:rsidRPr="00C43A9C" w:rsidRDefault="00E82219" w:rsidP="00473ADD">
            <w:pPr>
              <w:spacing w:before="240" w:line="360" w:lineRule="auto"/>
              <w:jc w:val="both"/>
              <w:rPr>
                <w:b/>
                <w:bCs/>
              </w:rPr>
            </w:pPr>
            <w:r w:rsidRPr="00C43A9C">
              <w:rPr>
                <w:b/>
                <w:bCs/>
              </w:rPr>
              <w:t>Operating Profit Margin</w:t>
            </w:r>
          </w:p>
        </w:tc>
        <w:tc>
          <w:tcPr>
            <w:tcW w:w="1300" w:type="dxa"/>
            <w:tcBorders>
              <w:top w:val="nil"/>
              <w:left w:val="nil"/>
              <w:bottom w:val="single" w:sz="4" w:space="0" w:color="auto"/>
              <w:right w:val="single" w:sz="4" w:space="0" w:color="auto"/>
            </w:tcBorders>
            <w:vAlign w:val="center"/>
            <w:hideMark/>
          </w:tcPr>
          <w:p w14:paraId="31B807D2" w14:textId="77777777" w:rsidR="00E82219" w:rsidRPr="00C43A9C" w:rsidRDefault="00E82219" w:rsidP="00473ADD">
            <w:pPr>
              <w:spacing w:before="240" w:line="360" w:lineRule="auto"/>
              <w:jc w:val="both"/>
            </w:pPr>
            <w:r w:rsidRPr="00C43A9C">
              <w:t>-3.90%</w:t>
            </w:r>
          </w:p>
        </w:tc>
        <w:tc>
          <w:tcPr>
            <w:tcW w:w="1300" w:type="dxa"/>
            <w:tcBorders>
              <w:top w:val="nil"/>
              <w:left w:val="nil"/>
              <w:bottom w:val="single" w:sz="4" w:space="0" w:color="auto"/>
              <w:right w:val="single" w:sz="4" w:space="0" w:color="auto"/>
            </w:tcBorders>
            <w:vAlign w:val="center"/>
            <w:hideMark/>
          </w:tcPr>
          <w:p w14:paraId="7C10DAA7" w14:textId="77777777" w:rsidR="00E82219" w:rsidRPr="00C43A9C" w:rsidRDefault="00E82219" w:rsidP="00473ADD">
            <w:pPr>
              <w:spacing w:before="240" w:line="360" w:lineRule="auto"/>
              <w:jc w:val="both"/>
            </w:pPr>
            <w:r w:rsidRPr="00C43A9C">
              <w:t>-20.30%</w:t>
            </w:r>
          </w:p>
        </w:tc>
        <w:tc>
          <w:tcPr>
            <w:tcW w:w="1300" w:type="dxa"/>
            <w:tcBorders>
              <w:top w:val="nil"/>
              <w:left w:val="nil"/>
              <w:bottom w:val="single" w:sz="4" w:space="0" w:color="auto"/>
              <w:right w:val="single" w:sz="4" w:space="0" w:color="auto"/>
            </w:tcBorders>
            <w:vAlign w:val="center"/>
            <w:hideMark/>
          </w:tcPr>
          <w:p w14:paraId="2DA130EE" w14:textId="77777777" w:rsidR="00E82219" w:rsidRPr="00C43A9C" w:rsidRDefault="00E82219" w:rsidP="00473ADD">
            <w:pPr>
              <w:spacing w:before="240" w:line="360" w:lineRule="auto"/>
              <w:jc w:val="both"/>
            </w:pPr>
            <w:r w:rsidRPr="00C43A9C">
              <w:t>2.70%</w:t>
            </w:r>
          </w:p>
        </w:tc>
        <w:tc>
          <w:tcPr>
            <w:tcW w:w="1300" w:type="dxa"/>
            <w:tcBorders>
              <w:top w:val="nil"/>
              <w:left w:val="nil"/>
              <w:bottom w:val="single" w:sz="4" w:space="0" w:color="auto"/>
              <w:right w:val="single" w:sz="4" w:space="0" w:color="auto"/>
            </w:tcBorders>
            <w:vAlign w:val="center"/>
            <w:hideMark/>
          </w:tcPr>
          <w:p w14:paraId="1BDEE278" w14:textId="77777777" w:rsidR="00E82219" w:rsidRPr="00C43A9C" w:rsidRDefault="00E82219" w:rsidP="00473ADD">
            <w:pPr>
              <w:spacing w:before="240" w:line="360" w:lineRule="auto"/>
              <w:jc w:val="both"/>
            </w:pPr>
            <w:r w:rsidRPr="00C43A9C">
              <w:t>3.90%</w:t>
            </w:r>
          </w:p>
        </w:tc>
        <w:tc>
          <w:tcPr>
            <w:tcW w:w="1300" w:type="dxa"/>
            <w:tcBorders>
              <w:top w:val="nil"/>
              <w:left w:val="nil"/>
              <w:bottom w:val="single" w:sz="4" w:space="0" w:color="auto"/>
              <w:right w:val="single" w:sz="4" w:space="0" w:color="auto"/>
            </w:tcBorders>
            <w:vAlign w:val="center"/>
            <w:hideMark/>
          </w:tcPr>
          <w:p w14:paraId="50A2DE6C" w14:textId="77777777" w:rsidR="00E82219" w:rsidRPr="00C43A9C" w:rsidRDefault="00E82219" w:rsidP="00473ADD">
            <w:pPr>
              <w:spacing w:before="240" w:line="360" w:lineRule="auto"/>
              <w:jc w:val="both"/>
            </w:pPr>
            <w:r w:rsidRPr="00C43A9C">
              <w:t>6.10%</w:t>
            </w:r>
          </w:p>
        </w:tc>
      </w:tr>
      <w:tr w:rsidR="00C43A9C" w:rsidRPr="00C43A9C" w14:paraId="3961147F" w14:textId="77777777" w:rsidTr="00E82219">
        <w:trPr>
          <w:trHeight w:val="340"/>
        </w:trPr>
        <w:tc>
          <w:tcPr>
            <w:tcW w:w="3020" w:type="dxa"/>
            <w:tcBorders>
              <w:top w:val="nil"/>
              <w:left w:val="single" w:sz="4" w:space="0" w:color="auto"/>
              <w:bottom w:val="single" w:sz="4" w:space="0" w:color="auto"/>
              <w:right w:val="single" w:sz="4" w:space="0" w:color="auto"/>
            </w:tcBorders>
            <w:vAlign w:val="center"/>
            <w:hideMark/>
          </w:tcPr>
          <w:p w14:paraId="76E898D8" w14:textId="77777777" w:rsidR="00E82219" w:rsidRPr="00C43A9C" w:rsidRDefault="00E82219" w:rsidP="00473ADD">
            <w:pPr>
              <w:spacing w:before="240" w:line="360" w:lineRule="auto"/>
              <w:jc w:val="both"/>
              <w:rPr>
                <w:b/>
                <w:bCs/>
              </w:rPr>
            </w:pPr>
            <w:r w:rsidRPr="00C43A9C">
              <w:rPr>
                <w:b/>
                <w:bCs/>
              </w:rPr>
              <w:t>Net Profit Margin</w:t>
            </w:r>
          </w:p>
        </w:tc>
        <w:tc>
          <w:tcPr>
            <w:tcW w:w="1300" w:type="dxa"/>
            <w:tcBorders>
              <w:top w:val="nil"/>
              <w:left w:val="nil"/>
              <w:bottom w:val="single" w:sz="4" w:space="0" w:color="auto"/>
              <w:right w:val="single" w:sz="4" w:space="0" w:color="auto"/>
            </w:tcBorders>
            <w:vAlign w:val="center"/>
            <w:hideMark/>
          </w:tcPr>
          <w:p w14:paraId="543C82BD" w14:textId="77777777" w:rsidR="00E82219" w:rsidRPr="00C43A9C" w:rsidRDefault="00E82219" w:rsidP="00473ADD">
            <w:pPr>
              <w:spacing w:before="240" w:line="360" w:lineRule="auto"/>
              <w:jc w:val="both"/>
            </w:pPr>
            <w:r w:rsidRPr="00C43A9C">
              <w:t>-6.10%</w:t>
            </w:r>
          </w:p>
        </w:tc>
        <w:tc>
          <w:tcPr>
            <w:tcW w:w="1300" w:type="dxa"/>
            <w:tcBorders>
              <w:top w:val="nil"/>
              <w:left w:val="nil"/>
              <w:bottom w:val="single" w:sz="4" w:space="0" w:color="auto"/>
              <w:right w:val="single" w:sz="4" w:space="0" w:color="auto"/>
            </w:tcBorders>
            <w:vAlign w:val="center"/>
            <w:hideMark/>
          </w:tcPr>
          <w:p w14:paraId="307078A2" w14:textId="77777777" w:rsidR="00E82219" w:rsidRPr="00C43A9C" w:rsidRDefault="00E82219" w:rsidP="00473ADD">
            <w:pPr>
              <w:spacing w:before="240" w:line="360" w:lineRule="auto"/>
              <w:jc w:val="both"/>
            </w:pPr>
            <w:r w:rsidRPr="00C43A9C">
              <w:t>-23.40%</w:t>
            </w:r>
          </w:p>
        </w:tc>
        <w:tc>
          <w:tcPr>
            <w:tcW w:w="1300" w:type="dxa"/>
            <w:tcBorders>
              <w:top w:val="nil"/>
              <w:left w:val="nil"/>
              <w:bottom w:val="single" w:sz="4" w:space="0" w:color="auto"/>
              <w:right w:val="single" w:sz="4" w:space="0" w:color="auto"/>
            </w:tcBorders>
            <w:vAlign w:val="center"/>
            <w:hideMark/>
          </w:tcPr>
          <w:p w14:paraId="65D0AEDF" w14:textId="77777777" w:rsidR="00E82219" w:rsidRPr="00C43A9C" w:rsidRDefault="00E82219" w:rsidP="00473ADD">
            <w:pPr>
              <w:spacing w:before="240" w:line="360" w:lineRule="auto"/>
              <w:jc w:val="both"/>
            </w:pPr>
            <w:r w:rsidRPr="00C43A9C">
              <w:t>0.10%</w:t>
            </w:r>
          </w:p>
        </w:tc>
        <w:tc>
          <w:tcPr>
            <w:tcW w:w="1300" w:type="dxa"/>
            <w:tcBorders>
              <w:top w:val="nil"/>
              <w:left w:val="nil"/>
              <w:bottom w:val="single" w:sz="4" w:space="0" w:color="auto"/>
              <w:right w:val="single" w:sz="4" w:space="0" w:color="auto"/>
            </w:tcBorders>
            <w:vAlign w:val="center"/>
            <w:hideMark/>
          </w:tcPr>
          <w:p w14:paraId="11D1A0EB" w14:textId="77777777" w:rsidR="00E82219" w:rsidRPr="00C43A9C" w:rsidRDefault="00E82219" w:rsidP="00473ADD">
            <w:pPr>
              <w:spacing w:before="240" w:line="360" w:lineRule="auto"/>
              <w:jc w:val="both"/>
            </w:pPr>
            <w:r w:rsidRPr="00C43A9C">
              <w:t>0.90%</w:t>
            </w:r>
          </w:p>
        </w:tc>
        <w:tc>
          <w:tcPr>
            <w:tcW w:w="1300" w:type="dxa"/>
            <w:tcBorders>
              <w:top w:val="nil"/>
              <w:left w:val="nil"/>
              <w:bottom w:val="single" w:sz="4" w:space="0" w:color="auto"/>
              <w:right w:val="single" w:sz="4" w:space="0" w:color="auto"/>
            </w:tcBorders>
            <w:vAlign w:val="center"/>
            <w:hideMark/>
          </w:tcPr>
          <w:p w14:paraId="32170D2C" w14:textId="77777777" w:rsidR="00E82219" w:rsidRPr="00C43A9C" w:rsidRDefault="00E82219" w:rsidP="00473ADD">
            <w:pPr>
              <w:spacing w:before="240" w:line="360" w:lineRule="auto"/>
              <w:jc w:val="both"/>
            </w:pPr>
            <w:r w:rsidRPr="00C43A9C">
              <w:t>6.30%</w:t>
            </w:r>
          </w:p>
        </w:tc>
      </w:tr>
    </w:tbl>
    <w:p w14:paraId="0DD2D964" w14:textId="77777777" w:rsidR="00E82219" w:rsidRPr="00C43A9C" w:rsidRDefault="00E82219" w:rsidP="00473ADD">
      <w:pPr>
        <w:spacing w:before="240" w:after="100" w:afterAutospacing="1" w:line="360" w:lineRule="auto"/>
        <w:jc w:val="both"/>
        <w:outlineLvl w:val="4"/>
        <w:rPr>
          <w:b/>
          <w:bCs/>
        </w:rPr>
      </w:pPr>
    </w:p>
    <w:p w14:paraId="7DB61054" w14:textId="3167B09B" w:rsidR="00E82219" w:rsidRPr="00C43A9C" w:rsidRDefault="00E82219" w:rsidP="00473ADD">
      <w:pPr>
        <w:spacing w:before="240" w:after="100" w:afterAutospacing="1" w:line="360" w:lineRule="auto"/>
        <w:jc w:val="both"/>
        <w:outlineLvl w:val="4"/>
        <w:rPr>
          <w:b/>
          <w:bCs/>
        </w:rPr>
      </w:pPr>
      <w:r w:rsidRPr="00C43A9C">
        <w:rPr>
          <w:noProof/>
          <w14:ligatures w14:val="standardContextual"/>
        </w:rPr>
        <w:drawing>
          <wp:inline distT="0" distB="0" distL="0" distR="0" wp14:anchorId="71EF01F9" wp14:editId="792B9B39">
            <wp:extent cx="4572000" cy="2743200"/>
            <wp:effectExtent l="0" t="0" r="12700" b="12700"/>
            <wp:docPr id="1104267347" name="Chart 1">
              <a:extLst xmlns:a="http://schemas.openxmlformats.org/drawingml/2006/main">
                <a:ext uri="{FF2B5EF4-FFF2-40B4-BE49-F238E27FC236}">
                  <a16:creationId xmlns:a16="http://schemas.microsoft.com/office/drawing/2014/main" id="{434B172B-21AC-2B67-5E3E-642580B0DF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CCB4377" w14:textId="0600F90E" w:rsidR="00E82219" w:rsidRPr="00C43A9C" w:rsidRDefault="00E82219" w:rsidP="00473ADD">
      <w:pPr>
        <w:spacing w:before="240" w:after="100" w:afterAutospacing="1" w:line="360" w:lineRule="auto"/>
        <w:jc w:val="both"/>
        <w:outlineLvl w:val="4"/>
        <w:rPr>
          <w:b/>
          <w:bCs/>
        </w:rPr>
      </w:pPr>
      <w:r w:rsidRPr="00C43A9C">
        <w:rPr>
          <w:noProof/>
          <w14:ligatures w14:val="standardContextual"/>
        </w:rPr>
        <w:drawing>
          <wp:inline distT="0" distB="0" distL="0" distR="0" wp14:anchorId="6E5F3293" wp14:editId="55241CD9">
            <wp:extent cx="4572000" cy="2743200"/>
            <wp:effectExtent l="0" t="0" r="12700" b="12700"/>
            <wp:docPr id="292250691" name="Chart 1">
              <a:extLst xmlns:a="http://schemas.openxmlformats.org/drawingml/2006/main">
                <a:ext uri="{FF2B5EF4-FFF2-40B4-BE49-F238E27FC236}">
                  <a16:creationId xmlns:a16="http://schemas.microsoft.com/office/drawing/2014/main" id="{860D6256-7C53-CCBD-73B8-06E67AE022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A9B5F04" w14:textId="1E7221BE" w:rsidR="00E82219" w:rsidRPr="00C43A9C" w:rsidRDefault="00E82219" w:rsidP="00473ADD">
      <w:pPr>
        <w:spacing w:before="240" w:after="100" w:afterAutospacing="1" w:line="360" w:lineRule="auto"/>
        <w:jc w:val="both"/>
        <w:outlineLvl w:val="4"/>
        <w:rPr>
          <w:b/>
          <w:bCs/>
        </w:rPr>
      </w:pPr>
      <w:r w:rsidRPr="00C43A9C">
        <w:rPr>
          <w:noProof/>
          <w14:ligatures w14:val="standardContextual"/>
        </w:rPr>
        <w:drawing>
          <wp:inline distT="0" distB="0" distL="0" distR="0" wp14:anchorId="31386C70" wp14:editId="5CA4DD54">
            <wp:extent cx="4572000" cy="2743200"/>
            <wp:effectExtent l="0" t="0" r="12700" b="12700"/>
            <wp:docPr id="265814988" name="Chart 1">
              <a:extLst xmlns:a="http://schemas.openxmlformats.org/drawingml/2006/main">
                <a:ext uri="{FF2B5EF4-FFF2-40B4-BE49-F238E27FC236}">
                  <a16:creationId xmlns:a16="http://schemas.microsoft.com/office/drawing/2014/main" id="{09B45563-D266-CBD8-9BDD-8A0907109D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B87251" w14:textId="41FFBA50" w:rsidR="007B22C3" w:rsidRPr="00C43A9C" w:rsidRDefault="007B22C3" w:rsidP="00473ADD">
      <w:pPr>
        <w:spacing w:before="240" w:after="100" w:afterAutospacing="1" w:line="360" w:lineRule="auto"/>
        <w:jc w:val="both"/>
        <w:outlineLvl w:val="4"/>
        <w:rPr>
          <w:b/>
          <w:bCs/>
        </w:rPr>
      </w:pPr>
      <w:r w:rsidRPr="00C43A9C">
        <w:rPr>
          <w:b/>
          <w:bCs/>
        </w:rPr>
        <w:t>1.2 Liquidity Ratios</w:t>
      </w:r>
    </w:p>
    <w:tbl>
      <w:tblPr>
        <w:tblW w:w="8400" w:type="dxa"/>
        <w:tblLook w:val="04A0" w:firstRow="1" w:lastRow="0" w:firstColumn="1" w:lastColumn="0" w:noHBand="0" w:noVBand="1"/>
      </w:tblPr>
      <w:tblGrid>
        <w:gridCol w:w="1900"/>
        <w:gridCol w:w="1300"/>
        <w:gridCol w:w="1300"/>
        <w:gridCol w:w="1300"/>
        <w:gridCol w:w="1300"/>
        <w:gridCol w:w="1300"/>
      </w:tblGrid>
      <w:tr w:rsidR="00C43A9C" w:rsidRPr="00C43A9C" w14:paraId="67AF7337" w14:textId="77777777" w:rsidTr="00E82219">
        <w:trPr>
          <w:trHeight w:val="340"/>
        </w:trPr>
        <w:tc>
          <w:tcPr>
            <w:tcW w:w="1900" w:type="dxa"/>
            <w:tcBorders>
              <w:top w:val="single" w:sz="4" w:space="0" w:color="auto"/>
              <w:left w:val="single" w:sz="4" w:space="0" w:color="auto"/>
              <w:bottom w:val="single" w:sz="4" w:space="0" w:color="auto"/>
              <w:right w:val="single" w:sz="4" w:space="0" w:color="auto"/>
            </w:tcBorders>
            <w:vAlign w:val="center"/>
            <w:hideMark/>
          </w:tcPr>
          <w:p w14:paraId="56AFE0F7" w14:textId="77777777" w:rsidR="00E82219" w:rsidRPr="00C43A9C" w:rsidRDefault="00E82219" w:rsidP="00473ADD">
            <w:pPr>
              <w:spacing w:before="240" w:line="360" w:lineRule="auto"/>
              <w:jc w:val="both"/>
              <w:rPr>
                <w:b/>
                <w:bCs/>
              </w:rPr>
            </w:pPr>
            <w:r w:rsidRPr="00C43A9C">
              <w:rPr>
                <w:b/>
                <w:bCs/>
              </w:rPr>
              <w:t>Ratio</w:t>
            </w:r>
          </w:p>
        </w:tc>
        <w:tc>
          <w:tcPr>
            <w:tcW w:w="1300" w:type="dxa"/>
            <w:tcBorders>
              <w:top w:val="single" w:sz="4" w:space="0" w:color="auto"/>
              <w:left w:val="nil"/>
              <w:bottom w:val="single" w:sz="4" w:space="0" w:color="auto"/>
              <w:right w:val="single" w:sz="4" w:space="0" w:color="auto"/>
            </w:tcBorders>
            <w:vAlign w:val="center"/>
            <w:hideMark/>
          </w:tcPr>
          <w:p w14:paraId="3456442B" w14:textId="77777777" w:rsidR="00E82219" w:rsidRPr="00C43A9C" w:rsidRDefault="00E82219" w:rsidP="00473ADD">
            <w:pPr>
              <w:spacing w:before="240" w:line="360" w:lineRule="auto"/>
              <w:jc w:val="both"/>
              <w:rPr>
                <w:b/>
                <w:bCs/>
              </w:rPr>
            </w:pPr>
            <w:r w:rsidRPr="00C43A9C">
              <w:rPr>
                <w:b/>
                <w:bCs/>
              </w:rPr>
              <w:t>2024</w:t>
            </w:r>
          </w:p>
        </w:tc>
        <w:tc>
          <w:tcPr>
            <w:tcW w:w="1300" w:type="dxa"/>
            <w:tcBorders>
              <w:top w:val="single" w:sz="4" w:space="0" w:color="auto"/>
              <w:left w:val="nil"/>
              <w:bottom w:val="single" w:sz="4" w:space="0" w:color="auto"/>
              <w:right w:val="single" w:sz="4" w:space="0" w:color="auto"/>
            </w:tcBorders>
            <w:vAlign w:val="center"/>
            <w:hideMark/>
          </w:tcPr>
          <w:p w14:paraId="6C81E755" w14:textId="77777777" w:rsidR="00E82219" w:rsidRPr="00C43A9C" w:rsidRDefault="00E82219" w:rsidP="00473ADD">
            <w:pPr>
              <w:spacing w:before="240" w:line="360" w:lineRule="auto"/>
              <w:jc w:val="both"/>
              <w:rPr>
                <w:b/>
                <w:bCs/>
              </w:rPr>
            </w:pPr>
            <w:r w:rsidRPr="00C43A9C">
              <w:rPr>
                <w:b/>
                <w:bCs/>
              </w:rPr>
              <w:t>2023</w:t>
            </w:r>
          </w:p>
        </w:tc>
        <w:tc>
          <w:tcPr>
            <w:tcW w:w="1300" w:type="dxa"/>
            <w:tcBorders>
              <w:top w:val="single" w:sz="4" w:space="0" w:color="auto"/>
              <w:left w:val="nil"/>
              <w:bottom w:val="single" w:sz="4" w:space="0" w:color="auto"/>
              <w:right w:val="single" w:sz="4" w:space="0" w:color="auto"/>
            </w:tcBorders>
            <w:vAlign w:val="center"/>
            <w:hideMark/>
          </w:tcPr>
          <w:p w14:paraId="4E948D2E" w14:textId="77777777" w:rsidR="00E82219" w:rsidRPr="00C43A9C" w:rsidRDefault="00E82219" w:rsidP="00473ADD">
            <w:pPr>
              <w:spacing w:before="240" w:line="360" w:lineRule="auto"/>
              <w:jc w:val="both"/>
              <w:rPr>
                <w:b/>
                <w:bCs/>
              </w:rPr>
            </w:pPr>
            <w:r w:rsidRPr="00C43A9C">
              <w:rPr>
                <w:b/>
                <w:bCs/>
              </w:rPr>
              <w:t>2022</w:t>
            </w:r>
          </w:p>
        </w:tc>
        <w:tc>
          <w:tcPr>
            <w:tcW w:w="1300" w:type="dxa"/>
            <w:tcBorders>
              <w:top w:val="single" w:sz="4" w:space="0" w:color="auto"/>
              <w:left w:val="nil"/>
              <w:bottom w:val="single" w:sz="4" w:space="0" w:color="auto"/>
              <w:right w:val="single" w:sz="4" w:space="0" w:color="auto"/>
            </w:tcBorders>
            <w:vAlign w:val="center"/>
            <w:hideMark/>
          </w:tcPr>
          <w:p w14:paraId="33F90DBB" w14:textId="77777777" w:rsidR="00E82219" w:rsidRPr="00C43A9C" w:rsidRDefault="00E82219" w:rsidP="00473ADD">
            <w:pPr>
              <w:spacing w:before="240" w:line="360" w:lineRule="auto"/>
              <w:jc w:val="both"/>
              <w:rPr>
                <w:b/>
                <w:bCs/>
              </w:rPr>
            </w:pPr>
            <w:r w:rsidRPr="00C43A9C">
              <w:rPr>
                <w:b/>
                <w:bCs/>
              </w:rPr>
              <w:t>2021</w:t>
            </w:r>
          </w:p>
        </w:tc>
        <w:tc>
          <w:tcPr>
            <w:tcW w:w="1300" w:type="dxa"/>
            <w:tcBorders>
              <w:top w:val="single" w:sz="4" w:space="0" w:color="auto"/>
              <w:left w:val="nil"/>
              <w:bottom w:val="single" w:sz="4" w:space="0" w:color="auto"/>
              <w:right w:val="single" w:sz="4" w:space="0" w:color="auto"/>
            </w:tcBorders>
            <w:vAlign w:val="center"/>
            <w:hideMark/>
          </w:tcPr>
          <w:p w14:paraId="7490879C" w14:textId="77777777" w:rsidR="00E82219" w:rsidRPr="00C43A9C" w:rsidRDefault="00E82219" w:rsidP="00473ADD">
            <w:pPr>
              <w:spacing w:before="240" w:line="360" w:lineRule="auto"/>
              <w:jc w:val="both"/>
              <w:rPr>
                <w:b/>
                <w:bCs/>
              </w:rPr>
            </w:pPr>
            <w:r w:rsidRPr="00C43A9C">
              <w:rPr>
                <w:b/>
                <w:bCs/>
              </w:rPr>
              <w:t>2020</w:t>
            </w:r>
          </w:p>
        </w:tc>
      </w:tr>
      <w:tr w:rsidR="00C43A9C" w:rsidRPr="00C43A9C" w14:paraId="04B31967" w14:textId="77777777" w:rsidTr="00E82219">
        <w:trPr>
          <w:trHeight w:val="340"/>
        </w:trPr>
        <w:tc>
          <w:tcPr>
            <w:tcW w:w="1900" w:type="dxa"/>
            <w:tcBorders>
              <w:top w:val="nil"/>
              <w:left w:val="single" w:sz="4" w:space="0" w:color="auto"/>
              <w:bottom w:val="single" w:sz="4" w:space="0" w:color="auto"/>
              <w:right w:val="single" w:sz="4" w:space="0" w:color="auto"/>
            </w:tcBorders>
            <w:vAlign w:val="center"/>
            <w:hideMark/>
          </w:tcPr>
          <w:p w14:paraId="50E3F572" w14:textId="77777777" w:rsidR="00E82219" w:rsidRPr="00C43A9C" w:rsidRDefault="00E82219" w:rsidP="00473ADD">
            <w:pPr>
              <w:spacing w:before="240" w:line="360" w:lineRule="auto"/>
              <w:jc w:val="both"/>
              <w:rPr>
                <w:b/>
                <w:bCs/>
              </w:rPr>
            </w:pPr>
            <w:r w:rsidRPr="00C43A9C">
              <w:rPr>
                <w:b/>
                <w:bCs/>
              </w:rPr>
              <w:t>Current Ratio</w:t>
            </w:r>
          </w:p>
        </w:tc>
        <w:tc>
          <w:tcPr>
            <w:tcW w:w="1300" w:type="dxa"/>
            <w:tcBorders>
              <w:top w:val="nil"/>
              <w:left w:val="nil"/>
              <w:bottom w:val="single" w:sz="4" w:space="0" w:color="auto"/>
              <w:right w:val="single" w:sz="4" w:space="0" w:color="auto"/>
            </w:tcBorders>
            <w:vAlign w:val="center"/>
            <w:hideMark/>
          </w:tcPr>
          <w:p w14:paraId="544C08E7" w14:textId="77777777" w:rsidR="00E82219" w:rsidRPr="00C43A9C" w:rsidRDefault="00E82219" w:rsidP="00473ADD">
            <w:pPr>
              <w:spacing w:before="240" w:line="360" w:lineRule="auto"/>
              <w:jc w:val="both"/>
            </w:pPr>
            <w:r w:rsidRPr="00C43A9C">
              <w:t>1.53</w:t>
            </w:r>
          </w:p>
        </w:tc>
        <w:tc>
          <w:tcPr>
            <w:tcW w:w="1300" w:type="dxa"/>
            <w:tcBorders>
              <w:top w:val="nil"/>
              <w:left w:val="nil"/>
              <w:bottom w:val="single" w:sz="4" w:space="0" w:color="auto"/>
              <w:right w:val="single" w:sz="4" w:space="0" w:color="auto"/>
            </w:tcBorders>
            <w:vAlign w:val="center"/>
            <w:hideMark/>
          </w:tcPr>
          <w:p w14:paraId="03FE74BE" w14:textId="77777777" w:rsidR="00E82219" w:rsidRPr="00C43A9C" w:rsidRDefault="00E82219" w:rsidP="00473ADD">
            <w:pPr>
              <w:spacing w:before="240" w:line="360" w:lineRule="auto"/>
              <w:jc w:val="both"/>
            </w:pPr>
            <w:r w:rsidRPr="00C43A9C">
              <w:t>1.6</w:t>
            </w:r>
          </w:p>
        </w:tc>
        <w:tc>
          <w:tcPr>
            <w:tcW w:w="1300" w:type="dxa"/>
            <w:tcBorders>
              <w:top w:val="nil"/>
              <w:left w:val="nil"/>
              <w:bottom w:val="single" w:sz="4" w:space="0" w:color="auto"/>
              <w:right w:val="single" w:sz="4" w:space="0" w:color="auto"/>
            </w:tcBorders>
            <w:vAlign w:val="center"/>
            <w:hideMark/>
          </w:tcPr>
          <w:p w14:paraId="53D142F0" w14:textId="77777777" w:rsidR="00E82219" w:rsidRPr="00C43A9C" w:rsidRDefault="00E82219" w:rsidP="00473ADD">
            <w:pPr>
              <w:spacing w:before="240" w:line="360" w:lineRule="auto"/>
              <w:jc w:val="both"/>
            </w:pPr>
            <w:r w:rsidRPr="00C43A9C">
              <w:t>1.56</w:t>
            </w:r>
          </w:p>
        </w:tc>
        <w:tc>
          <w:tcPr>
            <w:tcW w:w="1300" w:type="dxa"/>
            <w:tcBorders>
              <w:top w:val="nil"/>
              <w:left w:val="nil"/>
              <w:bottom w:val="single" w:sz="4" w:space="0" w:color="auto"/>
              <w:right w:val="single" w:sz="4" w:space="0" w:color="auto"/>
            </w:tcBorders>
            <w:vAlign w:val="center"/>
            <w:hideMark/>
          </w:tcPr>
          <w:p w14:paraId="1E01C795" w14:textId="77777777" w:rsidR="00E82219" w:rsidRPr="00C43A9C" w:rsidRDefault="00E82219" w:rsidP="00473ADD">
            <w:pPr>
              <w:spacing w:before="240" w:line="360" w:lineRule="auto"/>
              <w:jc w:val="both"/>
            </w:pPr>
            <w:r w:rsidRPr="00C43A9C">
              <w:t>1.56</w:t>
            </w:r>
          </w:p>
        </w:tc>
        <w:tc>
          <w:tcPr>
            <w:tcW w:w="1300" w:type="dxa"/>
            <w:tcBorders>
              <w:top w:val="nil"/>
              <w:left w:val="nil"/>
              <w:bottom w:val="single" w:sz="4" w:space="0" w:color="auto"/>
              <w:right w:val="single" w:sz="4" w:space="0" w:color="auto"/>
            </w:tcBorders>
            <w:vAlign w:val="center"/>
            <w:hideMark/>
          </w:tcPr>
          <w:p w14:paraId="4552632A" w14:textId="77777777" w:rsidR="00E82219" w:rsidRPr="00C43A9C" w:rsidRDefault="00E82219" w:rsidP="00473ADD">
            <w:pPr>
              <w:spacing w:before="240" w:line="360" w:lineRule="auto"/>
              <w:jc w:val="both"/>
            </w:pPr>
            <w:r w:rsidRPr="00C43A9C">
              <w:t>1.82</w:t>
            </w:r>
          </w:p>
        </w:tc>
      </w:tr>
      <w:tr w:rsidR="00C43A9C" w:rsidRPr="00C43A9C" w14:paraId="0198E13B" w14:textId="77777777" w:rsidTr="00E82219">
        <w:trPr>
          <w:trHeight w:val="340"/>
        </w:trPr>
        <w:tc>
          <w:tcPr>
            <w:tcW w:w="1900" w:type="dxa"/>
            <w:tcBorders>
              <w:top w:val="nil"/>
              <w:left w:val="single" w:sz="4" w:space="0" w:color="auto"/>
              <w:bottom w:val="single" w:sz="4" w:space="0" w:color="auto"/>
              <w:right w:val="single" w:sz="4" w:space="0" w:color="auto"/>
            </w:tcBorders>
            <w:vAlign w:val="center"/>
            <w:hideMark/>
          </w:tcPr>
          <w:p w14:paraId="65E24168" w14:textId="77777777" w:rsidR="00E82219" w:rsidRPr="00C43A9C" w:rsidRDefault="00E82219" w:rsidP="00473ADD">
            <w:pPr>
              <w:spacing w:before="240" w:line="360" w:lineRule="auto"/>
              <w:jc w:val="both"/>
              <w:rPr>
                <w:b/>
                <w:bCs/>
              </w:rPr>
            </w:pPr>
            <w:r w:rsidRPr="00C43A9C">
              <w:rPr>
                <w:b/>
                <w:bCs/>
              </w:rPr>
              <w:t>Quick Ratio</w:t>
            </w:r>
          </w:p>
        </w:tc>
        <w:tc>
          <w:tcPr>
            <w:tcW w:w="1300" w:type="dxa"/>
            <w:tcBorders>
              <w:top w:val="nil"/>
              <w:left w:val="nil"/>
              <w:bottom w:val="single" w:sz="4" w:space="0" w:color="auto"/>
              <w:right w:val="single" w:sz="4" w:space="0" w:color="auto"/>
            </w:tcBorders>
            <w:vAlign w:val="center"/>
            <w:hideMark/>
          </w:tcPr>
          <w:p w14:paraId="33F42D71" w14:textId="77777777" w:rsidR="00E82219" w:rsidRPr="00C43A9C" w:rsidRDefault="00E82219" w:rsidP="00473ADD">
            <w:pPr>
              <w:spacing w:before="240" w:line="360" w:lineRule="auto"/>
              <w:jc w:val="both"/>
            </w:pPr>
            <w:r w:rsidRPr="00C43A9C">
              <w:t>0.87</w:t>
            </w:r>
          </w:p>
        </w:tc>
        <w:tc>
          <w:tcPr>
            <w:tcW w:w="1300" w:type="dxa"/>
            <w:tcBorders>
              <w:top w:val="nil"/>
              <w:left w:val="nil"/>
              <w:bottom w:val="single" w:sz="4" w:space="0" w:color="auto"/>
              <w:right w:val="single" w:sz="4" w:space="0" w:color="auto"/>
            </w:tcBorders>
            <w:vAlign w:val="center"/>
            <w:hideMark/>
          </w:tcPr>
          <w:p w14:paraId="398008CA" w14:textId="77777777" w:rsidR="00E82219" w:rsidRPr="00C43A9C" w:rsidRDefault="00E82219" w:rsidP="00473ADD">
            <w:pPr>
              <w:spacing w:before="240" w:line="360" w:lineRule="auto"/>
              <w:jc w:val="both"/>
            </w:pPr>
            <w:r w:rsidRPr="00C43A9C">
              <w:t>0.94</w:t>
            </w:r>
          </w:p>
        </w:tc>
        <w:tc>
          <w:tcPr>
            <w:tcW w:w="1300" w:type="dxa"/>
            <w:tcBorders>
              <w:top w:val="nil"/>
              <w:left w:val="nil"/>
              <w:bottom w:val="single" w:sz="4" w:space="0" w:color="auto"/>
              <w:right w:val="single" w:sz="4" w:space="0" w:color="auto"/>
            </w:tcBorders>
            <w:vAlign w:val="center"/>
            <w:hideMark/>
          </w:tcPr>
          <w:p w14:paraId="7FDE04D2" w14:textId="77777777" w:rsidR="00E82219" w:rsidRPr="00C43A9C" w:rsidRDefault="00E82219" w:rsidP="00473ADD">
            <w:pPr>
              <w:spacing w:before="240" w:line="360" w:lineRule="auto"/>
              <w:jc w:val="both"/>
            </w:pPr>
            <w:r w:rsidRPr="00C43A9C">
              <w:t>0.91</w:t>
            </w:r>
          </w:p>
        </w:tc>
        <w:tc>
          <w:tcPr>
            <w:tcW w:w="1300" w:type="dxa"/>
            <w:tcBorders>
              <w:top w:val="nil"/>
              <w:left w:val="nil"/>
              <w:bottom w:val="single" w:sz="4" w:space="0" w:color="auto"/>
              <w:right w:val="single" w:sz="4" w:space="0" w:color="auto"/>
            </w:tcBorders>
            <w:vAlign w:val="center"/>
            <w:hideMark/>
          </w:tcPr>
          <w:p w14:paraId="036BEB85" w14:textId="77777777" w:rsidR="00E82219" w:rsidRPr="00C43A9C" w:rsidRDefault="00E82219" w:rsidP="00473ADD">
            <w:pPr>
              <w:spacing w:before="240" w:line="360" w:lineRule="auto"/>
              <w:jc w:val="both"/>
            </w:pPr>
            <w:r w:rsidRPr="00C43A9C">
              <w:t>0.98</w:t>
            </w:r>
          </w:p>
        </w:tc>
        <w:tc>
          <w:tcPr>
            <w:tcW w:w="1300" w:type="dxa"/>
            <w:tcBorders>
              <w:top w:val="nil"/>
              <w:left w:val="nil"/>
              <w:bottom w:val="single" w:sz="4" w:space="0" w:color="auto"/>
              <w:right w:val="single" w:sz="4" w:space="0" w:color="auto"/>
            </w:tcBorders>
            <w:vAlign w:val="center"/>
            <w:hideMark/>
          </w:tcPr>
          <w:p w14:paraId="5E371120" w14:textId="77777777" w:rsidR="00E82219" w:rsidRPr="00C43A9C" w:rsidRDefault="00E82219" w:rsidP="00473ADD">
            <w:pPr>
              <w:spacing w:before="240" w:line="360" w:lineRule="auto"/>
              <w:jc w:val="both"/>
            </w:pPr>
            <w:r w:rsidRPr="00C43A9C">
              <w:t>1.13</w:t>
            </w:r>
          </w:p>
        </w:tc>
      </w:tr>
    </w:tbl>
    <w:p w14:paraId="1B4702DE" w14:textId="77777777" w:rsidR="00E82219" w:rsidRPr="00C43A9C" w:rsidRDefault="00E82219" w:rsidP="00473ADD">
      <w:pPr>
        <w:spacing w:before="240" w:after="100" w:afterAutospacing="1" w:line="360" w:lineRule="auto"/>
        <w:jc w:val="both"/>
        <w:outlineLvl w:val="4"/>
        <w:rPr>
          <w:b/>
          <w:bCs/>
        </w:rPr>
      </w:pPr>
    </w:p>
    <w:p w14:paraId="3610CD0B" w14:textId="1B852BC0" w:rsidR="00E82219" w:rsidRPr="00C43A9C" w:rsidRDefault="00E82219" w:rsidP="00473ADD">
      <w:pPr>
        <w:spacing w:before="240" w:after="100" w:afterAutospacing="1" w:line="360" w:lineRule="auto"/>
        <w:jc w:val="both"/>
        <w:outlineLvl w:val="4"/>
        <w:rPr>
          <w:b/>
          <w:bCs/>
        </w:rPr>
      </w:pPr>
      <w:r w:rsidRPr="00C43A9C">
        <w:rPr>
          <w:noProof/>
          <w14:ligatures w14:val="standardContextual"/>
        </w:rPr>
        <w:drawing>
          <wp:inline distT="0" distB="0" distL="0" distR="0" wp14:anchorId="03D0BEB3" wp14:editId="7A307F8A">
            <wp:extent cx="4572000" cy="2743200"/>
            <wp:effectExtent l="0" t="0" r="12700" b="12700"/>
            <wp:docPr id="1700671461" name="Chart 1">
              <a:extLst xmlns:a="http://schemas.openxmlformats.org/drawingml/2006/main">
                <a:ext uri="{FF2B5EF4-FFF2-40B4-BE49-F238E27FC236}">
                  <a16:creationId xmlns:a16="http://schemas.microsoft.com/office/drawing/2014/main" id="{BB2923C8-B6BE-F2E8-DA08-B8287AE9B8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9695775" w14:textId="5EEC214A" w:rsidR="00E82219" w:rsidRPr="00C43A9C" w:rsidRDefault="00E82219" w:rsidP="00473ADD">
      <w:pPr>
        <w:spacing w:before="240" w:after="100" w:afterAutospacing="1" w:line="360" w:lineRule="auto"/>
        <w:jc w:val="both"/>
        <w:outlineLvl w:val="4"/>
        <w:rPr>
          <w:b/>
          <w:bCs/>
        </w:rPr>
      </w:pPr>
      <w:r w:rsidRPr="00C43A9C">
        <w:rPr>
          <w:noProof/>
          <w14:ligatures w14:val="standardContextual"/>
        </w:rPr>
        <w:drawing>
          <wp:inline distT="0" distB="0" distL="0" distR="0" wp14:anchorId="34E79A54" wp14:editId="34186893">
            <wp:extent cx="4572000" cy="2743200"/>
            <wp:effectExtent l="0" t="0" r="12700" b="12700"/>
            <wp:docPr id="1217918044" name="Chart 1">
              <a:extLst xmlns:a="http://schemas.openxmlformats.org/drawingml/2006/main">
                <a:ext uri="{FF2B5EF4-FFF2-40B4-BE49-F238E27FC236}">
                  <a16:creationId xmlns:a16="http://schemas.microsoft.com/office/drawing/2014/main" id="{B90DB149-8DD5-D17A-B576-A174E9B934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9D36126" w14:textId="225030B5" w:rsidR="007B22C3" w:rsidRPr="00C43A9C" w:rsidRDefault="007B22C3" w:rsidP="00473ADD">
      <w:pPr>
        <w:spacing w:before="240" w:after="100" w:afterAutospacing="1" w:line="360" w:lineRule="auto"/>
        <w:jc w:val="both"/>
        <w:outlineLvl w:val="4"/>
        <w:rPr>
          <w:b/>
          <w:bCs/>
        </w:rPr>
      </w:pPr>
      <w:r w:rsidRPr="00C43A9C">
        <w:rPr>
          <w:b/>
          <w:bCs/>
        </w:rPr>
        <w:t>1.3 Efficiency Ratios</w:t>
      </w:r>
    </w:p>
    <w:tbl>
      <w:tblPr>
        <w:tblW w:w="9140" w:type="dxa"/>
        <w:tblLook w:val="04A0" w:firstRow="1" w:lastRow="0" w:firstColumn="1" w:lastColumn="0" w:noHBand="0" w:noVBand="1"/>
      </w:tblPr>
      <w:tblGrid>
        <w:gridCol w:w="2640"/>
        <w:gridCol w:w="1300"/>
        <w:gridCol w:w="1300"/>
        <w:gridCol w:w="1300"/>
        <w:gridCol w:w="1300"/>
        <w:gridCol w:w="1300"/>
      </w:tblGrid>
      <w:tr w:rsidR="00C43A9C" w:rsidRPr="00C43A9C" w14:paraId="43BFB2DF" w14:textId="77777777" w:rsidTr="00E82219">
        <w:trPr>
          <w:trHeight w:val="340"/>
        </w:trPr>
        <w:tc>
          <w:tcPr>
            <w:tcW w:w="2640" w:type="dxa"/>
            <w:tcBorders>
              <w:top w:val="single" w:sz="4" w:space="0" w:color="auto"/>
              <w:left w:val="single" w:sz="4" w:space="0" w:color="auto"/>
              <w:bottom w:val="single" w:sz="4" w:space="0" w:color="auto"/>
              <w:right w:val="single" w:sz="4" w:space="0" w:color="auto"/>
            </w:tcBorders>
            <w:vAlign w:val="center"/>
            <w:hideMark/>
          </w:tcPr>
          <w:p w14:paraId="2B5D529F" w14:textId="77777777" w:rsidR="00E82219" w:rsidRPr="00C43A9C" w:rsidRDefault="00E82219" w:rsidP="00473ADD">
            <w:pPr>
              <w:spacing w:before="240" w:line="360" w:lineRule="auto"/>
              <w:jc w:val="both"/>
              <w:rPr>
                <w:b/>
                <w:bCs/>
              </w:rPr>
            </w:pPr>
            <w:r w:rsidRPr="00C43A9C">
              <w:rPr>
                <w:b/>
                <w:bCs/>
              </w:rPr>
              <w:t>Ratio</w:t>
            </w:r>
          </w:p>
        </w:tc>
        <w:tc>
          <w:tcPr>
            <w:tcW w:w="1300" w:type="dxa"/>
            <w:tcBorders>
              <w:top w:val="single" w:sz="4" w:space="0" w:color="auto"/>
              <w:left w:val="nil"/>
              <w:bottom w:val="single" w:sz="4" w:space="0" w:color="auto"/>
              <w:right w:val="single" w:sz="4" w:space="0" w:color="auto"/>
            </w:tcBorders>
            <w:vAlign w:val="center"/>
            <w:hideMark/>
          </w:tcPr>
          <w:p w14:paraId="363764F2" w14:textId="77777777" w:rsidR="00E82219" w:rsidRPr="00C43A9C" w:rsidRDefault="00E82219" w:rsidP="00473ADD">
            <w:pPr>
              <w:spacing w:before="240" w:line="360" w:lineRule="auto"/>
              <w:jc w:val="both"/>
              <w:rPr>
                <w:b/>
                <w:bCs/>
              </w:rPr>
            </w:pPr>
            <w:r w:rsidRPr="00C43A9C">
              <w:rPr>
                <w:b/>
                <w:bCs/>
              </w:rPr>
              <w:t>2024</w:t>
            </w:r>
          </w:p>
        </w:tc>
        <w:tc>
          <w:tcPr>
            <w:tcW w:w="1300" w:type="dxa"/>
            <w:tcBorders>
              <w:top w:val="single" w:sz="4" w:space="0" w:color="auto"/>
              <w:left w:val="nil"/>
              <w:bottom w:val="single" w:sz="4" w:space="0" w:color="auto"/>
              <w:right w:val="single" w:sz="4" w:space="0" w:color="auto"/>
            </w:tcBorders>
            <w:vAlign w:val="center"/>
            <w:hideMark/>
          </w:tcPr>
          <w:p w14:paraId="062860D3" w14:textId="77777777" w:rsidR="00E82219" w:rsidRPr="00C43A9C" w:rsidRDefault="00E82219" w:rsidP="00473ADD">
            <w:pPr>
              <w:spacing w:before="240" w:line="360" w:lineRule="auto"/>
              <w:jc w:val="both"/>
              <w:rPr>
                <w:b/>
                <w:bCs/>
              </w:rPr>
            </w:pPr>
            <w:r w:rsidRPr="00C43A9C">
              <w:rPr>
                <w:b/>
                <w:bCs/>
              </w:rPr>
              <w:t>2023</w:t>
            </w:r>
          </w:p>
        </w:tc>
        <w:tc>
          <w:tcPr>
            <w:tcW w:w="1300" w:type="dxa"/>
            <w:tcBorders>
              <w:top w:val="single" w:sz="4" w:space="0" w:color="auto"/>
              <w:left w:val="nil"/>
              <w:bottom w:val="single" w:sz="4" w:space="0" w:color="auto"/>
              <w:right w:val="single" w:sz="4" w:space="0" w:color="auto"/>
            </w:tcBorders>
            <w:vAlign w:val="center"/>
            <w:hideMark/>
          </w:tcPr>
          <w:p w14:paraId="56172803" w14:textId="77777777" w:rsidR="00E82219" w:rsidRPr="00C43A9C" w:rsidRDefault="00E82219" w:rsidP="00473ADD">
            <w:pPr>
              <w:spacing w:before="240" w:line="360" w:lineRule="auto"/>
              <w:jc w:val="both"/>
              <w:rPr>
                <w:b/>
                <w:bCs/>
              </w:rPr>
            </w:pPr>
            <w:r w:rsidRPr="00C43A9C">
              <w:rPr>
                <w:b/>
                <w:bCs/>
              </w:rPr>
              <w:t>2022</w:t>
            </w:r>
          </w:p>
        </w:tc>
        <w:tc>
          <w:tcPr>
            <w:tcW w:w="1300" w:type="dxa"/>
            <w:tcBorders>
              <w:top w:val="single" w:sz="4" w:space="0" w:color="auto"/>
              <w:left w:val="nil"/>
              <w:bottom w:val="single" w:sz="4" w:space="0" w:color="auto"/>
              <w:right w:val="single" w:sz="4" w:space="0" w:color="auto"/>
            </w:tcBorders>
            <w:vAlign w:val="center"/>
            <w:hideMark/>
          </w:tcPr>
          <w:p w14:paraId="5166DF1E" w14:textId="77777777" w:rsidR="00E82219" w:rsidRPr="00C43A9C" w:rsidRDefault="00E82219" w:rsidP="00473ADD">
            <w:pPr>
              <w:spacing w:before="240" w:line="360" w:lineRule="auto"/>
              <w:jc w:val="both"/>
              <w:rPr>
                <w:b/>
                <w:bCs/>
              </w:rPr>
            </w:pPr>
            <w:r w:rsidRPr="00C43A9C">
              <w:rPr>
                <w:b/>
                <w:bCs/>
              </w:rPr>
              <w:t>2021</w:t>
            </w:r>
          </w:p>
        </w:tc>
        <w:tc>
          <w:tcPr>
            <w:tcW w:w="1300" w:type="dxa"/>
            <w:tcBorders>
              <w:top w:val="single" w:sz="4" w:space="0" w:color="auto"/>
              <w:left w:val="nil"/>
              <w:bottom w:val="single" w:sz="4" w:space="0" w:color="auto"/>
              <w:right w:val="single" w:sz="4" w:space="0" w:color="auto"/>
            </w:tcBorders>
            <w:vAlign w:val="center"/>
            <w:hideMark/>
          </w:tcPr>
          <w:p w14:paraId="728A6E8B" w14:textId="77777777" w:rsidR="00E82219" w:rsidRPr="00C43A9C" w:rsidRDefault="00E82219" w:rsidP="00473ADD">
            <w:pPr>
              <w:spacing w:before="240" w:line="360" w:lineRule="auto"/>
              <w:jc w:val="both"/>
              <w:rPr>
                <w:b/>
                <w:bCs/>
              </w:rPr>
            </w:pPr>
            <w:r w:rsidRPr="00C43A9C">
              <w:rPr>
                <w:b/>
                <w:bCs/>
              </w:rPr>
              <w:t>2020</w:t>
            </w:r>
          </w:p>
        </w:tc>
      </w:tr>
      <w:tr w:rsidR="00C43A9C" w:rsidRPr="00C43A9C" w14:paraId="5A54FDB2" w14:textId="77777777" w:rsidTr="00E82219">
        <w:trPr>
          <w:trHeight w:val="340"/>
        </w:trPr>
        <w:tc>
          <w:tcPr>
            <w:tcW w:w="2640" w:type="dxa"/>
            <w:tcBorders>
              <w:top w:val="nil"/>
              <w:left w:val="single" w:sz="4" w:space="0" w:color="auto"/>
              <w:bottom w:val="single" w:sz="4" w:space="0" w:color="auto"/>
              <w:right w:val="single" w:sz="4" w:space="0" w:color="auto"/>
            </w:tcBorders>
            <w:vAlign w:val="center"/>
            <w:hideMark/>
          </w:tcPr>
          <w:p w14:paraId="2C3DEFE7" w14:textId="77777777" w:rsidR="00E82219" w:rsidRPr="00C43A9C" w:rsidRDefault="00E82219" w:rsidP="00473ADD">
            <w:pPr>
              <w:spacing w:before="240" w:line="360" w:lineRule="auto"/>
              <w:jc w:val="both"/>
              <w:rPr>
                <w:b/>
                <w:bCs/>
              </w:rPr>
            </w:pPr>
            <w:r w:rsidRPr="00C43A9C">
              <w:rPr>
                <w:b/>
                <w:bCs/>
              </w:rPr>
              <w:t>Inventory Turnover</w:t>
            </w:r>
          </w:p>
        </w:tc>
        <w:tc>
          <w:tcPr>
            <w:tcW w:w="1300" w:type="dxa"/>
            <w:tcBorders>
              <w:top w:val="nil"/>
              <w:left w:val="nil"/>
              <w:bottom w:val="single" w:sz="4" w:space="0" w:color="auto"/>
              <w:right w:val="single" w:sz="4" w:space="0" w:color="auto"/>
            </w:tcBorders>
            <w:vAlign w:val="center"/>
            <w:hideMark/>
          </w:tcPr>
          <w:p w14:paraId="5F29310E" w14:textId="77777777" w:rsidR="00E82219" w:rsidRPr="00C43A9C" w:rsidRDefault="00E82219" w:rsidP="00473ADD">
            <w:pPr>
              <w:spacing w:before="240" w:line="360" w:lineRule="auto"/>
              <w:jc w:val="both"/>
            </w:pPr>
            <w:r w:rsidRPr="00C43A9C">
              <w:t>3.54</w:t>
            </w:r>
          </w:p>
        </w:tc>
        <w:tc>
          <w:tcPr>
            <w:tcW w:w="1300" w:type="dxa"/>
            <w:tcBorders>
              <w:top w:val="nil"/>
              <w:left w:val="nil"/>
              <w:bottom w:val="single" w:sz="4" w:space="0" w:color="auto"/>
              <w:right w:val="single" w:sz="4" w:space="0" w:color="auto"/>
            </w:tcBorders>
            <w:vAlign w:val="center"/>
            <w:hideMark/>
          </w:tcPr>
          <w:p w14:paraId="4A4BD282" w14:textId="77777777" w:rsidR="00E82219" w:rsidRPr="00C43A9C" w:rsidRDefault="00E82219" w:rsidP="00473ADD">
            <w:pPr>
              <w:spacing w:before="240" w:line="360" w:lineRule="auto"/>
              <w:jc w:val="both"/>
            </w:pPr>
            <w:r w:rsidRPr="00C43A9C">
              <w:t>3.76</w:t>
            </w:r>
          </w:p>
        </w:tc>
        <w:tc>
          <w:tcPr>
            <w:tcW w:w="1300" w:type="dxa"/>
            <w:tcBorders>
              <w:top w:val="nil"/>
              <w:left w:val="nil"/>
              <w:bottom w:val="single" w:sz="4" w:space="0" w:color="auto"/>
              <w:right w:val="single" w:sz="4" w:space="0" w:color="auto"/>
            </w:tcBorders>
            <w:vAlign w:val="center"/>
            <w:hideMark/>
          </w:tcPr>
          <w:p w14:paraId="59D798B2" w14:textId="77777777" w:rsidR="00E82219" w:rsidRPr="00C43A9C" w:rsidRDefault="00E82219" w:rsidP="00473ADD">
            <w:pPr>
              <w:spacing w:before="240" w:line="360" w:lineRule="auto"/>
              <w:jc w:val="both"/>
            </w:pPr>
            <w:r w:rsidRPr="00C43A9C">
              <w:t>4.16</w:t>
            </w:r>
          </w:p>
        </w:tc>
        <w:tc>
          <w:tcPr>
            <w:tcW w:w="1300" w:type="dxa"/>
            <w:tcBorders>
              <w:top w:val="nil"/>
              <w:left w:val="nil"/>
              <w:bottom w:val="single" w:sz="4" w:space="0" w:color="auto"/>
              <w:right w:val="single" w:sz="4" w:space="0" w:color="auto"/>
            </w:tcBorders>
            <w:vAlign w:val="center"/>
            <w:hideMark/>
          </w:tcPr>
          <w:p w14:paraId="3F09CBD7" w14:textId="77777777" w:rsidR="00E82219" w:rsidRPr="00C43A9C" w:rsidRDefault="00E82219" w:rsidP="00473ADD">
            <w:pPr>
              <w:spacing w:before="240" w:line="360" w:lineRule="auto"/>
              <w:jc w:val="both"/>
            </w:pPr>
            <w:r w:rsidRPr="00C43A9C">
              <w:t>4.43</w:t>
            </w:r>
          </w:p>
        </w:tc>
        <w:tc>
          <w:tcPr>
            <w:tcW w:w="1300" w:type="dxa"/>
            <w:tcBorders>
              <w:top w:val="nil"/>
              <w:left w:val="nil"/>
              <w:bottom w:val="single" w:sz="4" w:space="0" w:color="auto"/>
              <w:right w:val="single" w:sz="4" w:space="0" w:color="auto"/>
            </w:tcBorders>
            <w:vAlign w:val="center"/>
            <w:hideMark/>
          </w:tcPr>
          <w:p w14:paraId="75DDD583" w14:textId="77777777" w:rsidR="00E82219" w:rsidRPr="00C43A9C" w:rsidRDefault="00E82219" w:rsidP="00473ADD">
            <w:pPr>
              <w:spacing w:before="240" w:line="360" w:lineRule="auto"/>
              <w:jc w:val="both"/>
            </w:pPr>
            <w:r w:rsidRPr="00C43A9C">
              <w:t>4.15</w:t>
            </w:r>
          </w:p>
        </w:tc>
      </w:tr>
      <w:tr w:rsidR="00C43A9C" w:rsidRPr="00C43A9C" w14:paraId="7230DE70" w14:textId="77777777" w:rsidTr="00E82219">
        <w:trPr>
          <w:trHeight w:val="340"/>
        </w:trPr>
        <w:tc>
          <w:tcPr>
            <w:tcW w:w="2640" w:type="dxa"/>
            <w:tcBorders>
              <w:top w:val="nil"/>
              <w:left w:val="single" w:sz="4" w:space="0" w:color="auto"/>
              <w:bottom w:val="single" w:sz="4" w:space="0" w:color="auto"/>
              <w:right w:val="single" w:sz="4" w:space="0" w:color="auto"/>
            </w:tcBorders>
            <w:vAlign w:val="center"/>
            <w:hideMark/>
          </w:tcPr>
          <w:p w14:paraId="0995804A" w14:textId="77777777" w:rsidR="00E82219" w:rsidRPr="00C43A9C" w:rsidRDefault="00E82219" w:rsidP="00473ADD">
            <w:pPr>
              <w:spacing w:before="240" w:line="360" w:lineRule="auto"/>
              <w:jc w:val="both"/>
              <w:rPr>
                <w:b/>
                <w:bCs/>
              </w:rPr>
            </w:pPr>
            <w:r w:rsidRPr="00C43A9C">
              <w:rPr>
                <w:b/>
                <w:bCs/>
              </w:rPr>
              <w:t>Receivables Turnover</w:t>
            </w:r>
          </w:p>
        </w:tc>
        <w:tc>
          <w:tcPr>
            <w:tcW w:w="1300" w:type="dxa"/>
            <w:tcBorders>
              <w:top w:val="nil"/>
              <w:left w:val="nil"/>
              <w:bottom w:val="single" w:sz="4" w:space="0" w:color="auto"/>
              <w:right w:val="single" w:sz="4" w:space="0" w:color="auto"/>
            </w:tcBorders>
            <w:vAlign w:val="center"/>
            <w:hideMark/>
          </w:tcPr>
          <w:p w14:paraId="47675C91" w14:textId="77777777" w:rsidR="00E82219" w:rsidRPr="00C43A9C" w:rsidRDefault="00E82219" w:rsidP="00473ADD">
            <w:pPr>
              <w:spacing w:before="240" w:line="360" w:lineRule="auto"/>
              <w:jc w:val="both"/>
            </w:pPr>
            <w:r w:rsidRPr="00C43A9C">
              <w:t>3.46</w:t>
            </w:r>
          </w:p>
        </w:tc>
        <w:tc>
          <w:tcPr>
            <w:tcW w:w="1300" w:type="dxa"/>
            <w:tcBorders>
              <w:top w:val="nil"/>
              <w:left w:val="nil"/>
              <w:bottom w:val="single" w:sz="4" w:space="0" w:color="auto"/>
              <w:right w:val="single" w:sz="4" w:space="0" w:color="auto"/>
            </w:tcBorders>
            <w:vAlign w:val="center"/>
            <w:hideMark/>
          </w:tcPr>
          <w:p w14:paraId="6356FDAA" w14:textId="77777777" w:rsidR="00E82219" w:rsidRPr="00C43A9C" w:rsidRDefault="00E82219" w:rsidP="00473ADD">
            <w:pPr>
              <w:spacing w:before="240" w:line="360" w:lineRule="auto"/>
              <w:jc w:val="both"/>
            </w:pPr>
            <w:r w:rsidRPr="00C43A9C">
              <w:t>3.73</w:t>
            </w:r>
          </w:p>
        </w:tc>
        <w:tc>
          <w:tcPr>
            <w:tcW w:w="1300" w:type="dxa"/>
            <w:tcBorders>
              <w:top w:val="nil"/>
              <w:left w:val="nil"/>
              <w:bottom w:val="single" w:sz="4" w:space="0" w:color="auto"/>
              <w:right w:val="single" w:sz="4" w:space="0" w:color="auto"/>
            </w:tcBorders>
            <w:vAlign w:val="center"/>
            <w:hideMark/>
          </w:tcPr>
          <w:p w14:paraId="1B4E5E8B" w14:textId="77777777" w:rsidR="00E82219" w:rsidRPr="00C43A9C" w:rsidRDefault="00E82219" w:rsidP="00473ADD">
            <w:pPr>
              <w:spacing w:before="240" w:line="360" w:lineRule="auto"/>
              <w:jc w:val="both"/>
            </w:pPr>
            <w:r w:rsidRPr="00C43A9C">
              <w:t>4</w:t>
            </w:r>
          </w:p>
        </w:tc>
        <w:tc>
          <w:tcPr>
            <w:tcW w:w="1300" w:type="dxa"/>
            <w:tcBorders>
              <w:top w:val="nil"/>
              <w:left w:val="nil"/>
              <w:bottom w:val="single" w:sz="4" w:space="0" w:color="auto"/>
              <w:right w:val="single" w:sz="4" w:space="0" w:color="auto"/>
            </w:tcBorders>
            <w:vAlign w:val="center"/>
            <w:hideMark/>
          </w:tcPr>
          <w:p w14:paraId="288DB0AC" w14:textId="77777777" w:rsidR="00E82219" w:rsidRPr="00C43A9C" w:rsidRDefault="00E82219" w:rsidP="00473ADD">
            <w:pPr>
              <w:spacing w:before="240" w:line="360" w:lineRule="auto"/>
              <w:jc w:val="both"/>
            </w:pPr>
            <w:r w:rsidRPr="00C43A9C">
              <w:t>4.17</w:t>
            </w:r>
          </w:p>
        </w:tc>
        <w:tc>
          <w:tcPr>
            <w:tcW w:w="1300" w:type="dxa"/>
            <w:tcBorders>
              <w:top w:val="nil"/>
              <w:left w:val="nil"/>
              <w:bottom w:val="single" w:sz="4" w:space="0" w:color="auto"/>
              <w:right w:val="single" w:sz="4" w:space="0" w:color="auto"/>
            </w:tcBorders>
            <w:vAlign w:val="center"/>
            <w:hideMark/>
          </w:tcPr>
          <w:p w14:paraId="5EBF7679" w14:textId="77777777" w:rsidR="00E82219" w:rsidRPr="00C43A9C" w:rsidRDefault="00E82219" w:rsidP="00473ADD">
            <w:pPr>
              <w:spacing w:before="240" w:line="360" w:lineRule="auto"/>
              <w:jc w:val="both"/>
            </w:pPr>
            <w:r w:rsidRPr="00C43A9C">
              <w:t>3.87</w:t>
            </w:r>
          </w:p>
        </w:tc>
      </w:tr>
    </w:tbl>
    <w:p w14:paraId="5D292535" w14:textId="77777777" w:rsidR="00E82219" w:rsidRPr="00C43A9C" w:rsidRDefault="00E82219" w:rsidP="00473ADD">
      <w:pPr>
        <w:spacing w:before="240" w:after="100" w:afterAutospacing="1" w:line="360" w:lineRule="auto"/>
        <w:jc w:val="both"/>
        <w:outlineLvl w:val="4"/>
        <w:rPr>
          <w:b/>
          <w:bCs/>
        </w:rPr>
      </w:pPr>
    </w:p>
    <w:p w14:paraId="00751335" w14:textId="6EE81CEA" w:rsidR="00E82219" w:rsidRPr="00C43A9C" w:rsidRDefault="00E82219" w:rsidP="00473ADD">
      <w:pPr>
        <w:spacing w:before="240" w:after="100" w:afterAutospacing="1" w:line="360" w:lineRule="auto"/>
        <w:jc w:val="both"/>
        <w:outlineLvl w:val="4"/>
        <w:rPr>
          <w:b/>
          <w:bCs/>
        </w:rPr>
      </w:pPr>
      <w:r w:rsidRPr="00C43A9C">
        <w:rPr>
          <w:noProof/>
          <w14:ligatures w14:val="standardContextual"/>
        </w:rPr>
        <w:drawing>
          <wp:inline distT="0" distB="0" distL="0" distR="0" wp14:anchorId="59AA2F6C" wp14:editId="70EA2A28">
            <wp:extent cx="4572000" cy="2743200"/>
            <wp:effectExtent l="0" t="0" r="12700" b="12700"/>
            <wp:docPr id="1367497542" name="Chart 1">
              <a:extLst xmlns:a="http://schemas.openxmlformats.org/drawingml/2006/main">
                <a:ext uri="{FF2B5EF4-FFF2-40B4-BE49-F238E27FC236}">
                  <a16:creationId xmlns:a16="http://schemas.microsoft.com/office/drawing/2014/main" id="{417EF943-2A00-94B1-6F0E-34E2D8810F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9431E30" w14:textId="23C60B19" w:rsidR="00E82219" w:rsidRPr="00C43A9C" w:rsidRDefault="00E82219" w:rsidP="00473ADD">
      <w:pPr>
        <w:spacing w:before="240" w:after="100" w:afterAutospacing="1" w:line="360" w:lineRule="auto"/>
        <w:jc w:val="both"/>
        <w:outlineLvl w:val="4"/>
        <w:rPr>
          <w:b/>
          <w:bCs/>
        </w:rPr>
      </w:pPr>
      <w:r w:rsidRPr="00C43A9C">
        <w:rPr>
          <w:noProof/>
          <w14:ligatures w14:val="standardContextual"/>
        </w:rPr>
        <w:drawing>
          <wp:inline distT="0" distB="0" distL="0" distR="0" wp14:anchorId="3C07A042" wp14:editId="0B9BC80D">
            <wp:extent cx="4572000" cy="2743200"/>
            <wp:effectExtent l="0" t="0" r="12700" b="12700"/>
            <wp:docPr id="814582520" name="Chart 1">
              <a:extLst xmlns:a="http://schemas.openxmlformats.org/drawingml/2006/main">
                <a:ext uri="{FF2B5EF4-FFF2-40B4-BE49-F238E27FC236}">
                  <a16:creationId xmlns:a16="http://schemas.microsoft.com/office/drawing/2014/main" id="{0C4CF1E4-1831-97E9-60F7-8027161D93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A6AAB6F" w14:textId="0B4B2723" w:rsidR="007B22C3" w:rsidRPr="00C43A9C" w:rsidRDefault="007B22C3" w:rsidP="00473ADD">
      <w:pPr>
        <w:spacing w:before="240" w:after="100" w:afterAutospacing="1" w:line="360" w:lineRule="auto"/>
        <w:jc w:val="both"/>
        <w:outlineLvl w:val="4"/>
        <w:rPr>
          <w:b/>
          <w:bCs/>
        </w:rPr>
      </w:pPr>
      <w:r w:rsidRPr="00C43A9C">
        <w:rPr>
          <w:b/>
          <w:bCs/>
        </w:rPr>
        <w:t>1.4 Gearing Ratios</w:t>
      </w:r>
    </w:p>
    <w:tbl>
      <w:tblPr>
        <w:tblW w:w="9040" w:type="dxa"/>
        <w:tblLook w:val="04A0" w:firstRow="1" w:lastRow="0" w:firstColumn="1" w:lastColumn="0" w:noHBand="0" w:noVBand="1"/>
      </w:tblPr>
      <w:tblGrid>
        <w:gridCol w:w="2540"/>
        <w:gridCol w:w="1300"/>
        <w:gridCol w:w="1300"/>
        <w:gridCol w:w="1300"/>
        <w:gridCol w:w="1300"/>
        <w:gridCol w:w="1300"/>
      </w:tblGrid>
      <w:tr w:rsidR="00C43A9C" w:rsidRPr="00C43A9C" w14:paraId="50C8D3AA" w14:textId="77777777" w:rsidTr="00E82219">
        <w:trPr>
          <w:trHeight w:val="340"/>
        </w:trPr>
        <w:tc>
          <w:tcPr>
            <w:tcW w:w="2540" w:type="dxa"/>
            <w:tcBorders>
              <w:top w:val="single" w:sz="4" w:space="0" w:color="auto"/>
              <w:left w:val="single" w:sz="4" w:space="0" w:color="auto"/>
              <w:bottom w:val="single" w:sz="4" w:space="0" w:color="auto"/>
              <w:right w:val="single" w:sz="4" w:space="0" w:color="auto"/>
            </w:tcBorders>
            <w:vAlign w:val="center"/>
            <w:hideMark/>
          </w:tcPr>
          <w:p w14:paraId="2D6F039A" w14:textId="77777777" w:rsidR="00E82219" w:rsidRPr="00C43A9C" w:rsidRDefault="00E82219" w:rsidP="00473ADD">
            <w:pPr>
              <w:spacing w:before="240" w:line="360" w:lineRule="auto"/>
              <w:jc w:val="both"/>
              <w:rPr>
                <w:b/>
                <w:bCs/>
              </w:rPr>
            </w:pPr>
            <w:r w:rsidRPr="00C43A9C">
              <w:rPr>
                <w:b/>
                <w:bCs/>
              </w:rPr>
              <w:t>Ratio</w:t>
            </w:r>
          </w:p>
        </w:tc>
        <w:tc>
          <w:tcPr>
            <w:tcW w:w="1300" w:type="dxa"/>
            <w:tcBorders>
              <w:top w:val="single" w:sz="4" w:space="0" w:color="auto"/>
              <w:left w:val="nil"/>
              <w:bottom w:val="single" w:sz="4" w:space="0" w:color="auto"/>
              <w:right w:val="single" w:sz="4" w:space="0" w:color="auto"/>
            </w:tcBorders>
            <w:vAlign w:val="center"/>
            <w:hideMark/>
          </w:tcPr>
          <w:p w14:paraId="16E9FEB8" w14:textId="77777777" w:rsidR="00E82219" w:rsidRPr="00C43A9C" w:rsidRDefault="00E82219" w:rsidP="00473ADD">
            <w:pPr>
              <w:spacing w:before="240" w:line="360" w:lineRule="auto"/>
              <w:jc w:val="both"/>
              <w:rPr>
                <w:b/>
                <w:bCs/>
              </w:rPr>
            </w:pPr>
            <w:r w:rsidRPr="00C43A9C">
              <w:rPr>
                <w:b/>
                <w:bCs/>
              </w:rPr>
              <w:t>2024</w:t>
            </w:r>
          </w:p>
        </w:tc>
        <w:tc>
          <w:tcPr>
            <w:tcW w:w="1300" w:type="dxa"/>
            <w:tcBorders>
              <w:top w:val="single" w:sz="4" w:space="0" w:color="auto"/>
              <w:left w:val="nil"/>
              <w:bottom w:val="single" w:sz="4" w:space="0" w:color="auto"/>
              <w:right w:val="single" w:sz="4" w:space="0" w:color="auto"/>
            </w:tcBorders>
            <w:vAlign w:val="center"/>
            <w:hideMark/>
          </w:tcPr>
          <w:p w14:paraId="29DD8F2B" w14:textId="77777777" w:rsidR="00E82219" w:rsidRPr="00C43A9C" w:rsidRDefault="00E82219" w:rsidP="00473ADD">
            <w:pPr>
              <w:spacing w:before="240" w:line="360" w:lineRule="auto"/>
              <w:jc w:val="both"/>
              <w:rPr>
                <w:b/>
                <w:bCs/>
              </w:rPr>
            </w:pPr>
            <w:r w:rsidRPr="00C43A9C">
              <w:rPr>
                <w:b/>
                <w:bCs/>
              </w:rPr>
              <w:t>2023</w:t>
            </w:r>
          </w:p>
        </w:tc>
        <w:tc>
          <w:tcPr>
            <w:tcW w:w="1300" w:type="dxa"/>
            <w:tcBorders>
              <w:top w:val="single" w:sz="4" w:space="0" w:color="auto"/>
              <w:left w:val="nil"/>
              <w:bottom w:val="single" w:sz="4" w:space="0" w:color="auto"/>
              <w:right w:val="single" w:sz="4" w:space="0" w:color="auto"/>
            </w:tcBorders>
            <w:vAlign w:val="center"/>
            <w:hideMark/>
          </w:tcPr>
          <w:p w14:paraId="33CA328C" w14:textId="77777777" w:rsidR="00E82219" w:rsidRPr="00C43A9C" w:rsidRDefault="00E82219" w:rsidP="00473ADD">
            <w:pPr>
              <w:spacing w:before="240" w:line="360" w:lineRule="auto"/>
              <w:jc w:val="both"/>
              <w:rPr>
                <w:b/>
                <w:bCs/>
              </w:rPr>
            </w:pPr>
            <w:r w:rsidRPr="00C43A9C">
              <w:rPr>
                <w:b/>
                <w:bCs/>
              </w:rPr>
              <w:t>2022</w:t>
            </w:r>
          </w:p>
        </w:tc>
        <w:tc>
          <w:tcPr>
            <w:tcW w:w="1300" w:type="dxa"/>
            <w:tcBorders>
              <w:top w:val="single" w:sz="4" w:space="0" w:color="auto"/>
              <w:left w:val="nil"/>
              <w:bottom w:val="single" w:sz="4" w:space="0" w:color="auto"/>
              <w:right w:val="single" w:sz="4" w:space="0" w:color="auto"/>
            </w:tcBorders>
            <w:vAlign w:val="center"/>
            <w:hideMark/>
          </w:tcPr>
          <w:p w14:paraId="6F01FB19" w14:textId="77777777" w:rsidR="00E82219" w:rsidRPr="00C43A9C" w:rsidRDefault="00E82219" w:rsidP="00473ADD">
            <w:pPr>
              <w:spacing w:before="240" w:line="360" w:lineRule="auto"/>
              <w:jc w:val="both"/>
              <w:rPr>
                <w:b/>
                <w:bCs/>
              </w:rPr>
            </w:pPr>
            <w:r w:rsidRPr="00C43A9C">
              <w:rPr>
                <w:b/>
                <w:bCs/>
              </w:rPr>
              <w:t>2021</w:t>
            </w:r>
          </w:p>
        </w:tc>
        <w:tc>
          <w:tcPr>
            <w:tcW w:w="1300" w:type="dxa"/>
            <w:tcBorders>
              <w:top w:val="single" w:sz="4" w:space="0" w:color="auto"/>
              <w:left w:val="nil"/>
              <w:bottom w:val="single" w:sz="4" w:space="0" w:color="auto"/>
              <w:right w:val="single" w:sz="4" w:space="0" w:color="auto"/>
            </w:tcBorders>
            <w:vAlign w:val="center"/>
            <w:hideMark/>
          </w:tcPr>
          <w:p w14:paraId="3A0AF0E8" w14:textId="77777777" w:rsidR="00E82219" w:rsidRPr="00C43A9C" w:rsidRDefault="00E82219" w:rsidP="00473ADD">
            <w:pPr>
              <w:spacing w:before="240" w:line="360" w:lineRule="auto"/>
              <w:jc w:val="both"/>
              <w:rPr>
                <w:b/>
                <w:bCs/>
              </w:rPr>
            </w:pPr>
            <w:r w:rsidRPr="00C43A9C">
              <w:rPr>
                <w:b/>
                <w:bCs/>
              </w:rPr>
              <w:t>2020</w:t>
            </w:r>
          </w:p>
        </w:tc>
      </w:tr>
      <w:tr w:rsidR="00C43A9C" w:rsidRPr="00C43A9C" w14:paraId="2B0CA343" w14:textId="77777777" w:rsidTr="00E82219">
        <w:trPr>
          <w:trHeight w:val="340"/>
        </w:trPr>
        <w:tc>
          <w:tcPr>
            <w:tcW w:w="2540" w:type="dxa"/>
            <w:tcBorders>
              <w:top w:val="nil"/>
              <w:left w:val="single" w:sz="4" w:space="0" w:color="auto"/>
              <w:bottom w:val="single" w:sz="4" w:space="0" w:color="auto"/>
              <w:right w:val="single" w:sz="4" w:space="0" w:color="auto"/>
            </w:tcBorders>
            <w:vAlign w:val="center"/>
            <w:hideMark/>
          </w:tcPr>
          <w:p w14:paraId="436D035D" w14:textId="77777777" w:rsidR="00E82219" w:rsidRPr="00C43A9C" w:rsidRDefault="00E82219" w:rsidP="00473ADD">
            <w:pPr>
              <w:spacing w:before="240" w:line="360" w:lineRule="auto"/>
              <w:jc w:val="both"/>
              <w:rPr>
                <w:b/>
                <w:bCs/>
              </w:rPr>
            </w:pPr>
            <w:r w:rsidRPr="00C43A9C">
              <w:rPr>
                <w:b/>
                <w:bCs/>
              </w:rPr>
              <w:t>Debt-to-Equity Ratio</w:t>
            </w:r>
          </w:p>
        </w:tc>
        <w:tc>
          <w:tcPr>
            <w:tcW w:w="1300" w:type="dxa"/>
            <w:tcBorders>
              <w:top w:val="nil"/>
              <w:left w:val="nil"/>
              <w:bottom w:val="single" w:sz="4" w:space="0" w:color="auto"/>
              <w:right w:val="single" w:sz="4" w:space="0" w:color="auto"/>
            </w:tcBorders>
            <w:vAlign w:val="center"/>
            <w:hideMark/>
          </w:tcPr>
          <w:p w14:paraId="4826E21F" w14:textId="77777777" w:rsidR="00E82219" w:rsidRPr="00C43A9C" w:rsidRDefault="00E82219" w:rsidP="00473ADD">
            <w:pPr>
              <w:spacing w:before="240" w:line="360" w:lineRule="auto"/>
              <w:jc w:val="both"/>
            </w:pPr>
            <w:r w:rsidRPr="00C43A9C">
              <w:t>1.11</w:t>
            </w:r>
          </w:p>
        </w:tc>
        <w:tc>
          <w:tcPr>
            <w:tcW w:w="1300" w:type="dxa"/>
            <w:tcBorders>
              <w:top w:val="nil"/>
              <w:left w:val="nil"/>
              <w:bottom w:val="single" w:sz="4" w:space="0" w:color="auto"/>
              <w:right w:val="single" w:sz="4" w:space="0" w:color="auto"/>
            </w:tcBorders>
            <w:vAlign w:val="center"/>
            <w:hideMark/>
          </w:tcPr>
          <w:p w14:paraId="16BDA937" w14:textId="77777777" w:rsidR="00E82219" w:rsidRPr="00C43A9C" w:rsidRDefault="00E82219" w:rsidP="00473ADD">
            <w:pPr>
              <w:spacing w:before="240" w:line="360" w:lineRule="auto"/>
              <w:jc w:val="both"/>
            </w:pPr>
            <w:r w:rsidRPr="00C43A9C">
              <w:t>1.05</w:t>
            </w:r>
          </w:p>
        </w:tc>
        <w:tc>
          <w:tcPr>
            <w:tcW w:w="1300" w:type="dxa"/>
            <w:tcBorders>
              <w:top w:val="nil"/>
              <w:left w:val="nil"/>
              <w:bottom w:val="single" w:sz="4" w:space="0" w:color="auto"/>
              <w:right w:val="single" w:sz="4" w:space="0" w:color="auto"/>
            </w:tcBorders>
            <w:vAlign w:val="center"/>
            <w:hideMark/>
          </w:tcPr>
          <w:p w14:paraId="05115051" w14:textId="77777777" w:rsidR="00E82219" w:rsidRPr="00C43A9C" w:rsidRDefault="00E82219" w:rsidP="00473ADD">
            <w:pPr>
              <w:spacing w:before="240" w:line="360" w:lineRule="auto"/>
              <w:jc w:val="both"/>
            </w:pPr>
            <w:r w:rsidRPr="00C43A9C">
              <w:t>1.12</w:t>
            </w:r>
          </w:p>
        </w:tc>
        <w:tc>
          <w:tcPr>
            <w:tcW w:w="1300" w:type="dxa"/>
            <w:tcBorders>
              <w:top w:val="nil"/>
              <w:left w:val="nil"/>
              <w:bottom w:val="single" w:sz="4" w:space="0" w:color="auto"/>
              <w:right w:val="single" w:sz="4" w:space="0" w:color="auto"/>
            </w:tcBorders>
            <w:vAlign w:val="center"/>
            <w:hideMark/>
          </w:tcPr>
          <w:p w14:paraId="0442E2C9" w14:textId="77777777" w:rsidR="00E82219" w:rsidRPr="00C43A9C" w:rsidRDefault="00E82219" w:rsidP="00473ADD">
            <w:pPr>
              <w:spacing w:before="240" w:line="360" w:lineRule="auto"/>
              <w:jc w:val="both"/>
            </w:pPr>
            <w:r w:rsidRPr="00C43A9C">
              <w:t>0.85</w:t>
            </w:r>
          </w:p>
        </w:tc>
        <w:tc>
          <w:tcPr>
            <w:tcW w:w="1300" w:type="dxa"/>
            <w:tcBorders>
              <w:top w:val="nil"/>
              <w:left w:val="nil"/>
              <w:bottom w:val="single" w:sz="4" w:space="0" w:color="auto"/>
              <w:right w:val="single" w:sz="4" w:space="0" w:color="auto"/>
            </w:tcBorders>
            <w:vAlign w:val="center"/>
            <w:hideMark/>
          </w:tcPr>
          <w:p w14:paraId="1502E4B5" w14:textId="77777777" w:rsidR="00E82219" w:rsidRPr="00C43A9C" w:rsidRDefault="00E82219" w:rsidP="00473ADD">
            <w:pPr>
              <w:spacing w:before="240" w:line="360" w:lineRule="auto"/>
              <w:jc w:val="both"/>
            </w:pPr>
            <w:r w:rsidRPr="00C43A9C">
              <w:t>0.63</w:t>
            </w:r>
          </w:p>
        </w:tc>
      </w:tr>
    </w:tbl>
    <w:p w14:paraId="2A0EF04E" w14:textId="09287749" w:rsidR="00E82219" w:rsidRPr="00C43A9C" w:rsidRDefault="00E82219" w:rsidP="00473ADD">
      <w:pPr>
        <w:spacing w:before="240" w:after="100" w:afterAutospacing="1" w:line="360" w:lineRule="auto"/>
        <w:jc w:val="both"/>
        <w:outlineLvl w:val="4"/>
        <w:rPr>
          <w:b/>
          <w:bCs/>
        </w:rPr>
      </w:pPr>
      <w:r w:rsidRPr="00C43A9C">
        <w:rPr>
          <w:noProof/>
          <w14:ligatures w14:val="standardContextual"/>
        </w:rPr>
        <w:drawing>
          <wp:inline distT="0" distB="0" distL="0" distR="0" wp14:anchorId="7074CE49" wp14:editId="4C1AAB26">
            <wp:extent cx="4572000" cy="2743200"/>
            <wp:effectExtent l="0" t="0" r="12700" b="12700"/>
            <wp:docPr id="230684736" name="Chart 1">
              <a:extLst xmlns:a="http://schemas.openxmlformats.org/drawingml/2006/main">
                <a:ext uri="{FF2B5EF4-FFF2-40B4-BE49-F238E27FC236}">
                  <a16:creationId xmlns:a16="http://schemas.microsoft.com/office/drawing/2014/main" id="{1E65B547-7B73-643C-EFD4-B6CBE883D1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54AF504" w14:textId="22802B6E" w:rsidR="007B22C3" w:rsidRPr="00C43A9C" w:rsidRDefault="007B22C3" w:rsidP="00473ADD">
      <w:pPr>
        <w:spacing w:before="240" w:after="100" w:afterAutospacing="1" w:line="360" w:lineRule="auto"/>
        <w:jc w:val="both"/>
        <w:outlineLvl w:val="4"/>
        <w:rPr>
          <w:b/>
          <w:bCs/>
        </w:rPr>
      </w:pPr>
      <w:r w:rsidRPr="00C43A9C">
        <w:rPr>
          <w:b/>
          <w:bCs/>
        </w:rPr>
        <w:t>1.5 Investment Ratios</w:t>
      </w:r>
    </w:p>
    <w:tbl>
      <w:tblPr>
        <w:tblW w:w="9600" w:type="dxa"/>
        <w:tblLook w:val="04A0" w:firstRow="1" w:lastRow="0" w:firstColumn="1" w:lastColumn="0" w:noHBand="0" w:noVBand="1"/>
      </w:tblPr>
      <w:tblGrid>
        <w:gridCol w:w="3100"/>
        <w:gridCol w:w="1300"/>
        <w:gridCol w:w="1300"/>
        <w:gridCol w:w="1300"/>
        <w:gridCol w:w="1300"/>
        <w:gridCol w:w="1300"/>
      </w:tblGrid>
      <w:tr w:rsidR="00C43A9C" w:rsidRPr="00C43A9C" w14:paraId="0A792951" w14:textId="77777777" w:rsidTr="00E82219">
        <w:trPr>
          <w:trHeight w:val="340"/>
        </w:trPr>
        <w:tc>
          <w:tcPr>
            <w:tcW w:w="3100" w:type="dxa"/>
            <w:tcBorders>
              <w:top w:val="single" w:sz="4" w:space="0" w:color="auto"/>
              <w:left w:val="single" w:sz="4" w:space="0" w:color="auto"/>
              <w:bottom w:val="single" w:sz="4" w:space="0" w:color="auto"/>
              <w:right w:val="single" w:sz="4" w:space="0" w:color="auto"/>
            </w:tcBorders>
            <w:vAlign w:val="center"/>
            <w:hideMark/>
          </w:tcPr>
          <w:p w14:paraId="74D9C63E" w14:textId="77777777" w:rsidR="00E82219" w:rsidRPr="00C43A9C" w:rsidRDefault="00E82219" w:rsidP="00473ADD">
            <w:pPr>
              <w:spacing w:before="240" w:line="360" w:lineRule="auto"/>
              <w:jc w:val="both"/>
              <w:rPr>
                <w:b/>
                <w:bCs/>
              </w:rPr>
            </w:pPr>
            <w:r w:rsidRPr="00C43A9C">
              <w:rPr>
                <w:b/>
                <w:bCs/>
              </w:rPr>
              <w:t>Ratio</w:t>
            </w:r>
          </w:p>
        </w:tc>
        <w:tc>
          <w:tcPr>
            <w:tcW w:w="1300" w:type="dxa"/>
            <w:tcBorders>
              <w:top w:val="single" w:sz="4" w:space="0" w:color="auto"/>
              <w:left w:val="nil"/>
              <w:bottom w:val="single" w:sz="4" w:space="0" w:color="auto"/>
              <w:right w:val="single" w:sz="4" w:space="0" w:color="auto"/>
            </w:tcBorders>
            <w:vAlign w:val="center"/>
            <w:hideMark/>
          </w:tcPr>
          <w:p w14:paraId="61971C1A" w14:textId="77777777" w:rsidR="00E82219" w:rsidRPr="00C43A9C" w:rsidRDefault="00E82219" w:rsidP="00473ADD">
            <w:pPr>
              <w:spacing w:before="240" w:line="360" w:lineRule="auto"/>
              <w:jc w:val="both"/>
              <w:rPr>
                <w:b/>
                <w:bCs/>
              </w:rPr>
            </w:pPr>
            <w:r w:rsidRPr="00C43A9C">
              <w:rPr>
                <w:b/>
                <w:bCs/>
              </w:rPr>
              <w:t>2024</w:t>
            </w:r>
          </w:p>
        </w:tc>
        <w:tc>
          <w:tcPr>
            <w:tcW w:w="1300" w:type="dxa"/>
            <w:tcBorders>
              <w:top w:val="single" w:sz="4" w:space="0" w:color="auto"/>
              <w:left w:val="nil"/>
              <w:bottom w:val="single" w:sz="4" w:space="0" w:color="auto"/>
              <w:right w:val="single" w:sz="4" w:space="0" w:color="auto"/>
            </w:tcBorders>
            <w:vAlign w:val="center"/>
            <w:hideMark/>
          </w:tcPr>
          <w:p w14:paraId="7D1DFAB7" w14:textId="77777777" w:rsidR="00E82219" w:rsidRPr="00C43A9C" w:rsidRDefault="00E82219" w:rsidP="00473ADD">
            <w:pPr>
              <w:spacing w:before="240" w:line="360" w:lineRule="auto"/>
              <w:jc w:val="both"/>
              <w:rPr>
                <w:b/>
                <w:bCs/>
              </w:rPr>
            </w:pPr>
            <w:r w:rsidRPr="00C43A9C">
              <w:rPr>
                <w:b/>
                <w:bCs/>
              </w:rPr>
              <w:t>2023</w:t>
            </w:r>
          </w:p>
        </w:tc>
        <w:tc>
          <w:tcPr>
            <w:tcW w:w="1300" w:type="dxa"/>
            <w:tcBorders>
              <w:top w:val="single" w:sz="4" w:space="0" w:color="auto"/>
              <w:left w:val="nil"/>
              <w:bottom w:val="single" w:sz="4" w:space="0" w:color="auto"/>
              <w:right w:val="single" w:sz="4" w:space="0" w:color="auto"/>
            </w:tcBorders>
            <w:vAlign w:val="center"/>
            <w:hideMark/>
          </w:tcPr>
          <w:p w14:paraId="0228468E" w14:textId="77777777" w:rsidR="00E82219" w:rsidRPr="00C43A9C" w:rsidRDefault="00E82219" w:rsidP="00473ADD">
            <w:pPr>
              <w:spacing w:before="240" w:line="360" w:lineRule="auto"/>
              <w:jc w:val="both"/>
              <w:rPr>
                <w:b/>
                <w:bCs/>
              </w:rPr>
            </w:pPr>
            <w:r w:rsidRPr="00C43A9C">
              <w:rPr>
                <w:b/>
                <w:bCs/>
              </w:rPr>
              <w:t>2022</w:t>
            </w:r>
          </w:p>
        </w:tc>
        <w:tc>
          <w:tcPr>
            <w:tcW w:w="1300" w:type="dxa"/>
            <w:tcBorders>
              <w:top w:val="single" w:sz="4" w:space="0" w:color="auto"/>
              <w:left w:val="nil"/>
              <w:bottom w:val="single" w:sz="4" w:space="0" w:color="auto"/>
              <w:right w:val="single" w:sz="4" w:space="0" w:color="auto"/>
            </w:tcBorders>
            <w:vAlign w:val="center"/>
            <w:hideMark/>
          </w:tcPr>
          <w:p w14:paraId="5E2763AA" w14:textId="77777777" w:rsidR="00E82219" w:rsidRPr="00C43A9C" w:rsidRDefault="00E82219" w:rsidP="00473ADD">
            <w:pPr>
              <w:spacing w:before="240" w:line="360" w:lineRule="auto"/>
              <w:jc w:val="both"/>
              <w:rPr>
                <w:b/>
                <w:bCs/>
              </w:rPr>
            </w:pPr>
            <w:r w:rsidRPr="00C43A9C">
              <w:rPr>
                <w:b/>
                <w:bCs/>
              </w:rPr>
              <w:t>2021</w:t>
            </w:r>
          </w:p>
        </w:tc>
        <w:tc>
          <w:tcPr>
            <w:tcW w:w="1300" w:type="dxa"/>
            <w:tcBorders>
              <w:top w:val="single" w:sz="4" w:space="0" w:color="auto"/>
              <w:left w:val="nil"/>
              <w:bottom w:val="single" w:sz="4" w:space="0" w:color="auto"/>
              <w:right w:val="single" w:sz="4" w:space="0" w:color="auto"/>
            </w:tcBorders>
            <w:vAlign w:val="center"/>
            <w:hideMark/>
          </w:tcPr>
          <w:p w14:paraId="282765CD" w14:textId="77777777" w:rsidR="00E82219" w:rsidRPr="00C43A9C" w:rsidRDefault="00E82219" w:rsidP="00473ADD">
            <w:pPr>
              <w:spacing w:before="240" w:line="360" w:lineRule="auto"/>
              <w:jc w:val="both"/>
              <w:rPr>
                <w:b/>
                <w:bCs/>
              </w:rPr>
            </w:pPr>
            <w:r w:rsidRPr="00C43A9C">
              <w:rPr>
                <w:b/>
                <w:bCs/>
              </w:rPr>
              <w:t>2020</w:t>
            </w:r>
          </w:p>
        </w:tc>
      </w:tr>
      <w:tr w:rsidR="00C43A9C" w:rsidRPr="00C43A9C" w14:paraId="5B68FEA6" w14:textId="77777777" w:rsidTr="00E82219">
        <w:trPr>
          <w:trHeight w:val="340"/>
        </w:trPr>
        <w:tc>
          <w:tcPr>
            <w:tcW w:w="3100" w:type="dxa"/>
            <w:tcBorders>
              <w:top w:val="nil"/>
              <w:left w:val="single" w:sz="4" w:space="0" w:color="auto"/>
              <w:bottom w:val="single" w:sz="4" w:space="0" w:color="auto"/>
              <w:right w:val="single" w:sz="4" w:space="0" w:color="auto"/>
            </w:tcBorders>
            <w:vAlign w:val="center"/>
            <w:hideMark/>
          </w:tcPr>
          <w:p w14:paraId="6532B29C" w14:textId="77777777" w:rsidR="00E82219" w:rsidRPr="00C43A9C" w:rsidRDefault="00E82219" w:rsidP="00473ADD">
            <w:pPr>
              <w:spacing w:before="240" w:line="360" w:lineRule="auto"/>
              <w:jc w:val="both"/>
              <w:rPr>
                <w:b/>
                <w:bCs/>
              </w:rPr>
            </w:pPr>
            <w:r w:rsidRPr="00C43A9C">
              <w:rPr>
                <w:b/>
                <w:bCs/>
              </w:rPr>
              <w:t>Return on Assets (ROA)</w:t>
            </w:r>
          </w:p>
        </w:tc>
        <w:tc>
          <w:tcPr>
            <w:tcW w:w="1300" w:type="dxa"/>
            <w:tcBorders>
              <w:top w:val="nil"/>
              <w:left w:val="nil"/>
              <w:bottom w:val="single" w:sz="4" w:space="0" w:color="auto"/>
              <w:right w:val="single" w:sz="4" w:space="0" w:color="auto"/>
            </w:tcBorders>
            <w:vAlign w:val="center"/>
            <w:hideMark/>
          </w:tcPr>
          <w:p w14:paraId="64FAEEA0" w14:textId="77777777" w:rsidR="00E82219" w:rsidRPr="00C43A9C" w:rsidRDefault="00E82219" w:rsidP="00473ADD">
            <w:pPr>
              <w:spacing w:before="240" w:line="360" w:lineRule="auto"/>
              <w:jc w:val="both"/>
            </w:pPr>
            <w:r w:rsidRPr="00C43A9C">
              <w:t>-7.40%</w:t>
            </w:r>
          </w:p>
        </w:tc>
        <w:tc>
          <w:tcPr>
            <w:tcW w:w="1300" w:type="dxa"/>
            <w:tcBorders>
              <w:top w:val="nil"/>
              <w:left w:val="nil"/>
              <w:bottom w:val="single" w:sz="4" w:space="0" w:color="auto"/>
              <w:right w:val="single" w:sz="4" w:space="0" w:color="auto"/>
            </w:tcBorders>
            <w:vAlign w:val="center"/>
            <w:hideMark/>
          </w:tcPr>
          <w:p w14:paraId="09A155CE" w14:textId="77777777" w:rsidR="00E82219" w:rsidRPr="00C43A9C" w:rsidRDefault="00E82219" w:rsidP="00473ADD">
            <w:pPr>
              <w:spacing w:before="240" w:line="360" w:lineRule="auto"/>
              <w:jc w:val="both"/>
            </w:pPr>
            <w:r w:rsidRPr="00C43A9C">
              <w:t>-24.80%</w:t>
            </w:r>
          </w:p>
        </w:tc>
        <w:tc>
          <w:tcPr>
            <w:tcW w:w="1300" w:type="dxa"/>
            <w:tcBorders>
              <w:top w:val="nil"/>
              <w:left w:val="nil"/>
              <w:bottom w:val="single" w:sz="4" w:space="0" w:color="auto"/>
              <w:right w:val="single" w:sz="4" w:space="0" w:color="auto"/>
            </w:tcBorders>
            <w:vAlign w:val="center"/>
            <w:hideMark/>
          </w:tcPr>
          <w:p w14:paraId="0D6585F9" w14:textId="77777777" w:rsidR="00E82219" w:rsidRPr="00C43A9C" w:rsidRDefault="00E82219" w:rsidP="00473ADD">
            <w:pPr>
              <w:spacing w:before="240" w:line="360" w:lineRule="auto"/>
              <w:jc w:val="both"/>
            </w:pPr>
            <w:r w:rsidRPr="00C43A9C">
              <w:t>0.10%</w:t>
            </w:r>
          </w:p>
        </w:tc>
        <w:tc>
          <w:tcPr>
            <w:tcW w:w="1300" w:type="dxa"/>
            <w:tcBorders>
              <w:top w:val="nil"/>
              <w:left w:val="nil"/>
              <w:bottom w:val="single" w:sz="4" w:space="0" w:color="auto"/>
              <w:right w:val="single" w:sz="4" w:space="0" w:color="auto"/>
            </w:tcBorders>
            <w:vAlign w:val="center"/>
            <w:hideMark/>
          </w:tcPr>
          <w:p w14:paraId="0AD15589" w14:textId="77777777" w:rsidR="00E82219" w:rsidRPr="00C43A9C" w:rsidRDefault="00E82219" w:rsidP="00473ADD">
            <w:pPr>
              <w:spacing w:before="240" w:line="360" w:lineRule="auto"/>
              <w:jc w:val="both"/>
            </w:pPr>
            <w:r w:rsidRPr="00C43A9C">
              <w:t>1.00%</w:t>
            </w:r>
          </w:p>
        </w:tc>
        <w:tc>
          <w:tcPr>
            <w:tcW w:w="1300" w:type="dxa"/>
            <w:tcBorders>
              <w:top w:val="nil"/>
              <w:left w:val="nil"/>
              <w:bottom w:val="single" w:sz="4" w:space="0" w:color="auto"/>
              <w:right w:val="single" w:sz="4" w:space="0" w:color="auto"/>
            </w:tcBorders>
            <w:vAlign w:val="center"/>
            <w:hideMark/>
          </w:tcPr>
          <w:p w14:paraId="1BCB2577" w14:textId="77777777" w:rsidR="00E82219" w:rsidRPr="00C43A9C" w:rsidRDefault="00E82219" w:rsidP="00473ADD">
            <w:pPr>
              <w:spacing w:before="240" w:line="360" w:lineRule="auto"/>
              <w:jc w:val="both"/>
            </w:pPr>
            <w:r w:rsidRPr="00C43A9C">
              <w:t>7.60%</w:t>
            </w:r>
          </w:p>
        </w:tc>
      </w:tr>
      <w:tr w:rsidR="00C43A9C" w:rsidRPr="00C43A9C" w14:paraId="70261940" w14:textId="77777777" w:rsidTr="00E82219">
        <w:trPr>
          <w:trHeight w:val="340"/>
        </w:trPr>
        <w:tc>
          <w:tcPr>
            <w:tcW w:w="3100" w:type="dxa"/>
            <w:tcBorders>
              <w:top w:val="nil"/>
              <w:left w:val="single" w:sz="4" w:space="0" w:color="auto"/>
              <w:bottom w:val="single" w:sz="4" w:space="0" w:color="auto"/>
              <w:right w:val="single" w:sz="4" w:space="0" w:color="auto"/>
            </w:tcBorders>
            <w:vAlign w:val="center"/>
            <w:hideMark/>
          </w:tcPr>
          <w:p w14:paraId="65FE1DE3" w14:textId="77777777" w:rsidR="00E82219" w:rsidRPr="00C43A9C" w:rsidRDefault="00E82219" w:rsidP="00473ADD">
            <w:pPr>
              <w:spacing w:before="240" w:line="360" w:lineRule="auto"/>
              <w:jc w:val="both"/>
              <w:rPr>
                <w:b/>
                <w:bCs/>
              </w:rPr>
            </w:pPr>
            <w:r w:rsidRPr="00C43A9C">
              <w:rPr>
                <w:b/>
                <w:bCs/>
              </w:rPr>
              <w:t>Return on Equity (ROE)</w:t>
            </w:r>
          </w:p>
        </w:tc>
        <w:tc>
          <w:tcPr>
            <w:tcW w:w="1300" w:type="dxa"/>
            <w:tcBorders>
              <w:top w:val="nil"/>
              <w:left w:val="nil"/>
              <w:bottom w:val="single" w:sz="4" w:space="0" w:color="auto"/>
              <w:right w:val="single" w:sz="4" w:space="0" w:color="auto"/>
            </w:tcBorders>
            <w:vAlign w:val="center"/>
            <w:hideMark/>
          </w:tcPr>
          <w:p w14:paraId="60CD89C5" w14:textId="77777777" w:rsidR="00E82219" w:rsidRPr="00C43A9C" w:rsidRDefault="00E82219" w:rsidP="00473ADD">
            <w:pPr>
              <w:spacing w:before="240" w:line="360" w:lineRule="auto"/>
              <w:jc w:val="both"/>
            </w:pPr>
            <w:r w:rsidRPr="00C43A9C">
              <w:t>-15.70%</w:t>
            </w:r>
          </w:p>
        </w:tc>
        <w:tc>
          <w:tcPr>
            <w:tcW w:w="1300" w:type="dxa"/>
            <w:tcBorders>
              <w:top w:val="nil"/>
              <w:left w:val="nil"/>
              <w:bottom w:val="single" w:sz="4" w:space="0" w:color="auto"/>
              <w:right w:val="single" w:sz="4" w:space="0" w:color="auto"/>
            </w:tcBorders>
            <w:vAlign w:val="center"/>
            <w:hideMark/>
          </w:tcPr>
          <w:p w14:paraId="482B3185" w14:textId="77777777" w:rsidR="00E82219" w:rsidRPr="00C43A9C" w:rsidRDefault="00E82219" w:rsidP="00473ADD">
            <w:pPr>
              <w:spacing w:before="240" w:line="360" w:lineRule="auto"/>
              <w:jc w:val="both"/>
            </w:pPr>
            <w:r w:rsidRPr="00C43A9C">
              <w:t>-54.90%</w:t>
            </w:r>
          </w:p>
        </w:tc>
        <w:tc>
          <w:tcPr>
            <w:tcW w:w="1300" w:type="dxa"/>
            <w:tcBorders>
              <w:top w:val="nil"/>
              <w:left w:val="nil"/>
              <w:bottom w:val="single" w:sz="4" w:space="0" w:color="auto"/>
              <w:right w:val="single" w:sz="4" w:space="0" w:color="auto"/>
            </w:tcBorders>
            <w:vAlign w:val="center"/>
            <w:hideMark/>
          </w:tcPr>
          <w:p w14:paraId="3C1784D2" w14:textId="77777777" w:rsidR="00E82219" w:rsidRPr="00C43A9C" w:rsidRDefault="00E82219" w:rsidP="00473ADD">
            <w:pPr>
              <w:spacing w:before="240" w:line="360" w:lineRule="auto"/>
              <w:jc w:val="both"/>
            </w:pPr>
            <w:r w:rsidRPr="00C43A9C">
              <w:t>0.20%</w:t>
            </w:r>
          </w:p>
        </w:tc>
        <w:tc>
          <w:tcPr>
            <w:tcW w:w="1300" w:type="dxa"/>
            <w:tcBorders>
              <w:top w:val="nil"/>
              <w:left w:val="nil"/>
              <w:bottom w:val="single" w:sz="4" w:space="0" w:color="auto"/>
              <w:right w:val="single" w:sz="4" w:space="0" w:color="auto"/>
            </w:tcBorders>
            <w:vAlign w:val="center"/>
            <w:hideMark/>
          </w:tcPr>
          <w:p w14:paraId="6D4F4D65" w14:textId="77777777" w:rsidR="00E82219" w:rsidRPr="00C43A9C" w:rsidRDefault="00E82219" w:rsidP="00473ADD">
            <w:pPr>
              <w:spacing w:before="240" w:line="360" w:lineRule="auto"/>
              <w:jc w:val="both"/>
            </w:pPr>
            <w:r w:rsidRPr="00C43A9C">
              <w:t>1.90%</w:t>
            </w:r>
          </w:p>
        </w:tc>
        <w:tc>
          <w:tcPr>
            <w:tcW w:w="1300" w:type="dxa"/>
            <w:tcBorders>
              <w:top w:val="nil"/>
              <w:left w:val="nil"/>
              <w:bottom w:val="single" w:sz="4" w:space="0" w:color="auto"/>
              <w:right w:val="single" w:sz="4" w:space="0" w:color="auto"/>
            </w:tcBorders>
            <w:vAlign w:val="center"/>
            <w:hideMark/>
          </w:tcPr>
          <w:p w14:paraId="1659051E" w14:textId="77777777" w:rsidR="00E82219" w:rsidRPr="00C43A9C" w:rsidRDefault="00E82219" w:rsidP="00473ADD">
            <w:pPr>
              <w:spacing w:before="240" w:line="360" w:lineRule="auto"/>
              <w:jc w:val="both"/>
            </w:pPr>
            <w:r w:rsidRPr="00C43A9C">
              <w:t>12.30%</w:t>
            </w:r>
          </w:p>
        </w:tc>
      </w:tr>
    </w:tbl>
    <w:p w14:paraId="4E77B015" w14:textId="2C011265" w:rsidR="007B22C3" w:rsidRPr="00C43A9C" w:rsidRDefault="00E82219" w:rsidP="00473ADD">
      <w:pPr>
        <w:spacing w:before="240" w:after="100" w:afterAutospacing="1" w:line="360" w:lineRule="auto"/>
        <w:jc w:val="both"/>
      </w:pPr>
      <w:r w:rsidRPr="00C43A9C">
        <w:rPr>
          <w:noProof/>
          <w14:ligatures w14:val="standardContextual"/>
        </w:rPr>
        <w:drawing>
          <wp:inline distT="0" distB="0" distL="0" distR="0" wp14:anchorId="402B6DA8" wp14:editId="5D1A8C03">
            <wp:extent cx="4572000" cy="2743200"/>
            <wp:effectExtent l="0" t="0" r="12700" b="12700"/>
            <wp:docPr id="1007161032" name="Chart 1">
              <a:extLst xmlns:a="http://schemas.openxmlformats.org/drawingml/2006/main">
                <a:ext uri="{FF2B5EF4-FFF2-40B4-BE49-F238E27FC236}">
                  <a16:creationId xmlns:a16="http://schemas.microsoft.com/office/drawing/2014/main" id="{70E6BF36-0882-A3C0-6083-AA22B19E44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563EA04" w14:textId="7FA4712E" w:rsidR="007B22C3" w:rsidRPr="00C43A9C" w:rsidRDefault="00E82219" w:rsidP="00473ADD">
      <w:pPr>
        <w:spacing w:before="240" w:after="100" w:afterAutospacing="1" w:line="360" w:lineRule="auto"/>
        <w:jc w:val="both"/>
      </w:pPr>
      <w:r w:rsidRPr="00C43A9C">
        <w:rPr>
          <w:noProof/>
          <w14:ligatures w14:val="standardContextual"/>
        </w:rPr>
        <w:drawing>
          <wp:inline distT="0" distB="0" distL="0" distR="0" wp14:anchorId="02A905CD" wp14:editId="29502F63">
            <wp:extent cx="4572000" cy="2743200"/>
            <wp:effectExtent l="0" t="0" r="12700" b="12700"/>
            <wp:docPr id="552897938" name="Chart 1">
              <a:extLst xmlns:a="http://schemas.openxmlformats.org/drawingml/2006/main">
                <a:ext uri="{FF2B5EF4-FFF2-40B4-BE49-F238E27FC236}">
                  <a16:creationId xmlns:a16="http://schemas.microsoft.com/office/drawing/2014/main" id="{7C4322B2-1662-4D8A-3615-D803CC7B35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70A4455" w14:textId="06237821" w:rsidR="007B22C3" w:rsidRPr="00C43A9C" w:rsidRDefault="00E82219" w:rsidP="00473ADD">
      <w:pPr>
        <w:spacing w:before="240" w:after="100" w:afterAutospacing="1" w:line="360" w:lineRule="auto"/>
        <w:jc w:val="both"/>
        <w:rPr>
          <w:b/>
          <w:bCs/>
        </w:rPr>
      </w:pPr>
      <w:r w:rsidRPr="00C43A9C">
        <w:rPr>
          <w:b/>
          <w:bCs/>
        </w:rPr>
        <w:t>2. Investment Appraisal Calculations</w:t>
      </w:r>
    </w:p>
    <w:tbl>
      <w:tblPr>
        <w:tblW w:w="9874" w:type="dxa"/>
        <w:tblLook w:val="04A0" w:firstRow="1" w:lastRow="0" w:firstColumn="1" w:lastColumn="0" w:noHBand="0" w:noVBand="1"/>
      </w:tblPr>
      <w:tblGrid>
        <w:gridCol w:w="1076"/>
        <w:gridCol w:w="1415"/>
        <w:gridCol w:w="1076"/>
        <w:gridCol w:w="1076"/>
        <w:gridCol w:w="1076"/>
        <w:gridCol w:w="1076"/>
        <w:gridCol w:w="1076"/>
        <w:gridCol w:w="1076"/>
        <w:gridCol w:w="1083"/>
      </w:tblGrid>
      <w:tr w:rsidR="00C43A9C" w:rsidRPr="00C43A9C" w14:paraId="5A4F8486" w14:textId="77777777" w:rsidTr="00E82219">
        <w:trPr>
          <w:trHeight w:val="631"/>
        </w:trPr>
        <w:tc>
          <w:tcPr>
            <w:tcW w:w="1076" w:type="dxa"/>
            <w:tcBorders>
              <w:top w:val="single" w:sz="4" w:space="0" w:color="auto"/>
              <w:left w:val="single" w:sz="4" w:space="0" w:color="auto"/>
              <w:bottom w:val="single" w:sz="4" w:space="0" w:color="auto"/>
              <w:right w:val="single" w:sz="4" w:space="0" w:color="auto"/>
            </w:tcBorders>
            <w:noWrap/>
            <w:vAlign w:val="bottom"/>
            <w:hideMark/>
          </w:tcPr>
          <w:p w14:paraId="3E9F5ACD" w14:textId="77777777" w:rsidR="00E82219" w:rsidRPr="00C43A9C" w:rsidRDefault="00E82219" w:rsidP="00473ADD">
            <w:pPr>
              <w:spacing w:before="240" w:line="360" w:lineRule="auto"/>
              <w:jc w:val="both"/>
              <w:rPr>
                <w:b/>
                <w:bCs/>
              </w:rPr>
            </w:pPr>
            <w:r w:rsidRPr="00C43A9C">
              <w:rPr>
                <w:b/>
                <w:bCs/>
              </w:rPr>
              <w:t>Project</w:t>
            </w:r>
          </w:p>
        </w:tc>
        <w:tc>
          <w:tcPr>
            <w:tcW w:w="1266" w:type="dxa"/>
            <w:tcBorders>
              <w:top w:val="single" w:sz="4" w:space="0" w:color="auto"/>
              <w:left w:val="nil"/>
              <w:bottom w:val="single" w:sz="4" w:space="0" w:color="auto"/>
              <w:right w:val="single" w:sz="4" w:space="0" w:color="auto"/>
            </w:tcBorders>
            <w:noWrap/>
            <w:vAlign w:val="bottom"/>
            <w:hideMark/>
          </w:tcPr>
          <w:p w14:paraId="026B32B5" w14:textId="77777777" w:rsidR="00E82219" w:rsidRPr="00C43A9C" w:rsidRDefault="00E82219" w:rsidP="00473ADD">
            <w:pPr>
              <w:spacing w:before="240" w:line="360" w:lineRule="auto"/>
              <w:jc w:val="both"/>
              <w:rPr>
                <w:b/>
                <w:bCs/>
              </w:rPr>
            </w:pPr>
            <w:r w:rsidRPr="00C43A9C">
              <w:rPr>
                <w:b/>
                <w:bCs/>
              </w:rPr>
              <w:t>Initial Investment (£m)</w:t>
            </w:r>
          </w:p>
        </w:tc>
        <w:tc>
          <w:tcPr>
            <w:tcW w:w="1076" w:type="dxa"/>
            <w:tcBorders>
              <w:top w:val="single" w:sz="4" w:space="0" w:color="auto"/>
              <w:left w:val="nil"/>
              <w:bottom w:val="single" w:sz="4" w:space="0" w:color="auto"/>
              <w:right w:val="single" w:sz="4" w:space="0" w:color="auto"/>
            </w:tcBorders>
            <w:noWrap/>
            <w:vAlign w:val="bottom"/>
            <w:hideMark/>
          </w:tcPr>
          <w:p w14:paraId="65850120" w14:textId="77777777" w:rsidR="00E82219" w:rsidRPr="00C43A9C" w:rsidRDefault="00E82219" w:rsidP="00473ADD">
            <w:pPr>
              <w:spacing w:before="240" w:line="360" w:lineRule="auto"/>
              <w:jc w:val="both"/>
              <w:rPr>
                <w:b/>
                <w:bCs/>
              </w:rPr>
            </w:pPr>
            <w:r w:rsidRPr="00C43A9C">
              <w:rPr>
                <w:b/>
                <w:bCs/>
              </w:rPr>
              <w:t>Year 1 Cash Inflow (£m)</w:t>
            </w:r>
          </w:p>
        </w:tc>
        <w:tc>
          <w:tcPr>
            <w:tcW w:w="1076" w:type="dxa"/>
            <w:tcBorders>
              <w:top w:val="single" w:sz="4" w:space="0" w:color="auto"/>
              <w:left w:val="nil"/>
              <w:bottom w:val="single" w:sz="4" w:space="0" w:color="auto"/>
              <w:right w:val="single" w:sz="4" w:space="0" w:color="auto"/>
            </w:tcBorders>
            <w:noWrap/>
            <w:vAlign w:val="bottom"/>
            <w:hideMark/>
          </w:tcPr>
          <w:p w14:paraId="3A890B62" w14:textId="77777777" w:rsidR="00E82219" w:rsidRPr="00C43A9C" w:rsidRDefault="00E82219" w:rsidP="00473ADD">
            <w:pPr>
              <w:spacing w:before="240" w:line="360" w:lineRule="auto"/>
              <w:jc w:val="both"/>
              <w:rPr>
                <w:b/>
                <w:bCs/>
              </w:rPr>
            </w:pPr>
            <w:r w:rsidRPr="00C43A9C">
              <w:rPr>
                <w:b/>
                <w:bCs/>
              </w:rPr>
              <w:t>Year 2 Cash Inflow (£m)</w:t>
            </w:r>
          </w:p>
        </w:tc>
        <w:tc>
          <w:tcPr>
            <w:tcW w:w="1076" w:type="dxa"/>
            <w:tcBorders>
              <w:top w:val="single" w:sz="4" w:space="0" w:color="auto"/>
              <w:left w:val="nil"/>
              <w:bottom w:val="single" w:sz="4" w:space="0" w:color="auto"/>
              <w:right w:val="single" w:sz="4" w:space="0" w:color="auto"/>
            </w:tcBorders>
            <w:noWrap/>
            <w:vAlign w:val="bottom"/>
            <w:hideMark/>
          </w:tcPr>
          <w:p w14:paraId="36868884" w14:textId="77777777" w:rsidR="00E82219" w:rsidRPr="00C43A9C" w:rsidRDefault="00E82219" w:rsidP="00473ADD">
            <w:pPr>
              <w:spacing w:before="240" w:line="360" w:lineRule="auto"/>
              <w:jc w:val="both"/>
              <w:rPr>
                <w:b/>
                <w:bCs/>
              </w:rPr>
            </w:pPr>
            <w:r w:rsidRPr="00C43A9C">
              <w:rPr>
                <w:b/>
                <w:bCs/>
              </w:rPr>
              <w:t>Year 3 Cash Inflow (£m)</w:t>
            </w:r>
          </w:p>
        </w:tc>
        <w:tc>
          <w:tcPr>
            <w:tcW w:w="1076" w:type="dxa"/>
            <w:tcBorders>
              <w:top w:val="single" w:sz="4" w:space="0" w:color="auto"/>
              <w:left w:val="nil"/>
              <w:bottom w:val="single" w:sz="4" w:space="0" w:color="auto"/>
              <w:right w:val="single" w:sz="4" w:space="0" w:color="auto"/>
            </w:tcBorders>
            <w:noWrap/>
            <w:vAlign w:val="bottom"/>
            <w:hideMark/>
          </w:tcPr>
          <w:p w14:paraId="62300897" w14:textId="77777777" w:rsidR="00E82219" w:rsidRPr="00C43A9C" w:rsidRDefault="00E82219" w:rsidP="00473ADD">
            <w:pPr>
              <w:spacing w:before="240" w:line="360" w:lineRule="auto"/>
              <w:jc w:val="both"/>
              <w:rPr>
                <w:b/>
                <w:bCs/>
              </w:rPr>
            </w:pPr>
            <w:r w:rsidRPr="00C43A9C">
              <w:rPr>
                <w:b/>
                <w:bCs/>
              </w:rPr>
              <w:t>Year 4 Cash Inflow (£m)</w:t>
            </w:r>
          </w:p>
        </w:tc>
        <w:tc>
          <w:tcPr>
            <w:tcW w:w="1076" w:type="dxa"/>
            <w:tcBorders>
              <w:top w:val="single" w:sz="4" w:space="0" w:color="auto"/>
              <w:left w:val="nil"/>
              <w:bottom w:val="single" w:sz="4" w:space="0" w:color="auto"/>
              <w:right w:val="single" w:sz="4" w:space="0" w:color="auto"/>
            </w:tcBorders>
            <w:noWrap/>
            <w:vAlign w:val="bottom"/>
            <w:hideMark/>
          </w:tcPr>
          <w:p w14:paraId="67C6847C" w14:textId="77777777" w:rsidR="00E82219" w:rsidRPr="00C43A9C" w:rsidRDefault="00E82219" w:rsidP="00473ADD">
            <w:pPr>
              <w:spacing w:before="240" w:line="360" w:lineRule="auto"/>
              <w:jc w:val="both"/>
              <w:rPr>
                <w:b/>
                <w:bCs/>
              </w:rPr>
            </w:pPr>
            <w:r w:rsidRPr="00C43A9C">
              <w:rPr>
                <w:b/>
                <w:bCs/>
              </w:rPr>
              <w:t>Year 5 Cash Inflow (£m)</w:t>
            </w:r>
          </w:p>
        </w:tc>
        <w:tc>
          <w:tcPr>
            <w:tcW w:w="1076" w:type="dxa"/>
            <w:tcBorders>
              <w:top w:val="single" w:sz="4" w:space="0" w:color="auto"/>
              <w:left w:val="nil"/>
              <w:bottom w:val="single" w:sz="4" w:space="0" w:color="auto"/>
              <w:right w:val="single" w:sz="4" w:space="0" w:color="auto"/>
            </w:tcBorders>
            <w:noWrap/>
            <w:vAlign w:val="bottom"/>
            <w:hideMark/>
          </w:tcPr>
          <w:p w14:paraId="45D57E03" w14:textId="77777777" w:rsidR="00E82219" w:rsidRPr="00C43A9C" w:rsidRDefault="00E82219" w:rsidP="00473ADD">
            <w:pPr>
              <w:spacing w:before="240" w:line="360" w:lineRule="auto"/>
              <w:jc w:val="both"/>
              <w:rPr>
                <w:b/>
                <w:bCs/>
              </w:rPr>
            </w:pPr>
            <w:r w:rsidRPr="00C43A9C">
              <w:rPr>
                <w:b/>
                <w:bCs/>
              </w:rPr>
              <w:t>Total Inflows (£m)</w:t>
            </w:r>
          </w:p>
        </w:tc>
        <w:tc>
          <w:tcPr>
            <w:tcW w:w="1076" w:type="dxa"/>
            <w:tcBorders>
              <w:top w:val="single" w:sz="4" w:space="0" w:color="auto"/>
              <w:left w:val="nil"/>
              <w:bottom w:val="single" w:sz="4" w:space="0" w:color="auto"/>
              <w:right w:val="single" w:sz="4" w:space="0" w:color="auto"/>
            </w:tcBorders>
            <w:noWrap/>
            <w:vAlign w:val="bottom"/>
            <w:hideMark/>
          </w:tcPr>
          <w:p w14:paraId="2A500153" w14:textId="77777777" w:rsidR="00E82219" w:rsidRPr="00C43A9C" w:rsidRDefault="00E82219" w:rsidP="00473ADD">
            <w:pPr>
              <w:spacing w:before="240" w:line="360" w:lineRule="auto"/>
              <w:jc w:val="both"/>
              <w:rPr>
                <w:b/>
                <w:bCs/>
              </w:rPr>
            </w:pPr>
            <w:r w:rsidRPr="00C43A9C">
              <w:rPr>
                <w:b/>
                <w:bCs/>
              </w:rPr>
              <w:t>Average Annual Inflow (£m)</w:t>
            </w:r>
          </w:p>
        </w:tc>
      </w:tr>
      <w:tr w:rsidR="00C43A9C" w:rsidRPr="00C43A9C" w14:paraId="13C4372D" w14:textId="77777777" w:rsidTr="00E82219">
        <w:trPr>
          <w:trHeight w:val="631"/>
        </w:trPr>
        <w:tc>
          <w:tcPr>
            <w:tcW w:w="1076" w:type="dxa"/>
            <w:tcBorders>
              <w:top w:val="nil"/>
              <w:left w:val="single" w:sz="4" w:space="0" w:color="auto"/>
              <w:bottom w:val="single" w:sz="4" w:space="0" w:color="auto"/>
              <w:right w:val="single" w:sz="4" w:space="0" w:color="auto"/>
            </w:tcBorders>
            <w:noWrap/>
            <w:vAlign w:val="bottom"/>
            <w:hideMark/>
          </w:tcPr>
          <w:p w14:paraId="379BEB70" w14:textId="77777777" w:rsidR="00E82219" w:rsidRPr="00C43A9C" w:rsidRDefault="00E82219" w:rsidP="00473ADD">
            <w:pPr>
              <w:spacing w:before="240" w:line="360" w:lineRule="auto"/>
              <w:jc w:val="both"/>
              <w:rPr>
                <w:b/>
                <w:bCs/>
              </w:rPr>
            </w:pPr>
            <w:r w:rsidRPr="00C43A9C">
              <w:rPr>
                <w:b/>
                <w:bCs/>
              </w:rPr>
              <w:t>Project A</w:t>
            </w:r>
          </w:p>
        </w:tc>
        <w:tc>
          <w:tcPr>
            <w:tcW w:w="1266" w:type="dxa"/>
            <w:tcBorders>
              <w:top w:val="nil"/>
              <w:left w:val="nil"/>
              <w:bottom w:val="single" w:sz="4" w:space="0" w:color="auto"/>
              <w:right w:val="single" w:sz="4" w:space="0" w:color="auto"/>
            </w:tcBorders>
            <w:noWrap/>
            <w:vAlign w:val="bottom"/>
            <w:hideMark/>
          </w:tcPr>
          <w:p w14:paraId="73A3EA98" w14:textId="77777777" w:rsidR="00E82219" w:rsidRPr="00C43A9C" w:rsidRDefault="00E82219" w:rsidP="00473ADD">
            <w:pPr>
              <w:spacing w:before="240" w:line="360" w:lineRule="auto"/>
              <w:jc w:val="both"/>
            </w:pPr>
            <w:r w:rsidRPr="00C43A9C">
              <w:t>40</w:t>
            </w:r>
          </w:p>
        </w:tc>
        <w:tc>
          <w:tcPr>
            <w:tcW w:w="1076" w:type="dxa"/>
            <w:tcBorders>
              <w:top w:val="nil"/>
              <w:left w:val="nil"/>
              <w:bottom w:val="single" w:sz="4" w:space="0" w:color="auto"/>
              <w:right w:val="single" w:sz="4" w:space="0" w:color="auto"/>
            </w:tcBorders>
            <w:noWrap/>
            <w:vAlign w:val="bottom"/>
            <w:hideMark/>
          </w:tcPr>
          <w:p w14:paraId="726BD149" w14:textId="77777777" w:rsidR="00E82219" w:rsidRPr="00C43A9C" w:rsidRDefault="00E82219" w:rsidP="00473ADD">
            <w:pPr>
              <w:spacing w:before="240" w:line="360" w:lineRule="auto"/>
              <w:jc w:val="both"/>
            </w:pPr>
            <w:r w:rsidRPr="00C43A9C">
              <w:t>10</w:t>
            </w:r>
          </w:p>
        </w:tc>
        <w:tc>
          <w:tcPr>
            <w:tcW w:w="1076" w:type="dxa"/>
            <w:tcBorders>
              <w:top w:val="nil"/>
              <w:left w:val="nil"/>
              <w:bottom w:val="single" w:sz="4" w:space="0" w:color="auto"/>
              <w:right w:val="single" w:sz="4" w:space="0" w:color="auto"/>
            </w:tcBorders>
            <w:noWrap/>
            <w:vAlign w:val="bottom"/>
            <w:hideMark/>
          </w:tcPr>
          <w:p w14:paraId="2D48D854" w14:textId="77777777" w:rsidR="00E82219" w:rsidRPr="00C43A9C" w:rsidRDefault="00E82219" w:rsidP="00473ADD">
            <w:pPr>
              <w:spacing w:before="240" w:line="360" w:lineRule="auto"/>
              <w:jc w:val="both"/>
            </w:pPr>
            <w:r w:rsidRPr="00C43A9C">
              <w:t>12</w:t>
            </w:r>
          </w:p>
        </w:tc>
        <w:tc>
          <w:tcPr>
            <w:tcW w:w="1076" w:type="dxa"/>
            <w:tcBorders>
              <w:top w:val="nil"/>
              <w:left w:val="nil"/>
              <w:bottom w:val="single" w:sz="4" w:space="0" w:color="auto"/>
              <w:right w:val="single" w:sz="4" w:space="0" w:color="auto"/>
            </w:tcBorders>
            <w:noWrap/>
            <w:vAlign w:val="bottom"/>
            <w:hideMark/>
          </w:tcPr>
          <w:p w14:paraId="5E9FDD44" w14:textId="77777777" w:rsidR="00E82219" w:rsidRPr="00C43A9C" w:rsidRDefault="00E82219" w:rsidP="00473ADD">
            <w:pPr>
              <w:spacing w:before="240" w:line="360" w:lineRule="auto"/>
              <w:jc w:val="both"/>
            </w:pPr>
            <w:r w:rsidRPr="00C43A9C">
              <w:t>14</w:t>
            </w:r>
          </w:p>
        </w:tc>
        <w:tc>
          <w:tcPr>
            <w:tcW w:w="1076" w:type="dxa"/>
            <w:tcBorders>
              <w:top w:val="nil"/>
              <w:left w:val="nil"/>
              <w:bottom w:val="single" w:sz="4" w:space="0" w:color="auto"/>
              <w:right w:val="single" w:sz="4" w:space="0" w:color="auto"/>
            </w:tcBorders>
            <w:noWrap/>
            <w:vAlign w:val="bottom"/>
            <w:hideMark/>
          </w:tcPr>
          <w:p w14:paraId="35F84FDF" w14:textId="77777777" w:rsidR="00E82219" w:rsidRPr="00C43A9C" w:rsidRDefault="00E82219" w:rsidP="00473ADD">
            <w:pPr>
              <w:spacing w:before="240" w:line="360" w:lineRule="auto"/>
              <w:jc w:val="both"/>
            </w:pPr>
            <w:r w:rsidRPr="00C43A9C">
              <w:t>10</w:t>
            </w:r>
          </w:p>
        </w:tc>
        <w:tc>
          <w:tcPr>
            <w:tcW w:w="1076" w:type="dxa"/>
            <w:tcBorders>
              <w:top w:val="nil"/>
              <w:left w:val="nil"/>
              <w:bottom w:val="single" w:sz="4" w:space="0" w:color="auto"/>
              <w:right w:val="single" w:sz="4" w:space="0" w:color="auto"/>
            </w:tcBorders>
            <w:noWrap/>
            <w:vAlign w:val="bottom"/>
            <w:hideMark/>
          </w:tcPr>
          <w:p w14:paraId="121CF382" w14:textId="77777777" w:rsidR="00E82219" w:rsidRPr="00C43A9C" w:rsidRDefault="00E82219" w:rsidP="00473ADD">
            <w:pPr>
              <w:spacing w:before="240" w:line="360" w:lineRule="auto"/>
              <w:jc w:val="both"/>
            </w:pPr>
            <w:r w:rsidRPr="00C43A9C">
              <w:t>8</w:t>
            </w:r>
          </w:p>
        </w:tc>
        <w:tc>
          <w:tcPr>
            <w:tcW w:w="1076" w:type="dxa"/>
            <w:tcBorders>
              <w:top w:val="nil"/>
              <w:left w:val="nil"/>
              <w:bottom w:val="single" w:sz="4" w:space="0" w:color="auto"/>
              <w:right w:val="single" w:sz="4" w:space="0" w:color="auto"/>
            </w:tcBorders>
            <w:noWrap/>
            <w:vAlign w:val="bottom"/>
            <w:hideMark/>
          </w:tcPr>
          <w:p w14:paraId="7BB67F5D" w14:textId="77777777" w:rsidR="00E82219" w:rsidRPr="00C43A9C" w:rsidRDefault="00E82219" w:rsidP="00473ADD">
            <w:pPr>
              <w:spacing w:before="240" w:line="360" w:lineRule="auto"/>
              <w:jc w:val="both"/>
            </w:pPr>
            <w:r w:rsidRPr="00C43A9C">
              <w:t>54</w:t>
            </w:r>
          </w:p>
        </w:tc>
        <w:tc>
          <w:tcPr>
            <w:tcW w:w="1076" w:type="dxa"/>
            <w:tcBorders>
              <w:top w:val="nil"/>
              <w:left w:val="nil"/>
              <w:bottom w:val="single" w:sz="4" w:space="0" w:color="auto"/>
              <w:right w:val="single" w:sz="4" w:space="0" w:color="auto"/>
            </w:tcBorders>
            <w:noWrap/>
            <w:vAlign w:val="bottom"/>
            <w:hideMark/>
          </w:tcPr>
          <w:p w14:paraId="23411B62" w14:textId="77777777" w:rsidR="00E82219" w:rsidRPr="00C43A9C" w:rsidRDefault="00E82219" w:rsidP="00473ADD">
            <w:pPr>
              <w:spacing w:before="240" w:line="360" w:lineRule="auto"/>
              <w:jc w:val="both"/>
            </w:pPr>
            <w:r w:rsidRPr="00C43A9C">
              <w:t>10.8</w:t>
            </w:r>
          </w:p>
        </w:tc>
      </w:tr>
      <w:tr w:rsidR="00C43A9C" w:rsidRPr="00C43A9C" w14:paraId="25287576" w14:textId="77777777" w:rsidTr="00E82219">
        <w:trPr>
          <w:trHeight w:val="631"/>
        </w:trPr>
        <w:tc>
          <w:tcPr>
            <w:tcW w:w="1076" w:type="dxa"/>
            <w:tcBorders>
              <w:top w:val="nil"/>
              <w:left w:val="single" w:sz="4" w:space="0" w:color="auto"/>
              <w:bottom w:val="single" w:sz="4" w:space="0" w:color="auto"/>
              <w:right w:val="single" w:sz="4" w:space="0" w:color="auto"/>
            </w:tcBorders>
            <w:noWrap/>
            <w:vAlign w:val="bottom"/>
            <w:hideMark/>
          </w:tcPr>
          <w:p w14:paraId="69857224" w14:textId="77777777" w:rsidR="00E82219" w:rsidRPr="00C43A9C" w:rsidRDefault="00E82219" w:rsidP="00473ADD">
            <w:pPr>
              <w:spacing w:before="240" w:line="360" w:lineRule="auto"/>
              <w:jc w:val="both"/>
              <w:rPr>
                <w:b/>
                <w:bCs/>
              </w:rPr>
            </w:pPr>
            <w:r w:rsidRPr="00C43A9C">
              <w:rPr>
                <w:b/>
                <w:bCs/>
              </w:rPr>
              <w:t>Project B</w:t>
            </w:r>
          </w:p>
        </w:tc>
        <w:tc>
          <w:tcPr>
            <w:tcW w:w="1266" w:type="dxa"/>
            <w:tcBorders>
              <w:top w:val="nil"/>
              <w:left w:val="nil"/>
              <w:bottom w:val="single" w:sz="4" w:space="0" w:color="auto"/>
              <w:right w:val="single" w:sz="4" w:space="0" w:color="auto"/>
            </w:tcBorders>
            <w:noWrap/>
            <w:vAlign w:val="bottom"/>
            <w:hideMark/>
          </w:tcPr>
          <w:p w14:paraId="3F78C324" w14:textId="77777777" w:rsidR="00E82219" w:rsidRPr="00C43A9C" w:rsidRDefault="00E82219" w:rsidP="00473ADD">
            <w:pPr>
              <w:spacing w:before="240" w:line="360" w:lineRule="auto"/>
              <w:jc w:val="both"/>
            </w:pPr>
            <w:r w:rsidRPr="00C43A9C">
              <w:t>30</w:t>
            </w:r>
          </w:p>
        </w:tc>
        <w:tc>
          <w:tcPr>
            <w:tcW w:w="1076" w:type="dxa"/>
            <w:tcBorders>
              <w:top w:val="nil"/>
              <w:left w:val="nil"/>
              <w:bottom w:val="single" w:sz="4" w:space="0" w:color="auto"/>
              <w:right w:val="single" w:sz="4" w:space="0" w:color="auto"/>
            </w:tcBorders>
            <w:noWrap/>
            <w:vAlign w:val="bottom"/>
            <w:hideMark/>
          </w:tcPr>
          <w:p w14:paraId="16E323C8" w14:textId="77777777" w:rsidR="00E82219" w:rsidRPr="00C43A9C" w:rsidRDefault="00E82219" w:rsidP="00473ADD">
            <w:pPr>
              <w:spacing w:before="240" w:line="360" w:lineRule="auto"/>
              <w:jc w:val="both"/>
            </w:pPr>
            <w:r w:rsidRPr="00C43A9C">
              <w:t>6</w:t>
            </w:r>
          </w:p>
        </w:tc>
        <w:tc>
          <w:tcPr>
            <w:tcW w:w="1076" w:type="dxa"/>
            <w:tcBorders>
              <w:top w:val="nil"/>
              <w:left w:val="nil"/>
              <w:bottom w:val="single" w:sz="4" w:space="0" w:color="auto"/>
              <w:right w:val="single" w:sz="4" w:space="0" w:color="auto"/>
            </w:tcBorders>
            <w:noWrap/>
            <w:vAlign w:val="bottom"/>
            <w:hideMark/>
          </w:tcPr>
          <w:p w14:paraId="22E0721F" w14:textId="77777777" w:rsidR="00E82219" w:rsidRPr="00C43A9C" w:rsidRDefault="00E82219" w:rsidP="00473ADD">
            <w:pPr>
              <w:spacing w:before="240" w:line="360" w:lineRule="auto"/>
              <w:jc w:val="both"/>
            </w:pPr>
            <w:r w:rsidRPr="00C43A9C">
              <w:t>6</w:t>
            </w:r>
          </w:p>
        </w:tc>
        <w:tc>
          <w:tcPr>
            <w:tcW w:w="1076" w:type="dxa"/>
            <w:tcBorders>
              <w:top w:val="nil"/>
              <w:left w:val="nil"/>
              <w:bottom w:val="single" w:sz="4" w:space="0" w:color="auto"/>
              <w:right w:val="single" w:sz="4" w:space="0" w:color="auto"/>
            </w:tcBorders>
            <w:noWrap/>
            <w:vAlign w:val="bottom"/>
            <w:hideMark/>
          </w:tcPr>
          <w:p w14:paraId="1786C729" w14:textId="77777777" w:rsidR="00E82219" w:rsidRPr="00C43A9C" w:rsidRDefault="00E82219" w:rsidP="00473ADD">
            <w:pPr>
              <w:spacing w:before="240" w:line="360" w:lineRule="auto"/>
              <w:jc w:val="both"/>
            </w:pPr>
            <w:r w:rsidRPr="00C43A9C">
              <w:t>6</w:t>
            </w:r>
          </w:p>
        </w:tc>
        <w:tc>
          <w:tcPr>
            <w:tcW w:w="1076" w:type="dxa"/>
            <w:tcBorders>
              <w:top w:val="nil"/>
              <w:left w:val="nil"/>
              <w:bottom w:val="single" w:sz="4" w:space="0" w:color="auto"/>
              <w:right w:val="single" w:sz="4" w:space="0" w:color="auto"/>
            </w:tcBorders>
            <w:noWrap/>
            <w:vAlign w:val="bottom"/>
            <w:hideMark/>
          </w:tcPr>
          <w:p w14:paraId="289336B4" w14:textId="77777777" w:rsidR="00E82219" w:rsidRPr="00C43A9C" w:rsidRDefault="00E82219" w:rsidP="00473ADD">
            <w:pPr>
              <w:spacing w:before="240" w:line="360" w:lineRule="auto"/>
              <w:jc w:val="both"/>
            </w:pPr>
            <w:r w:rsidRPr="00C43A9C">
              <w:t>6</w:t>
            </w:r>
          </w:p>
        </w:tc>
        <w:tc>
          <w:tcPr>
            <w:tcW w:w="1076" w:type="dxa"/>
            <w:tcBorders>
              <w:top w:val="nil"/>
              <w:left w:val="nil"/>
              <w:bottom w:val="single" w:sz="4" w:space="0" w:color="auto"/>
              <w:right w:val="single" w:sz="4" w:space="0" w:color="auto"/>
            </w:tcBorders>
            <w:noWrap/>
            <w:vAlign w:val="bottom"/>
            <w:hideMark/>
          </w:tcPr>
          <w:p w14:paraId="32A663D2" w14:textId="77777777" w:rsidR="00E82219" w:rsidRPr="00C43A9C" w:rsidRDefault="00E82219" w:rsidP="00473ADD">
            <w:pPr>
              <w:spacing w:before="240" w:line="360" w:lineRule="auto"/>
              <w:jc w:val="both"/>
            </w:pPr>
            <w:r w:rsidRPr="00C43A9C">
              <w:t>6</w:t>
            </w:r>
          </w:p>
        </w:tc>
        <w:tc>
          <w:tcPr>
            <w:tcW w:w="1076" w:type="dxa"/>
            <w:tcBorders>
              <w:top w:val="nil"/>
              <w:left w:val="nil"/>
              <w:bottom w:val="single" w:sz="4" w:space="0" w:color="auto"/>
              <w:right w:val="single" w:sz="4" w:space="0" w:color="auto"/>
            </w:tcBorders>
            <w:noWrap/>
            <w:vAlign w:val="bottom"/>
            <w:hideMark/>
          </w:tcPr>
          <w:p w14:paraId="34502D41" w14:textId="77777777" w:rsidR="00E82219" w:rsidRPr="00C43A9C" w:rsidRDefault="00E82219" w:rsidP="00473ADD">
            <w:pPr>
              <w:spacing w:before="240" w:line="360" w:lineRule="auto"/>
              <w:jc w:val="both"/>
            </w:pPr>
            <w:r w:rsidRPr="00C43A9C">
              <w:t>30</w:t>
            </w:r>
          </w:p>
        </w:tc>
        <w:tc>
          <w:tcPr>
            <w:tcW w:w="1076" w:type="dxa"/>
            <w:tcBorders>
              <w:top w:val="nil"/>
              <w:left w:val="nil"/>
              <w:bottom w:val="single" w:sz="4" w:space="0" w:color="auto"/>
              <w:right w:val="single" w:sz="4" w:space="0" w:color="auto"/>
            </w:tcBorders>
            <w:noWrap/>
            <w:vAlign w:val="bottom"/>
            <w:hideMark/>
          </w:tcPr>
          <w:p w14:paraId="02E4F8C6" w14:textId="77777777" w:rsidR="00E82219" w:rsidRPr="00C43A9C" w:rsidRDefault="00E82219" w:rsidP="00473ADD">
            <w:pPr>
              <w:spacing w:before="240" w:line="360" w:lineRule="auto"/>
              <w:jc w:val="both"/>
            </w:pPr>
            <w:r w:rsidRPr="00C43A9C">
              <w:t>6</w:t>
            </w:r>
          </w:p>
        </w:tc>
      </w:tr>
      <w:tr w:rsidR="00C43A9C" w:rsidRPr="00C43A9C" w14:paraId="7D848643" w14:textId="77777777" w:rsidTr="00E82219">
        <w:trPr>
          <w:trHeight w:val="631"/>
        </w:trPr>
        <w:tc>
          <w:tcPr>
            <w:tcW w:w="1076" w:type="dxa"/>
            <w:tcBorders>
              <w:top w:val="nil"/>
              <w:left w:val="single" w:sz="4" w:space="0" w:color="auto"/>
              <w:bottom w:val="single" w:sz="4" w:space="0" w:color="auto"/>
              <w:right w:val="single" w:sz="4" w:space="0" w:color="auto"/>
            </w:tcBorders>
            <w:noWrap/>
            <w:vAlign w:val="bottom"/>
            <w:hideMark/>
          </w:tcPr>
          <w:p w14:paraId="1C2EE5D2" w14:textId="77777777" w:rsidR="00E82219" w:rsidRPr="00C43A9C" w:rsidRDefault="00E82219" w:rsidP="00473ADD">
            <w:pPr>
              <w:spacing w:before="240" w:line="360" w:lineRule="auto"/>
              <w:jc w:val="both"/>
              <w:rPr>
                <w:b/>
                <w:bCs/>
              </w:rPr>
            </w:pPr>
            <w:r w:rsidRPr="00C43A9C">
              <w:rPr>
                <w:b/>
                <w:bCs/>
              </w:rPr>
              <w:t>Project C</w:t>
            </w:r>
          </w:p>
        </w:tc>
        <w:tc>
          <w:tcPr>
            <w:tcW w:w="1266" w:type="dxa"/>
            <w:tcBorders>
              <w:top w:val="nil"/>
              <w:left w:val="nil"/>
              <w:bottom w:val="single" w:sz="4" w:space="0" w:color="auto"/>
              <w:right w:val="single" w:sz="4" w:space="0" w:color="auto"/>
            </w:tcBorders>
            <w:noWrap/>
            <w:vAlign w:val="bottom"/>
            <w:hideMark/>
          </w:tcPr>
          <w:p w14:paraId="4E336B60" w14:textId="77777777" w:rsidR="00E82219" w:rsidRPr="00C43A9C" w:rsidRDefault="00E82219" w:rsidP="00473ADD">
            <w:pPr>
              <w:spacing w:before="240" w:line="360" w:lineRule="auto"/>
              <w:jc w:val="both"/>
            </w:pPr>
            <w:r w:rsidRPr="00C43A9C">
              <w:t>50</w:t>
            </w:r>
          </w:p>
        </w:tc>
        <w:tc>
          <w:tcPr>
            <w:tcW w:w="1076" w:type="dxa"/>
            <w:tcBorders>
              <w:top w:val="nil"/>
              <w:left w:val="nil"/>
              <w:bottom w:val="single" w:sz="4" w:space="0" w:color="auto"/>
              <w:right w:val="single" w:sz="4" w:space="0" w:color="auto"/>
            </w:tcBorders>
            <w:noWrap/>
            <w:vAlign w:val="bottom"/>
            <w:hideMark/>
          </w:tcPr>
          <w:p w14:paraId="25AB23A9" w14:textId="77777777" w:rsidR="00E82219" w:rsidRPr="00C43A9C" w:rsidRDefault="00E82219" w:rsidP="00473ADD">
            <w:pPr>
              <w:spacing w:before="240" w:line="360" w:lineRule="auto"/>
              <w:jc w:val="both"/>
            </w:pPr>
            <w:r w:rsidRPr="00C43A9C">
              <w:t>5</w:t>
            </w:r>
          </w:p>
        </w:tc>
        <w:tc>
          <w:tcPr>
            <w:tcW w:w="1076" w:type="dxa"/>
            <w:tcBorders>
              <w:top w:val="nil"/>
              <w:left w:val="nil"/>
              <w:bottom w:val="single" w:sz="4" w:space="0" w:color="auto"/>
              <w:right w:val="single" w:sz="4" w:space="0" w:color="auto"/>
            </w:tcBorders>
            <w:noWrap/>
            <w:vAlign w:val="bottom"/>
            <w:hideMark/>
          </w:tcPr>
          <w:p w14:paraId="3183BF72" w14:textId="77777777" w:rsidR="00E82219" w:rsidRPr="00C43A9C" w:rsidRDefault="00E82219" w:rsidP="00473ADD">
            <w:pPr>
              <w:spacing w:before="240" w:line="360" w:lineRule="auto"/>
              <w:jc w:val="both"/>
            </w:pPr>
            <w:r w:rsidRPr="00C43A9C">
              <w:t>10</w:t>
            </w:r>
          </w:p>
        </w:tc>
        <w:tc>
          <w:tcPr>
            <w:tcW w:w="1076" w:type="dxa"/>
            <w:tcBorders>
              <w:top w:val="nil"/>
              <w:left w:val="nil"/>
              <w:bottom w:val="single" w:sz="4" w:space="0" w:color="auto"/>
              <w:right w:val="single" w:sz="4" w:space="0" w:color="auto"/>
            </w:tcBorders>
            <w:noWrap/>
            <w:vAlign w:val="bottom"/>
            <w:hideMark/>
          </w:tcPr>
          <w:p w14:paraId="265442F8" w14:textId="77777777" w:rsidR="00E82219" w:rsidRPr="00C43A9C" w:rsidRDefault="00E82219" w:rsidP="00473ADD">
            <w:pPr>
              <w:spacing w:before="240" w:line="360" w:lineRule="auto"/>
              <w:jc w:val="both"/>
            </w:pPr>
            <w:r w:rsidRPr="00C43A9C">
              <w:t>20</w:t>
            </w:r>
          </w:p>
        </w:tc>
        <w:tc>
          <w:tcPr>
            <w:tcW w:w="1076" w:type="dxa"/>
            <w:tcBorders>
              <w:top w:val="nil"/>
              <w:left w:val="nil"/>
              <w:bottom w:val="single" w:sz="4" w:space="0" w:color="auto"/>
              <w:right w:val="single" w:sz="4" w:space="0" w:color="auto"/>
            </w:tcBorders>
            <w:noWrap/>
            <w:vAlign w:val="bottom"/>
            <w:hideMark/>
          </w:tcPr>
          <w:p w14:paraId="0999F3AC" w14:textId="77777777" w:rsidR="00E82219" w:rsidRPr="00C43A9C" w:rsidRDefault="00E82219" w:rsidP="00473ADD">
            <w:pPr>
              <w:spacing w:before="240" w:line="360" w:lineRule="auto"/>
              <w:jc w:val="both"/>
            </w:pPr>
            <w:r w:rsidRPr="00C43A9C">
              <w:t>25</w:t>
            </w:r>
          </w:p>
        </w:tc>
        <w:tc>
          <w:tcPr>
            <w:tcW w:w="1076" w:type="dxa"/>
            <w:tcBorders>
              <w:top w:val="nil"/>
              <w:left w:val="nil"/>
              <w:bottom w:val="single" w:sz="4" w:space="0" w:color="auto"/>
              <w:right w:val="single" w:sz="4" w:space="0" w:color="auto"/>
            </w:tcBorders>
            <w:noWrap/>
            <w:vAlign w:val="bottom"/>
            <w:hideMark/>
          </w:tcPr>
          <w:p w14:paraId="7225BD36" w14:textId="77777777" w:rsidR="00E82219" w:rsidRPr="00C43A9C" w:rsidRDefault="00E82219" w:rsidP="00473ADD">
            <w:pPr>
              <w:spacing w:before="240" w:line="360" w:lineRule="auto"/>
              <w:jc w:val="both"/>
            </w:pPr>
            <w:r w:rsidRPr="00C43A9C">
              <w:t>15</w:t>
            </w:r>
          </w:p>
        </w:tc>
        <w:tc>
          <w:tcPr>
            <w:tcW w:w="1076" w:type="dxa"/>
            <w:tcBorders>
              <w:top w:val="nil"/>
              <w:left w:val="nil"/>
              <w:bottom w:val="single" w:sz="4" w:space="0" w:color="auto"/>
              <w:right w:val="single" w:sz="4" w:space="0" w:color="auto"/>
            </w:tcBorders>
            <w:noWrap/>
            <w:vAlign w:val="bottom"/>
            <w:hideMark/>
          </w:tcPr>
          <w:p w14:paraId="2CD8B582" w14:textId="77777777" w:rsidR="00E82219" w:rsidRPr="00C43A9C" w:rsidRDefault="00E82219" w:rsidP="00473ADD">
            <w:pPr>
              <w:spacing w:before="240" w:line="360" w:lineRule="auto"/>
              <w:jc w:val="both"/>
            </w:pPr>
            <w:r w:rsidRPr="00C43A9C">
              <w:t>75</w:t>
            </w:r>
          </w:p>
        </w:tc>
        <w:tc>
          <w:tcPr>
            <w:tcW w:w="1076" w:type="dxa"/>
            <w:tcBorders>
              <w:top w:val="nil"/>
              <w:left w:val="nil"/>
              <w:bottom w:val="single" w:sz="4" w:space="0" w:color="auto"/>
              <w:right w:val="single" w:sz="4" w:space="0" w:color="auto"/>
            </w:tcBorders>
            <w:noWrap/>
            <w:vAlign w:val="bottom"/>
            <w:hideMark/>
          </w:tcPr>
          <w:p w14:paraId="10B7FD7E" w14:textId="77777777" w:rsidR="00E82219" w:rsidRPr="00C43A9C" w:rsidRDefault="00E82219" w:rsidP="00473ADD">
            <w:pPr>
              <w:spacing w:before="240" w:line="360" w:lineRule="auto"/>
              <w:jc w:val="both"/>
            </w:pPr>
            <w:r w:rsidRPr="00C43A9C">
              <w:t>15</w:t>
            </w:r>
          </w:p>
        </w:tc>
      </w:tr>
    </w:tbl>
    <w:p w14:paraId="7B81B265" w14:textId="77777777" w:rsidR="007B22C3" w:rsidRPr="00C43A9C" w:rsidRDefault="007B22C3" w:rsidP="00473ADD">
      <w:pPr>
        <w:spacing w:before="240" w:after="100" w:afterAutospacing="1" w:line="360" w:lineRule="auto"/>
        <w:jc w:val="both"/>
      </w:pPr>
    </w:p>
    <w:tbl>
      <w:tblPr>
        <w:tblW w:w="9495" w:type="dxa"/>
        <w:tblLook w:val="04A0" w:firstRow="1" w:lastRow="0" w:firstColumn="1" w:lastColumn="0" w:noHBand="0" w:noVBand="1"/>
      </w:tblPr>
      <w:tblGrid>
        <w:gridCol w:w="1899"/>
        <w:gridCol w:w="1899"/>
        <w:gridCol w:w="1899"/>
        <w:gridCol w:w="1899"/>
        <w:gridCol w:w="1899"/>
      </w:tblGrid>
      <w:tr w:rsidR="00C43A9C" w:rsidRPr="00C43A9C" w14:paraId="7C414D48" w14:textId="77777777" w:rsidTr="00C43A9C">
        <w:trPr>
          <w:trHeight w:val="335"/>
        </w:trPr>
        <w:tc>
          <w:tcPr>
            <w:tcW w:w="1899" w:type="dxa"/>
            <w:tcBorders>
              <w:top w:val="single" w:sz="4" w:space="0" w:color="auto"/>
              <w:left w:val="single" w:sz="4" w:space="0" w:color="auto"/>
              <w:bottom w:val="single" w:sz="4" w:space="0" w:color="auto"/>
              <w:right w:val="single" w:sz="4" w:space="0" w:color="auto"/>
            </w:tcBorders>
            <w:noWrap/>
            <w:vAlign w:val="bottom"/>
            <w:hideMark/>
          </w:tcPr>
          <w:p w14:paraId="3BF17BEB" w14:textId="77777777" w:rsidR="00E82219" w:rsidRPr="00C43A9C" w:rsidRDefault="00E82219" w:rsidP="00473ADD">
            <w:pPr>
              <w:spacing w:before="240" w:line="360" w:lineRule="auto"/>
              <w:jc w:val="both"/>
              <w:rPr>
                <w:b/>
                <w:bCs/>
              </w:rPr>
            </w:pPr>
            <w:r w:rsidRPr="00C43A9C">
              <w:rPr>
                <w:b/>
                <w:bCs/>
              </w:rPr>
              <w:t>Project</w:t>
            </w:r>
          </w:p>
        </w:tc>
        <w:tc>
          <w:tcPr>
            <w:tcW w:w="1899" w:type="dxa"/>
            <w:tcBorders>
              <w:top w:val="single" w:sz="4" w:space="0" w:color="auto"/>
              <w:left w:val="nil"/>
              <w:bottom w:val="single" w:sz="4" w:space="0" w:color="auto"/>
              <w:right w:val="single" w:sz="4" w:space="0" w:color="auto"/>
            </w:tcBorders>
            <w:noWrap/>
            <w:vAlign w:val="bottom"/>
            <w:hideMark/>
          </w:tcPr>
          <w:p w14:paraId="3A2BAF0D" w14:textId="77777777" w:rsidR="00E82219" w:rsidRPr="00C43A9C" w:rsidRDefault="00E82219" w:rsidP="00473ADD">
            <w:pPr>
              <w:spacing w:before="240" w:line="360" w:lineRule="auto"/>
              <w:jc w:val="both"/>
              <w:rPr>
                <w:b/>
                <w:bCs/>
              </w:rPr>
            </w:pPr>
            <w:r w:rsidRPr="00C43A9C">
              <w:rPr>
                <w:b/>
                <w:bCs/>
              </w:rPr>
              <w:t>ARR (%)</w:t>
            </w:r>
          </w:p>
        </w:tc>
        <w:tc>
          <w:tcPr>
            <w:tcW w:w="1899" w:type="dxa"/>
            <w:tcBorders>
              <w:top w:val="single" w:sz="4" w:space="0" w:color="auto"/>
              <w:left w:val="nil"/>
              <w:bottom w:val="single" w:sz="4" w:space="0" w:color="auto"/>
              <w:right w:val="single" w:sz="4" w:space="0" w:color="auto"/>
            </w:tcBorders>
            <w:noWrap/>
            <w:vAlign w:val="bottom"/>
            <w:hideMark/>
          </w:tcPr>
          <w:p w14:paraId="38E766E8" w14:textId="77777777" w:rsidR="00E82219" w:rsidRPr="00C43A9C" w:rsidRDefault="00E82219" w:rsidP="00473ADD">
            <w:pPr>
              <w:spacing w:before="240" w:line="360" w:lineRule="auto"/>
              <w:jc w:val="both"/>
              <w:rPr>
                <w:b/>
                <w:bCs/>
              </w:rPr>
            </w:pPr>
            <w:r w:rsidRPr="00C43A9C">
              <w:rPr>
                <w:b/>
                <w:bCs/>
              </w:rPr>
              <w:t>NPV (£m)</w:t>
            </w:r>
          </w:p>
        </w:tc>
        <w:tc>
          <w:tcPr>
            <w:tcW w:w="1899" w:type="dxa"/>
            <w:tcBorders>
              <w:top w:val="single" w:sz="4" w:space="0" w:color="auto"/>
              <w:left w:val="nil"/>
              <w:bottom w:val="single" w:sz="4" w:space="0" w:color="auto"/>
              <w:right w:val="single" w:sz="4" w:space="0" w:color="auto"/>
            </w:tcBorders>
            <w:noWrap/>
            <w:vAlign w:val="bottom"/>
            <w:hideMark/>
          </w:tcPr>
          <w:p w14:paraId="20639C50" w14:textId="77777777" w:rsidR="00E82219" w:rsidRPr="00C43A9C" w:rsidRDefault="00E82219" w:rsidP="00473ADD">
            <w:pPr>
              <w:spacing w:before="240" w:line="360" w:lineRule="auto"/>
              <w:jc w:val="both"/>
              <w:rPr>
                <w:b/>
                <w:bCs/>
              </w:rPr>
            </w:pPr>
            <w:r w:rsidRPr="00C43A9C">
              <w:rPr>
                <w:b/>
                <w:bCs/>
              </w:rPr>
              <w:t>PI</w:t>
            </w:r>
          </w:p>
        </w:tc>
        <w:tc>
          <w:tcPr>
            <w:tcW w:w="1899" w:type="dxa"/>
            <w:tcBorders>
              <w:top w:val="single" w:sz="4" w:space="0" w:color="auto"/>
              <w:left w:val="nil"/>
              <w:bottom w:val="single" w:sz="4" w:space="0" w:color="auto"/>
              <w:right w:val="single" w:sz="4" w:space="0" w:color="auto"/>
            </w:tcBorders>
            <w:noWrap/>
            <w:vAlign w:val="bottom"/>
            <w:hideMark/>
          </w:tcPr>
          <w:p w14:paraId="28706E39" w14:textId="77777777" w:rsidR="00E82219" w:rsidRPr="00C43A9C" w:rsidRDefault="00E82219" w:rsidP="00473ADD">
            <w:pPr>
              <w:spacing w:before="240" w:line="360" w:lineRule="auto"/>
              <w:jc w:val="both"/>
              <w:rPr>
                <w:b/>
                <w:bCs/>
              </w:rPr>
            </w:pPr>
            <w:r w:rsidRPr="00C43A9C">
              <w:rPr>
                <w:b/>
                <w:bCs/>
              </w:rPr>
              <w:t>IRR (%)</w:t>
            </w:r>
          </w:p>
        </w:tc>
      </w:tr>
      <w:tr w:rsidR="00C43A9C" w:rsidRPr="00C43A9C" w14:paraId="7316EC39" w14:textId="77777777" w:rsidTr="00C43A9C">
        <w:trPr>
          <w:trHeight w:val="335"/>
        </w:trPr>
        <w:tc>
          <w:tcPr>
            <w:tcW w:w="1899" w:type="dxa"/>
            <w:tcBorders>
              <w:top w:val="nil"/>
              <w:left w:val="single" w:sz="4" w:space="0" w:color="auto"/>
              <w:bottom w:val="single" w:sz="4" w:space="0" w:color="auto"/>
              <w:right w:val="single" w:sz="4" w:space="0" w:color="auto"/>
            </w:tcBorders>
            <w:noWrap/>
            <w:vAlign w:val="bottom"/>
            <w:hideMark/>
          </w:tcPr>
          <w:p w14:paraId="703EB56B" w14:textId="77777777" w:rsidR="00E82219" w:rsidRPr="00C43A9C" w:rsidRDefault="00E82219" w:rsidP="00473ADD">
            <w:pPr>
              <w:spacing w:before="240" w:line="360" w:lineRule="auto"/>
              <w:jc w:val="both"/>
              <w:rPr>
                <w:b/>
                <w:bCs/>
              </w:rPr>
            </w:pPr>
            <w:r w:rsidRPr="00C43A9C">
              <w:rPr>
                <w:b/>
                <w:bCs/>
              </w:rPr>
              <w:t>Project A</w:t>
            </w:r>
          </w:p>
        </w:tc>
        <w:tc>
          <w:tcPr>
            <w:tcW w:w="1899" w:type="dxa"/>
            <w:tcBorders>
              <w:top w:val="nil"/>
              <w:left w:val="nil"/>
              <w:bottom w:val="single" w:sz="4" w:space="0" w:color="auto"/>
              <w:right w:val="single" w:sz="4" w:space="0" w:color="auto"/>
            </w:tcBorders>
            <w:noWrap/>
            <w:vAlign w:val="bottom"/>
            <w:hideMark/>
          </w:tcPr>
          <w:p w14:paraId="30C2CA39" w14:textId="77777777" w:rsidR="00E82219" w:rsidRPr="00C43A9C" w:rsidRDefault="00E82219" w:rsidP="00473ADD">
            <w:pPr>
              <w:spacing w:before="240" w:line="360" w:lineRule="auto"/>
              <w:jc w:val="both"/>
            </w:pPr>
            <w:r w:rsidRPr="00C43A9C">
              <w:t>27%</w:t>
            </w:r>
          </w:p>
        </w:tc>
        <w:tc>
          <w:tcPr>
            <w:tcW w:w="1899" w:type="dxa"/>
            <w:tcBorders>
              <w:top w:val="nil"/>
              <w:left w:val="nil"/>
              <w:bottom w:val="single" w:sz="4" w:space="0" w:color="auto"/>
              <w:right w:val="single" w:sz="4" w:space="0" w:color="auto"/>
            </w:tcBorders>
            <w:noWrap/>
            <w:vAlign w:val="bottom"/>
            <w:hideMark/>
          </w:tcPr>
          <w:p w14:paraId="3BD4CC64" w14:textId="77777777" w:rsidR="00E82219" w:rsidRPr="00C43A9C" w:rsidRDefault="00E82219" w:rsidP="00473ADD">
            <w:pPr>
              <w:spacing w:before="240" w:line="360" w:lineRule="auto"/>
              <w:jc w:val="both"/>
            </w:pPr>
            <w:r w:rsidRPr="00C43A9C">
              <w:t>0.35</w:t>
            </w:r>
          </w:p>
        </w:tc>
        <w:tc>
          <w:tcPr>
            <w:tcW w:w="1899" w:type="dxa"/>
            <w:tcBorders>
              <w:top w:val="nil"/>
              <w:left w:val="nil"/>
              <w:bottom w:val="single" w:sz="4" w:space="0" w:color="auto"/>
              <w:right w:val="single" w:sz="4" w:space="0" w:color="auto"/>
            </w:tcBorders>
            <w:noWrap/>
            <w:vAlign w:val="bottom"/>
            <w:hideMark/>
          </w:tcPr>
          <w:p w14:paraId="6DB1F071" w14:textId="77777777" w:rsidR="00E82219" w:rsidRPr="00C43A9C" w:rsidRDefault="00E82219" w:rsidP="00473ADD">
            <w:pPr>
              <w:spacing w:before="240" w:line="360" w:lineRule="auto"/>
              <w:jc w:val="both"/>
            </w:pPr>
            <w:r w:rsidRPr="00C43A9C">
              <w:t>0.009</w:t>
            </w:r>
          </w:p>
        </w:tc>
        <w:tc>
          <w:tcPr>
            <w:tcW w:w="1899" w:type="dxa"/>
            <w:tcBorders>
              <w:top w:val="nil"/>
              <w:left w:val="nil"/>
              <w:bottom w:val="single" w:sz="4" w:space="0" w:color="auto"/>
              <w:right w:val="single" w:sz="4" w:space="0" w:color="auto"/>
            </w:tcBorders>
            <w:noWrap/>
            <w:vAlign w:val="bottom"/>
            <w:hideMark/>
          </w:tcPr>
          <w:p w14:paraId="5E621044" w14:textId="77777777" w:rsidR="00E82219" w:rsidRPr="00C43A9C" w:rsidRDefault="00E82219" w:rsidP="00473ADD">
            <w:pPr>
              <w:spacing w:before="240" w:line="360" w:lineRule="auto"/>
              <w:jc w:val="both"/>
            </w:pPr>
            <w:r w:rsidRPr="00C43A9C">
              <w:t>10.35%</w:t>
            </w:r>
          </w:p>
        </w:tc>
      </w:tr>
      <w:tr w:rsidR="00C43A9C" w:rsidRPr="00C43A9C" w14:paraId="3FF77446" w14:textId="77777777" w:rsidTr="00C43A9C">
        <w:trPr>
          <w:trHeight w:val="335"/>
        </w:trPr>
        <w:tc>
          <w:tcPr>
            <w:tcW w:w="1899" w:type="dxa"/>
            <w:tcBorders>
              <w:top w:val="nil"/>
              <w:left w:val="single" w:sz="4" w:space="0" w:color="auto"/>
              <w:bottom w:val="single" w:sz="4" w:space="0" w:color="auto"/>
              <w:right w:val="single" w:sz="4" w:space="0" w:color="auto"/>
            </w:tcBorders>
            <w:noWrap/>
            <w:vAlign w:val="bottom"/>
            <w:hideMark/>
          </w:tcPr>
          <w:p w14:paraId="517139A5" w14:textId="77777777" w:rsidR="00E82219" w:rsidRPr="00C43A9C" w:rsidRDefault="00E82219" w:rsidP="00473ADD">
            <w:pPr>
              <w:spacing w:before="240" w:line="360" w:lineRule="auto"/>
              <w:jc w:val="both"/>
              <w:rPr>
                <w:b/>
                <w:bCs/>
              </w:rPr>
            </w:pPr>
            <w:r w:rsidRPr="00C43A9C">
              <w:rPr>
                <w:b/>
                <w:bCs/>
              </w:rPr>
              <w:t>Project B</w:t>
            </w:r>
          </w:p>
        </w:tc>
        <w:tc>
          <w:tcPr>
            <w:tcW w:w="1899" w:type="dxa"/>
            <w:tcBorders>
              <w:top w:val="nil"/>
              <w:left w:val="nil"/>
              <w:bottom w:val="single" w:sz="4" w:space="0" w:color="auto"/>
              <w:right w:val="single" w:sz="4" w:space="0" w:color="auto"/>
            </w:tcBorders>
            <w:noWrap/>
            <w:vAlign w:val="bottom"/>
            <w:hideMark/>
          </w:tcPr>
          <w:p w14:paraId="7FBD6134" w14:textId="77777777" w:rsidR="00E82219" w:rsidRPr="00C43A9C" w:rsidRDefault="00E82219" w:rsidP="00473ADD">
            <w:pPr>
              <w:spacing w:before="240" w:line="360" w:lineRule="auto"/>
              <w:jc w:val="both"/>
            </w:pPr>
            <w:r w:rsidRPr="00C43A9C">
              <w:t>20%</w:t>
            </w:r>
          </w:p>
        </w:tc>
        <w:tc>
          <w:tcPr>
            <w:tcW w:w="1899" w:type="dxa"/>
            <w:tcBorders>
              <w:top w:val="nil"/>
              <w:left w:val="nil"/>
              <w:bottom w:val="single" w:sz="4" w:space="0" w:color="auto"/>
              <w:right w:val="single" w:sz="4" w:space="0" w:color="auto"/>
            </w:tcBorders>
            <w:noWrap/>
            <w:vAlign w:val="bottom"/>
            <w:hideMark/>
          </w:tcPr>
          <w:p w14:paraId="1F47082C" w14:textId="77777777" w:rsidR="00E82219" w:rsidRPr="00C43A9C" w:rsidRDefault="00E82219" w:rsidP="00473ADD">
            <w:pPr>
              <w:spacing w:before="240" w:line="360" w:lineRule="auto"/>
              <w:jc w:val="both"/>
            </w:pPr>
            <w:r w:rsidRPr="00C43A9C">
              <w:t>-7.29</w:t>
            </w:r>
          </w:p>
        </w:tc>
        <w:tc>
          <w:tcPr>
            <w:tcW w:w="1899" w:type="dxa"/>
            <w:tcBorders>
              <w:top w:val="nil"/>
              <w:left w:val="nil"/>
              <w:bottom w:val="single" w:sz="4" w:space="0" w:color="auto"/>
              <w:right w:val="single" w:sz="4" w:space="0" w:color="auto"/>
            </w:tcBorders>
            <w:noWrap/>
            <w:vAlign w:val="bottom"/>
            <w:hideMark/>
          </w:tcPr>
          <w:p w14:paraId="03113244" w14:textId="77777777" w:rsidR="00E82219" w:rsidRPr="00C43A9C" w:rsidRDefault="00E82219" w:rsidP="00473ADD">
            <w:pPr>
              <w:spacing w:before="240" w:line="360" w:lineRule="auto"/>
              <w:jc w:val="both"/>
            </w:pPr>
            <w:r w:rsidRPr="00C43A9C">
              <w:t>-0.243</w:t>
            </w:r>
          </w:p>
        </w:tc>
        <w:tc>
          <w:tcPr>
            <w:tcW w:w="1899" w:type="dxa"/>
            <w:tcBorders>
              <w:top w:val="nil"/>
              <w:left w:val="nil"/>
              <w:bottom w:val="single" w:sz="4" w:space="0" w:color="auto"/>
              <w:right w:val="single" w:sz="4" w:space="0" w:color="auto"/>
            </w:tcBorders>
            <w:noWrap/>
            <w:vAlign w:val="bottom"/>
            <w:hideMark/>
          </w:tcPr>
          <w:p w14:paraId="45C2099C" w14:textId="77777777" w:rsidR="00E82219" w:rsidRPr="00C43A9C" w:rsidRDefault="00E82219" w:rsidP="00473ADD">
            <w:pPr>
              <w:spacing w:before="240" w:line="360" w:lineRule="auto"/>
              <w:jc w:val="both"/>
            </w:pPr>
            <w:r w:rsidRPr="00C43A9C">
              <w:t>2.50%</w:t>
            </w:r>
          </w:p>
        </w:tc>
      </w:tr>
      <w:tr w:rsidR="00C43A9C" w:rsidRPr="00C43A9C" w14:paraId="5A219139" w14:textId="77777777" w:rsidTr="00C43A9C">
        <w:trPr>
          <w:trHeight w:val="335"/>
        </w:trPr>
        <w:tc>
          <w:tcPr>
            <w:tcW w:w="1899" w:type="dxa"/>
            <w:tcBorders>
              <w:top w:val="nil"/>
              <w:left w:val="single" w:sz="4" w:space="0" w:color="auto"/>
              <w:bottom w:val="single" w:sz="4" w:space="0" w:color="auto"/>
              <w:right w:val="single" w:sz="4" w:space="0" w:color="auto"/>
            </w:tcBorders>
            <w:noWrap/>
            <w:vAlign w:val="bottom"/>
            <w:hideMark/>
          </w:tcPr>
          <w:p w14:paraId="133480AB" w14:textId="77777777" w:rsidR="00E82219" w:rsidRPr="00C43A9C" w:rsidRDefault="00E82219" w:rsidP="00473ADD">
            <w:pPr>
              <w:spacing w:before="240" w:line="360" w:lineRule="auto"/>
              <w:jc w:val="both"/>
              <w:rPr>
                <w:b/>
                <w:bCs/>
              </w:rPr>
            </w:pPr>
            <w:r w:rsidRPr="00C43A9C">
              <w:rPr>
                <w:b/>
                <w:bCs/>
              </w:rPr>
              <w:t>Project C</w:t>
            </w:r>
          </w:p>
        </w:tc>
        <w:tc>
          <w:tcPr>
            <w:tcW w:w="1899" w:type="dxa"/>
            <w:tcBorders>
              <w:top w:val="nil"/>
              <w:left w:val="nil"/>
              <w:bottom w:val="single" w:sz="4" w:space="0" w:color="auto"/>
              <w:right w:val="single" w:sz="4" w:space="0" w:color="auto"/>
            </w:tcBorders>
            <w:noWrap/>
            <w:vAlign w:val="bottom"/>
            <w:hideMark/>
          </w:tcPr>
          <w:p w14:paraId="6038CE6D" w14:textId="77777777" w:rsidR="00E82219" w:rsidRPr="00C43A9C" w:rsidRDefault="00E82219" w:rsidP="00473ADD">
            <w:pPr>
              <w:spacing w:before="240" w:line="360" w:lineRule="auto"/>
              <w:jc w:val="both"/>
            </w:pPr>
            <w:r w:rsidRPr="00C43A9C">
              <w:t>30%</w:t>
            </w:r>
          </w:p>
        </w:tc>
        <w:tc>
          <w:tcPr>
            <w:tcW w:w="1899" w:type="dxa"/>
            <w:tcBorders>
              <w:top w:val="nil"/>
              <w:left w:val="nil"/>
              <w:bottom w:val="single" w:sz="4" w:space="0" w:color="auto"/>
              <w:right w:val="single" w:sz="4" w:space="0" w:color="auto"/>
            </w:tcBorders>
            <w:noWrap/>
            <w:vAlign w:val="bottom"/>
            <w:hideMark/>
          </w:tcPr>
          <w:p w14:paraId="7E540F2D" w14:textId="77777777" w:rsidR="00E82219" w:rsidRPr="00C43A9C" w:rsidRDefault="00E82219" w:rsidP="00473ADD">
            <w:pPr>
              <w:spacing w:before="240" w:line="360" w:lineRule="auto"/>
              <w:jc w:val="both"/>
            </w:pPr>
            <w:r w:rsidRPr="00C43A9C">
              <w:t>4.23</w:t>
            </w:r>
          </w:p>
        </w:tc>
        <w:tc>
          <w:tcPr>
            <w:tcW w:w="1899" w:type="dxa"/>
            <w:tcBorders>
              <w:top w:val="nil"/>
              <w:left w:val="nil"/>
              <w:bottom w:val="single" w:sz="4" w:space="0" w:color="auto"/>
              <w:right w:val="single" w:sz="4" w:space="0" w:color="auto"/>
            </w:tcBorders>
            <w:noWrap/>
            <w:vAlign w:val="bottom"/>
            <w:hideMark/>
          </w:tcPr>
          <w:p w14:paraId="79D71A8B" w14:textId="77777777" w:rsidR="00E82219" w:rsidRPr="00C43A9C" w:rsidRDefault="00E82219" w:rsidP="00473ADD">
            <w:pPr>
              <w:spacing w:before="240" w:line="360" w:lineRule="auto"/>
              <w:jc w:val="both"/>
            </w:pPr>
            <w:r w:rsidRPr="00C43A9C">
              <w:t>0.085</w:t>
            </w:r>
          </w:p>
        </w:tc>
        <w:tc>
          <w:tcPr>
            <w:tcW w:w="1899" w:type="dxa"/>
            <w:tcBorders>
              <w:top w:val="nil"/>
              <w:left w:val="nil"/>
              <w:bottom w:val="single" w:sz="4" w:space="0" w:color="auto"/>
              <w:right w:val="single" w:sz="4" w:space="0" w:color="auto"/>
            </w:tcBorders>
            <w:noWrap/>
            <w:vAlign w:val="bottom"/>
            <w:hideMark/>
          </w:tcPr>
          <w:p w14:paraId="4C224799" w14:textId="77777777" w:rsidR="00E82219" w:rsidRPr="00C43A9C" w:rsidRDefault="00E82219" w:rsidP="00473ADD">
            <w:pPr>
              <w:spacing w:before="240" w:line="360" w:lineRule="auto"/>
              <w:jc w:val="both"/>
            </w:pPr>
            <w:r w:rsidRPr="00C43A9C">
              <w:t>12.50%</w:t>
            </w:r>
          </w:p>
        </w:tc>
      </w:tr>
    </w:tbl>
    <w:p w14:paraId="1B5C2B87" w14:textId="77777777" w:rsidR="00E82219" w:rsidRPr="00C43A9C" w:rsidRDefault="00E82219" w:rsidP="00473ADD">
      <w:pPr>
        <w:spacing w:before="240" w:after="100" w:afterAutospacing="1" w:line="360" w:lineRule="auto"/>
        <w:jc w:val="both"/>
      </w:pPr>
    </w:p>
    <w:p w14:paraId="26F4B2E9" w14:textId="2AFA73BE" w:rsidR="007B22C3" w:rsidRPr="00C43A9C" w:rsidRDefault="00E82219" w:rsidP="00473ADD">
      <w:pPr>
        <w:spacing w:before="240" w:after="100" w:afterAutospacing="1" w:line="360" w:lineRule="auto"/>
        <w:jc w:val="both"/>
      </w:pPr>
      <w:r w:rsidRPr="00C43A9C">
        <w:rPr>
          <w:noProof/>
          <w14:ligatures w14:val="standardContextual"/>
        </w:rPr>
        <w:drawing>
          <wp:inline distT="0" distB="0" distL="0" distR="0" wp14:anchorId="6537161D" wp14:editId="0D584B6D">
            <wp:extent cx="4572000" cy="2743200"/>
            <wp:effectExtent l="0" t="0" r="12700" b="12700"/>
            <wp:docPr id="50250673" name="Chart 1">
              <a:extLst xmlns:a="http://schemas.openxmlformats.org/drawingml/2006/main">
                <a:ext uri="{FF2B5EF4-FFF2-40B4-BE49-F238E27FC236}">
                  <a16:creationId xmlns:a16="http://schemas.microsoft.com/office/drawing/2014/main" id="{3267FE1B-2BBA-7E05-8574-FA0BE36103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22A8A60" w14:textId="77777777" w:rsidR="00E82219" w:rsidRPr="00C43A9C" w:rsidRDefault="00E82219" w:rsidP="00473ADD">
      <w:pPr>
        <w:spacing w:before="240" w:after="100" w:afterAutospacing="1" w:line="360" w:lineRule="auto"/>
        <w:jc w:val="both"/>
      </w:pPr>
    </w:p>
    <w:p w14:paraId="4FFE26FF" w14:textId="56B467E1" w:rsidR="00E82219" w:rsidRPr="00C43A9C" w:rsidRDefault="007667D0" w:rsidP="00473ADD">
      <w:pPr>
        <w:spacing w:before="240" w:after="100" w:afterAutospacing="1" w:line="360" w:lineRule="auto"/>
        <w:jc w:val="both"/>
      </w:pPr>
      <w:r w:rsidRPr="00C43A9C">
        <w:rPr>
          <w:noProof/>
          <w14:ligatures w14:val="standardContextual"/>
        </w:rPr>
        <w:drawing>
          <wp:inline distT="0" distB="0" distL="0" distR="0" wp14:anchorId="62021647" wp14:editId="051D7F15">
            <wp:extent cx="4572000" cy="2743200"/>
            <wp:effectExtent l="0" t="0" r="12700" b="12700"/>
            <wp:docPr id="500903601" name="Chart 1">
              <a:extLst xmlns:a="http://schemas.openxmlformats.org/drawingml/2006/main">
                <a:ext uri="{FF2B5EF4-FFF2-40B4-BE49-F238E27FC236}">
                  <a16:creationId xmlns:a16="http://schemas.microsoft.com/office/drawing/2014/main" id="{7D49AA36-15CF-4D5B-43BA-070584D512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BD2D567" w14:textId="77777777" w:rsidR="007667D0" w:rsidRPr="00C43A9C" w:rsidRDefault="007667D0" w:rsidP="00473ADD">
      <w:pPr>
        <w:spacing w:before="240" w:after="100" w:afterAutospacing="1" w:line="360" w:lineRule="auto"/>
        <w:jc w:val="both"/>
      </w:pPr>
    </w:p>
    <w:p w14:paraId="54113FB9" w14:textId="45DBF2AE" w:rsidR="007667D0" w:rsidRPr="00C43A9C" w:rsidRDefault="007667D0" w:rsidP="00473ADD">
      <w:pPr>
        <w:spacing w:before="240" w:after="100" w:afterAutospacing="1" w:line="360" w:lineRule="auto"/>
        <w:jc w:val="both"/>
      </w:pPr>
      <w:r w:rsidRPr="00C43A9C">
        <w:rPr>
          <w:noProof/>
          <w14:ligatures w14:val="standardContextual"/>
        </w:rPr>
        <w:drawing>
          <wp:inline distT="0" distB="0" distL="0" distR="0" wp14:anchorId="21F9C4B2" wp14:editId="05FB9F15">
            <wp:extent cx="4572000" cy="2743200"/>
            <wp:effectExtent l="0" t="0" r="12700" b="12700"/>
            <wp:docPr id="1903916923" name="Chart 1">
              <a:extLst xmlns:a="http://schemas.openxmlformats.org/drawingml/2006/main">
                <a:ext uri="{FF2B5EF4-FFF2-40B4-BE49-F238E27FC236}">
                  <a16:creationId xmlns:a16="http://schemas.microsoft.com/office/drawing/2014/main" id="{00EE1D58-BCC6-0A1F-E414-3744C166ED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C051AE7" w14:textId="77777777" w:rsidR="007667D0" w:rsidRPr="00C43A9C" w:rsidRDefault="007667D0" w:rsidP="00473ADD">
      <w:pPr>
        <w:spacing w:before="240" w:after="100" w:afterAutospacing="1" w:line="360" w:lineRule="auto"/>
        <w:jc w:val="both"/>
      </w:pPr>
    </w:p>
    <w:p w14:paraId="4E79E05A" w14:textId="68684746" w:rsidR="007667D0" w:rsidRPr="00C43A9C" w:rsidRDefault="007667D0" w:rsidP="00473ADD">
      <w:pPr>
        <w:spacing w:before="240" w:after="100" w:afterAutospacing="1" w:line="360" w:lineRule="auto"/>
        <w:jc w:val="both"/>
      </w:pPr>
      <w:r w:rsidRPr="00C43A9C">
        <w:rPr>
          <w:noProof/>
          <w14:ligatures w14:val="standardContextual"/>
        </w:rPr>
        <w:drawing>
          <wp:inline distT="0" distB="0" distL="0" distR="0" wp14:anchorId="0383359B" wp14:editId="3EA3482B">
            <wp:extent cx="5930900" cy="3365500"/>
            <wp:effectExtent l="0" t="0" r="12700" b="12700"/>
            <wp:docPr id="1153725595" name="Chart 1">
              <a:extLst xmlns:a="http://schemas.openxmlformats.org/drawingml/2006/main">
                <a:ext uri="{FF2B5EF4-FFF2-40B4-BE49-F238E27FC236}">
                  <a16:creationId xmlns:a16="http://schemas.microsoft.com/office/drawing/2014/main" id="{FD583DF7-6BAA-4A5A-BE9C-173A2DDAA5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sectPr w:rsidR="007667D0" w:rsidRPr="00C43A9C">
      <w:headerReference w:type="even" r:id="rId22"/>
      <w:head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9654A" w14:textId="77777777" w:rsidR="00C719C2" w:rsidRDefault="00C719C2" w:rsidP="00C43A9C">
      <w:r>
        <w:separator/>
      </w:r>
    </w:p>
  </w:endnote>
  <w:endnote w:type="continuationSeparator" w:id="0">
    <w:p w14:paraId="404E60F8" w14:textId="77777777" w:rsidR="00C719C2" w:rsidRDefault="00C719C2" w:rsidP="00C43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STIX Two Math"/>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altName w:val="Calibri"/>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altName w:val="Baskerville"/>
    <w:panose1 w:val="02040503050406030204"/>
    <w:charset w:val="00"/>
    <w:family w:val="roman"/>
    <w:pitch w:val="variable"/>
    <w:sig w:usb0="00000001"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F8AF9" w14:textId="77777777" w:rsidR="00C719C2" w:rsidRDefault="00C719C2" w:rsidP="00C43A9C">
      <w:r>
        <w:separator/>
      </w:r>
    </w:p>
  </w:footnote>
  <w:footnote w:type="continuationSeparator" w:id="0">
    <w:p w14:paraId="57257516" w14:textId="77777777" w:rsidR="00C719C2" w:rsidRDefault="00C719C2" w:rsidP="00C43A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42532896"/>
      <w:docPartObj>
        <w:docPartGallery w:val="Page Numbers (Top of Page)"/>
        <w:docPartUnique/>
      </w:docPartObj>
    </w:sdtPr>
    <w:sdtContent>
      <w:p w14:paraId="5D400FE7" w14:textId="3C0633EA" w:rsidR="00C43A9C" w:rsidRDefault="00C43A9C" w:rsidP="00CB661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CD7F227" w14:textId="77777777" w:rsidR="00C43A9C" w:rsidRDefault="00C43A9C" w:rsidP="00C43A9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44642032"/>
      <w:docPartObj>
        <w:docPartGallery w:val="Page Numbers (Top of Page)"/>
        <w:docPartUnique/>
      </w:docPartObj>
    </w:sdtPr>
    <w:sdtContent>
      <w:p w14:paraId="330CA612" w14:textId="4BC2CBC1" w:rsidR="00C43A9C" w:rsidRDefault="00C43A9C" w:rsidP="00CB6613">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25</w:t>
        </w:r>
        <w:r>
          <w:rPr>
            <w:rStyle w:val="PageNumber"/>
          </w:rPr>
          <w:fldChar w:fldCharType="end"/>
        </w:r>
      </w:p>
    </w:sdtContent>
  </w:sdt>
  <w:p w14:paraId="0650035D" w14:textId="77777777" w:rsidR="00C43A9C" w:rsidRDefault="00C43A9C" w:rsidP="00C43A9C">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13B5"/>
    <w:multiLevelType w:val="multilevel"/>
    <w:tmpl w:val="97985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451D2"/>
    <w:multiLevelType w:val="multilevel"/>
    <w:tmpl w:val="32AE8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5F0902"/>
    <w:multiLevelType w:val="multilevel"/>
    <w:tmpl w:val="93D85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742EA"/>
    <w:multiLevelType w:val="multilevel"/>
    <w:tmpl w:val="97EEF9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154CF3"/>
    <w:multiLevelType w:val="multilevel"/>
    <w:tmpl w:val="9DA0A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A725B3"/>
    <w:multiLevelType w:val="multilevel"/>
    <w:tmpl w:val="EEBAE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496D7B"/>
    <w:multiLevelType w:val="multilevel"/>
    <w:tmpl w:val="AE5EB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3432A0"/>
    <w:multiLevelType w:val="multilevel"/>
    <w:tmpl w:val="D812B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D53CB6"/>
    <w:multiLevelType w:val="multilevel"/>
    <w:tmpl w:val="BDE44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297B70"/>
    <w:multiLevelType w:val="multilevel"/>
    <w:tmpl w:val="B3623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773CD0"/>
    <w:multiLevelType w:val="multilevel"/>
    <w:tmpl w:val="6ADE5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7A4E73"/>
    <w:multiLevelType w:val="multilevel"/>
    <w:tmpl w:val="92148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EA5426"/>
    <w:multiLevelType w:val="multilevel"/>
    <w:tmpl w:val="EB0E2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7A56BF"/>
    <w:multiLevelType w:val="multilevel"/>
    <w:tmpl w:val="59EC3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7044AA"/>
    <w:multiLevelType w:val="multilevel"/>
    <w:tmpl w:val="E760D682"/>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7C269A9"/>
    <w:multiLevelType w:val="multilevel"/>
    <w:tmpl w:val="ACACB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E3556E"/>
    <w:multiLevelType w:val="multilevel"/>
    <w:tmpl w:val="4ADC2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4D1680"/>
    <w:multiLevelType w:val="multilevel"/>
    <w:tmpl w:val="D4347E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CC3217"/>
    <w:multiLevelType w:val="multilevel"/>
    <w:tmpl w:val="A126A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A94937"/>
    <w:multiLevelType w:val="multilevel"/>
    <w:tmpl w:val="03681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D87061"/>
    <w:multiLevelType w:val="multilevel"/>
    <w:tmpl w:val="3236A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152C98"/>
    <w:multiLevelType w:val="multilevel"/>
    <w:tmpl w:val="0D5E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1E0580"/>
    <w:multiLevelType w:val="multilevel"/>
    <w:tmpl w:val="43DC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1A177E"/>
    <w:multiLevelType w:val="multilevel"/>
    <w:tmpl w:val="F1BC5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3E456B"/>
    <w:multiLevelType w:val="multilevel"/>
    <w:tmpl w:val="B07E64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6E15FF1"/>
    <w:multiLevelType w:val="multilevel"/>
    <w:tmpl w:val="EA82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F864F4"/>
    <w:multiLevelType w:val="multilevel"/>
    <w:tmpl w:val="6FC42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BF6A13"/>
    <w:multiLevelType w:val="multilevel"/>
    <w:tmpl w:val="6D9C6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467B9"/>
    <w:multiLevelType w:val="multilevel"/>
    <w:tmpl w:val="000A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F2578A"/>
    <w:multiLevelType w:val="multilevel"/>
    <w:tmpl w:val="17B4D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DD120A"/>
    <w:multiLevelType w:val="multilevel"/>
    <w:tmpl w:val="96F4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6E4A18"/>
    <w:multiLevelType w:val="multilevel"/>
    <w:tmpl w:val="6D7EE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5113B7"/>
    <w:multiLevelType w:val="hybridMultilevel"/>
    <w:tmpl w:val="714004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23E55F4"/>
    <w:multiLevelType w:val="multilevel"/>
    <w:tmpl w:val="63BCB2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F84B65"/>
    <w:multiLevelType w:val="multilevel"/>
    <w:tmpl w:val="26E8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0B0921"/>
    <w:multiLevelType w:val="multilevel"/>
    <w:tmpl w:val="C0FE7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604320"/>
    <w:multiLevelType w:val="multilevel"/>
    <w:tmpl w:val="DB64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862631"/>
    <w:multiLevelType w:val="multilevel"/>
    <w:tmpl w:val="AFFA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B52A4A"/>
    <w:multiLevelType w:val="multilevel"/>
    <w:tmpl w:val="3466A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B1C7DC8"/>
    <w:multiLevelType w:val="multilevel"/>
    <w:tmpl w:val="6A0E05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172C38"/>
    <w:multiLevelType w:val="multilevel"/>
    <w:tmpl w:val="3A74E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0F572BB"/>
    <w:multiLevelType w:val="multilevel"/>
    <w:tmpl w:val="7B087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2757972"/>
    <w:multiLevelType w:val="multilevel"/>
    <w:tmpl w:val="C8E80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31D1DC2"/>
    <w:multiLevelType w:val="multilevel"/>
    <w:tmpl w:val="BDCE0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4E2053E"/>
    <w:multiLevelType w:val="multilevel"/>
    <w:tmpl w:val="7176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754591"/>
    <w:multiLevelType w:val="multilevel"/>
    <w:tmpl w:val="29FE4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BC94DB3"/>
    <w:multiLevelType w:val="multilevel"/>
    <w:tmpl w:val="2DD2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DDE387E"/>
    <w:multiLevelType w:val="multilevel"/>
    <w:tmpl w:val="0BAE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E1C004A"/>
    <w:multiLevelType w:val="multilevel"/>
    <w:tmpl w:val="A93258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9AB63D4"/>
    <w:multiLevelType w:val="multilevel"/>
    <w:tmpl w:val="24B21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C884F61"/>
    <w:multiLevelType w:val="multilevel"/>
    <w:tmpl w:val="1674C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DA1659D"/>
    <w:multiLevelType w:val="multilevel"/>
    <w:tmpl w:val="185A8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E9F7C3B"/>
    <w:multiLevelType w:val="multilevel"/>
    <w:tmpl w:val="7536F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66778146">
    <w:abstractNumId w:val="24"/>
  </w:num>
  <w:num w:numId="2" w16cid:durableId="1588808026">
    <w:abstractNumId w:val="38"/>
  </w:num>
  <w:num w:numId="3" w16cid:durableId="39592891">
    <w:abstractNumId w:val="50"/>
  </w:num>
  <w:num w:numId="4" w16cid:durableId="1194153801">
    <w:abstractNumId w:val="27"/>
  </w:num>
  <w:num w:numId="5" w16cid:durableId="525561930">
    <w:abstractNumId w:val="7"/>
  </w:num>
  <w:num w:numId="6" w16cid:durableId="42338183">
    <w:abstractNumId w:val="5"/>
  </w:num>
  <w:num w:numId="7" w16cid:durableId="2137792396">
    <w:abstractNumId w:val="45"/>
  </w:num>
  <w:num w:numId="8" w16cid:durableId="1003703840">
    <w:abstractNumId w:val="47"/>
  </w:num>
  <w:num w:numId="9" w16cid:durableId="1204295331">
    <w:abstractNumId w:val="15"/>
  </w:num>
  <w:num w:numId="10" w16cid:durableId="461002588">
    <w:abstractNumId w:val="40"/>
  </w:num>
  <w:num w:numId="11" w16cid:durableId="1295217494">
    <w:abstractNumId w:val="3"/>
  </w:num>
  <w:num w:numId="12" w16cid:durableId="1781492494">
    <w:abstractNumId w:val="52"/>
  </w:num>
  <w:num w:numId="13" w16cid:durableId="491337340">
    <w:abstractNumId w:val="22"/>
  </w:num>
  <w:num w:numId="14" w16cid:durableId="1019820248">
    <w:abstractNumId w:val="11"/>
  </w:num>
  <w:num w:numId="15" w16cid:durableId="1303073163">
    <w:abstractNumId w:val="43"/>
  </w:num>
  <w:num w:numId="16" w16cid:durableId="1537810535">
    <w:abstractNumId w:val="8"/>
  </w:num>
  <w:num w:numId="17" w16cid:durableId="1605259403">
    <w:abstractNumId w:val="35"/>
  </w:num>
  <w:num w:numId="18" w16cid:durableId="278462503">
    <w:abstractNumId w:val="16"/>
  </w:num>
  <w:num w:numId="19" w16cid:durableId="1269196742">
    <w:abstractNumId w:val="10"/>
  </w:num>
  <w:num w:numId="20" w16cid:durableId="1088035421">
    <w:abstractNumId w:val="34"/>
  </w:num>
  <w:num w:numId="21" w16cid:durableId="640383576">
    <w:abstractNumId w:val="4"/>
  </w:num>
  <w:num w:numId="22" w16cid:durableId="2037193149">
    <w:abstractNumId w:val="41"/>
  </w:num>
  <w:num w:numId="23" w16cid:durableId="919565218">
    <w:abstractNumId w:val="29"/>
  </w:num>
  <w:num w:numId="24" w16cid:durableId="1002394528">
    <w:abstractNumId w:val="44"/>
  </w:num>
  <w:num w:numId="25" w16cid:durableId="198203095">
    <w:abstractNumId w:val="49"/>
  </w:num>
  <w:num w:numId="26" w16cid:durableId="1109664910">
    <w:abstractNumId w:val="28"/>
  </w:num>
  <w:num w:numId="27" w16cid:durableId="2066905029">
    <w:abstractNumId w:val="12"/>
  </w:num>
  <w:num w:numId="28" w16cid:durableId="152378740">
    <w:abstractNumId w:val="2"/>
  </w:num>
  <w:num w:numId="29" w16cid:durableId="1181159730">
    <w:abstractNumId w:val="18"/>
  </w:num>
  <w:num w:numId="30" w16cid:durableId="1359353922">
    <w:abstractNumId w:val="46"/>
  </w:num>
  <w:num w:numId="31" w16cid:durableId="861821919">
    <w:abstractNumId w:val="23"/>
  </w:num>
  <w:num w:numId="32" w16cid:durableId="767583158">
    <w:abstractNumId w:val="39"/>
  </w:num>
  <w:num w:numId="33" w16cid:durableId="12802333">
    <w:abstractNumId w:val="6"/>
  </w:num>
  <w:num w:numId="34" w16cid:durableId="225452612">
    <w:abstractNumId w:val="1"/>
  </w:num>
  <w:num w:numId="35" w16cid:durableId="1829515460">
    <w:abstractNumId w:val="21"/>
  </w:num>
  <w:num w:numId="36" w16cid:durableId="1639215575">
    <w:abstractNumId w:val="0"/>
  </w:num>
  <w:num w:numId="37" w16cid:durableId="507447972">
    <w:abstractNumId w:val="9"/>
  </w:num>
  <w:num w:numId="38" w16cid:durableId="681325337">
    <w:abstractNumId w:val="48"/>
  </w:num>
  <w:num w:numId="39" w16cid:durableId="1803499351">
    <w:abstractNumId w:val="30"/>
  </w:num>
  <w:num w:numId="40" w16cid:durableId="1254586214">
    <w:abstractNumId w:val="17"/>
  </w:num>
  <w:num w:numId="41" w16cid:durableId="2140417063">
    <w:abstractNumId w:val="36"/>
  </w:num>
  <w:num w:numId="42" w16cid:durableId="1346906946">
    <w:abstractNumId w:val="51"/>
  </w:num>
  <w:num w:numId="43" w16cid:durableId="1044670916">
    <w:abstractNumId w:val="26"/>
  </w:num>
  <w:num w:numId="44" w16cid:durableId="1343970561">
    <w:abstractNumId w:val="33"/>
  </w:num>
  <w:num w:numId="45" w16cid:durableId="490175285">
    <w:abstractNumId w:val="20"/>
  </w:num>
  <w:num w:numId="46" w16cid:durableId="2083526014">
    <w:abstractNumId w:val="42"/>
  </w:num>
  <w:num w:numId="47" w16cid:durableId="1135412238">
    <w:abstractNumId w:val="19"/>
  </w:num>
  <w:num w:numId="48" w16cid:durableId="613485562">
    <w:abstractNumId w:val="25"/>
  </w:num>
  <w:num w:numId="49" w16cid:durableId="630017264">
    <w:abstractNumId w:val="13"/>
  </w:num>
  <w:num w:numId="50" w16cid:durableId="189417450">
    <w:abstractNumId w:val="37"/>
  </w:num>
  <w:num w:numId="51" w16cid:durableId="1983195394">
    <w:abstractNumId w:val="14"/>
  </w:num>
  <w:num w:numId="52" w16cid:durableId="1347976024">
    <w:abstractNumId w:val="31"/>
  </w:num>
  <w:num w:numId="53" w16cid:durableId="19075660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BFA"/>
    <w:rsid w:val="0001301C"/>
    <w:rsid w:val="00047C18"/>
    <w:rsid w:val="00067392"/>
    <w:rsid w:val="000D1596"/>
    <w:rsid w:val="00100F82"/>
    <w:rsid w:val="001336DD"/>
    <w:rsid w:val="0014533D"/>
    <w:rsid w:val="00153790"/>
    <w:rsid w:val="00174B0F"/>
    <w:rsid w:val="001A4C94"/>
    <w:rsid w:val="0020283A"/>
    <w:rsid w:val="002517BA"/>
    <w:rsid w:val="002760E9"/>
    <w:rsid w:val="002F12E8"/>
    <w:rsid w:val="0032242B"/>
    <w:rsid w:val="003317AD"/>
    <w:rsid w:val="003805F7"/>
    <w:rsid w:val="00381EED"/>
    <w:rsid w:val="003A547D"/>
    <w:rsid w:val="00427DFC"/>
    <w:rsid w:val="00473ADD"/>
    <w:rsid w:val="0048223C"/>
    <w:rsid w:val="00497575"/>
    <w:rsid w:val="004A1C22"/>
    <w:rsid w:val="004A4BE2"/>
    <w:rsid w:val="004C51EE"/>
    <w:rsid w:val="004F1DC2"/>
    <w:rsid w:val="0057427B"/>
    <w:rsid w:val="005E19D6"/>
    <w:rsid w:val="0060356F"/>
    <w:rsid w:val="00650BA2"/>
    <w:rsid w:val="0069492D"/>
    <w:rsid w:val="006D252E"/>
    <w:rsid w:val="007531D4"/>
    <w:rsid w:val="00755497"/>
    <w:rsid w:val="007667D0"/>
    <w:rsid w:val="007973E6"/>
    <w:rsid w:val="007979A0"/>
    <w:rsid w:val="007A2BFA"/>
    <w:rsid w:val="007A6B22"/>
    <w:rsid w:val="007B22C3"/>
    <w:rsid w:val="0084553D"/>
    <w:rsid w:val="0085759A"/>
    <w:rsid w:val="00865F1C"/>
    <w:rsid w:val="00875881"/>
    <w:rsid w:val="00896AAF"/>
    <w:rsid w:val="008A7FA4"/>
    <w:rsid w:val="00902C71"/>
    <w:rsid w:val="00920D7D"/>
    <w:rsid w:val="009649D1"/>
    <w:rsid w:val="009A4284"/>
    <w:rsid w:val="009A5CCA"/>
    <w:rsid w:val="00A71C24"/>
    <w:rsid w:val="00AB5C6F"/>
    <w:rsid w:val="00B479FA"/>
    <w:rsid w:val="00B74760"/>
    <w:rsid w:val="00BA6809"/>
    <w:rsid w:val="00C31E11"/>
    <w:rsid w:val="00C43A9C"/>
    <w:rsid w:val="00C719C2"/>
    <w:rsid w:val="00CD41DF"/>
    <w:rsid w:val="00CF1A07"/>
    <w:rsid w:val="00D22855"/>
    <w:rsid w:val="00D46EF3"/>
    <w:rsid w:val="00D71874"/>
    <w:rsid w:val="00D90CD5"/>
    <w:rsid w:val="00DB418B"/>
    <w:rsid w:val="00DC7598"/>
    <w:rsid w:val="00DE21BC"/>
    <w:rsid w:val="00E82219"/>
    <w:rsid w:val="00F168F9"/>
    <w:rsid w:val="00F70DC1"/>
    <w:rsid w:val="00F73B51"/>
    <w:rsid w:val="00F82CD6"/>
    <w:rsid w:val="00FB5E0D"/>
    <w:rsid w:val="00FC24E4"/>
    <w:rsid w:val="00FE3D30"/>
    <w:rsid w:val="00FE44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6C97A"/>
  <w15:chartTrackingRefBased/>
  <w15:docId w15:val="{83B0A48D-695A-5E4E-BDF6-0A5F59F95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219"/>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7A2B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2B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A2B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A2B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7A2B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2B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2B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2B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2B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B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2B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A2B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A2B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7A2B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2B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2B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2B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2BFA"/>
    <w:rPr>
      <w:rFonts w:eastAsiaTheme="majorEastAsia" w:cstheme="majorBidi"/>
      <w:color w:val="272727" w:themeColor="text1" w:themeTint="D8"/>
    </w:rPr>
  </w:style>
  <w:style w:type="paragraph" w:styleId="Title">
    <w:name w:val="Title"/>
    <w:basedOn w:val="Normal"/>
    <w:next w:val="Normal"/>
    <w:link w:val="TitleChar"/>
    <w:uiPriority w:val="10"/>
    <w:qFormat/>
    <w:rsid w:val="007A2BF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2B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2B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2B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2BFA"/>
    <w:pPr>
      <w:spacing w:before="160"/>
      <w:jc w:val="center"/>
    </w:pPr>
    <w:rPr>
      <w:i/>
      <w:iCs/>
      <w:color w:val="404040" w:themeColor="text1" w:themeTint="BF"/>
    </w:rPr>
  </w:style>
  <w:style w:type="character" w:customStyle="1" w:styleId="QuoteChar">
    <w:name w:val="Quote Char"/>
    <w:basedOn w:val="DefaultParagraphFont"/>
    <w:link w:val="Quote"/>
    <w:uiPriority w:val="29"/>
    <w:rsid w:val="007A2BFA"/>
    <w:rPr>
      <w:i/>
      <w:iCs/>
      <w:color w:val="404040" w:themeColor="text1" w:themeTint="BF"/>
    </w:rPr>
  </w:style>
  <w:style w:type="paragraph" w:styleId="ListParagraph">
    <w:name w:val="List Paragraph"/>
    <w:basedOn w:val="Normal"/>
    <w:uiPriority w:val="34"/>
    <w:qFormat/>
    <w:rsid w:val="007A2BFA"/>
    <w:pPr>
      <w:ind w:left="720"/>
      <w:contextualSpacing/>
    </w:pPr>
  </w:style>
  <w:style w:type="character" w:styleId="IntenseEmphasis">
    <w:name w:val="Intense Emphasis"/>
    <w:basedOn w:val="DefaultParagraphFont"/>
    <w:uiPriority w:val="21"/>
    <w:qFormat/>
    <w:rsid w:val="007A2BFA"/>
    <w:rPr>
      <w:i/>
      <w:iCs/>
      <w:color w:val="0F4761" w:themeColor="accent1" w:themeShade="BF"/>
    </w:rPr>
  </w:style>
  <w:style w:type="paragraph" w:styleId="IntenseQuote">
    <w:name w:val="Intense Quote"/>
    <w:basedOn w:val="Normal"/>
    <w:next w:val="Normal"/>
    <w:link w:val="IntenseQuoteChar"/>
    <w:uiPriority w:val="30"/>
    <w:qFormat/>
    <w:rsid w:val="007A2B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2BFA"/>
    <w:rPr>
      <w:i/>
      <w:iCs/>
      <w:color w:val="0F4761" w:themeColor="accent1" w:themeShade="BF"/>
    </w:rPr>
  </w:style>
  <w:style w:type="character" w:styleId="IntenseReference">
    <w:name w:val="Intense Reference"/>
    <w:basedOn w:val="DefaultParagraphFont"/>
    <w:uiPriority w:val="32"/>
    <w:qFormat/>
    <w:rsid w:val="007A2BFA"/>
    <w:rPr>
      <w:b/>
      <w:bCs/>
      <w:smallCaps/>
      <w:color w:val="0F4761" w:themeColor="accent1" w:themeShade="BF"/>
      <w:spacing w:val="5"/>
    </w:rPr>
  </w:style>
  <w:style w:type="character" w:styleId="Strong">
    <w:name w:val="Strong"/>
    <w:basedOn w:val="DefaultParagraphFont"/>
    <w:uiPriority w:val="22"/>
    <w:qFormat/>
    <w:rsid w:val="007A2BFA"/>
    <w:rPr>
      <w:b/>
      <w:bCs/>
    </w:rPr>
  </w:style>
  <w:style w:type="paragraph" w:styleId="NormalWeb">
    <w:name w:val="Normal (Web)"/>
    <w:basedOn w:val="Normal"/>
    <w:uiPriority w:val="99"/>
    <w:unhideWhenUsed/>
    <w:rsid w:val="007A2BFA"/>
    <w:pPr>
      <w:spacing w:before="100" w:beforeAutospacing="1" w:after="100" w:afterAutospacing="1"/>
    </w:pPr>
  </w:style>
  <w:style w:type="character" w:customStyle="1" w:styleId="relative">
    <w:name w:val="relative"/>
    <w:basedOn w:val="DefaultParagraphFont"/>
    <w:rsid w:val="00F82CD6"/>
  </w:style>
  <w:style w:type="paragraph" w:customStyle="1" w:styleId="not-prose">
    <w:name w:val="not-prose"/>
    <w:basedOn w:val="Normal"/>
    <w:rsid w:val="00F82CD6"/>
    <w:pPr>
      <w:spacing w:before="100" w:beforeAutospacing="1" w:after="100" w:afterAutospacing="1"/>
    </w:pPr>
  </w:style>
  <w:style w:type="character" w:styleId="Emphasis">
    <w:name w:val="Emphasis"/>
    <w:basedOn w:val="DefaultParagraphFont"/>
    <w:uiPriority w:val="20"/>
    <w:qFormat/>
    <w:rsid w:val="00CF1A07"/>
    <w:rPr>
      <w:i/>
      <w:iCs/>
    </w:rPr>
  </w:style>
  <w:style w:type="paragraph" w:styleId="TOCHeading">
    <w:name w:val="TOC Heading"/>
    <w:basedOn w:val="Heading1"/>
    <w:next w:val="Normal"/>
    <w:uiPriority w:val="39"/>
    <w:unhideWhenUsed/>
    <w:qFormat/>
    <w:rsid w:val="00C43A9C"/>
    <w:pPr>
      <w:spacing w:before="480" w:after="0" w:line="276" w:lineRule="auto"/>
      <w:outlineLvl w:val="9"/>
    </w:pPr>
    <w:rPr>
      <w:b/>
      <w:bCs/>
      <w:sz w:val="28"/>
      <w:szCs w:val="28"/>
    </w:rPr>
  </w:style>
  <w:style w:type="paragraph" w:styleId="TOC3">
    <w:name w:val="toc 3"/>
    <w:basedOn w:val="Normal"/>
    <w:next w:val="Normal"/>
    <w:autoRedefine/>
    <w:uiPriority w:val="39"/>
    <w:unhideWhenUsed/>
    <w:rsid w:val="00C43A9C"/>
    <w:pPr>
      <w:ind w:left="480"/>
    </w:pPr>
    <w:rPr>
      <w:rFonts w:asciiTheme="minorHAnsi" w:hAnsiTheme="minorHAnsi"/>
      <w:sz w:val="20"/>
    </w:rPr>
  </w:style>
  <w:style w:type="character" w:styleId="Hyperlink">
    <w:name w:val="Hyperlink"/>
    <w:basedOn w:val="DefaultParagraphFont"/>
    <w:uiPriority w:val="99"/>
    <w:unhideWhenUsed/>
    <w:rsid w:val="00C43A9C"/>
    <w:rPr>
      <w:color w:val="467886" w:themeColor="hyperlink"/>
      <w:u w:val="single"/>
    </w:rPr>
  </w:style>
  <w:style w:type="paragraph" w:styleId="TOC1">
    <w:name w:val="toc 1"/>
    <w:basedOn w:val="Normal"/>
    <w:next w:val="Normal"/>
    <w:autoRedefine/>
    <w:uiPriority w:val="39"/>
    <w:unhideWhenUsed/>
    <w:rsid w:val="00C43A9C"/>
    <w:pPr>
      <w:spacing w:before="120"/>
    </w:pPr>
    <w:rPr>
      <w:rFonts w:asciiTheme="minorHAnsi" w:hAnsiTheme="minorHAnsi"/>
      <w:b/>
      <w:bCs/>
      <w:i/>
      <w:iCs/>
      <w:szCs w:val="28"/>
    </w:rPr>
  </w:style>
  <w:style w:type="paragraph" w:styleId="TOC2">
    <w:name w:val="toc 2"/>
    <w:basedOn w:val="Normal"/>
    <w:next w:val="Normal"/>
    <w:autoRedefine/>
    <w:uiPriority w:val="39"/>
    <w:semiHidden/>
    <w:unhideWhenUsed/>
    <w:rsid w:val="00C43A9C"/>
    <w:pPr>
      <w:spacing w:before="120"/>
      <w:ind w:left="240"/>
    </w:pPr>
    <w:rPr>
      <w:rFonts w:asciiTheme="minorHAnsi" w:hAnsiTheme="minorHAnsi"/>
      <w:b/>
      <w:bCs/>
      <w:sz w:val="22"/>
      <w:szCs w:val="26"/>
    </w:rPr>
  </w:style>
  <w:style w:type="paragraph" w:styleId="TOC4">
    <w:name w:val="toc 4"/>
    <w:basedOn w:val="Normal"/>
    <w:next w:val="Normal"/>
    <w:autoRedefine/>
    <w:uiPriority w:val="39"/>
    <w:semiHidden/>
    <w:unhideWhenUsed/>
    <w:rsid w:val="00C43A9C"/>
    <w:pPr>
      <w:ind w:left="720"/>
    </w:pPr>
    <w:rPr>
      <w:rFonts w:asciiTheme="minorHAnsi" w:hAnsiTheme="minorHAnsi"/>
      <w:sz w:val="20"/>
    </w:rPr>
  </w:style>
  <w:style w:type="paragraph" w:styleId="TOC5">
    <w:name w:val="toc 5"/>
    <w:basedOn w:val="Normal"/>
    <w:next w:val="Normal"/>
    <w:autoRedefine/>
    <w:uiPriority w:val="39"/>
    <w:semiHidden/>
    <w:unhideWhenUsed/>
    <w:rsid w:val="00C43A9C"/>
    <w:pPr>
      <w:ind w:left="960"/>
    </w:pPr>
    <w:rPr>
      <w:rFonts w:asciiTheme="minorHAnsi" w:hAnsiTheme="minorHAnsi"/>
      <w:sz w:val="20"/>
    </w:rPr>
  </w:style>
  <w:style w:type="paragraph" w:styleId="TOC6">
    <w:name w:val="toc 6"/>
    <w:basedOn w:val="Normal"/>
    <w:next w:val="Normal"/>
    <w:autoRedefine/>
    <w:uiPriority w:val="39"/>
    <w:semiHidden/>
    <w:unhideWhenUsed/>
    <w:rsid w:val="00C43A9C"/>
    <w:pPr>
      <w:ind w:left="1200"/>
    </w:pPr>
    <w:rPr>
      <w:rFonts w:asciiTheme="minorHAnsi" w:hAnsiTheme="minorHAnsi"/>
      <w:sz w:val="20"/>
    </w:rPr>
  </w:style>
  <w:style w:type="paragraph" w:styleId="TOC7">
    <w:name w:val="toc 7"/>
    <w:basedOn w:val="Normal"/>
    <w:next w:val="Normal"/>
    <w:autoRedefine/>
    <w:uiPriority w:val="39"/>
    <w:semiHidden/>
    <w:unhideWhenUsed/>
    <w:rsid w:val="00C43A9C"/>
    <w:pPr>
      <w:ind w:left="1440"/>
    </w:pPr>
    <w:rPr>
      <w:rFonts w:asciiTheme="minorHAnsi" w:hAnsiTheme="minorHAnsi"/>
      <w:sz w:val="20"/>
    </w:rPr>
  </w:style>
  <w:style w:type="paragraph" w:styleId="TOC8">
    <w:name w:val="toc 8"/>
    <w:basedOn w:val="Normal"/>
    <w:next w:val="Normal"/>
    <w:autoRedefine/>
    <w:uiPriority w:val="39"/>
    <w:semiHidden/>
    <w:unhideWhenUsed/>
    <w:rsid w:val="00C43A9C"/>
    <w:pPr>
      <w:ind w:left="1680"/>
    </w:pPr>
    <w:rPr>
      <w:rFonts w:asciiTheme="minorHAnsi" w:hAnsiTheme="minorHAnsi"/>
      <w:sz w:val="20"/>
    </w:rPr>
  </w:style>
  <w:style w:type="paragraph" w:styleId="TOC9">
    <w:name w:val="toc 9"/>
    <w:basedOn w:val="Normal"/>
    <w:next w:val="Normal"/>
    <w:autoRedefine/>
    <w:uiPriority w:val="39"/>
    <w:semiHidden/>
    <w:unhideWhenUsed/>
    <w:rsid w:val="00C43A9C"/>
    <w:pPr>
      <w:ind w:left="1920"/>
    </w:pPr>
    <w:rPr>
      <w:rFonts w:asciiTheme="minorHAnsi" w:hAnsiTheme="minorHAnsi"/>
      <w:sz w:val="20"/>
    </w:rPr>
  </w:style>
  <w:style w:type="paragraph" w:styleId="Header">
    <w:name w:val="header"/>
    <w:basedOn w:val="Normal"/>
    <w:link w:val="HeaderChar"/>
    <w:uiPriority w:val="99"/>
    <w:unhideWhenUsed/>
    <w:rsid w:val="00C43A9C"/>
    <w:pPr>
      <w:tabs>
        <w:tab w:val="center" w:pos="4680"/>
        <w:tab w:val="right" w:pos="9360"/>
      </w:tabs>
    </w:pPr>
  </w:style>
  <w:style w:type="character" w:customStyle="1" w:styleId="HeaderChar">
    <w:name w:val="Header Char"/>
    <w:basedOn w:val="DefaultParagraphFont"/>
    <w:link w:val="Header"/>
    <w:uiPriority w:val="99"/>
    <w:rsid w:val="00C43A9C"/>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C43A9C"/>
    <w:pPr>
      <w:tabs>
        <w:tab w:val="center" w:pos="4680"/>
        <w:tab w:val="right" w:pos="9360"/>
      </w:tabs>
    </w:pPr>
  </w:style>
  <w:style w:type="character" w:customStyle="1" w:styleId="FooterChar">
    <w:name w:val="Footer Char"/>
    <w:basedOn w:val="DefaultParagraphFont"/>
    <w:link w:val="Footer"/>
    <w:uiPriority w:val="99"/>
    <w:rsid w:val="00C43A9C"/>
    <w:rPr>
      <w:rFonts w:ascii="Times New Roman" w:eastAsia="Times New Roman" w:hAnsi="Times New Roman" w:cs="Times New Roman"/>
      <w:kern w:val="0"/>
      <w14:ligatures w14:val="none"/>
    </w:rPr>
  </w:style>
  <w:style w:type="character" w:styleId="PageNumber">
    <w:name w:val="page number"/>
    <w:basedOn w:val="DefaultParagraphFont"/>
    <w:uiPriority w:val="99"/>
    <w:semiHidden/>
    <w:unhideWhenUsed/>
    <w:rsid w:val="00C43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header" Target="header2.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'Profitability Ratios'!$A$2</c:f>
              <c:strCache>
                <c:ptCount val="1"/>
                <c:pt idx="0">
                  <c:v>Gross Profit Margin</c:v>
                </c:pt>
              </c:strCache>
            </c:strRef>
          </c:tx>
          <c:spPr>
            <a:ln w="28575" cap="rnd">
              <a:solidFill>
                <a:schemeClr val="accent1"/>
              </a:solidFill>
              <a:round/>
            </a:ln>
            <a:effectLst/>
          </c:spPr>
          <c:marker>
            <c:symbol val="none"/>
          </c:marker>
          <c:cat>
            <c:numRef>
              <c:f>'Profitability Ratios'!$B$1:$F$1</c:f>
              <c:numCache>
                <c:formatCode>General</c:formatCode>
                <c:ptCount val="5"/>
                <c:pt idx="0">
                  <c:v>2024</c:v>
                </c:pt>
                <c:pt idx="1">
                  <c:v>2023</c:v>
                </c:pt>
                <c:pt idx="2">
                  <c:v>2022</c:v>
                </c:pt>
                <c:pt idx="3">
                  <c:v>2021</c:v>
                </c:pt>
                <c:pt idx="4">
                  <c:v>2020</c:v>
                </c:pt>
              </c:numCache>
            </c:numRef>
          </c:cat>
          <c:val>
            <c:numRef>
              <c:f>'Profitability Ratios'!$B$2:$F$2</c:f>
              <c:numCache>
                <c:formatCode>0.00%</c:formatCode>
                <c:ptCount val="5"/>
                <c:pt idx="0">
                  <c:v>0.28899999999999998</c:v>
                </c:pt>
                <c:pt idx="1">
                  <c:v>0.23200000000000001</c:v>
                </c:pt>
                <c:pt idx="2">
                  <c:v>0.28100000000000003</c:v>
                </c:pt>
                <c:pt idx="3">
                  <c:v>0.28799999999999998</c:v>
                </c:pt>
                <c:pt idx="4">
                  <c:v>0.28599999999999998</c:v>
                </c:pt>
              </c:numCache>
            </c:numRef>
          </c:val>
          <c:smooth val="0"/>
          <c:extLst>
            <c:ext xmlns:c16="http://schemas.microsoft.com/office/drawing/2014/chart" uri="{C3380CC4-5D6E-409C-BE32-E72D297353CC}">
              <c16:uniqueId val="{00000000-992C-E143-855E-FEDFB99534E9}"/>
            </c:ext>
          </c:extLst>
        </c:ser>
        <c:dLbls>
          <c:showLegendKey val="0"/>
          <c:showVal val="0"/>
          <c:showCatName val="0"/>
          <c:showSerName val="0"/>
          <c:showPercent val="0"/>
          <c:showBubbleSize val="0"/>
        </c:dLbls>
        <c:smooth val="0"/>
        <c:axId val="593981728"/>
        <c:axId val="593983456"/>
      </c:lineChart>
      <c:catAx>
        <c:axId val="593981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3983456"/>
        <c:crosses val="autoZero"/>
        <c:auto val="1"/>
        <c:lblAlgn val="ctr"/>
        <c:lblOffset val="100"/>
        <c:noMultiLvlLbl val="0"/>
      </c:catAx>
      <c:valAx>
        <c:axId val="59398345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3981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'Profitability Ratios'!$A$3</c:f>
              <c:strCache>
                <c:ptCount val="1"/>
                <c:pt idx="0">
                  <c:v>Operating Profit Margin</c:v>
                </c:pt>
              </c:strCache>
            </c:strRef>
          </c:tx>
          <c:spPr>
            <a:ln w="28575" cap="rnd">
              <a:solidFill>
                <a:schemeClr val="accent1"/>
              </a:solidFill>
              <a:round/>
            </a:ln>
            <a:effectLst/>
          </c:spPr>
          <c:marker>
            <c:symbol val="none"/>
          </c:marker>
          <c:cat>
            <c:numRef>
              <c:f>'Profitability Ratios'!$B$1:$F$1</c:f>
              <c:numCache>
                <c:formatCode>General</c:formatCode>
                <c:ptCount val="5"/>
                <c:pt idx="0">
                  <c:v>2024</c:v>
                </c:pt>
                <c:pt idx="1">
                  <c:v>2023</c:v>
                </c:pt>
                <c:pt idx="2">
                  <c:v>2022</c:v>
                </c:pt>
                <c:pt idx="3">
                  <c:v>2021</c:v>
                </c:pt>
                <c:pt idx="4">
                  <c:v>2020</c:v>
                </c:pt>
              </c:numCache>
            </c:numRef>
          </c:cat>
          <c:val>
            <c:numRef>
              <c:f>'Profitability Ratios'!$B$3:$F$3</c:f>
              <c:numCache>
                <c:formatCode>0.00%</c:formatCode>
                <c:ptCount val="5"/>
                <c:pt idx="0">
                  <c:v>-3.9E-2</c:v>
                </c:pt>
                <c:pt idx="1">
                  <c:v>-0.20300000000000001</c:v>
                </c:pt>
                <c:pt idx="2">
                  <c:v>2.7E-2</c:v>
                </c:pt>
                <c:pt idx="3">
                  <c:v>3.9E-2</c:v>
                </c:pt>
                <c:pt idx="4">
                  <c:v>6.0999999999999999E-2</c:v>
                </c:pt>
              </c:numCache>
            </c:numRef>
          </c:val>
          <c:smooth val="0"/>
          <c:extLst>
            <c:ext xmlns:c16="http://schemas.microsoft.com/office/drawing/2014/chart" uri="{C3380CC4-5D6E-409C-BE32-E72D297353CC}">
              <c16:uniqueId val="{00000000-629E-0F4E-935A-BF8BCCF6A2DA}"/>
            </c:ext>
          </c:extLst>
        </c:ser>
        <c:dLbls>
          <c:showLegendKey val="0"/>
          <c:showVal val="0"/>
          <c:showCatName val="0"/>
          <c:showSerName val="0"/>
          <c:showPercent val="0"/>
          <c:showBubbleSize val="0"/>
        </c:dLbls>
        <c:smooth val="0"/>
        <c:axId val="2146895295"/>
        <c:axId val="2146897055"/>
      </c:lineChart>
      <c:catAx>
        <c:axId val="21468952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6897055"/>
        <c:crosses val="autoZero"/>
        <c:auto val="1"/>
        <c:lblAlgn val="ctr"/>
        <c:lblOffset val="100"/>
        <c:noMultiLvlLbl val="0"/>
      </c:catAx>
      <c:valAx>
        <c:axId val="214689705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68952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'Profitability Ratios'!$A$4</c:f>
              <c:strCache>
                <c:ptCount val="1"/>
                <c:pt idx="0">
                  <c:v>Net Profit Margin</c:v>
                </c:pt>
              </c:strCache>
            </c:strRef>
          </c:tx>
          <c:spPr>
            <a:ln w="28575" cap="rnd">
              <a:solidFill>
                <a:schemeClr val="accent1"/>
              </a:solidFill>
              <a:round/>
            </a:ln>
            <a:effectLst/>
          </c:spPr>
          <c:marker>
            <c:symbol val="none"/>
          </c:marker>
          <c:cat>
            <c:numRef>
              <c:f>'Profitability Ratios'!$B$1:$F$1</c:f>
              <c:numCache>
                <c:formatCode>General</c:formatCode>
                <c:ptCount val="5"/>
                <c:pt idx="0">
                  <c:v>2024</c:v>
                </c:pt>
                <c:pt idx="1">
                  <c:v>2023</c:v>
                </c:pt>
                <c:pt idx="2">
                  <c:v>2022</c:v>
                </c:pt>
                <c:pt idx="3">
                  <c:v>2021</c:v>
                </c:pt>
                <c:pt idx="4">
                  <c:v>2020</c:v>
                </c:pt>
              </c:numCache>
            </c:numRef>
          </c:cat>
          <c:val>
            <c:numRef>
              <c:f>'Profitability Ratios'!$B$4:$F$4</c:f>
              <c:numCache>
                <c:formatCode>0.00%</c:formatCode>
                <c:ptCount val="5"/>
                <c:pt idx="0">
                  <c:v>-6.0999999999999999E-2</c:v>
                </c:pt>
                <c:pt idx="1">
                  <c:v>-0.23400000000000001</c:v>
                </c:pt>
                <c:pt idx="2">
                  <c:v>1E-3</c:v>
                </c:pt>
                <c:pt idx="3">
                  <c:v>8.9999999999999993E-3</c:v>
                </c:pt>
                <c:pt idx="4">
                  <c:v>6.3E-2</c:v>
                </c:pt>
              </c:numCache>
            </c:numRef>
          </c:val>
          <c:smooth val="0"/>
          <c:extLst>
            <c:ext xmlns:c16="http://schemas.microsoft.com/office/drawing/2014/chart" uri="{C3380CC4-5D6E-409C-BE32-E72D297353CC}">
              <c16:uniqueId val="{00000000-09DE-D348-9E4A-52C795EBD774}"/>
            </c:ext>
          </c:extLst>
        </c:ser>
        <c:dLbls>
          <c:showLegendKey val="0"/>
          <c:showVal val="0"/>
          <c:showCatName val="0"/>
          <c:showSerName val="0"/>
          <c:showPercent val="0"/>
          <c:showBubbleSize val="0"/>
        </c:dLbls>
        <c:smooth val="0"/>
        <c:axId val="594648960"/>
        <c:axId val="594650672"/>
      </c:lineChart>
      <c:catAx>
        <c:axId val="594648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4650672"/>
        <c:crosses val="autoZero"/>
        <c:auto val="1"/>
        <c:lblAlgn val="ctr"/>
        <c:lblOffset val="100"/>
        <c:noMultiLvlLbl val="0"/>
      </c:catAx>
      <c:valAx>
        <c:axId val="5946506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46489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'Liquidity Ratios'!$A$2</c:f>
              <c:strCache>
                <c:ptCount val="1"/>
                <c:pt idx="0">
                  <c:v>Current Ratio</c:v>
                </c:pt>
              </c:strCache>
            </c:strRef>
          </c:tx>
          <c:spPr>
            <a:ln w="28575" cap="rnd">
              <a:solidFill>
                <a:schemeClr val="accent1"/>
              </a:solidFill>
              <a:round/>
            </a:ln>
            <a:effectLst/>
          </c:spPr>
          <c:marker>
            <c:symbol val="none"/>
          </c:marker>
          <c:cat>
            <c:numRef>
              <c:f>'Liquidity Ratios'!$B$1:$F$1</c:f>
              <c:numCache>
                <c:formatCode>General</c:formatCode>
                <c:ptCount val="5"/>
                <c:pt idx="0">
                  <c:v>2024</c:v>
                </c:pt>
                <c:pt idx="1">
                  <c:v>2023</c:v>
                </c:pt>
                <c:pt idx="2">
                  <c:v>2022</c:v>
                </c:pt>
                <c:pt idx="3">
                  <c:v>2021</c:v>
                </c:pt>
                <c:pt idx="4">
                  <c:v>2020</c:v>
                </c:pt>
              </c:numCache>
            </c:numRef>
          </c:cat>
          <c:val>
            <c:numRef>
              <c:f>'Liquidity Ratios'!$B$2:$F$2</c:f>
              <c:numCache>
                <c:formatCode>General</c:formatCode>
                <c:ptCount val="5"/>
                <c:pt idx="0">
                  <c:v>1.53</c:v>
                </c:pt>
                <c:pt idx="1">
                  <c:v>1.6</c:v>
                </c:pt>
                <c:pt idx="2">
                  <c:v>1.56</c:v>
                </c:pt>
                <c:pt idx="3">
                  <c:v>1.56</c:v>
                </c:pt>
                <c:pt idx="4">
                  <c:v>1.82</c:v>
                </c:pt>
              </c:numCache>
            </c:numRef>
          </c:val>
          <c:smooth val="0"/>
          <c:extLst>
            <c:ext xmlns:c16="http://schemas.microsoft.com/office/drawing/2014/chart" uri="{C3380CC4-5D6E-409C-BE32-E72D297353CC}">
              <c16:uniqueId val="{00000000-A238-EE43-BA31-3F6033C85931}"/>
            </c:ext>
          </c:extLst>
        </c:ser>
        <c:dLbls>
          <c:showLegendKey val="0"/>
          <c:showVal val="0"/>
          <c:showCatName val="0"/>
          <c:showSerName val="0"/>
          <c:showPercent val="0"/>
          <c:showBubbleSize val="0"/>
        </c:dLbls>
        <c:smooth val="0"/>
        <c:axId val="1132146768"/>
        <c:axId val="1132148480"/>
      </c:lineChart>
      <c:catAx>
        <c:axId val="1132146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2148480"/>
        <c:crosses val="autoZero"/>
        <c:auto val="1"/>
        <c:lblAlgn val="ctr"/>
        <c:lblOffset val="100"/>
        <c:noMultiLvlLbl val="0"/>
      </c:catAx>
      <c:valAx>
        <c:axId val="11321484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2146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'Liquidity Ratios'!$A$3</c:f>
              <c:strCache>
                <c:ptCount val="1"/>
                <c:pt idx="0">
                  <c:v>Quick Ratio</c:v>
                </c:pt>
              </c:strCache>
            </c:strRef>
          </c:tx>
          <c:spPr>
            <a:ln w="28575" cap="rnd">
              <a:solidFill>
                <a:schemeClr val="accent1"/>
              </a:solidFill>
              <a:round/>
            </a:ln>
            <a:effectLst/>
          </c:spPr>
          <c:marker>
            <c:symbol val="none"/>
          </c:marker>
          <c:cat>
            <c:numRef>
              <c:f>'Liquidity Ratios'!$B$1:$F$1</c:f>
              <c:numCache>
                <c:formatCode>General</c:formatCode>
                <c:ptCount val="5"/>
                <c:pt idx="0">
                  <c:v>2024</c:v>
                </c:pt>
                <c:pt idx="1">
                  <c:v>2023</c:v>
                </c:pt>
                <c:pt idx="2">
                  <c:v>2022</c:v>
                </c:pt>
                <c:pt idx="3">
                  <c:v>2021</c:v>
                </c:pt>
                <c:pt idx="4">
                  <c:v>2020</c:v>
                </c:pt>
              </c:numCache>
            </c:numRef>
          </c:cat>
          <c:val>
            <c:numRef>
              <c:f>'Liquidity Ratios'!$B$3:$F$3</c:f>
              <c:numCache>
                <c:formatCode>General</c:formatCode>
                <c:ptCount val="5"/>
                <c:pt idx="0">
                  <c:v>0.87</c:v>
                </c:pt>
                <c:pt idx="1">
                  <c:v>0.94</c:v>
                </c:pt>
                <c:pt idx="2">
                  <c:v>0.91</c:v>
                </c:pt>
                <c:pt idx="3">
                  <c:v>0.98</c:v>
                </c:pt>
                <c:pt idx="4">
                  <c:v>1.1299999999999999</c:v>
                </c:pt>
              </c:numCache>
            </c:numRef>
          </c:val>
          <c:smooth val="0"/>
          <c:extLst>
            <c:ext xmlns:c16="http://schemas.microsoft.com/office/drawing/2014/chart" uri="{C3380CC4-5D6E-409C-BE32-E72D297353CC}">
              <c16:uniqueId val="{00000000-A555-C048-BF34-ECB1D6EFF536}"/>
            </c:ext>
          </c:extLst>
        </c:ser>
        <c:dLbls>
          <c:showLegendKey val="0"/>
          <c:showVal val="0"/>
          <c:showCatName val="0"/>
          <c:showSerName val="0"/>
          <c:showPercent val="0"/>
          <c:showBubbleSize val="0"/>
        </c:dLbls>
        <c:smooth val="0"/>
        <c:axId val="637812144"/>
        <c:axId val="637813856"/>
      </c:lineChart>
      <c:catAx>
        <c:axId val="637812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7813856"/>
        <c:crosses val="autoZero"/>
        <c:auto val="1"/>
        <c:lblAlgn val="ctr"/>
        <c:lblOffset val="100"/>
        <c:noMultiLvlLbl val="0"/>
      </c:catAx>
      <c:valAx>
        <c:axId val="637813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7812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'Efficiency Ratios'!$A$2</c:f>
              <c:strCache>
                <c:ptCount val="1"/>
                <c:pt idx="0">
                  <c:v>Inventory Turnover</c:v>
                </c:pt>
              </c:strCache>
            </c:strRef>
          </c:tx>
          <c:spPr>
            <a:ln w="28575" cap="rnd">
              <a:solidFill>
                <a:schemeClr val="accent1"/>
              </a:solidFill>
              <a:round/>
            </a:ln>
            <a:effectLst/>
          </c:spPr>
          <c:marker>
            <c:symbol val="none"/>
          </c:marker>
          <c:cat>
            <c:numRef>
              <c:f>'Efficiency Ratios'!$B$1:$F$1</c:f>
              <c:numCache>
                <c:formatCode>General</c:formatCode>
                <c:ptCount val="5"/>
                <c:pt idx="0">
                  <c:v>2024</c:v>
                </c:pt>
                <c:pt idx="1">
                  <c:v>2023</c:v>
                </c:pt>
                <c:pt idx="2">
                  <c:v>2022</c:v>
                </c:pt>
                <c:pt idx="3">
                  <c:v>2021</c:v>
                </c:pt>
                <c:pt idx="4">
                  <c:v>2020</c:v>
                </c:pt>
              </c:numCache>
            </c:numRef>
          </c:cat>
          <c:val>
            <c:numRef>
              <c:f>'Efficiency Ratios'!$B$2:$F$2</c:f>
              <c:numCache>
                <c:formatCode>General</c:formatCode>
                <c:ptCount val="5"/>
                <c:pt idx="0">
                  <c:v>3.54</c:v>
                </c:pt>
                <c:pt idx="1">
                  <c:v>3.76</c:v>
                </c:pt>
                <c:pt idx="2">
                  <c:v>4.16</c:v>
                </c:pt>
                <c:pt idx="3">
                  <c:v>4.43</c:v>
                </c:pt>
                <c:pt idx="4">
                  <c:v>4.1500000000000004</c:v>
                </c:pt>
              </c:numCache>
            </c:numRef>
          </c:val>
          <c:smooth val="0"/>
          <c:extLst>
            <c:ext xmlns:c16="http://schemas.microsoft.com/office/drawing/2014/chart" uri="{C3380CC4-5D6E-409C-BE32-E72D297353CC}">
              <c16:uniqueId val="{00000000-E2E6-A145-B0C7-6DF605A64110}"/>
            </c:ext>
          </c:extLst>
        </c:ser>
        <c:dLbls>
          <c:showLegendKey val="0"/>
          <c:showVal val="0"/>
          <c:showCatName val="0"/>
          <c:showSerName val="0"/>
          <c:showPercent val="0"/>
          <c:showBubbleSize val="0"/>
        </c:dLbls>
        <c:smooth val="0"/>
        <c:axId val="1141282736"/>
        <c:axId val="1141284448"/>
      </c:lineChart>
      <c:catAx>
        <c:axId val="1141282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1284448"/>
        <c:crosses val="autoZero"/>
        <c:auto val="1"/>
        <c:lblAlgn val="ctr"/>
        <c:lblOffset val="100"/>
        <c:noMultiLvlLbl val="0"/>
      </c:catAx>
      <c:valAx>
        <c:axId val="11412844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12827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'Efficiency Ratios'!$A$3</c:f>
              <c:strCache>
                <c:ptCount val="1"/>
                <c:pt idx="0">
                  <c:v>Receivables Turnover</c:v>
                </c:pt>
              </c:strCache>
            </c:strRef>
          </c:tx>
          <c:spPr>
            <a:ln w="28575" cap="rnd">
              <a:solidFill>
                <a:schemeClr val="accent1"/>
              </a:solidFill>
              <a:round/>
            </a:ln>
            <a:effectLst/>
          </c:spPr>
          <c:marker>
            <c:symbol val="none"/>
          </c:marker>
          <c:cat>
            <c:numRef>
              <c:f>'Efficiency Ratios'!$B$1:$F$1</c:f>
              <c:numCache>
                <c:formatCode>General</c:formatCode>
                <c:ptCount val="5"/>
                <c:pt idx="0">
                  <c:v>2024</c:v>
                </c:pt>
                <c:pt idx="1">
                  <c:v>2023</c:v>
                </c:pt>
                <c:pt idx="2">
                  <c:v>2022</c:v>
                </c:pt>
                <c:pt idx="3">
                  <c:v>2021</c:v>
                </c:pt>
                <c:pt idx="4">
                  <c:v>2020</c:v>
                </c:pt>
              </c:numCache>
            </c:numRef>
          </c:cat>
          <c:val>
            <c:numRef>
              <c:f>'Efficiency Ratios'!$B$3:$F$3</c:f>
              <c:numCache>
                <c:formatCode>General</c:formatCode>
                <c:ptCount val="5"/>
                <c:pt idx="0">
                  <c:v>3.46</c:v>
                </c:pt>
                <c:pt idx="1">
                  <c:v>3.73</c:v>
                </c:pt>
                <c:pt idx="2">
                  <c:v>4</c:v>
                </c:pt>
                <c:pt idx="3">
                  <c:v>4.17</c:v>
                </c:pt>
                <c:pt idx="4">
                  <c:v>3.87</c:v>
                </c:pt>
              </c:numCache>
            </c:numRef>
          </c:val>
          <c:smooth val="0"/>
          <c:extLst>
            <c:ext xmlns:c16="http://schemas.microsoft.com/office/drawing/2014/chart" uri="{C3380CC4-5D6E-409C-BE32-E72D297353CC}">
              <c16:uniqueId val="{00000000-50E0-AA49-B06F-E97974288071}"/>
            </c:ext>
          </c:extLst>
        </c:ser>
        <c:dLbls>
          <c:showLegendKey val="0"/>
          <c:showVal val="0"/>
          <c:showCatName val="0"/>
          <c:showSerName val="0"/>
          <c:showPercent val="0"/>
          <c:showBubbleSize val="0"/>
        </c:dLbls>
        <c:smooth val="0"/>
        <c:axId val="637879936"/>
        <c:axId val="637881664"/>
      </c:lineChart>
      <c:catAx>
        <c:axId val="637879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7881664"/>
        <c:crosses val="autoZero"/>
        <c:auto val="1"/>
        <c:lblAlgn val="ctr"/>
        <c:lblOffset val="100"/>
        <c:noMultiLvlLbl val="0"/>
      </c:catAx>
      <c:valAx>
        <c:axId val="637881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7879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'Gearing Ratios'!$A$2</c:f>
              <c:strCache>
                <c:ptCount val="1"/>
                <c:pt idx="0">
                  <c:v>Debt-to-Equity Ratio</c:v>
                </c:pt>
              </c:strCache>
            </c:strRef>
          </c:tx>
          <c:spPr>
            <a:ln w="28575" cap="rnd">
              <a:solidFill>
                <a:schemeClr val="accent1"/>
              </a:solidFill>
              <a:round/>
            </a:ln>
            <a:effectLst/>
          </c:spPr>
          <c:marker>
            <c:symbol val="none"/>
          </c:marker>
          <c:cat>
            <c:numRef>
              <c:f>'Gearing Ratios'!$B$1:$F$1</c:f>
              <c:numCache>
                <c:formatCode>General</c:formatCode>
                <c:ptCount val="5"/>
                <c:pt idx="0">
                  <c:v>2024</c:v>
                </c:pt>
                <c:pt idx="1">
                  <c:v>2023</c:v>
                </c:pt>
                <c:pt idx="2">
                  <c:v>2022</c:v>
                </c:pt>
                <c:pt idx="3">
                  <c:v>2021</c:v>
                </c:pt>
                <c:pt idx="4">
                  <c:v>2020</c:v>
                </c:pt>
              </c:numCache>
            </c:numRef>
          </c:cat>
          <c:val>
            <c:numRef>
              <c:f>'Gearing Ratios'!$B$2:$F$2</c:f>
              <c:numCache>
                <c:formatCode>General</c:formatCode>
                <c:ptCount val="5"/>
                <c:pt idx="0">
                  <c:v>1.1100000000000001</c:v>
                </c:pt>
                <c:pt idx="1">
                  <c:v>1.05</c:v>
                </c:pt>
                <c:pt idx="2">
                  <c:v>1.1200000000000001</c:v>
                </c:pt>
                <c:pt idx="3">
                  <c:v>0.85</c:v>
                </c:pt>
                <c:pt idx="4">
                  <c:v>0.63</c:v>
                </c:pt>
              </c:numCache>
            </c:numRef>
          </c:val>
          <c:smooth val="0"/>
          <c:extLst>
            <c:ext xmlns:c16="http://schemas.microsoft.com/office/drawing/2014/chart" uri="{C3380CC4-5D6E-409C-BE32-E72D297353CC}">
              <c16:uniqueId val="{00000000-C872-E549-8EB6-0692E8C14DEA}"/>
            </c:ext>
          </c:extLst>
        </c:ser>
        <c:dLbls>
          <c:showLegendKey val="0"/>
          <c:showVal val="0"/>
          <c:showCatName val="0"/>
          <c:showSerName val="0"/>
          <c:showPercent val="0"/>
          <c:showBubbleSize val="0"/>
        </c:dLbls>
        <c:smooth val="0"/>
        <c:axId val="1132003072"/>
        <c:axId val="1132004784"/>
      </c:lineChart>
      <c:catAx>
        <c:axId val="1132003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2004784"/>
        <c:crosses val="autoZero"/>
        <c:auto val="1"/>
        <c:lblAlgn val="ctr"/>
        <c:lblOffset val="100"/>
        <c:noMultiLvlLbl val="0"/>
      </c:catAx>
      <c:valAx>
        <c:axId val="1132004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20030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'Investment Ratios'!$A$2</c:f>
              <c:strCache>
                <c:ptCount val="1"/>
                <c:pt idx="0">
                  <c:v>Return on Assets (ROA)</c:v>
                </c:pt>
              </c:strCache>
            </c:strRef>
          </c:tx>
          <c:spPr>
            <a:ln w="28575" cap="rnd">
              <a:solidFill>
                <a:schemeClr val="accent1"/>
              </a:solidFill>
              <a:round/>
            </a:ln>
            <a:effectLst/>
          </c:spPr>
          <c:marker>
            <c:symbol val="none"/>
          </c:marker>
          <c:cat>
            <c:numRef>
              <c:f>'Investment Ratios'!$B$1:$F$1</c:f>
              <c:numCache>
                <c:formatCode>General</c:formatCode>
                <c:ptCount val="5"/>
                <c:pt idx="0">
                  <c:v>2024</c:v>
                </c:pt>
                <c:pt idx="1">
                  <c:v>2023</c:v>
                </c:pt>
                <c:pt idx="2">
                  <c:v>2022</c:v>
                </c:pt>
                <c:pt idx="3">
                  <c:v>2021</c:v>
                </c:pt>
                <c:pt idx="4">
                  <c:v>2020</c:v>
                </c:pt>
              </c:numCache>
            </c:numRef>
          </c:cat>
          <c:val>
            <c:numRef>
              <c:f>'Investment Ratios'!$B$2:$F$2</c:f>
              <c:numCache>
                <c:formatCode>0.00%</c:formatCode>
                <c:ptCount val="5"/>
                <c:pt idx="0">
                  <c:v>-7.3999999999999996E-2</c:v>
                </c:pt>
                <c:pt idx="1">
                  <c:v>-0.248</c:v>
                </c:pt>
                <c:pt idx="2">
                  <c:v>1E-3</c:v>
                </c:pt>
                <c:pt idx="3">
                  <c:v>0.01</c:v>
                </c:pt>
                <c:pt idx="4">
                  <c:v>7.5999999999999998E-2</c:v>
                </c:pt>
              </c:numCache>
            </c:numRef>
          </c:val>
          <c:smooth val="0"/>
          <c:extLst>
            <c:ext xmlns:c16="http://schemas.microsoft.com/office/drawing/2014/chart" uri="{C3380CC4-5D6E-409C-BE32-E72D297353CC}">
              <c16:uniqueId val="{00000000-2B6D-5F40-A8B2-E0BDE82B5AD5}"/>
            </c:ext>
          </c:extLst>
        </c:ser>
        <c:dLbls>
          <c:showLegendKey val="0"/>
          <c:showVal val="0"/>
          <c:showCatName val="0"/>
          <c:showSerName val="0"/>
          <c:showPercent val="0"/>
          <c:showBubbleSize val="0"/>
        </c:dLbls>
        <c:smooth val="0"/>
        <c:axId val="594844192"/>
        <c:axId val="594845904"/>
      </c:lineChart>
      <c:catAx>
        <c:axId val="594844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4845904"/>
        <c:crosses val="autoZero"/>
        <c:auto val="1"/>
        <c:lblAlgn val="ctr"/>
        <c:lblOffset val="100"/>
        <c:noMultiLvlLbl val="0"/>
      </c:catAx>
      <c:valAx>
        <c:axId val="59484590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48441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'Investment Ratios'!$A$3</c:f>
              <c:strCache>
                <c:ptCount val="1"/>
                <c:pt idx="0">
                  <c:v>Return on Equity (ROE)</c:v>
                </c:pt>
              </c:strCache>
            </c:strRef>
          </c:tx>
          <c:spPr>
            <a:ln w="28575" cap="rnd">
              <a:solidFill>
                <a:schemeClr val="accent1"/>
              </a:solidFill>
              <a:round/>
            </a:ln>
            <a:effectLst/>
          </c:spPr>
          <c:marker>
            <c:symbol val="none"/>
          </c:marker>
          <c:cat>
            <c:numRef>
              <c:f>'Investment Ratios'!$B$1:$F$1</c:f>
              <c:numCache>
                <c:formatCode>General</c:formatCode>
                <c:ptCount val="5"/>
                <c:pt idx="0">
                  <c:v>2024</c:v>
                </c:pt>
                <c:pt idx="1">
                  <c:v>2023</c:v>
                </c:pt>
                <c:pt idx="2">
                  <c:v>2022</c:v>
                </c:pt>
                <c:pt idx="3">
                  <c:v>2021</c:v>
                </c:pt>
                <c:pt idx="4">
                  <c:v>2020</c:v>
                </c:pt>
              </c:numCache>
            </c:numRef>
          </c:cat>
          <c:val>
            <c:numRef>
              <c:f>'Investment Ratios'!$B$3:$F$3</c:f>
              <c:numCache>
                <c:formatCode>0.00%</c:formatCode>
                <c:ptCount val="5"/>
                <c:pt idx="0">
                  <c:v>-0.157</c:v>
                </c:pt>
                <c:pt idx="1">
                  <c:v>-0.54900000000000004</c:v>
                </c:pt>
                <c:pt idx="2">
                  <c:v>2E-3</c:v>
                </c:pt>
                <c:pt idx="3">
                  <c:v>1.9E-2</c:v>
                </c:pt>
                <c:pt idx="4">
                  <c:v>0.123</c:v>
                </c:pt>
              </c:numCache>
            </c:numRef>
          </c:val>
          <c:smooth val="0"/>
          <c:extLst>
            <c:ext xmlns:c16="http://schemas.microsoft.com/office/drawing/2014/chart" uri="{C3380CC4-5D6E-409C-BE32-E72D297353CC}">
              <c16:uniqueId val="{00000000-8BBC-7C42-BD1D-197CFEA804F8}"/>
            </c:ext>
          </c:extLst>
        </c:ser>
        <c:dLbls>
          <c:showLegendKey val="0"/>
          <c:showVal val="0"/>
          <c:showCatName val="0"/>
          <c:showSerName val="0"/>
          <c:showPercent val="0"/>
          <c:showBubbleSize val="0"/>
        </c:dLbls>
        <c:smooth val="0"/>
        <c:axId val="1132038576"/>
        <c:axId val="1132336864"/>
      </c:lineChart>
      <c:catAx>
        <c:axId val="1132038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2336864"/>
        <c:crosses val="autoZero"/>
        <c:auto val="1"/>
        <c:lblAlgn val="ctr"/>
        <c:lblOffset val="100"/>
        <c:noMultiLvlLbl val="0"/>
      </c:catAx>
      <c:valAx>
        <c:axId val="11323368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2038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Initial Investment (£m)</c:v>
                </c:pt>
              </c:strCache>
            </c:strRef>
          </c:tx>
          <c:spPr>
            <a:solidFill>
              <a:schemeClr val="accent1"/>
            </a:solidFill>
            <a:ln>
              <a:noFill/>
            </a:ln>
            <a:effectLst/>
          </c:spPr>
          <c:invertIfNegative val="0"/>
          <c:cat>
            <c:strRef>
              <c:f>Sheet1!$A$2:$A$4</c:f>
              <c:strCache>
                <c:ptCount val="3"/>
                <c:pt idx="0">
                  <c:v>Project A</c:v>
                </c:pt>
                <c:pt idx="1">
                  <c:v>Project B</c:v>
                </c:pt>
                <c:pt idx="2">
                  <c:v>Project C</c:v>
                </c:pt>
              </c:strCache>
            </c:strRef>
          </c:cat>
          <c:val>
            <c:numRef>
              <c:f>Sheet1!$B$2:$B$4</c:f>
              <c:numCache>
                <c:formatCode>General</c:formatCode>
                <c:ptCount val="3"/>
                <c:pt idx="0">
                  <c:v>40</c:v>
                </c:pt>
                <c:pt idx="1">
                  <c:v>30</c:v>
                </c:pt>
                <c:pt idx="2">
                  <c:v>50</c:v>
                </c:pt>
              </c:numCache>
            </c:numRef>
          </c:val>
          <c:extLst>
            <c:ext xmlns:c16="http://schemas.microsoft.com/office/drawing/2014/chart" uri="{C3380CC4-5D6E-409C-BE32-E72D297353CC}">
              <c16:uniqueId val="{00000000-5E97-2041-923C-7567D8ACAE8F}"/>
            </c:ext>
          </c:extLst>
        </c:ser>
        <c:dLbls>
          <c:showLegendKey val="0"/>
          <c:showVal val="0"/>
          <c:showCatName val="0"/>
          <c:showSerName val="0"/>
          <c:showPercent val="0"/>
          <c:showBubbleSize val="0"/>
        </c:dLbls>
        <c:gapWidth val="219"/>
        <c:overlap val="-27"/>
        <c:axId val="334233872"/>
        <c:axId val="334235584"/>
      </c:barChart>
      <c:catAx>
        <c:axId val="334233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4235584"/>
        <c:crosses val="autoZero"/>
        <c:auto val="1"/>
        <c:lblAlgn val="ctr"/>
        <c:lblOffset val="100"/>
        <c:noMultiLvlLbl val="0"/>
      </c:catAx>
      <c:valAx>
        <c:axId val="334235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42338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Sheet1!$H$1</c:f>
              <c:strCache>
                <c:ptCount val="1"/>
                <c:pt idx="0">
                  <c:v>Total Inflows (£m)</c:v>
                </c:pt>
              </c:strCache>
            </c:strRef>
          </c:tx>
          <c:spPr>
            <a:solidFill>
              <a:schemeClr val="accent1"/>
            </a:solidFill>
            <a:ln>
              <a:noFill/>
            </a:ln>
            <a:effectLst/>
          </c:spPr>
          <c:invertIfNegative val="0"/>
          <c:cat>
            <c:strRef>
              <c:f>Sheet1!$A$2:$A$4</c:f>
              <c:strCache>
                <c:ptCount val="3"/>
                <c:pt idx="0">
                  <c:v>Project A</c:v>
                </c:pt>
                <c:pt idx="1">
                  <c:v>Project B</c:v>
                </c:pt>
                <c:pt idx="2">
                  <c:v>Project C</c:v>
                </c:pt>
              </c:strCache>
            </c:strRef>
          </c:cat>
          <c:val>
            <c:numRef>
              <c:f>Sheet1!$H$2:$H$4</c:f>
              <c:numCache>
                <c:formatCode>General</c:formatCode>
                <c:ptCount val="3"/>
                <c:pt idx="0">
                  <c:v>54</c:v>
                </c:pt>
                <c:pt idx="1">
                  <c:v>30</c:v>
                </c:pt>
                <c:pt idx="2">
                  <c:v>75</c:v>
                </c:pt>
              </c:numCache>
            </c:numRef>
          </c:val>
          <c:extLst>
            <c:ext xmlns:c16="http://schemas.microsoft.com/office/drawing/2014/chart" uri="{C3380CC4-5D6E-409C-BE32-E72D297353CC}">
              <c16:uniqueId val="{00000000-EC35-3148-B2C5-FF3C6E2CD971}"/>
            </c:ext>
          </c:extLst>
        </c:ser>
        <c:dLbls>
          <c:showLegendKey val="0"/>
          <c:showVal val="0"/>
          <c:showCatName val="0"/>
          <c:showSerName val="0"/>
          <c:showPercent val="0"/>
          <c:showBubbleSize val="0"/>
        </c:dLbls>
        <c:gapWidth val="219"/>
        <c:overlap val="-27"/>
        <c:axId val="1992492607"/>
        <c:axId val="1992494319"/>
      </c:barChart>
      <c:catAx>
        <c:axId val="19924926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2494319"/>
        <c:crosses val="autoZero"/>
        <c:auto val="1"/>
        <c:lblAlgn val="ctr"/>
        <c:lblOffset val="100"/>
        <c:noMultiLvlLbl val="0"/>
      </c:catAx>
      <c:valAx>
        <c:axId val="19924943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924926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Sheet1!$I$1</c:f>
              <c:strCache>
                <c:ptCount val="1"/>
                <c:pt idx="0">
                  <c:v>Average Annual Inflow (£m)</c:v>
                </c:pt>
              </c:strCache>
            </c:strRef>
          </c:tx>
          <c:spPr>
            <a:solidFill>
              <a:schemeClr val="accent1"/>
            </a:solidFill>
            <a:ln>
              <a:noFill/>
            </a:ln>
            <a:effectLst/>
          </c:spPr>
          <c:invertIfNegative val="0"/>
          <c:cat>
            <c:strRef>
              <c:f>Sheet1!$A$2:$A$4</c:f>
              <c:strCache>
                <c:ptCount val="3"/>
                <c:pt idx="0">
                  <c:v>Project A</c:v>
                </c:pt>
                <c:pt idx="1">
                  <c:v>Project B</c:v>
                </c:pt>
                <c:pt idx="2">
                  <c:v>Project C</c:v>
                </c:pt>
              </c:strCache>
            </c:strRef>
          </c:cat>
          <c:val>
            <c:numRef>
              <c:f>Sheet1!$I$2:$I$4</c:f>
              <c:numCache>
                <c:formatCode>General</c:formatCode>
                <c:ptCount val="3"/>
                <c:pt idx="0">
                  <c:v>10.8</c:v>
                </c:pt>
                <c:pt idx="1">
                  <c:v>6</c:v>
                </c:pt>
                <c:pt idx="2">
                  <c:v>15</c:v>
                </c:pt>
              </c:numCache>
            </c:numRef>
          </c:val>
          <c:extLst>
            <c:ext xmlns:c16="http://schemas.microsoft.com/office/drawing/2014/chart" uri="{C3380CC4-5D6E-409C-BE32-E72D297353CC}">
              <c16:uniqueId val="{00000000-12F6-7045-A75E-3A3A6AD69C5A}"/>
            </c:ext>
          </c:extLst>
        </c:ser>
        <c:dLbls>
          <c:showLegendKey val="0"/>
          <c:showVal val="0"/>
          <c:showCatName val="0"/>
          <c:showSerName val="0"/>
          <c:showPercent val="0"/>
          <c:showBubbleSize val="0"/>
        </c:dLbls>
        <c:gapWidth val="219"/>
        <c:overlap val="-27"/>
        <c:axId val="1141815344"/>
        <c:axId val="1141633824"/>
      </c:barChart>
      <c:catAx>
        <c:axId val="1141815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1633824"/>
        <c:crosses val="autoZero"/>
        <c:auto val="1"/>
        <c:lblAlgn val="ctr"/>
        <c:lblOffset val="100"/>
        <c:noMultiLvlLbl val="0"/>
      </c:catAx>
      <c:valAx>
        <c:axId val="11416338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18153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Sheet1!$B$8</c:f>
              <c:strCache>
                <c:ptCount val="1"/>
                <c:pt idx="0">
                  <c:v>ARR (%)</c:v>
                </c:pt>
              </c:strCache>
            </c:strRef>
          </c:tx>
          <c:spPr>
            <a:solidFill>
              <a:schemeClr val="accent1"/>
            </a:solidFill>
            <a:ln>
              <a:noFill/>
            </a:ln>
            <a:effectLst/>
          </c:spPr>
          <c:invertIfNegative val="0"/>
          <c:cat>
            <c:strRef>
              <c:f>Sheet1!$A$9:$A$11</c:f>
              <c:strCache>
                <c:ptCount val="3"/>
                <c:pt idx="0">
                  <c:v>Project A</c:v>
                </c:pt>
                <c:pt idx="1">
                  <c:v>Project B</c:v>
                </c:pt>
                <c:pt idx="2">
                  <c:v>Project C</c:v>
                </c:pt>
              </c:strCache>
            </c:strRef>
          </c:cat>
          <c:val>
            <c:numRef>
              <c:f>Sheet1!$B$9:$B$11</c:f>
              <c:numCache>
                <c:formatCode>0%</c:formatCode>
                <c:ptCount val="3"/>
                <c:pt idx="0">
                  <c:v>0.27</c:v>
                </c:pt>
                <c:pt idx="1">
                  <c:v>0.2</c:v>
                </c:pt>
                <c:pt idx="2">
                  <c:v>0.3</c:v>
                </c:pt>
              </c:numCache>
            </c:numRef>
          </c:val>
          <c:extLst>
            <c:ext xmlns:c16="http://schemas.microsoft.com/office/drawing/2014/chart" uri="{C3380CC4-5D6E-409C-BE32-E72D297353CC}">
              <c16:uniqueId val="{00000000-8BE1-9B47-A139-E6B47CA9A5B9}"/>
            </c:ext>
          </c:extLst>
        </c:ser>
        <c:ser>
          <c:idx val="1"/>
          <c:order val="1"/>
          <c:tx>
            <c:strRef>
              <c:f>Sheet1!$C$8</c:f>
              <c:strCache>
                <c:ptCount val="1"/>
                <c:pt idx="0">
                  <c:v>NPV (£m)</c:v>
                </c:pt>
              </c:strCache>
            </c:strRef>
          </c:tx>
          <c:spPr>
            <a:solidFill>
              <a:schemeClr val="accent2"/>
            </a:solidFill>
            <a:ln>
              <a:noFill/>
            </a:ln>
            <a:effectLst/>
          </c:spPr>
          <c:invertIfNegative val="0"/>
          <c:cat>
            <c:strRef>
              <c:f>Sheet1!$A$9:$A$11</c:f>
              <c:strCache>
                <c:ptCount val="3"/>
                <c:pt idx="0">
                  <c:v>Project A</c:v>
                </c:pt>
                <c:pt idx="1">
                  <c:v>Project B</c:v>
                </c:pt>
                <c:pt idx="2">
                  <c:v>Project C</c:v>
                </c:pt>
              </c:strCache>
            </c:strRef>
          </c:cat>
          <c:val>
            <c:numRef>
              <c:f>Sheet1!$C$9:$C$11</c:f>
              <c:numCache>
                <c:formatCode>General</c:formatCode>
                <c:ptCount val="3"/>
                <c:pt idx="0">
                  <c:v>0.35</c:v>
                </c:pt>
                <c:pt idx="1">
                  <c:v>-7.29</c:v>
                </c:pt>
                <c:pt idx="2">
                  <c:v>4.2300000000000004</c:v>
                </c:pt>
              </c:numCache>
            </c:numRef>
          </c:val>
          <c:extLst>
            <c:ext xmlns:c16="http://schemas.microsoft.com/office/drawing/2014/chart" uri="{C3380CC4-5D6E-409C-BE32-E72D297353CC}">
              <c16:uniqueId val="{00000001-8BE1-9B47-A139-E6B47CA9A5B9}"/>
            </c:ext>
          </c:extLst>
        </c:ser>
        <c:ser>
          <c:idx val="2"/>
          <c:order val="2"/>
          <c:tx>
            <c:strRef>
              <c:f>Sheet1!$D$8</c:f>
              <c:strCache>
                <c:ptCount val="1"/>
                <c:pt idx="0">
                  <c:v>PI</c:v>
                </c:pt>
              </c:strCache>
            </c:strRef>
          </c:tx>
          <c:spPr>
            <a:solidFill>
              <a:schemeClr val="accent3"/>
            </a:solidFill>
            <a:ln>
              <a:noFill/>
            </a:ln>
            <a:effectLst/>
          </c:spPr>
          <c:invertIfNegative val="0"/>
          <c:cat>
            <c:strRef>
              <c:f>Sheet1!$A$9:$A$11</c:f>
              <c:strCache>
                <c:ptCount val="3"/>
                <c:pt idx="0">
                  <c:v>Project A</c:v>
                </c:pt>
                <c:pt idx="1">
                  <c:v>Project B</c:v>
                </c:pt>
                <c:pt idx="2">
                  <c:v>Project C</c:v>
                </c:pt>
              </c:strCache>
            </c:strRef>
          </c:cat>
          <c:val>
            <c:numRef>
              <c:f>Sheet1!$D$9:$D$11</c:f>
              <c:numCache>
                <c:formatCode>General</c:formatCode>
                <c:ptCount val="3"/>
                <c:pt idx="0">
                  <c:v>8.9999999999999993E-3</c:v>
                </c:pt>
                <c:pt idx="1">
                  <c:v>-0.24299999999999999</c:v>
                </c:pt>
                <c:pt idx="2">
                  <c:v>8.5000000000000006E-2</c:v>
                </c:pt>
              </c:numCache>
            </c:numRef>
          </c:val>
          <c:extLst>
            <c:ext xmlns:c16="http://schemas.microsoft.com/office/drawing/2014/chart" uri="{C3380CC4-5D6E-409C-BE32-E72D297353CC}">
              <c16:uniqueId val="{00000002-8BE1-9B47-A139-E6B47CA9A5B9}"/>
            </c:ext>
          </c:extLst>
        </c:ser>
        <c:dLbls>
          <c:showLegendKey val="0"/>
          <c:showVal val="0"/>
          <c:showCatName val="0"/>
          <c:showSerName val="0"/>
          <c:showPercent val="0"/>
          <c:showBubbleSize val="0"/>
        </c:dLbls>
        <c:gapWidth val="219"/>
        <c:overlap val="-27"/>
        <c:axId val="638013888"/>
        <c:axId val="638015600"/>
      </c:barChart>
      <c:lineChart>
        <c:grouping val="standard"/>
        <c:varyColors val="0"/>
        <c:ser>
          <c:idx val="3"/>
          <c:order val="3"/>
          <c:tx>
            <c:strRef>
              <c:f>Sheet1!$E$8</c:f>
              <c:strCache>
                <c:ptCount val="1"/>
                <c:pt idx="0">
                  <c:v>IRR (%)</c:v>
                </c:pt>
              </c:strCache>
            </c:strRef>
          </c:tx>
          <c:spPr>
            <a:ln w="28575" cap="rnd">
              <a:solidFill>
                <a:schemeClr val="accent4"/>
              </a:solidFill>
              <a:round/>
            </a:ln>
            <a:effectLst/>
          </c:spPr>
          <c:marker>
            <c:symbol val="none"/>
          </c:marker>
          <c:cat>
            <c:strRef>
              <c:f>Sheet1!$A$9:$A$11</c:f>
              <c:strCache>
                <c:ptCount val="3"/>
                <c:pt idx="0">
                  <c:v>Project A</c:v>
                </c:pt>
                <c:pt idx="1">
                  <c:v>Project B</c:v>
                </c:pt>
                <c:pt idx="2">
                  <c:v>Project C</c:v>
                </c:pt>
              </c:strCache>
            </c:strRef>
          </c:cat>
          <c:val>
            <c:numRef>
              <c:f>Sheet1!$E$9:$E$11</c:f>
              <c:numCache>
                <c:formatCode>0.00%</c:formatCode>
                <c:ptCount val="3"/>
                <c:pt idx="0">
                  <c:v>0.10349999999999999</c:v>
                </c:pt>
                <c:pt idx="1">
                  <c:v>2.5000000000000001E-2</c:v>
                </c:pt>
                <c:pt idx="2">
                  <c:v>0.125</c:v>
                </c:pt>
              </c:numCache>
            </c:numRef>
          </c:val>
          <c:smooth val="0"/>
          <c:extLst>
            <c:ext xmlns:c16="http://schemas.microsoft.com/office/drawing/2014/chart" uri="{C3380CC4-5D6E-409C-BE32-E72D297353CC}">
              <c16:uniqueId val="{00000003-8BE1-9B47-A139-E6B47CA9A5B9}"/>
            </c:ext>
          </c:extLst>
        </c:ser>
        <c:dLbls>
          <c:showLegendKey val="0"/>
          <c:showVal val="0"/>
          <c:showCatName val="0"/>
          <c:showSerName val="0"/>
          <c:showPercent val="0"/>
          <c:showBubbleSize val="0"/>
        </c:dLbls>
        <c:marker val="1"/>
        <c:smooth val="0"/>
        <c:axId val="638044416"/>
        <c:axId val="638042688"/>
      </c:lineChart>
      <c:catAx>
        <c:axId val="638013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8015600"/>
        <c:crosses val="autoZero"/>
        <c:auto val="1"/>
        <c:lblAlgn val="ctr"/>
        <c:lblOffset val="100"/>
        <c:noMultiLvlLbl val="0"/>
      </c:catAx>
      <c:valAx>
        <c:axId val="6380156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8013888"/>
        <c:crosses val="autoZero"/>
        <c:crossBetween val="between"/>
      </c:valAx>
      <c:valAx>
        <c:axId val="638042688"/>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8044416"/>
        <c:crosses val="max"/>
        <c:crossBetween val="between"/>
      </c:valAx>
      <c:catAx>
        <c:axId val="638044416"/>
        <c:scaling>
          <c:orientation val="minMax"/>
        </c:scaling>
        <c:delete val="1"/>
        <c:axPos val="b"/>
        <c:numFmt formatCode="General" sourceLinked="1"/>
        <c:majorTickMark val="none"/>
        <c:minorTickMark val="none"/>
        <c:tickLblPos val="nextTo"/>
        <c:crossAx val="63804268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C873E-0D1D-3745-AC71-674F92F65E4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5708</Words>
  <Characters>32541</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d95864</dc:creator>
  <cp:keywords/>
  <dc:description/>
  <cp:lastModifiedBy>Raza Abbas</cp:lastModifiedBy>
  <cp:revision>20</cp:revision>
  <dcterms:created xsi:type="dcterms:W3CDTF">2025-11-20T16:57:00Z</dcterms:created>
  <dcterms:modified xsi:type="dcterms:W3CDTF">2025-11-24T11:40:00Z</dcterms:modified>
</cp:coreProperties>
</file>