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C618C" w14:textId="77777777" w:rsidR="00270A1A" w:rsidRPr="007D0702" w:rsidRDefault="00270A1A" w:rsidP="00270A1A">
      <w:pPr>
        <w:rPr>
          <w:b/>
          <w:bCs/>
        </w:rPr>
      </w:pPr>
      <w:r w:rsidRPr="007D0702">
        <w:rPr>
          <w:b/>
          <w:bCs/>
        </w:rPr>
        <w:t>Tools of Kingship: Political and Ideological Authority during the Mercian Supremacy (c. 650–825)</w:t>
      </w:r>
    </w:p>
    <w:p w14:paraId="1D773A2A" w14:textId="77777777" w:rsidR="00270A1A" w:rsidRPr="007D0702" w:rsidRDefault="00270A1A" w:rsidP="00270A1A">
      <w:pPr>
        <w:rPr>
          <w:b/>
          <w:bCs/>
        </w:rPr>
      </w:pPr>
      <w:r w:rsidRPr="007D0702">
        <w:rPr>
          <w:b/>
          <w:bCs/>
        </w:rPr>
        <w:t>Research Question</w:t>
      </w:r>
    </w:p>
    <w:p w14:paraId="01FF0BF1" w14:textId="77777777" w:rsidR="00270A1A" w:rsidRPr="007D0702" w:rsidRDefault="00270A1A" w:rsidP="00270A1A">
      <w:r w:rsidRPr="007D0702">
        <w:t>Which political and ideological tools enabled Mercian kings to maintain supremacy in Anglo-Saxon England from Penda to Offa?</w:t>
      </w:r>
    </w:p>
    <w:p w14:paraId="3079D63F" w14:textId="77777777" w:rsidR="00270A1A" w:rsidRPr="007D0702" w:rsidRDefault="00270A1A" w:rsidP="00270A1A">
      <w:pPr>
        <w:rPr>
          <w:b/>
          <w:bCs/>
        </w:rPr>
      </w:pPr>
      <w:r w:rsidRPr="007D0702">
        <w:rPr>
          <w:b/>
          <w:bCs/>
        </w:rPr>
        <w:t>Introduction</w:t>
      </w:r>
    </w:p>
    <w:p w14:paraId="4D1D037C" w14:textId="15D54179" w:rsidR="00270A1A" w:rsidRPr="007D0702" w:rsidRDefault="00270A1A" w:rsidP="00270A1A">
      <w:r w:rsidRPr="007D0702">
        <w:t xml:space="preserve">The Mercian Supremacy, extending from the mid-seventh to the early ninth century, represents a </w:t>
      </w:r>
      <w:r w:rsidR="005C0D0B" w:rsidRPr="007D0702">
        <w:t>pivotal</w:t>
      </w:r>
      <w:r w:rsidRPr="007D0702">
        <w:t xml:space="preserve"> period in the political evolution </w:t>
      </w:r>
      <w:r w:rsidR="005C0D0B" w:rsidRPr="007D0702">
        <w:t xml:space="preserve">and formation </w:t>
      </w:r>
      <w:r w:rsidRPr="007D0702">
        <w:t xml:space="preserve">of early medieval England. During these two centuries Mercia emerged from relative obscurity to become the dominant power among the Anglo-Saxon kingdoms. Rulers such as Penda, Wulfhere, Æthelbald, and Offa exercised influence far beyond the Midlands, achieving degrees of overlordship over Kent, Sussex, East Anglia, and at times Wessex. Their authority was neither accidental nor purely the result of military success; it was constructed through a sophisticated </w:t>
      </w:r>
      <w:r w:rsidR="005C0D0B" w:rsidRPr="007D0702">
        <w:t>structure</w:t>
      </w:r>
      <w:r w:rsidRPr="007D0702">
        <w:t xml:space="preserve"> of political, administrative, and ideological strategies.</w:t>
      </w:r>
    </w:p>
    <w:p w14:paraId="6D1B794C" w14:textId="77777777" w:rsidR="00270A1A" w:rsidRPr="007D0702" w:rsidRDefault="00270A1A" w:rsidP="00270A1A">
      <w:r w:rsidRPr="007D0702">
        <w:t xml:space="preserve">While much scholarship has focused on individual rulers or specific events, this dissertation seeks to examine the broader </w:t>
      </w:r>
      <w:r w:rsidRPr="007D0702">
        <w:rPr>
          <w:i/>
          <w:iCs/>
        </w:rPr>
        <w:t>mechanisms</w:t>
      </w:r>
      <w:r w:rsidRPr="007D0702">
        <w:t xml:space="preserve"> through which Mercian kingship operated. It will do so by analysing the core “tools of kingship” that Mercian rulers deployed to build, legitimise, and sustain their supremacy. The study aims to move beyond narrative history and instead explore kingship as a dynamic political practice, shaped by both internal pressures within Mercia and interactions with neighbouring kingdoms.</w:t>
      </w:r>
    </w:p>
    <w:p w14:paraId="52093CDD" w14:textId="77777777" w:rsidR="00270A1A" w:rsidRPr="007D0702" w:rsidRDefault="00270A1A" w:rsidP="00270A1A">
      <w:pPr>
        <w:rPr>
          <w:b/>
          <w:bCs/>
        </w:rPr>
      </w:pPr>
      <w:r w:rsidRPr="007D0702">
        <w:rPr>
          <w:b/>
          <w:bCs/>
        </w:rPr>
        <w:t>Aims and Scope</w:t>
      </w:r>
    </w:p>
    <w:p w14:paraId="4770C59F" w14:textId="77777777" w:rsidR="00270A1A" w:rsidRPr="007D0702" w:rsidRDefault="00270A1A" w:rsidP="00270A1A">
      <w:r w:rsidRPr="007D0702">
        <w:t>The primary aim of the project is to identify and evaluate the principal strategies used by Mercian rulers between c. 650 and 825 to consolidate and project their authority. This timeframe allows for an examination of Mercian power from Penda’s initial rise to the period immediately following Offa’s death, when Mercian dominance began to wane.</w:t>
      </w:r>
    </w:p>
    <w:p w14:paraId="4C5A4EB6" w14:textId="77777777" w:rsidR="00270A1A" w:rsidRPr="007D0702" w:rsidRDefault="00270A1A" w:rsidP="00270A1A">
      <w:r w:rsidRPr="007D0702">
        <w:t>The dissertation will explore four broad categories of political tools, each representing a significant dimension of kingship in early medieval England.</w:t>
      </w:r>
    </w:p>
    <w:p w14:paraId="3F8A6FD0" w14:textId="14A6D7C6" w:rsidR="00270A1A" w:rsidRPr="007D0702" w:rsidRDefault="00270A1A" w:rsidP="00270A1A">
      <w:r w:rsidRPr="007D0702">
        <w:rPr>
          <w:b/>
          <w:bCs/>
        </w:rPr>
        <w:t>Military Power and Overlordship</w:t>
      </w:r>
    </w:p>
    <w:p w14:paraId="3CF05448" w14:textId="77777777" w:rsidR="00270A1A" w:rsidRPr="007D0702" w:rsidRDefault="00270A1A" w:rsidP="00270A1A">
      <w:r w:rsidRPr="007D0702">
        <w:t>Mercian ascendancy was initially grounded in military strength. Penda’s campaigns against Northumbria and his ability to forge alliances with various southern kingdoms illustrate the importance of warfare in establishing Mercia as a political force. Wulfhere and Æthelbald continued to use military pressure to reinforce overlordship, while Offa’s reign provides evidence for more sustained control over surrounding territories.</w:t>
      </w:r>
    </w:p>
    <w:p w14:paraId="6ADE2033" w14:textId="1962833B" w:rsidR="00270A1A" w:rsidRPr="007D0702" w:rsidRDefault="00270A1A" w:rsidP="00270A1A">
      <w:r w:rsidRPr="007D0702">
        <w:lastRenderedPageBreak/>
        <w:t xml:space="preserve">This section will examine the political uses of warfare, such as the imposition of client kings, the extraction of tribute, and the symbolic value of victory in legitimising authority. Sources such as the </w:t>
      </w:r>
      <w:r w:rsidRPr="007D0702">
        <w:rPr>
          <w:i/>
          <w:iCs/>
        </w:rPr>
        <w:t>Anglo-Saxon Chronicle</w:t>
      </w:r>
      <w:r w:rsidR="00876D40" w:rsidRPr="007D0702">
        <w:rPr>
          <w:rStyle w:val="FootnoteReference"/>
          <w:i/>
          <w:iCs/>
        </w:rPr>
        <w:footnoteReference w:id="1"/>
      </w:r>
      <w:r w:rsidRPr="007D0702">
        <w:t xml:space="preserve"> and charter evidence will be used critically, recognising their retrospective and often </w:t>
      </w:r>
      <w:r w:rsidR="009133B5" w:rsidRPr="007D0702">
        <w:t>political</w:t>
      </w:r>
      <w:r w:rsidRPr="007D0702">
        <w:t xml:space="preserve"> viewpoints. The aim is to assess how far military dominance created the foundations for Mercian hegemony and how it interacted with more diplomatic and ideological forms of rule.</w:t>
      </w:r>
    </w:p>
    <w:p w14:paraId="668640C2" w14:textId="722D96F2" w:rsidR="00270A1A" w:rsidRPr="007D0702" w:rsidRDefault="00270A1A" w:rsidP="00270A1A">
      <w:pPr>
        <w:rPr>
          <w:b/>
          <w:bCs/>
        </w:rPr>
      </w:pPr>
      <w:r w:rsidRPr="007D0702">
        <w:rPr>
          <w:b/>
          <w:bCs/>
        </w:rPr>
        <w:t>Diplomacy, Marriage Alliances, and Political Networks</w:t>
      </w:r>
    </w:p>
    <w:p w14:paraId="476F329C" w14:textId="7B7F0E8D" w:rsidR="00270A1A" w:rsidRPr="007D0702" w:rsidRDefault="00270A1A" w:rsidP="00270A1A">
      <w:r w:rsidRPr="007D0702">
        <w:t>Mercia’s ability to maintain its supremacy cannot be explained by force alone. Dynastic marriages provided essential avenues for Mercian influence, particularly in Kent and Wessex. Offa’s negotiation of marriages for his children</w:t>
      </w:r>
      <w:r w:rsidR="000B4D12" w:rsidRPr="007D0702">
        <w:t xml:space="preserve">, </w:t>
      </w:r>
      <w:r w:rsidRPr="007D0702">
        <w:t xml:space="preserve">whether successfully or </w:t>
      </w:r>
      <w:r w:rsidR="009133B5" w:rsidRPr="007D0702">
        <w:t>disputable</w:t>
      </w:r>
      <w:r w:rsidR="000B4D12" w:rsidRPr="007D0702">
        <w:t xml:space="preserve">, </w:t>
      </w:r>
      <w:r w:rsidRPr="007D0702">
        <w:t>shows a deliberate use of kinship ties to shape political relationships.</w:t>
      </w:r>
    </w:p>
    <w:p w14:paraId="0FF5663D" w14:textId="0F4F77C1" w:rsidR="00270A1A" w:rsidRPr="007D0702" w:rsidRDefault="00270A1A" w:rsidP="00270A1A">
      <w:r w:rsidRPr="007D0702">
        <w:t>Diplomacy extended beyond England. Correspondence between Offa and Charlemagne, though fragmentary, offers rare evidence for Anglo-continental interactions and for Offa’s efforts to present Mercia as a kingdom of European significance.</w:t>
      </w:r>
      <w:r w:rsidR="004F325B" w:rsidRPr="007D0702">
        <w:rPr>
          <w:rStyle w:val="FootnoteReference"/>
        </w:rPr>
        <w:footnoteReference w:id="2"/>
      </w:r>
      <w:r w:rsidRPr="007D0702">
        <w:t xml:space="preserve"> By analysing these diplomatic </w:t>
      </w:r>
      <w:r w:rsidR="008B099D" w:rsidRPr="007D0702">
        <w:t>events</w:t>
      </w:r>
      <w:r w:rsidRPr="007D0702">
        <w:t xml:space="preserve">, the </w:t>
      </w:r>
      <w:r w:rsidR="009133B5" w:rsidRPr="007D0702">
        <w:t>project</w:t>
      </w:r>
      <w:r w:rsidRPr="007D0702">
        <w:t xml:space="preserve"> will explore how Mercian kings used negotiation, alliance-building, and international recognition to stabilise their authority and reinforce their position within the English political hierarchy.</w:t>
      </w:r>
    </w:p>
    <w:p w14:paraId="545FE449" w14:textId="170A527F" w:rsidR="00270A1A" w:rsidRPr="007D0702" w:rsidRDefault="00270A1A" w:rsidP="00270A1A">
      <w:r w:rsidRPr="007D0702">
        <w:rPr>
          <w:b/>
          <w:bCs/>
        </w:rPr>
        <w:t>Church Patronage and Ecclesiastical Politics</w:t>
      </w:r>
    </w:p>
    <w:p w14:paraId="7DC5B236" w14:textId="403745DC" w:rsidR="00270A1A" w:rsidRPr="007D0702" w:rsidRDefault="00270A1A" w:rsidP="00270A1A">
      <w:r w:rsidRPr="007D0702">
        <w:t xml:space="preserve">The Church </w:t>
      </w:r>
      <w:r w:rsidR="000B4D12" w:rsidRPr="007D0702">
        <w:t>functioned as</w:t>
      </w:r>
      <w:r w:rsidRPr="007D0702">
        <w:t xml:space="preserve"> a vital partner in the expression of royal authority. Early Mercian kings, including Wulfhere, are associated with significant monastic patronage, while Æthelbald cultivated particular relationships with religious communities to enhance his legitimacy.</w:t>
      </w:r>
      <w:r w:rsidR="004F325B" w:rsidRPr="007D0702">
        <w:rPr>
          <w:rStyle w:val="FootnoteReference"/>
        </w:rPr>
        <w:footnoteReference w:id="3"/>
      </w:r>
    </w:p>
    <w:p w14:paraId="2452BED3" w14:textId="6BAEAF06" w:rsidR="00270A1A" w:rsidRPr="007D0702" w:rsidRDefault="00270A1A" w:rsidP="00270A1A">
      <w:r w:rsidRPr="007D0702">
        <w:t>This section will investigate how Mercian kings employed ecclesiastical patronage to legitimise their rule, how they sought to influence the Church’s organisational structure, and how ecclesiastical support assisted in governing diverse populations. Textual sources</w:t>
      </w:r>
      <w:r w:rsidR="000B4D12" w:rsidRPr="007D0702">
        <w:t xml:space="preserve">, </w:t>
      </w:r>
      <w:r w:rsidRPr="007D0702">
        <w:t>particularly Bede, charters, and conciliar documents</w:t>
      </w:r>
      <w:r w:rsidR="000B4D12" w:rsidRPr="007D0702">
        <w:t xml:space="preserve">, </w:t>
      </w:r>
      <w:r w:rsidRPr="007D0702">
        <w:t>will be used to assess the extent to which religious networks functioned as instruments of Mercian authority and how rivalries with Canterbury shaped Mercian ecclesiastical policy.</w:t>
      </w:r>
    </w:p>
    <w:p w14:paraId="156F6C36" w14:textId="1FAA8CA7" w:rsidR="00270A1A" w:rsidRPr="007D0702" w:rsidRDefault="00270A1A" w:rsidP="00270A1A">
      <w:pPr>
        <w:rPr>
          <w:b/>
          <w:bCs/>
        </w:rPr>
      </w:pPr>
      <w:r w:rsidRPr="007D0702">
        <w:rPr>
          <w:b/>
          <w:bCs/>
        </w:rPr>
        <w:t>Administrative, Economic, and Ideological Tools</w:t>
      </w:r>
    </w:p>
    <w:p w14:paraId="6E971900" w14:textId="77777777" w:rsidR="00270A1A" w:rsidRPr="007D0702" w:rsidRDefault="00270A1A" w:rsidP="00270A1A">
      <w:r w:rsidRPr="007D0702">
        <w:t xml:space="preserve">Administrative practices, material culture, and ideological presentation formed a fourth crucial dimension of Mercian kingship. Charters provide a window into administrative </w:t>
      </w:r>
      <w:r w:rsidRPr="007D0702">
        <w:lastRenderedPageBreak/>
        <w:t>structures, land distribution, and the political role of ealdormen, revealing a kingdom that exercised authority through negotiated relationships as much as through direct control.</w:t>
      </w:r>
    </w:p>
    <w:p w14:paraId="35A6F67C" w14:textId="648EA4F1" w:rsidR="00270A1A" w:rsidRPr="007D0702" w:rsidRDefault="00270A1A" w:rsidP="00270A1A">
      <w:r w:rsidRPr="007D0702">
        <w:t>Economic tools also played an important role. Offa’s coinage reforms,</w:t>
      </w:r>
      <w:r w:rsidR="004F325B" w:rsidRPr="007D0702">
        <w:rPr>
          <w:rStyle w:val="FootnoteReference"/>
        </w:rPr>
        <w:footnoteReference w:id="4"/>
      </w:r>
      <w:r w:rsidRPr="007D0702">
        <w:t xml:space="preserve"> which introduced high-quality portrait coinage and sought to standardise monetary production, reflect a deliberate assertion of royal authority. Archaeological features such as Offa’s Dyke,</w:t>
      </w:r>
      <w:r w:rsidR="004F325B" w:rsidRPr="007D0702">
        <w:rPr>
          <w:rStyle w:val="FootnoteReference"/>
        </w:rPr>
        <w:footnoteReference w:id="5"/>
      </w:r>
      <w:r w:rsidRPr="007D0702">
        <w:t xml:space="preserve"> though debated, point to concerns with territorial definition and border management. Additionally, royal tit</w:t>
      </w:r>
      <w:r w:rsidR="005C0D0B" w:rsidRPr="007D0702">
        <w:t>le distribution</w:t>
      </w:r>
      <w:r w:rsidRPr="007D0702">
        <w:t>, genealogies, and public assemblies contributed to the ideological framework through which Mercian kings projected legitimacy.</w:t>
      </w:r>
    </w:p>
    <w:p w14:paraId="614AB2A9" w14:textId="4B57317D" w:rsidR="00270A1A" w:rsidRPr="007D0702" w:rsidRDefault="00270A1A" w:rsidP="00270A1A">
      <w:r w:rsidRPr="007D0702">
        <w:t xml:space="preserve">By examining these tools collectively, the </w:t>
      </w:r>
      <w:r w:rsidR="005C0D0B" w:rsidRPr="007D0702">
        <w:t>project</w:t>
      </w:r>
      <w:r w:rsidRPr="007D0702">
        <w:t xml:space="preserve"> will illustrate how Mercian kingship was sustained by a coherent set of administrative and ideological practices that extended beyond the battlefield or the diplomatic arena.</w:t>
      </w:r>
    </w:p>
    <w:p w14:paraId="09B4DF68" w14:textId="77777777" w:rsidR="00270A1A" w:rsidRPr="007D0702" w:rsidRDefault="00270A1A" w:rsidP="00270A1A">
      <w:pPr>
        <w:rPr>
          <w:b/>
          <w:bCs/>
        </w:rPr>
      </w:pPr>
      <w:r w:rsidRPr="007D0702">
        <w:rPr>
          <w:b/>
          <w:bCs/>
        </w:rPr>
        <w:t>Methodology</w:t>
      </w:r>
    </w:p>
    <w:p w14:paraId="7AEB3C5E" w14:textId="3B33CA77" w:rsidR="00270A1A" w:rsidRPr="007D0702" w:rsidRDefault="00270A1A" w:rsidP="00270A1A">
      <w:r w:rsidRPr="007D0702">
        <w:t>The project will employ a thematic, multi-source methodology. Written sources</w:t>
      </w:r>
      <w:r w:rsidR="000B4D12" w:rsidRPr="007D0702">
        <w:t xml:space="preserve">, </w:t>
      </w:r>
      <w:r w:rsidRPr="007D0702">
        <w:t>charters, narrative histories, ecclesiastical texts, and diplomatic correspondence</w:t>
      </w:r>
      <w:r w:rsidR="000B4D12" w:rsidRPr="007D0702">
        <w:t xml:space="preserve">, </w:t>
      </w:r>
      <w:r w:rsidRPr="007D0702">
        <w:t>will be analysed alongside material and numismatic evidence. Such an approach acknowledges that Anglo-Saxon political culture is partly expressed through texts and partly through material practices, requiring a careful integration of different types of evidence.</w:t>
      </w:r>
    </w:p>
    <w:p w14:paraId="2D77ED11" w14:textId="77777777" w:rsidR="00270A1A" w:rsidRPr="007D0702" w:rsidRDefault="00270A1A" w:rsidP="00270A1A">
      <w:r w:rsidRPr="007D0702">
        <w:t>Primary sources include:</w:t>
      </w:r>
    </w:p>
    <w:p w14:paraId="6CCE7605" w14:textId="4407C23B" w:rsidR="00270A1A" w:rsidRPr="007D0702" w:rsidRDefault="00270A1A" w:rsidP="00270A1A">
      <w:pPr>
        <w:numPr>
          <w:ilvl w:val="0"/>
          <w:numId w:val="9"/>
        </w:numPr>
      </w:pPr>
      <w:r w:rsidRPr="007D0702">
        <w:t>Mercian charters</w:t>
      </w:r>
      <w:r w:rsidR="005C0D0B" w:rsidRPr="007D0702">
        <w:t xml:space="preserve">, </w:t>
      </w:r>
      <w:r w:rsidRPr="007D0702">
        <w:t xml:space="preserve">for political networks, landholding, and </w:t>
      </w:r>
      <w:r w:rsidR="005C0D0B" w:rsidRPr="007D0702">
        <w:t>title distribution</w:t>
      </w:r>
    </w:p>
    <w:p w14:paraId="47929DA5" w14:textId="439B9DF6" w:rsidR="00270A1A" w:rsidRPr="007D0702" w:rsidRDefault="00270A1A" w:rsidP="00270A1A">
      <w:pPr>
        <w:numPr>
          <w:ilvl w:val="0"/>
          <w:numId w:val="9"/>
        </w:numPr>
      </w:pPr>
      <w:r w:rsidRPr="007D0702">
        <w:t xml:space="preserve">Bede’s </w:t>
      </w:r>
      <w:r w:rsidRPr="007D0702">
        <w:rPr>
          <w:i/>
          <w:iCs/>
        </w:rPr>
        <w:t>Ecclesiastical History</w:t>
      </w:r>
      <w:r w:rsidR="005C0D0B" w:rsidRPr="007D0702">
        <w:t xml:space="preserve">, </w:t>
      </w:r>
      <w:r w:rsidRPr="007D0702">
        <w:t>for early Mercian kingship and the Church</w:t>
      </w:r>
    </w:p>
    <w:p w14:paraId="5EB69848" w14:textId="457EE0B2" w:rsidR="00270A1A" w:rsidRPr="007D0702" w:rsidRDefault="00270A1A" w:rsidP="00270A1A">
      <w:pPr>
        <w:numPr>
          <w:ilvl w:val="0"/>
          <w:numId w:val="9"/>
        </w:numPr>
      </w:pPr>
      <w:r w:rsidRPr="007D0702">
        <w:t xml:space="preserve">The </w:t>
      </w:r>
      <w:r w:rsidRPr="007D0702">
        <w:rPr>
          <w:i/>
          <w:iCs/>
        </w:rPr>
        <w:t>Anglo-Saxon Chronicle</w:t>
      </w:r>
      <w:r w:rsidR="005C0D0B" w:rsidRPr="007D0702">
        <w:t xml:space="preserve">, </w:t>
      </w:r>
      <w:r w:rsidRPr="007D0702">
        <w:t>used critically for its regional bias</w:t>
      </w:r>
    </w:p>
    <w:p w14:paraId="1DFCFE17" w14:textId="5D02D377" w:rsidR="00270A1A" w:rsidRPr="007D0702" w:rsidRDefault="00270A1A" w:rsidP="00270A1A">
      <w:pPr>
        <w:numPr>
          <w:ilvl w:val="0"/>
          <w:numId w:val="9"/>
        </w:numPr>
      </w:pPr>
      <w:r w:rsidRPr="007D0702">
        <w:t>Carolingian letters relating to Offa</w:t>
      </w:r>
      <w:r w:rsidR="00307240" w:rsidRPr="007D0702">
        <w:rPr>
          <w:rStyle w:val="FootnoteReference"/>
        </w:rPr>
        <w:footnoteReference w:id="6"/>
      </w:r>
    </w:p>
    <w:p w14:paraId="0DAC7C78" w14:textId="6CE2B71C" w:rsidR="00270A1A" w:rsidRPr="007D0702" w:rsidRDefault="00270A1A" w:rsidP="00270A1A">
      <w:pPr>
        <w:numPr>
          <w:ilvl w:val="0"/>
          <w:numId w:val="9"/>
        </w:numPr>
      </w:pPr>
      <w:r w:rsidRPr="007D0702">
        <w:t>Archaeological evidence, including Offa’s Dyke</w:t>
      </w:r>
    </w:p>
    <w:p w14:paraId="2D2FBF58" w14:textId="77777777" w:rsidR="00270A1A" w:rsidRPr="007D0702" w:rsidRDefault="00270A1A" w:rsidP="00270A1A">
      <w:pPr>
        <w:numPr>
          <w:ilvl w:val="0"/>
          <w:numId w:val="9"/>
        </w:numPr>
      </w:pPr>
      <w:r w:rsidRPr="007D0702">
        <w:t>Coinage and hoard evidence from the later eighth century.</w:t>
      </w:r>
    </w:p>
    <w:p w14:paraId="1BCC4BD8" w14:textId="31975D76" w:rsidR="00270A1A" w:rsidRPr="007D0702" w:rsidRDefault="00270A1A" w:rsidP="00270A1A">
      <w:r w:rsidRPr="007D0702">
        <w:t xml:space="preserve">This approach will allow the dissertation to reconstruct how authority was </w:t>
      </w:r>
      <w:r w:rsidR="005C0D0B" w:rsidRPr="007D0702">
        <w:t>linked</w:t>
      </w:r>
      <w:r w:rsidRPr="007D0702">
        <w:t xml:space="preserve"> in both ideological and practical terms.</w:t>
      </w:r>
    </w:p>
    <w:p w14:paraId="07864BC7" w14:textId="77777777" w:rsidR="00270A1A" w:rsidRPr="007D0702" w:rsidRDefault="00270A1A" w:rsidP="00270A1A">
      <w:pPr>
        <w:rPr>
          <w:b/>
          <w:bCs/>
        </w:rPr>
      </w:pPr>
      <w:r w:rsidRPr="007D0702">
        <w:rPr>
          <w:b/>
          <w:bCs/>
        </w:rPr>
        <w:t>Expected Contribution</w:t>
      </w:r>
    </w:p>
    <w:p w14:paraId="4615CE82" w14:textId="77777777" w:rsidR="00270A1A" w:rsidRPr="007D0702" w:rsidRDefault="00270A1A" w:rsidP="00270A1A">
      <w:r w:rsidRPr="007D0702">
        <w:lastRenderedPageBreak/>
        <w:t>The project aims to show that Mercian supremacy was maintained through a combination of interlocking strategies rather than through military success alone. It is expected that the study will demonstrate how ecclesiastical patronage, diplomatic alliances, administrative control, economic reforms, and ideological expression each contributed to the construction of royal authority.</w:t>
      </w:r>
    </w:p>
    <w:p w14:paraId="4DA03A6D" w14:textId="1342AA30" w:rsidR="00270A1A" w:rsidRPr="007D0702" w:rsidRDefault="00270A1A" w:rsidP="00270A1A">
      <w:r w:rsidRPr="007D0702">
        <w:t xml:space="preserve">By assessing these elements together, the dissertation will offer a more holistic understanding of Mercian political culture and contribute to broader debates about state formation, kingship, and power in early medieval England. The project ultimately seeks to explain not only how Mercia achieved its period of </w:t>
      </w:r>
      <w:r w:rsidR="000B4D12" w:rsidRPr="007D0702">
        <w:t>dominance,</w:t>
      </w:r>
      <w:r w:rsidRPr="007D0702">
        <w:t xml:space="preserve"> but also why its supremacy proved vulnerable in the early ninth century.</w:t>
      </w:r>
    </w:p>
    <w:p w14:paraId="6AA20843" w14:textId="0D5D54C7" w:rsidR="00BD266A" w:rsidRPr="007D0702" w:rsidRDefault="00BD266A" w:rsidP="00BD266A"/>
    <w:p w14:paraId="79EA0FD8" w14:textId="77777777" w:rsidR="004F325B" w:rsidRPr="007D0702" w:rsidRDefault="004F325B" w:rsidP="00BD266A"/>
    <w:p w14:paraId="30981768" w14:textId="77777777" w:rsidR="007F7B41" w:rsidRPr="007D0702" w:rsidRDefault="005F05BF" w:rsidP="007F7B41">
      <w:pPr>
        <w:ind w:left="720" w:hanging="720"/>
      </w:pPr>
      <w:r w:rsidRPr="007D0702">
        <w:rPr>
          <w:b/>
          <w:bCs/>
        </w:rPr>
        <w:t>Bibliography</w:t>
      </w:r>
      <w:r w:rsidR="007F7B41" w:rsidRPr="007D0702">
        <w:t xml:space="preserve"> </w:t>
      </w:r>
    </w:p>
    <w:p w14:paraId="452D14E2" w14:textId="77777777" w:rsidR="007F7B41" w:rsidRPr="007D0702" w:rsidRDefault="007F7B41" w:rsidP="007F7B41">
      <w:pPr>
        <w:ind w:left="720" w:hanging="720"/>
      </w:pPr>
    </w:p>
    <w:p w14:paraId="6CA82E3A" w14:textId="6D870215" w:rsidR="004F325B" w:rsidRPr="007D0702" w:rsidRDefault="007F7B41" w:rsidP="007F7B41">
      <w:pPr>
        <w:ind w:left="720" w:hanging="720"/>
      </w:pPr>
      <w:r w:rsidRPr="007D0702">
        <w:t xml:space="preserve">Campbell, James, Eric John and Patrick Wormald, </w:t>
      </w:r>
      <w:r w:rsidRPr="007D0702">
        <w:rPr>
          <w:i/>
          <w:iCs/>
        </w:rPr>
        <w:t>The Anglo-Saxons</w:t>
      </w:r>
      <w:r w:rsidRPr="007D0702">
        <w:t xml:space="preserve"> (London: Penguin Books, 1991) </w:t>
      </w:r>
    </w:p>
    <w:p w14:paraId="715C9C64" w14:textId="3328DC4C" w:rsidR="00DF1929" w:rsidRPr="007D0702" w:rsidRDefault="00DF1929" w:rsidP="00887996">
      <w:pPr>
        <w:pStyle w:val="FootnoteText"/>
        <w:ind w:left="720" w:hanging="720"/>
        <w:rPr>
          <w:sz w:val="24"/>
          <w:szCs w:val="24"/>
        </w:rPr>
      </w:pPr>
      <w:r w:rsidRPr="007D0702">
        <w:rPr>
          <w:sz w:val="24"/>
          <w:szCs w:val="24"/>
        </w:rPr>
        <w:t xml:space="preserve">Encyclopaedia Brittanica, </w:t>
      </w:r>
      <w:r w:rsidRPr="007D0702">
        <w:rPr>
          <w:i/>
          <w:iCs/>
          <w:sz w:val="24"/>
          <w:szCs w:val="24"/>
        </w:rPr>
        <w:t>Anglo-Saxon Chronicle</w:t>
      </w:r>
      <w:r w:rsidRPr="007D0702">
        <w:rPr>
          <w:sz w:val="24"/>
          <w:szCs w:val="24"/>
        </w:rPr>
        <w:t xml:space="preserve"> (2011) &lt;https://www.britannica.com/topic/Anglo-Saxon-Chronicle&gt; </w:t>
      </w:r>
    </w:p>
    <w:p w14:paraId="052D55F2" w14:textId="77777777" w:rsidR="00887996" w:rsidRPr="007D0702" w:rsidRDefault="00887996" w:rsidP="00887996">
      <w:pPr>
        <w:pStyle w:val="FootnoteText"/>
        <w:ind w:left="720" w:hanging="720"/>
        <w:rPr>
          <w:sz w:val="24"/>
          <w:szCs w:val="24"/>
        </w:rPr>
      </w:pPr>
    </w:p>
    <w:p w14:paraId="771772D2" w14:textId="77777777" w:rsidR="005F05BF" w:rsidRPr="007D0702" w:rsidRDefault="005F05BF" w:rsidP="007F7B41">
      <w:pPr>
        <w:ind w:left="720" w:hanging="720"/>
        <w:rPr>
          <w:i/>
          <w:iCs/>
        </w:rPr>
      </w:pPr>
      <w:r w:rsidRPr="007D0702">
        <w:t>Higham, Nicholas J. and Martin J. Ryan,</w:t>
      </w:r>
      <w:r w:rsidRPr="007D0702">
        <w:rPr>
          <w:i/>
          <w:iCs/>
        </w:rPr>
        <w:t xml:space="preserve"> The Anglo-Saxon World</w:t>
      </w:r>
      <w:r w:rsidRPr="007D0702">
        <w:t>, (New Haven and London: Yale University Press, 2013)</w:t>
      </w:r>
    </w:p>
    <w:p w14:paraId="1A74A2AB" w14:textId="77777777" w:rsidR="005F05BF" w:rsidRPr="007D0702" w:rsidRDefault="005F05BF" w:rsidP="007F7B41">
      <w:pPr>
        <w:ind w:left="720" w:hanging="720"/>
      </w:pPr>
      <w:r w:rsidRPr="007D0702">
        <w:t xml:space="preserve">Morris, Marc,  </w:t>
      </w:r>
      <w:r w:rsidRPr="007D0702">
        <w:rPr>
          <w:i/>
          <w:iCs/>
        </w:rPr>
        <w:t xml:space="preserve">The Anglo-Saxons: A History of the Beginnings of England </w:t>
      </w:r>
      <w:r w:rsidRPr="007D0702">
        <w:t>(London: Penguin Books, 2022)</w:t>
      </w:r>
    </w:p>
    <w:p w14:paraId="013010CD" w14:textId="33446D5F" w:rsidR="007F7B41" w:rsidRPr="00DF1929" w:rsidRDefault="007F7B41" w:rsidP="007F7B41">
      <w:pPr>
        <w:ind w:left="720" w:hanging="720"/>
      </w:pPr>
      <w:r w:rsidRPr="007D0702">
        <w:t xml:space="preserve">Stenton, F. M. </w:t>
      </w:r>
      <w:r w:rsidRPr="007D0702">
        <w:rPr>
          <w:i/>
          <w:iCs/>
        </w:rPr>
        <w:t>Anglo</w:t>
      </w:r>
      <w:r w:rsidRPr="007D0702">
        <w:rPr>
          <w:i/>
          <w:iCs/>
        </w:rPr>
        <w:noBreakHyphen/>
        <w:t>Saxon England</w:t>
      </w:r>
      <w:r w:rsidRPr="007D0702">
        <w:t xml:space="preserve"> (Oxford, 1971), </w:t>
      </w:r>
      <w:r w:rsidR="00DF1929" w:rsidRPr="007D0702">
        <w:t>&lt;https://archive.org/details/anglosaxonenglan0000sten/page/n9/mode/2up&gt;</w:t>
      </w:r>
    </w:p>
    <w:p w14:paraId="193054F7" w14:textId="77777777" w:rsidR="00DF1929" w:rsidRDefault="00DF1929" w:rsidP="007F7B41">
      <w:pPr>
        <w:ind w:left="720" w:hanging="720"/>
      </w:pPr>
    </w:p>
    <w:p w14:paraId="4E7A76EA" w14:textId="77777777" w:rsidR="005F05BF" w:rsidRPr="00BD266A" w:rsidRDefault="005F05BF" w:rsidP="00BD266A"/>
    <w:sectPr w:rsidR="005F05BF" w:rsidRPr="00BD266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FC5EE" w14:textId="77777777" w:rsidR="00D01AFD" w:rsidRDefault="00D01AFD" w:rsidP="00307240">
      <w:pPr>
        <w:spacing w:after="0" w:line="240" w:lineRule="auto"/>
      </w:pPr>
      <w:r>
        <w:separator/>
      </w:r>
    </w:p>
  </w:endnote>
  <w:endnote w:type="continuationSeparator" w:id="0">
    <w:p w14:paraId="3132C27B" w14:textId="77777777" w:rsidR="00D01AFD" w:rsidRDefault="00D01AFD" w:rsidP="00307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8B080" w14:textId="77777777" w:rsidR="00D01AFD" w:rsidRDefault="00D01AFD" w:rsidP="00307240">
      <w:pPr>
        <w:spacing w:after="0" w:line="240" w:lineRule="auto"/>
      </w:pPr>
      <w:r>
        <w:separator/>
      </w:r>
    </w:p>
  </w:footnote>
  <w:footnote w:type="continuationSeparator" w:id="0">
    <w:p w14:paraId="506B20CD" w14:textId="77777777" w:rsidR="00D01AFD" w:rsidRDefault="00D01AFD" w:rsidP="00307240">
      <w:pPr>
        <w:spacing w:after="0" w:line="240" w:lineRule="auto"/>
      </w:pPr>
      <w:r>
        <w:continuationSeparator/>
      </w:r>
    </w:p>
  </w:footnote>
  <w:footnote w:id="1">
    <w:p w14:paraId="735135D6" w14:textId="39E7B0F5" w:rsidR="00876D40" w:rsidRDefault="00876D40">
      <w:pPr>
        <w:pStyle w:val="FootnoteText"/>
      </w:pPr>
      <w:r>
        <w:rPr>
          <w:rStyle w:val="FootnoteReference"/>
        </w:rPr>
        <w:footnoteRef/>
      </w:r>
      <w:r>
        <w:t xml:space="preserve"> </w:t>
      </w:r>
      <w:r w:rsidR="005F05BF" w:rsidRPr="005F05BF">
        <w:t xml:space="preserve">F. M. Stenton, </w:t>
      </w:r>
      <w:r w:rsidR="005F05BF" w:rsidRPr="005F05BF">
        <w:rPr>
          <w:i/>
          <w:iCs/>
        </w:rPr>
        <w:t>Anglo</w:t>
      </w:r>
      <w:r w:rsidR="005F05BF" w:rsidRPr="005F05BF">
        <w:rPr>
          <w:i/>
          <w:iCs/>
        </w:rPr>
        <w:noBreakHyphen/>
        <w:t>Saxon England</w:t>
      </w:r>
      <w:r w:rsidR="005F05BF" w:rsidRPr="005F05BF">
        <w:t xml:space="preserve"> (Oxford, 1971), Bede, </w:t>
      </w:r>
      <w:r w:rsidR="005F05BF" w:rsidRPr="005F05BF">
        <w:rPr>
          <w:i/>
          <w:iCs/>
        </w:rPr>
        <w:t>Historia Ecclesiastica Gentis Anglorum</w:t>
      </w:r>
      <w:r w:rsidR="005F05BF" w:rsidRPr="005F05BF">
        <w:t xml:space="preserve">, ed. &amp; trans. J. McClure and R. Collins (Oxford, 2008). </w:t>
      </w:r>
      <w:r w:rsidR="005F05BF">
        <w:t>&lt;</w:t>
      </w:r>
      <w:r w:rsidR="005F05BF" w:rsidRPr="007F7B41">
        <w:t>https://archive.org/details/anglosaxonenglan0000sten/page/n9/mode/2up</w:t>
      </w:r>
      <w:r w:rsidR="005F05BF">
        <w:t>&gt; [accessed 12 December 2025}</w:t>
      </w:r>
      <w:r w:rsidR="00DF1929">
        <w:t>.</w:t>
      </w:r>
    </w:p>
  </w:footnote>
  <w:footnote w:id="2">
    <w:p w14:paraId="76B1F14A" w14:textId="7BB9BE52" w:rsidR="004F325B" w:rsidRDefault="004F325B" w:rsidP="005F05BF">
      <w:pPr>
        <w:spacing w:after="0"/>
      </w:pPr>
      <w:r>
        <w:rPr>
          <w:rStyle w:val="FootnoteReference"/>
        </w:rPr>
        <w:footnoteRef/>
      </w:r>
      <w:r>
        <w:t xml:space="preserve"> </w:t>
      </w:r>
      <w:r w:rsidR="005F05BF" w:rsidRPr="00447211">
        <w:rPr>
          <w:sz w:val="20"/>
          <w:szCs w:val="20"/>
        </w:rPr>
        <w:t xml:space="preserve">Marc Morris, </w:t>
      </w:r>
      <w:r w:rsidR="005F05BF" w:rsidRPr="00447211">
        <w:rPr>
          <w:i/>
          <w:iCs/>
          <w:sz w:val="20"/>
          <w:szCs w:val="20"/>
        </w:rPr>
        <w:t>The Anglo-Saxons: A History of the Beginnings of England</w:t>
      </w:r>
      <w:r w:rsidR="005F05BF" w:rsidRPr="00447211">
        <w:rPr>
          <w:sz w:val="20"/>
          <w:szCs w:val="20"/>
        </w:rPr>
        <w:t xml:space="preserve"> (London: Penguin Books, 2022), </w:t>
      </w:r>
      <w:r w:rsidR="005F05BF" w:rsidRPr="005F05BF">
        <w:rPr>
          <w:sz w:val="20"/>
          <w:szCs w:val="20"/>
        </w:rPr>
        <w:t>pp. 160-16</w:t>
      </w:r>
      <w:r w:rsidR="005F05BF">
        <w:rPr>
          <w:sz w:val="20"/>
          <w:szCs w:val="20"/>
        </w:rPr>
        <w:t>4</w:t>
      </w:r>
      <w:r w:rsidR="00DF1929">
        <w:rPr>
          <w:sz w:val="20"/>
          <w:szCs w:val="20"/>
        </w:rPr>
        <w:t>.</w:t>
      </w:r>
    </w:p>
  </w:footnote>
  <w:footnote w:id="3">
    <w:p w14:paraId="237FD7AC" w14:textId="49D6D7F4" w:rsidR="004F325B" w:rsidRDefault="004F325B" w:rsidP="005F05BF">
      <w:pPr>
        <w:pStyle w:val="FootnoteText"/>
      </w:pPr>
      <w:r>
        <w:rPr>
          <w:rStyle w:val="FootnoteReference"/>
        </w:rPr>
        <w:footnoteRef/>
      </w:r>
      <w:r>
        <w:t xml:space="preserve"> </w:t>
      </w:r>
      <w:r w:rsidR="00DF1929">
        <w:t>Ibid,</w:t>
      </w:r>
      <w:r w:rsidR="005F05BF" w:rsidRPr="002375B6">
        <w:t xml:space="preserve"> p</w:t>
      </w:r>
      <w:r w:rsidR="005F05BF">
        <w:t>p</w:t>
      </w:r>
      <w:r w:rsidR="005F05BF" w:rsidRPr="002375B6">
        <w:t>.</w:t>
      </w:r>
      <w:r w:rsidR="005F05BF">
        <w:t xml:space="preserve"> 78-83</w:t>
      </w:r>
      <w:r w:rsidR="00DF1929">
        <w:t>.</w:t>
      </w:r>
    </w:p>
  </w:footnote>
  <w:footnote w:id="4">
    <w:p w14:paraId="3CDF4228" w14:textId="2A8C2FF5" w:rsidR="004F325B" w:rsidRDefault="004F325B" w:rsidP="005F05BF">
      <w:pPr>
        <w:spacing w:after="0"/>
      </w:pPr>
      <w:r>
        <w:rPr>
          <w:rStyle w:val="FootnoteReference"/>
        </w:rPr>
        <w:footnoteRef/>
      </w:r>
      <w:r>
        <w:t xml:space="preserve"> </w:t>
      </w:r>
      <w:r w:rsidR="005F05BF" w:rsidRPr="00447211">
        <w:rPr>
          <w:sz w:val="20"/>
          <w:szCs w:val="20"/>
        </w:rPr>
        <w:t xml:space="preserve">Nicholas J. Higham and Martin J. Ryan, </w:t>
      </w:r>
      <w:r w:rsidR="005F05BF" w:rsidRPr="00447211">
        <w:rPr>
          <w:i/>
          <w:iCs/>
          <w:sz w:val="20"/>
          <w:szCs w:val="20"/>
        </w:rPr>
        <w:t>The Anglo-Saxon World</w:t>
      </w:r>
      <w:r w:rsidR="005F05BF" w:rsidRPr="00447211">
        <w:rPr>
          <w:sz w:val="20"/>
          <w:szCs w:val="20"/>
        </w:rPr>
        <w:t xml:space="preserve">, (New Haven and London: Yale University Press, 2013), pp. </w:t>
      </w:r>
      <w:r w:rsidR="005F05BF">
        <w:rPr>
          <w:sz w:val="20"/>
          <w:szCs w:val="20"/>
        </w:rPr>
        <w:t>186-191</w:t>
      </w:r>
      <w:r w:rsidR="005F05BF" w:rsidRPr="00447211">
        <w:rPr>
          <w:sz w:val="20"/>
          <w:szCs w:val="20"/>
        </w:rPr>
        <w:t>.</w:t>
      </w:r>
    </w:p>
  </w:footnote>
  <w:footnote w:id="5">
    <w:p w14:paraId="4F5AAC0F" w14:textId="42C6205C" w:rsidR="004F325B" w:rsidRDefault="004F325B" w:rsidP="005F05BF">
      <w:pPr>
        <w:pStyle w:val="FootnoteText"/>
      </w:pPr>
      <w:r>
        <w:rPr>
          <w:rStyle w:val="FootnoteReference"/>
        </w:rPr>
        <w:footnoteRef/>
      </w:r>
      <w:r>
        <w:t xml:space="preserve"> </w:t>
      </w:r>
      <w:r w:rsidR="005F05BF">
        <w:t>Ibid</w:t>
      </w:r>
      <w:r w:rsidR="00DF1929">
        <w:t>.</w:t>
      </w:r>
    </w:p>
  </w:footnote>
  <w:footnote w:id="6">
    <w:p w14:paraId="507769ED" w14:textId="46FEF481" w:rsidR="00307240" w:rsidRDefault="00307240" w:rsidP="005F05BF">
      <w:pPr>
        <w:pStyle w:val="FootnoteText"/>
      </w:pPr>
      <w:r>
        <w:rPr>
          <w:rStyle w:val="FootnoteReference"/>
        </w:rPr>
        <w:footnoteRef/>
      </w:r>
      <w:r>
        <w:t xml:space="preserve"> </w:t>
      </w:r>
      <w:bookmarkStart w:id="0" w:name="_Hlk216441491"/>
      <w:r w:rsidR="005F05BF" w:rsidRPr="00447211">
        <w:t xml:space="preserve">Morris, </w:t>
      </w:r>
      <w:r w:rsidR="005F05BF" w:rsidRPr="00447211">
        <w:rPr>
          <w:i/>
          <w:iCs/>
        </w:rPr>
        <w:t xml:space="preserve"> The Anglo-Saxons: A History of the Beginnings of England</w:t>
      </w:r>
      <w:r w:rsidR="005F05BF" w:rsidRPr="00447211">
        <w:t xml:space="preserve"> </w:t>
      </w:r>
      <w:r w:rsidR="005F05BF" w:rsidRPr="002375B6">
        <w:t>, p</w:t>
      </w:r>
      <w:r w:rsidR="005F05BF">
        <w:t>p</w:t>
      </w:r>
      <w:r w:rsidR="005F05BF" w:rsidRPr="002375B6">
        <w:t>.</w:t>
      </w:r>
      <w:bookmarkEnd w:id="0"/>
      <w:r w:rsidR="005F05BF">
        <w:t xml:space="preserve"> 160-164.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315E1" w14:textId="506F3F2C" w:rsidR="00887996" w:rsidRDefault="00887996">
    <w:pPr>
      <w:pStyle w:val="Header"/>
    </w:pPr>
    <w:r>
      <w:t>Chris Guy</w:t>
    </w:r>
    <w:r>
      <w:tab/>
    </w:r>
    <w:r w:rsidRPr="00887996">
      <w:t>Independent Project (HPHP5905)</w:t>
    </w:r>
    <w:r>
      <w:tab/>
      <w:t>12/12/2025</w:t>
    </w:r>
  </w:p>
  <w:p w14:paraId="2005DB7F" w14:textId="77777777" w:rsidR="00887996" w:rsidRDefault="00887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5746"/>
    <w:multiLevelType w:val="multilevel"/>
    <w:tmpl w:val="A926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03E82"/>
    <w:multiLevelType w:val="multilevel"/>
    <w:tmpl w:val="9ED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A3C37"/>
    <w:multiLevelType w:val="multilevel"/>
    <w:tmpl w:val="703E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D09EB"/>
    <w:multiLevelType w:val="multilevel"/>
    <w:tmpl w:val="5988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755A0"/>
    <w:multiLevelType w:val="multilevel"/>
    <w:tmpl w:val="5D24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D1C39"/>
    <w:multiLevelType w:val="multilevel"/>
    <w:tmpl w:val="DCAC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0F1998"/>
    <w:multiLevelType w:val="multilevel"/>
    <w:tmpl w:val="0804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940A5"/>
    <w:multiLevelType w:val="multilevel"/>
    <w:tmpl w:val="67A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AB49F0"/>
    <w:multiLevelType w:val="multilevel"/>
    <w:tmpl w:val="819E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548861">
    <w:abstractNumId w:val="0"/>
  </w:num>
  <w:num w:numId="2" w16cid:durableId="1850171157">
    <w:abstractNumId w:val="5"/>
  </w:num>
  <w:num w:numId="3" w16cid:durableId="870605120">
    <w:abstractNumId w:val="8"/>
  </w:num>
  <w:num w:numId="4" w16cid:durableId="230970310">
    <w:abstractNumId w:val="3"/>
  </w:num>
  <w:num w:numId="5" w16cid:durableId="993073416">
    <w:abstractNumId w:val="1"/>
  </w:num>
  <w:num w:numId="6" w16cid:durableId="1741368862">
    <w:abstractNumId w:val="4"/>
  </w:num>
  <w:num w:numId="7" w16cid:durableId="1431386653">
    <w:abstractNumId w:val="7"/>
  </w:num>
  <w:num w:numId="8" w16cid:durableId="54133091">
    <w:abstractNumId w:val="6"/>
  </w:num>
  <w:num w:numId="9" w16cid:durableId="811946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815"/>
    <w:rsid w:val="0005234A"/>
    <w:rsid w:val="000B4D12"/>
    <w:rsid w:val="00270A1A"/>
    <w:rsid w:val="00307240"/>
    <w:rsid w:val="004F325B"/>
    <w:rsid w:val="005C0D0B"/>
    <w:rsid w:val="005F05BF"/>
    <w:rsid w:val="00783B98"/>
    <w:rsid w:val="007D0702"/>
    <w:rsid w:val="007F7B41"/>
    <w:rsid w:val="00876D40"/>
    <w:rsid w:val="00887996"/>
    <w:rsid w:val="008B099D"/>
    <w:rsid w:val="009133B5"/>
    <w:rsid w:val="00BD266A"/>
    <w:rsid w:val="00D01AFD"/>
    <w:rsid w:val="00DF1929"/>
    <w:rsid w:val="00EE3B80"/>
    <w:rsid w:val="00F90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05947"/>
  <w15:chartTrackingRefBased/>
  <w15:docId w15:val="{380BBC53-138C-4F23-B8FE-AE1D3FA5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8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8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8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8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8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8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8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8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8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8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8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8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8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8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8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8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815"/>
    <w:rPr>
      <w:rFonts w:eastAsiaTheme="majorEastAsia" w:cstheme="majorBidi"/>
      <w:color w:val="272727" w:themeColor="text1" w:themeTint="D8"/>
    </w:rPr>
  </w:style>
  <w:style w:type="paragraph" w:styleId="Title">
    <w:name w:val="Title"/>
    <w:basedOn w:val="Normal"/>
    <w:next w:val="Normal"/>
    <w:link w:val="TitleChar"/>
    <w:uiPriority w:val="10"/>
    <w:qFormat/>
    <w:rsid w:val="00F908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8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8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8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815"/>
    <w:pPr>
      <w:spacing w:before="160"/>
      <w:jc w:val="center"/>
    </w:pPr>
    <w:rPr>
      <w:i/>
      <w:iCs/>
      <w:color w:val="404040" w:themeColor="text1" w:themeTint="BF"/>
    </w:rPr>
  </w:style>
  <w:style w:type="character" w:customStyle="1" w:styleId="QuoteChar">
    <w:name w:val="Quote Char"/>
    <w:basedOn w:val="DefaultParagraphFont"/>
    <w:link w:val="Quote"/>
    <w:uiPriority w:val="29"/>
    <w:rsid w:val="00F90815"/>
    <w:rPr>
      <w:i/>
      <w:iCs/>
      <w:color w:val="404040" w:themeColor="text1" w:themeTint="BF"/>
    </w:rPr>
  </w:style>
  <w:style w:type="paragraph" w:styleId="ListParagraph">
    <w:name w:val="List Paragraph"/>
    <w:basedOn w:val="Normal"/>
    <w:uiPriority w:val="34"/>
    <w:qFormat/>
    <w:rsid w:val="00F90815"/>
    <w:pPr>
      <w:ind w:left="720"/>
      <w:contextualSpacing/>
    </w:pPr>
  </w:style>
  <w:style w:type="character" w:styleId="IntenseEmphasis">
    <w:name w:val="Intense Emphasis"/>
    <w:basedOn w:val="DefaultParagraphFont"/>
    <w:uiPriority w:val="21"/>
    <w:qFormat/>
    <w:rsid w:val="00F90815"/>
    <w:rPr>
      <w:i/>
      <w:iCs/>
      <w:color w:val="0F4761" w:themeColor="accent1" w:themeShade="BF"/>
    </w:rPr>
  </w:style>
  <w:style w:type="paragraph" w:styleId="IntenseQuote">
    <w:name w:val="Intense Quote"/>
    <w:basedOn w:val="Normal"/>
    <w:next w:val="Normal"/>
    <w:link w:val="IntenseQuoteChar"/>
    <w:uiPriority w:val="30"/>
    <w:qFormat/>
    <w:rsid w:val="00F908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815"/>
    <w:rPr>
      <w:i/>
      <w:iCs/>
      <w:color w:val="0F4761" w:themeColor="accent1" w:themeShade="BF"/>
    </w:rPr>
  </w:style>
  <w:style w:type="character" w:styleId="IntenseReference">
    <w:name w:val="Intense Reference"/>
    <w:basedOn w:val="DefaultParagraphFont"/>
    <w:uiPriority w:val="32"/>
    <w:qFormat/>
    <w:rsid w:val="00F90815"/>
    <w:rPr>
      <w:b/>
      <w:bCs/>
      <w:smallCaps/>
      <w:color w:val="0F4761" w:themeColor="accent1" w:themeShade="BF"/>
      <w:spacing w:val="5"/>
    </w:rPr>
  </w:style>
  <w:style w:type="paragraph" w:styleId="NormalWeb">
    <w:name w:val="Normal (Web)"/>
    <w:basedOn w:val="Normal"/>
    <w:uiPriority w:val="99"/>
    <w:semiHidden/>
    <w:unhideWhenUsed/>
    <w:rsid w:val="00BD266A"/>
    <w:rPr>
      <w:rFonts w:ascii="Times New Roman" w:hAnsi="Times New Roman" w:cs="Times New Roman"/>
    </w:rPr>
  </w:style>
  <w:style w:type="paragraph" w:styleId="FootnoteText">
    <w:name w:val="footnote text"/>
    <w:basedOn w:val="Normal"/>
    <w:link w:val="FootnoteTextChar"/>
    <w:uiPriority w:val="99"/>
    <w:unhideWhenUsed/>
    <w:rsid w:val="00307240"/>
    <w:pPr>
      <w:spacing w:after="0" w:line="240" w:lineRule="auto"/>
    </w:pPr>
    <w:rPr>
      <w:sz w:val="20"/>
      <w:szCs w:val="20"/>
    </w:rPr>
  </w:style>
  <w:style w:type="character" w:customStyle="1" w:styleId="FootnoteTextChar">
    <w:name w:val="Footnote Text Char"/>
    <w:basedOn w:val="DefaultParagraphFont"/>
    <w:link w:val="FootnoteText"/>
    <w:uiPriority w:val="99"/>
    <w:rsid w:val="00307240"/>
    <w:rPr>
      <w:sz w:val="20"/>
      <w:szCs w:val="20"/>
    </w:rPr>
  </w:style>
  <w:style w:type="character" w:styleId="FootnoteReference">
    <w:name w:val="footnote reference"/>
    <w:basedOn w:val="DefaultParagraphFont"/>
    <w:uiPriority w:val="99"/>
    <w:semiHidden/>
    <w:unhideWhenUsed/>
    <w:rsid w:val="00307240"/>
    <w:rPr>
      <w:vertAlign w:val="superscript"/>
    </w:rPr>
  </w:style>
  <w:style w:type="character" w:styleId="CommentReference">
    <w:name w:val="annotation reference"/>
    <w:basedOn w:val="DefaultParagraphFont"/>
    <w:uiPriority w:val="99"/>
    <w:semiHidden/>
    <w:unhideWhenUsed/>
    <w:rsid w:val="00307240"/>
    <w:rPr>
      <w:sz w:val="16"/>
      <w:szCs w:val="16"/>
    </w:rPr>
  </w:style>
  <w:style w:type="paragraph" w:styleId="CommentText">
    <w:name w:val="annotation text"/>
    <w:basedOn w:val="Normal"/>
    <w:link w:val="CommentTextChar"/>
    <w:uiPriority w:val="99"/>
    <w:unhideWhenUsed/>
    <w:rsid w:val="00307240"/>
    <w:pPr>
      <w:spacing w:line="240" w:lineRule="auto"/>
    </w:pPr>
    <w:rPr>
      <w:sz w:val="20"/>
      <w:szCs w:val="20"/>
    </w:rPr>
  </w:style>
  <w:style w:type="character" w:customStyle="1" w:styleId="CommentTextChar">
    <w:name w:val="Comment Text Char"/>
    <w:basedOn w:val="DefaultParagraphFont"/>
    <w:link w:val="CommentText"/>
    <w:uiPriority w:val="99"/>
    <w:rsid w:val="00307240"/>
    <w:rPr>
      <w:sz w:val="20"/>
      <w:szCs w:val="20"/>
    </w:rPr>
  </w:style>
  <w:style w:type="paragraph" w:styleId="CommentSubject">
    <w:name w:val="annotation subject"/>
    <w:basedOn w:val="CommentText"/>
    <w:next w:val="CommentText"/>
    <w:link w:val="CommentSubjectChar"/>
    <w:uiPriority w:val="99"/>
    <w:semiHidden/>
    <w:unhideWhenUsed/>
    <w:rsid w:val="00307240"/>
    <w:rPr>
      <w:b/>
      <w:bCs/>
    </w:rPr>
  </w:style>
  <w:style w:type="character" w:customStyle="1" w:styleId="CommentSubjectChar">
    <w:name w:val="Comment Subject Char"/>
    <w:basedOn w:val="CommentTextChar"/>
    <w:link w:val="CommentSubject"/>
    <w:uiPriority w:val="99"/>
    <w:semiHidden/>
    <w:rsid w:val="00307240"/>
    <w:rPr>
      <w:b/>
      <w:bCs/>
      <w:sz w:val="20"/>
      <w:szCs w:val="20"/>
    </w:rPr>
  </w:style>
  <w:style w:type="character" w:styleId="Hyperlink">
    <w:name w:val="Hyperlink"/>
    <w:basedOn w:val="DefaultParagraphFont"/>
    <w:uiPriority w:val="99"/>
    <w:unhideWhenUsed/>
    <w:rsid w:val="00307240"/>
    <w:rPr>
      <w:color w:val="467886" w:themeColor="hyperlink"/>
      <w:u w:val="single"/>
    </w:rPr>
  </w:style>
  <w:style w:type="character" w:styleId="UnresolvedMention">
    <w:name w:val="Unresolved Mention"/>
    <w:basedOn w:val="DefaultParagraphFont"/>
    <w:uiPriority w:val="99"/>
    <w:semiHidden/>
    <w:unhideWhenUsed/>
    <w:rsid w:val="00307240"/>
    <w:rPr>
      <w:color w:val="605E5C"/>
      <w:shd w:val="clear" w:color="auto" w:fill="E1DFDD"/>
    </w:rPr>
  </w:style>
  <w:style w:type="table" w:styleId="TableGrid">
    <w:name w:val="Table Grid"/>
    <w:basedOn w:val="TableNormal"/>
    <w:uiPriority w:val="39"/>
    <w:rsid w:val="005F0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7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996"/>
  </w:style>
  <w:style w:type="paragraph" w:styleId="Footer">
    <w:name w:val="footer"/>
    <w:basedOn w:val="Normal"/>
    <w:link w:val="FooterChar"/>
    <w:uiPriority w:val="99"/>
    <w:unhideWhenUsed/>
    <w:rsid w:val="00887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6CE88-89FD-4850-9883-11E44C4B3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1084</Words>
  <Characters>7003</Characters>
  <Application>Microsoft Office Word</Application>
  <DocSecurity>0</DocSecurity>
  <Lines>122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3</cp:revision>
  <dcterms:created xsi:type="dcterms:W3CDTF">2025-12-12T11:36:00Z</dcterms:created>
  <dcterms:modified xsi:type="dcterms:W3CDTF">2025-12-12T14:52:00Z</dcterms:modified>
</cp:coreProperties>
</file>