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67523194"/>
        <w:docPartObj>
          <w:docPartGallery w:val="Cover Pages"/>
          <w:docPartUnique/>
        </w:docPartObj>
      </w:sdtPr>
      <w:sdtContent>
        <w:p w14:paraId="290E3887" w14:textId="2CF025BF" w:rsidR="009343AA" w:rsidRDefault="009343AA"/>
        <w:p w14:paraId="3C023E90" w14:textId="47E738B7" w:rsidR="00DA4AE8" w:rsidRDefault="009343AA">
          <w:r>
            <w:rPr>
              <w:noProof/>
            </w:rPr>
            <mc:AlternateContent>
              <mc:Choice Requires="wpg">
                <w:drawing>
                  <wp:anchor distT="0" distB="0" distL="114300" distR="114300" simplePos="0" relativeHeight="251659264" behindDoc="1" locked="0" layoutInCell="1" allowOverlap="1" wp14:anchorId="5F62B1AA" wp14:editId="6846B25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495A509" w14:textId="15B6EF88" w:rsidR="009343AA"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343AA">
                                        <w:rPr>
                                          <w:color w:val="FFFFFF" w:themeColor="background1"/>
                                          <w:sz w:val="72"/>
                                          <w:szCs w:val="72"/>
                                        </w:rPr>
                                        <w:t>Reflection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F62B1AA"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495A509" w14:textId="15B6EF88" w:rsidR="009343AA"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343AA">
                                  <w:rPr>
                                    <w:color w:val="FFFFFF" w:themeColor="background1"/>
                                    <w:sz w:val="72"/>
                                    <w:szCs w:val="72"/>
                                  </w:rPr>
                                  <w:t>Reflection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7B35209A" wp14:editId="4030A217">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E90191" w14:textId="367000FB" w:rsidR="009343AA"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9343AA">
                                      <w:rPr>
                                        <w:caps/>
                                        <w:color w:val="7F7F7F" w:themeColor="text1" w:themeTint="80"/>
                                        <w:sz w:val="18"/>
                                        <w:szCs w:val="18"/>
                                      </w:rPr>
                                      <w:t>University of Wales Trinity Saint David</w:t>
                                    </w:r>
                                  </w:sdtContent>
                                </w:sdt>
                                <w:r w:rsidR="009343AA">
                                  <w:rPr>
                                    <w:caps/>
                                    <w:color w:val="7F7F7F" w:themeColor="text1" w:themeTint="80"/>
                                    <w:sz w:val="18"/>
                                    <w:szCs w:val="18"/>
                                  </w:rPr>
                                  <w:t> </w:t>
                                </w:r>
                                <w:r w:rsidR="009343AA">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9343AA">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B35209A"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4BE90191" w14:textId="367000FB" w:rsidR="009343AA"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9343AA">
                                <w:rPr>
                                  <w:caps/>
                                  <w:color w:val="7F7F7F" w:themeColor="text1" w:themeTint="80"/>
                                  <w:sz w:val="18"/>
                                  <w:szCs w:val="18"/>
                                </w:rPr>
                                <w:t>University of Wales Trinity Saint David</w:t>
                              </w:r>
                            </w:sdtContent>
                          </w:sdt>
                          <w:r w:rsidR="009343AA">
                            <w:rPr>
                              <w:caps/>
                              <w:color w:val="7F7F7F" w:themeColor="text1" w:themeTint="80"/>
                              <w:sz w:val="18"/>
                              <w:szCs w:val="18"/>
                            </w:rPr>
                            <w:t> </w:t>
                          </w:r>
                          <w:r w:rsidR="009343AA">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9343AA">
                                <w:rPr>
                                  <w:color w:val="7F7F7F" w:themeColor="text1" w:themeTint="80"/>
                                  <w:sz w:val="18"/>
                                  <w:szCs w:val="18"/>
                                </w:rPr>
                                <w:t xml:space="preserve">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24C726CC" wp14:editId="07281CC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4EDF377" w14:textId="45F9CC0E" w:rsidR="009343AA" w:rsidRDefault="009343AA">
                                    <w:pPr>
                                      <w:pStyle w:val="NoSpacing"/>
                                      <w:spacing w:before="40" w:after="40"/>
                                      <w:rPr>
                                        <w:caps/>
                                        <w:color w:val="4472C4" w:themeColor="accent1"/>
                                        <w:sz w:val="28"/>
                                        <w:szCs w:val="28"/>
                                      </w:rPr>
                                    </w:pPr>
                                    <w:r>
                                      <w:rPr>
                                        <w:caps/>
                                        <w:color w:val="4472C4" w:themeColor="accent1"/>
                                        <w:sz w:val="28"/>
                                        <w:szCs w:val="28"/>
                                      </w:rPr>
                                      <w:t>Changemakers: Creativity and Value Creation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7A1E342" w14:textId="147EFAFC" w:rsidR="009343AA" w:rsidRDefault="00182795">
                                    <w:pPr>
                                      <w:pStyle w:val="NoSpacing"/>
                                      <w:spacing w:before="40" w:after="40"/>
                                      <w:rPr>
                                        <w:caps/>
                                        <w:color w:val="5B9BD5" w:themeColor="accent5"/>
                                        <w:sz w:val="24"/>
                                        <w:szCs w:val="24"/>
                                      </w:rPr>
                                    </w:pPr>
                                    <w:r>
                                      <w:rPr>
                                        <w:caps/>
                                        <w:color w:val="5B9BD5" w:themeColor="accent5"/>
                                        <w:sz w:val="24"/>
                                        <w:szCs w:val="24"/>
                                      </w:rPr>
                                      <w:t xml:space="preserve">hew </w:t>
                                    </w:r>
                                    <w:r w:rsidR="00ED50C9">
                                      <w:rPr>
                                        <w:caps/>
                                        <w:color w:val="5B9BD5" w:themeColor="accent5"/>
                                        <w:sz w:val="24"/>
                                        <w:szCs w:val="24"/>
                                      </w:rPr>
                                      <w:t>lee teng (2120986)</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4C726CC"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4EDF377" w14:textId="45F9CC0E" w:rsidR="009343AA" w:rsidRDefault="009343AA">
                              <w:pPr>
                                <w:pStyle w:val="NoSpacing"/>
                                <w:spacing w:before="40" w:after="40"/>
                                <w:rPr>
                                  <w:caps/>
                                  <w:color w:val="4472C4" w:themeColor="accent1"/>
                                  <w:sz w:val="28"/>
                                  <w:szCs w:val="28"/>
                                </w:rPr>
                              </w:pPr>
                              <w:r>
                                <w:rPr>
                                  <w:caps/>
                                  <w:color w:val="4472C4" w:themeColor="accent1"/>
                                  <w:sz w:val="28"/>
                                  <w:szCs w:val="28"/>
                                </w:rPr>
                                <w:t>Changemakers: Creativity and Value Creation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7A1E342" w14:textId="147EFAFC" w:rsidR="009343AA" w:rsidRDefault="00182795">
                              <w:pPr>
                                <w:pStyle w:val="NoSpacing"/>
                                <w:spacing w:before="40" w:after="40"/>
                                <w:rPr>
                                  <w:caps/>
                                  <w:color w:val="5B9BD5" w:themeColor="accent5"/>
                                  <w:sz w:val="24"/>
                                  <w:szCs w:val="24"/>
                                </w:rPr>
                              </w:pPr>
                              <w:r>
                                <w:rPr>
                                  <w:caps/>
                                  <w:color w:val="5B9BD5" w:themeColor="accent5"/>
                                  <w:sz w:val="24"/>
                                  <w:szCs w:val="24"/>
                                </w:rPr>
                                <w:t xml:space="preserve">hew </w:t>
                              </w:r>
                              <w:r w:rsidR="00ED50C9">
                                <w:rPr>
                                  <w:caps/>
                                  <w:color w:val="5B9BD5" w:themeColor="accent5"/>
                                  <w:sz w:val="24"/>
                                  <w:szCs w:val="24"/>
                                </w:rPr>
                                <w:t>lee teng (2120986)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8E5C342" wp14:editId="11808C3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189862AD" w14:textId="0EAD224A" w:rsidR="009343AA" w:rsidRDefault="00ED50C9">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8E5C342"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189862AD" w14:textId="0EAD224A" w:rsidR="009343AA" w:rsidRDefault="00ED50C9">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p w14:paraId="4F54B944" w14:textId="15E15731" w:rsidR="005760B2" w:rsidRPr="00DA4AE8" w:rsidRDefault="00DA4AE8" w:rsidP="00DA4AE8">
      <w:pPr>
        <w:pBdr>
          <w:bottom w:val="single" w:sz="4" w:space="1" w:color="auto"/>
        </w:pBdr>
        <w:rPr>
          <w:b/>
          <w:bCs/>
          <w:sz w:val="32"/>
          <w:szCs w:val="32"/>
        </w:rPr>
      </w:pPr>
      <w:r w:rsidRPr="00DA4AE8">
        <w:rPr>
          <w:b/>
          <w:bCs/>
          <w:sz w:val="32"/>
          <w:szCs w:val="32"/>
        </w:rPr>
        <w:lastRenderedPageBreak/>
        <w:t>Content Page</w:t>
      </w:r>
    </w:p>
    <w:p w14:paraId="0CA89094" w14:textId="5FA414D8" w:rsidR="00ED50C9" w:rsidRPr="00DA4AE8" w:rsidRDefault="00ED50C9">
      <w:pPr>
        <w:rPr>
          <w:sz w:val="24"/>
          <w:szCs w:val="24"/>
        </w:rPr>
      </w:pPr>
      <w:r>
        <w:rPr>
          <w:sz w:val="24"/>
          <w:szCs w:val="24"/>
        </w:rPr>
        <w:t xml:space="preserve">1.0 </w:t>
      </w:r>
      <w:r w:rsidR="009343AA">
        <w:rPr>
          <w:sz w:val="24"/>
          <w:szCs w:val="24"/>
        </w:rPr>
        <w:t xml:space="preserve">Introduction </w:t>
      </w:r>
      <w:r w:rsidR="00E57302">
        <w:rPr>
          <w:sz w:val="24"/>
          <w:szCs w:val="24"/>
        </w:rPr>
        <w:t>…………………</w:t>
      </w:r>
      <w:proofErr w:type="gramStart"/>
      <w:r w:rsidR="00E57302">
        <w:rPr>
          <w:sz w:val="24"/>
          <w:szCs w:val="24"/>
        </w:rPr>
        <w:t>…..</w:t>
      </w:r>
      <w:proofErr w:type="gramEnd"/>
      <w:r w:rsidR="00DA4AE8">
        <w:rPr>
          <w:sz w:val="24"/>
          <w:szCs w:val="24"/>
        </w:rPr>
        <w:t>………………………………………….Pg.</w:t>
      </w:r>
      <w:r>
        <w:rPr>
          <w:sz w:val="24"/>
          <w:szCs w:val="24"/>
        </w:rPr>
        <w:t xml:space="preserve"> 2</w:t>
      </w:r>
    </w:p>
    <w:p w14:paraId="5CEC9B78" w14:textId="20875AFE" w:rsidR="00DA4AE8" w:rsidRPr="00DA4AE8" w:rsidRDefault="00ED50C9">
      <w:pPr>
        <w:rPr>
          <w:sz w:val="24"/>
          <w:szCs w:val="24"/>
        </w:rPr>
      </w:pPr>
      <w:r>
        <w:rPr>
          <w:sz w:val="24"/>
          <w:szCs w:val="24"/>
        </w:rPr>
        <w:t xml:space="preserve">       1.1 Gibb’s Reflective Model (1988) </w:t>
      </w:r>
      <w:r w:rsidR="00E57302">
        <w:rPr>
          <w:sz w:val="24"/>
          <w:szCs w:val="24"/>
        </w:rPr>
        <w:t>……………………………</w:t>
      </w:r>
      <w:r w:rsidR="00DA4AE8">
        <w:rPr>
          <w:sz w:val="24"/>
          <w:szCs w:val="24"/>
        </w:rPr>
        <w:t>…Pg.</w:t>
      </w:r>
      <w:r>
        <w:rPr>
          <w:sz w:val="24"/>
          <w:szCs w:val="24"/>
        </w:rPr>
        <w:t xml:space="preserve"> </w:t>
      </w:r>
      <w:r w:rsidR="00DA4AE8">
        <w:rPr>
          <w:sz w:val="24"/>
          <w:szCs w:val="24"/>
        </w:rPr>
        <w:t>2</w:t>
      </w:r>
    </w:p>
    <w:p w14:paraId="67C4B285" w14:textId="1A5DEE30" w:rsidR="00DA4AE8" w:rsidRDefault="00ED50C9">
      <w:pPr>
        <w:rPr>
          <w:sz w:val="24"/>
          <w:szCs w:val="24"/>
        </w:rPr>
      </w:pPr>
      <w:r>
        <w:rPr>
          <w:sz w:val="24"/>
          <w:szCs w:val="24"/>
        </w:rPr>
        <w:t xml:space="preserve">2.0 Idea Creation </w:t>
      </w:r>
      <w:r w:rsidR="00E57302">
        <w:rPr>
          <w:sz w:val="24"/>
          <w:szCs w:val="24"/>
        </w:rPr>
        <w:t>……………………</w:t>
      </w:r>
      <w:proofErr w:type="gramStart"/>
      <w:r w:rsidR="00E57302">
        <w:rPr>
          <w:sz w:val="24"/>
          <w:szCs w:val="24"/>
        </w:rPr>
        <w:t>…..</w:t>
      </w:r>
      <w:proofErr w:type="gramEnd"/>
      <w:r w:rsidR="00DA4AE8">
        <w:rPr>
          <w:sz w:val="24"/>
          <w:szCs w:val="24"/>
        </w:rPr>
        <w:t>………………………………</w:t>
      </w:r>
      <w:r>
        <w:rPr>
          <w:b/>
          <w:bCs/>
          <w:sz w:val="24"/>
          <w:szCs w:val="24"/>
        </w:rPr>
        <w:t>.</w:t>
      </w:r>
      <w:r w:rsidR="00DA4AE8">
        <w:rPr>
          <w:sz w:val="24"/>
          <w:szCs w:val="24"/>
        </w:rPr>
        <w:t>…….Pg.</w:t>
      </w:r>
      <w:r>
        <w:rPr>
          <w:sz w:val="24"/>
          <w:szCs w:val="24"/>
        </w:rPr>
        <w:t xml:space="preserve"> </w:t>
      </w:r>
      <w:r w:rsidR="00DA4AE8">
        <w:rPr>
          <w:sz w:val="24"/>
          <w:szCs w:val="24"/>
        </w:rPr>
        <w:t>3</w:t>
      </w:r>
    </w:p>
    <w:p w14:paraId="018FC955" w14:textId="67889787" w:rsidR="00ED50C9" w:rsidRPr="00DA4AE8" w:rsidRDefault="00ED50C9" w:rsidP="00ED50C9">
      <w:pPr>
        <w:rPr>
          <w:sz w:val="24"/>
          <w:szCs w:val="24"/>
        </w:rPr>
      </w:pPr>
      <w:r>
        <w:rPr>
          <w:sz w:val="24"/>
          <w:szCs w:val="24"/>
        </w:rPr>
        <w:t>3.0 Idea Development ……….……………</w:t>
      </w:r>
      <w:proofErr w:type="gramStart"/>
      <w:r>
        <w:rPr>
          <w:sz w:val="24"/>
          <w:szCs w:val="24"/>
        </w:rPr>
        <w:t>…..</w:t>
      </w:r>
      <w:proofErr w:type="gramEnd"/>
      <w:r>
        <w:rPr>
          <w:sz w:val="24"/>
          <w:szCs w:val="24"/>
        </w:rPr>
        <w:t xml:space="preserve">…………………………….Pg. </w:t>
      </w:r>
      <w:r w:rsidR="0052110F">
        <w:rPr>
          <w:sz w:val="24"/>
          <w:szCs w:val="24"/>
        </w:rPr>
        <w:t>4</w:t>
      </w:r>
    </w:p>
    <w:p w14:paraId="5EE13A8B" w14:textId="24DF56B0" w:rsidR="00ED50C9" w:rsidRDefault="00ED50C9">
      <w:pPr>
        <w:rPr>
          <w:sz w:val="24"/>
          <w:szCs w:val="24"/>
        </w:rPr>
      </w:pPr>
      <w:r>
        <w:rPr>
          <w:sz w:val="24"/>
          <w:szCs w:val="24"/>
        </w:rPr>
        <w:t>4.0 Individual Learning ……….……………</w:t>
      </w:r>
      <w:proofErr w:type="gramStart"/>
      <w:r>
        <w:rPr>
          <w:sz w:val="24"/>
          <w:szCs w:val="24"/>
        </w:rPr>
        <w:t>…..</w:t>
      </w:r>
      <w:proofErr w:type="gramEnd"/>
      <w:r>
        <w:rPr>
          <w:sz w:val="24"/>
          <w:szCs w:val="24"/>
        </w:rPr>
        <w:t xml:space="preserve">……………………………Pg. </w:t>
      </w:r>
      <w:r w:rsidR="001B4CF6">
        <w:rPr>
          <w:sz w:val="24"/>
          <w:szCs w:val="24"/>
        </w:rPr>
        <w:t>5</w:t>
      </w:r>
    </w:p>
    <w:p w14:paraId="24EA661A" w14:textId="2360EA0C" w:rsidR="00ED50C9" w:rsidRPr="00ED50C9" w:rsidRDefault="00ED50C9">
      <w:pPr>
        <w:rPr>
          <w:b/>
          <w:bCs/>
          <w:sz w:val="24"/>
          <w:szCs w:val="24"/>
        </w:rPr>
      </w:pPr>
      <w:r>
        <w:rPr>
          <w:sz w:val="24"/>
          <w:szCs w:val="24"/>
        </w:rPr>
        <w:t>5.0 Conclusion ……….……………</w:t>
      </w:r>
      <w:proofErr w:type="gramStart"/>
      <w:r>
        <w:rPr>
          <w:sz w:val="24"/>
          <w:szCs w:val="24"/>
        </w:rPr>
        <w:t>…..</w:t>
      </w:r>
      <w:proofErr w:type="gramEnd"/>
      <w:r>
        <w:rPr>
          <w:sz w:val="24"/>
          <w:szCs w:val="24"/>
        </w:rPr>
        <w:t xml:space="preserve">………..………………………………Pg. </w:t>
      </w:r>
      <w:r w:rsidR="001B4CF6">
        <w:rPr>
          <w:sz w:val="24"/>
          <w:szCs w:val="24"/>
        </w:rPr>
        <w:t>7</w:t>
      </w:r>
    </w:p>
    <w:p w14:paraId="178F8FC5" w14:textId="67A6AF39" w:rsidR="0052110F" w:rsidRPr="00ED50C9" w:rsidRDefault="00DA4AE8" w:rsidP="0052110F">
      <w:pPr>
        <w:rPr>
          <w:b/>
          <w:bCs/>
          <w:sz w:val="24"/>
          <w:szCs w:val="24"/>
        </w:rPr>
      </w:pPr>
      <w:r>
        <w:rPr>
          <w:sz w:val="24"/>
          <w:szCs w:val="24"/>
        </w:rPr>
        <w:t>References</w:t>
      </w:r>
      <w:r w:rsidR="0052110F">
        <w:rPr>
          <w:sz w:val="24"/>
          <w:szCs w:val="24"/>
        </w:rPr>
        <w:t xml:space="preserve"> ……….……………</w:t>
      </w:r>
      <w:proofErr w:type="gramStart"/>
      <w:r w:rsidR="0052110F">
        <w:rPr>
          <w:sz w:val="24"/>
          <w:szCs w:val="24"/>
        </w:rPr>
        <w:t>…..</w:t>
      </w:r>
      <w:proofErr w:type="gramEnd"/>
      <w:r w:rsidR="0052110F">
        <w:rPr>
          <w:sz w:val="24"/>
          <w:szCs w:val="24"/>
        </w:rPr>
        <w:t xml:space="preserve">………..……………………………………Pg. </w:t>
      </w:r>
      <w:r w:rsidR="001B4CF6">
        <w:rPr>
          <w:sz w:val="24"/>
          <w:szCs w:val="24"/>
        </w:rPr>
        <w:t>8</w:t>
      </w:r>
    </w:p>
    <w:p w14:paraId="1D385345" w14:textId="798B431E" w:rsidR="00DA4AE8" w:rsidRDefault="00DA4AE8">
      <w:pPr>
        <w:rPr>
          <w:sz w:val="24"/>
          <w:szCs w:val="24"/>
        </w:rPr>
      </w:pPr>
    </w:p>
    <w:p w14:paraId="0D8BF7A9" w14:textId="4DA8CA90" w:rsidR="00DA4AE8" w:rsidRDefault="00DA4AE8">
      <w:pPr>
        <w:rPr>
          <w:sz w:val="24"/>
          <w:szCs w:val="24"/>
        </w:rPr>
      </w:pPr>
    </w:p>
    <w:p w14:paraId="5F6FCAAE" w14:textId="5EBF6347" w:rsidR="00DA4AE8" w:rsidRDefault="00DA4AE8">
      <w:pPr>
        <w:rPr>
          <w:sz w:val="24"/>
          <w:szCs w:val="24"/>
        </w:rPr>
      </w:pPr>
    </w:p>
    <w:p w14:paraId="6F509479" w14:textId="015CE590" w:rsidR="00DA4AE8" w:rsidRDefault="00DA4AE8">
      <w:pPr>
        <w:rPr>
          <w:sz w:val="24"/>
          <w:szCs w:val="24"/>
        </w:rPr>
      </w:pPr>
    </w:p>
    <w:p w14:paraId="63DF85AD" w14:textId="111818D1" w:rsidR="00DA4AE8" w:rsidRDefault="00DA4AE8">
      <w:pPr>
        <w:rPr>
          <w:sz w:val="24"/>
          <w:szCs w:val="24"/>
        </w:rPr>
      </w:pPr>
    </w:p>
    <w:p w14:paraId="647CB622" w14:textId="1F6416A3" w:rsidR="00DA4AE8" w:rsidRDefault="00DA4AE8">
      <w:pPr>
        <w:rPr>
          <w:sz w:val="24"/>
          <w:szCs w:val="24"/>
        </w:rPr>
      </w:pPr>
    </w:p>
    <w:p w14:paraId="5DC52E59" w14:textId="709002F1" w:rsidR="00DA4AE8" w:rsidRDefault="00DA4AE8">
      <w:pPr>
        <w:rPr>
          <w:sz w:val="24"/>
          <w:szCs w:val="24"/>
        </w:rPr>
      </w:pPr>
    </w:p>
    <w:p w14:paraId="5FCDC5FE" w14:textId="74319795" w:rsidR="00DA4AE8" w:rsidRDefault="00DA4AE8">
      <w:pPr>
        <w:rPr>
          <w:sz w:val="24"/>
          <w:szCs w:val="24"/>
        </w:rPr>
      </w:pPr>
    </w:p>
    <w:p w14:paraId="2D912811" w14:textId="34BACE3F" w:rsidR="00DA4AE8" w:rsidRDefault="00DA4AE8">
      <w:pPr>
        <w:rPr>
          <w:sz w:val="24"/>
          <w:szCs w:val="24"/>
        </w:rPr>
      </w:pPr>
    </w:p>
    <w:p w14:paraId="7D8717F5" w14:textId="42AF0060" w:rsidR="00DA4AE8" w:rsidRDefault="00DA4AE8">
      <w:pPr>
        <w:rPr>
          <w:sz w:val="24"/>
          <w:szCs w:val="24"/>
        </w:rPr>
      </w:pPr>
    </w:p>
    <w:p w14:paraId="4EAE2BC8" w14:textId="0AD26762" w:rsidR="00DA4AE8" w:rsidRDefault="00DA4AE8">
      <w:pPr>
        <w:rPr>
          <w:sz w:val="24"/>
          <w:szCs w:val="24"/>
        </w:rPr>
      </w:pPr>
    </w:p>
    <w:p w14:paraId="44D4D845" w14:textId="3479955A" w:rsidR="00DA4AE8" w:rsidRDefault="00DA4AE8">
      <w:pPr>
        <w:rPr>
          <w:sz w:val="24"/>
          <w:szCs w:val="24"/>
        </w:rPr>
      </w:pPr>
    </w:p>
    <w:p w14:paraId="37635FB5" w14:textId="7A5B7D90" w:rsidR="00DA4AE8" w:rsidRDefault="00DA4AE8">
      <w:pPr>
        <w:rPr>
          <w:sz w:val="24"/>
          <w:szCs w:val="24"/>
        </w:rPr>
      </w:pPr>
    </w:p>
    <w:p w14:paraId="22ED0336" w14:textId="79A0F8DE" w:rsidR="00DA4AE8" w:rsidRDefault="00DA4AE8">
      <w:pPr>
        <w:rPr>
          <w:sz w:val="24"/>
          <w:szCs w:val="24"/>
        </w:rPr>
      </w:pPr>
    </w:p>
    <w:p w14:paraId="2F785D14" w14:textId="379788A1" w:rsidR="00DA4AE8" w:rsidRDefault="00DA4AE8">
      <w:pPr>
        <w:rPr>
          <w:sz w:val="24"/>
          <w:szCs w:val="24"/>
        </w:rPr>
      </w:pPr>
    </w:p>
    <w:p w14:paraId="4B616373" w14:textId="7231203F" w:rsidR="00DA4AE8" w:rsidRDefault="00DA4AE8">
      <w:pPr>
        <w:rPr>
          <w:sz w:val="24"/>
          <w:szCs w:val="24"/>
        </w:rPr>
      </w:pPr>
    </w:p>
    <w:p w14:paraId="61AEF92F" w14:textId="109A7A49" w:rsidR="00DA4AE8" w:rsidRDefault="00DA4AE8">
      <w:pPr>
        <w:rPr>
          <w:sz w:val="24"/>
          <w:szCs w:val="24"/>
        </w:rPr>
      </w:pPr>
    </w:p>
    <w:p w14:paraId="1151FFD0" w14:textId="11CF985F" w:rsidR="00DA4AE8" w:rsidRDefault="00DA4AE8">
      <w:pPr>
        <w:rPr>
          <w:sz w:val="24"/>
          <w:szCs w:val="24"/>
        </w:rPr>
      </w:pPr>
    </w:p>
    <w:p w14:paraId="641524C3" w14:textId="1A304C25" w:rsidR="00DA4AE8" w:rsidRDefault="00DA4AE8">
      <w:pPr>
        <w:rPr>
          <w:sz w:val="24"/>
          <w:szCs w:val="24"/>
        </w:rPr>
      </w:pPr>
    </w:p>
    <w:p w14:paraId="49E5F238" w14:textId="158A32D3" w:rsidR="00DA4AE8" w:rsidRDefault="00DA4AE8">
      <w:pPr>
        <w:rPr>
          <w:sz w:val="24"/>
          <w:szCs w:val="24"/>
        </w:rPr>
      </w:pPr>
    </w:p>
    <w:p w14:paraId="537AFB4D" w14:textId="77AB3129" w:rsidR="00ED50C9" w:rsidRDefault="00ED50C9">
      <w:pPr>
        <w:rPr>
          <w:sz w:val="24"/>
          <w:szCs w:val="24"/>
        </w:rPr>
      </w:pPr>
      <w:r>
        <w:rPr>
          <w:sz w:val="24"/>
          <w:szCs w:val="24"/>
        </w:rPr>
        <w:br w:type="page"/>
      </w:r>
    </w:p>
    <w:p w14:paraId="30D31EA6" w14:textId="77777777" w:rsidR="00ED50C9" w:rsidRPr="00ED50C9" w:rsidRDefault="00ED50C9" w:rsidP="00ED50C9">
      <w:pPr>
        <w:numPr>
          <w:ilvl w:val="0"/>
          <w:numId w:val="6"/>
        </w:numPr>
        <w:spacing w:line="360" w:lineRule="auto"/>
        <w:contextualSpacing/>
        <w:jc w:val="both"/>
        <w:rPr>
          <w:rFonts w:ascii="Times New Roman" w:hAnsi="Times New Roman" w:cs="Times New Roman"/>
          <w:b/>
          <w:bCs/>
          <w:kern w:val="2"/>
          <w:lang w:val="en-MY"/>
          <w14:ligatures w14:val="standardContextual"/>
        </w:rPr>
      </w:pPr>
      <w:bookmarkStart w:id="0" w:name="_Hlk144762310"/>
      <w:r w:rsidRPr="00ED50C9">
        <w:rPr>
          <w:rFonts w:ascii="Times New Roman" w:hAnsi="Times New Roman" w:cs="Times New Roman"/>
          <w:b/>
          <w:bCs/>
          <w:kern w:val="2"/>
          <w:lang w:val="en-MY"/>
          <w14:ligatures w14:val="standardContextual"/>
        </w:rPr>
        <w:lastRenderedPageBreak/>
        <w:t>Introduction</w:t>
      </w:r>
    </w:p>
    <w:p w14:paraId="2E4B98CD" w14:textId="77777777" w:rsidR="00ED50C9" w:rsidRPr="00ED50C9" w:rsidRDefault="00ED50C9" w:rsidP="00ED50C9">
      <w:pPr>
        <w:spacing w:line="360" w:lineRule="auto"/>
        <w:jc w:val="both"/>
        <w:rPr>
          <w:rFonts w:ascii="Times New Roman" w:hAnsi="Times New Roman" w:cs="Times New Roman"/>
          <w:kern w:val="2"/>
          <w:lang w:val="en-MY"/>
          <w14:ligatures w14:val="standardContextual"/>
        </w:rPr>
      </w:pPr>
      <w:r w:rsidRPr="00ED50C9">
        <w:rPr>
          <w:rFonts w:ascii="Times New Roman" w:hAnsi="Times New Roman" w:cs="Times New Roman"/>
          <w:kern w:val="2"/>
          <w:lang w:val="en-MY"/>
          <w14:ligatures w14:val="standardContextual"/>
        </w:rPr>
        <w:t>This essay embarks on a reflective journey through the research process, employing Gibb’s Reflective Model (1988) as its guiding framework. The primary purpose of this essay is to chronicle the various stages of research. I will delve into nuances of each stage, emphasizing the challenges encountered, the knowledge and skills acquired, and their capability to future endeavours in various settings. This essay underscores the reflection tool’s significance for personal and intellectual growth, enabling a comprehensive understanding of the research process.</w:t>
      </w:r>
    </w:p>
    <w:p w14:paraId="2531C9CA" w14:textId="77777777" w:rsidR="00ED50C9" w:rsidRPr="00ED50C9" w:rsidRDefault="00ED50C9" w:rsidP="00ED50C9">
      <w:pPr>
        <w:spacing w:line="360" w:lineRule="auto"/>
        <w:jc w:val="both"/>
        <w:rPr>
          <w:rFonts w:ascii="Times New Roman" w:hAnsi="Times New Roman" w:cs="Times New Roman"/>
          <w:b/>
          <w:bCs/>
          <w:kern w:val="2"/>
          <w:lang w:val="en-MY"/>
          <w14:ligatures w14:val="standardContextual"/>
        </w:rPr>
      </w:pPr>
      <w:r w:rsidRPr="00ED50C9">
        <w:rPr>
          <w:rFonts w:ascii="Times New Roman" w:hAnsi="Times New Roman" w:cs="Times New Roman"/>
          <w:b/>
          <w:bCs/>
          <w:kern w:val="2"/>
          <w:lang w:val="en-MY"/>
          <w14:ligatures w14:val="standardContextual"/>
        </w:rPr>
        <w:t>1.1 Gibb’s Reflective Model (1988)</w:t>
      </w:r>
    </w:p>
    <w:p w14:paraId="021711A5" w14:textId="77777777" w:rsidR="00ED50C9" w:rsidRPr="00ED50C9" w:rsidRDefault="00ED50C9" w:rsidP="00ED50C9">
      <w:pPr>
        <w:spacing w:line="360" w:lineRule="auto"/>
        <w:jc w:val="both"/>
        <w:rPr>
          <w:rFonts w:ascii="Times New Roman" w:hAnsi="Times New Roman" w:cs="Times New Roman"/>
          <w:kern w:val="2"/>
          <w:lang w:val="en-MY"/>
          <w14:ligatures w14:val="standardContextual"/>
        </w:rPr>
      </w:pPr>
      <w:r w:rsidRPr="00ED50C9">
        <w:rPr>
          <w:rFonts w:ascii="Times New Roman" w:hAnsi="Times New Roman" w:cs="Times New Roman"/>
          <w:kern w:val="2"/>
          <w:lang w:val="en-MY"/>
          <w14:ligatures w14:val="standardContextual"/>
        </w:rPr>
        <w:t xml:space="preserve">Gibb’s Reflective Model facilitates reflective learning from experiences through a structured framework (Gibbs, 1988; Markkanen, Välimäki, Anttila &amp; </w:t>
      </w:r>
      <w:proofErr w:type="spellStart"/>
      <w:r w:rsidRPr="00ED50C9">
        <w:rPr>
          <w:rFonts w:ascii="Times New Roman" w:hAnsi="Times New Roman" w:cs="Times New Roman"/>
          <w:kern w:val="2"/>
          <w:lang w:val="en-MY"/>
          <w14:ligatures w14:val="standardContextual"/>
        </w:rPr>
        <w:t>Kuuskorpi</w:t>
      </w:r>
      <w:proofErr w:type="spellEnd"/>
      <w:r w:rsidRPr="00ED50C9">
        <w:rPr>
          <w:rFonts w:ascii="Times New Roman" w:hAnsi="Times New Roman" w:cs="Times New Roman"/>
          <w:kern w:val="2"/>
          <w:lang w:val="en-MY"/>
          <w14:ligatures w14:val="standardContextual"/>
        </w:rPr>
        <w:t>, 2020) consisting of six stages, illustrated in Figure 1. The model is versatile, suitable for any situation requiring improvement and reflection, which is widely utilized for assessment, experience learning, and method and enhancements when faced with similar situations (Li, Chen, Liu &amp; Deng, 2020). It commences with Description, where individuals clarify the experience’s context, emphasizing factual details. Subsequently, in the Feelings stage, individuals delve into their emotional responses (</w:t>
      </w:r>
      <w:proofErr w:type="spellStart"/>
      <w:r w:rsidRPr="00ED50C9">
        <w:rPr>
          <w:rFonts w:ascii="Times New Roman" w:hAnsi="Times New Roman" w:cs="Times New Roman"/>
          <w:kern w:val="2"/>
          <w:lang w:val="en-MY"/>
          <w14:ligatures w14:val="standardContextual"/>
        </w:rPr>
        <w:t>Adeani</w:t>
      </w:r>
      <w:proofErr w:type="spellEnd"/>
      <w:r w:rsidRPr="00ED50C9">
        <w:rPr>
          <w:rFonts w:ascii="Times New Roman" w:hAnsi="Times New Roman" w:cs="Times New Roman"/>
          <w:kern w:val="2"/>
          <w:lang w:val="en-MY"/>
          <w14:ligatures w14:val="standardContextual"/>
        </w:rPr>
        <w:t xml:space="preserve">, </w:t>
      </w:r>
      <w:proofErr w:type="spellStart"/>
      <w:r w:rsidRPr="00ED50C9">
        <w:rPr>
          <w:rFonts w:ascii="Times New Roman" w:hAnsi="Times New Roman" w:cs="Times New Roman"/>
          <w:kern w:val="2"/>
          <w:lang w:val="en-MY"/>
          <w14:ligatures w14:val="standardContextual"/>
        </w:rPr>
        <w:t>Febriani</w:t>
      </w:r>
      <w:proofErr w:type="spellEnd"/>
      <w:r w:rsidRPr="00ED50C9">
        <w:rPr>
          <w:rFonts w:ascii="Times New Roman" w:hAnsi="Times New Roman" w:cs="Times New Roman"/>
          <w:kern w:val="2"/>
          <w:lang w:val="en-MY"/>
          <w14:ligatures w14:val="standardContextual"/>
        </w:rPr>
        <w:t xml:space="preserve"> &amp; </w:t>
      </w:r>
      <w:proofErr w:type="spellStart"/>
      <w:r w:rsidRPr="00ED50C9">
        <w:rPr>
          <w:rFonts w:ascii="Times New Roman" w:hAnsi="Times New Roman" w:cs="Times New Roman"/>
          <w:kern w:val="2"/>
          <w:lang w:val="en-MY"/>
          <w14:ligatures w14:val="standardContextual"/>
        </w:rPr>
        <w:t>Safryadin</w:t>
      </w:r>
      <w:proofErr w:type="spellEnd"/>
      <w:r w:rsidRPr="00ED50C9">
        <w:rPr>
          <w:rFonts w:ascii="Times New Roman" w:hAnsi="Times New Roman" w:cs="Times New Roman"/>
          <w:kern w:val="2"/>
          <w:lang w:val="en-MY"/>
          <w14:ligatures w14:val="standardContextual"/>
        </w:rPr>
        <w:t>, 2020), fostering self-awareness and empathy. Evaluation follows, encouraging critical analysis of the experiences, encompassing both positive and negative aspects, and contemplating areas for enhancement. Next, the Analysis stage builds upon the evaluation, necessitating a more profound exploration of the experience’s implications. This involves examining the broader context, underlying factors, and links to theoretical concepts. In the Conclusion phase, individuals consolidate their insights and draw overarching lessons from the experience, identifying potential changes in behaviour or future actions. The final stage, Action Plan, revolves around devising concrete steps for future actions based on reflections. It aids individuals in establishing objectives, effecting improvements, and applying newfound knowledge effectively.</w:t>
      </w:r>
    </w:p>
    <w:p w14:paraId="4A0C9074" w14:textId="77777777" w:rsidR="00ED50C9" w:rsidRPr="00ED50C9" w:rsidRDefault="00ED50C9" w:rsidP="00ED50C9">
      <w:pPr>
        <w:spacing w:line="360" w:lineRule="auto"/>
        <w:jc w:val="both"/>
        <w:rPr>
          <w:rFonts w:ascii="Times New Roman" w:hAnsi="Times New Roman" w:cs="Times New Roman"/>
          <w:b/>
          <w:bCs/>
          <w:kern w:val="2"/>
          <w:lang w:val="en-MY"/>
          <w14:ligatures w14:val="standardContextual"/>
        </w:rPr>
      </w:pPr>
      <w:r w:rsidRPr="00ED50C9">
        <w:rPr>
          <w:rFonts w:ascii="Times New Roman" w:hAnsi="Times New Roman" w:cs="Times New Roman"/>
          <w:b/>
          <w:bCs/>
          <w:kern w:val="2"/>
          <w:lang w:val="en-MY"/>
          <w14:ligatures w14:val="standardContextual"/>
        </w:rPr>
        <w:t>Figure 1</w:t>
      </w:r>
    </w:p>
    <w:p w14:paraId="5F0E7DBE" w14:textId="77777777" w:rsidR="00ED50C9" w:rsidRPr="00ED50C9" w:rsidRDefault="00ED50C9" w:rsidP="00ED50C9">
      <w:pPr>
        <w:spacing w:line="360" w:lineRule="auto"/>
        <w:jc w:val="both"/>
        <w:rPr>
          <w:rFonts w:ascii="Times New Roman" w:hAnsi="Times New Roman" w:cs="Times New Roman"/>
          <w:i/>
          <w:iCs/>
          <w:kern w:val="2"/>
          <w:lang w:val="en-MY"/>
          <w14:ligatures w14:val="standardContextual"/>
        </w:rPr>
      </w:pPr>
      <w:r w:rsidRPr="00ED50C9">
        <w:rPr>
          <w:rFonts w:ascii="Times New Roman" w:hAnsi="Times New Roman" w:cs="Times New Roman"/>
          <w:i/>
          <w:iCs/>
          <w:kern w:val="2"/>
          <w:lang w:val="en-MY"/>
          <w14:ligatures w14:val="standardContextual"/>
        </w:rPr>
        <w:t>Gibb’s Reflective Model (1988)</w:t>
      </w:r>
    </w:p>
    <w:p w14:paraId="49FADD6E" w14:textId="77777777" w:rsidR="00ED50C9" w:rsidRPr="00ED50C9" w:rsidRDefault="00ED50C9" w:rsidP="00ED50C9">
      <w:pPr>
        <w:spacing w:line="360" w:lineRule="auto"/>
        <w:jc w:val="both"/>
        <w:rPr>
          <w:rFonts w:ascii="Times New Roman" w:hAnsi="Times New Roman" w:cs="Times New Roman"/>
          <w:b/>
          <w:bCs/>
          <w:kern w:val="2"/>
          <w:lang w:val="en-MY"/>
          <w14:ligatures w14:val="standardContextual"/>
        </w:rPr>
      </w:pPr>
      <w:r w:rsidRPr="00ED50C9">
        <w:rPr>
          <w:rFonts w:ascii="Times New Roman" w:hAnsi="Times New Roman" w:cs="Times New Roman"/>
          <w:noProof/>
          <w:kern w:val="2"/>
          <w:lang w:val="en-MY"/>
          <w14:ligatures w14:val="standardContextual"/>
        </w:rPr>
        <w:lastRenderedPageBreak/>
        <w:drawing>
          <wp:inline distT="0" distB="0" distL="0" distR="0" wp14:anchorId="08988214" wp14:editId="5DC2EDCA">
            <wp:extent cx="3629465" cy="2982351"/>
            <wp:effectExtent l="0" t="0" r="0" b="8890"/>
            <wp:docPr id="172588912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80DA505" w14:textId="77777777" w:rsidR="00ED50C9" w:rsidRPr="00ED50C9" w:rsidRDefault="00ED50C9" w:rsidP="00ED50C9">
      <w:pPr>
        <w:spacing w:line="360" w:lineRule="auto"/>
        <w:jc w:val="both"/>
        <w:rPr>
          <w:rFonts w:ascii="Times New Roman" w:hAnsi="Times New Roman" w:cs="Times New Roman"/>
          <w:b/>
          <w:bCs/>
          <w:kern w:val="2"/>
          <w:lang w:val="en-MY"/>
          <w14:ligatures w14:val="standardContextual"/>
        </w:rPr>
      </w:pPr>
      <w:bookmarkStart w:id="1" w:name="_Hlk144762456"/>
      <w:bookmarkEnd w:id="0"/>
      <w:r w:rsidRPr="00ED50C9">
        <w:rPr>
          <w:rFonts w:ascii="Times New Roman" w:hAnsi="Times New Roman" w:cs="Times New Roman"/>
          <w:b/>
          <w:bCs/>
          <w:kern w:val="2"/>
          <w:lang w:val="en-MY"/>
          <w14:ligatures w14:val="standardContextual"/>
        </w:rPr>
        <w:t>2.0 Idea Creation</w:t>
      </w:r>
    </w:p>
    <w:p w14:paraId="7E808568" w14:textId="77777777" w:rsidR="00ED50C9" w:rsidRPr="00ED50C9" w:rsidRDefault="00ED50C9" w:rsidP="00ED50C9">
      <w:pPr>
        <w:spacing w:line="360" w:lineRule="auto"/>
        <w:jc w:val="both"/>
        <w:rPr>
          <w:rFonts w:ascii="Times New Roman" w:hAnsi="Times New Roman" w:cs="Times New Roman"/>
          <w:kern w:val="2"/>
          <w:lang w:val="en-MY"/>
          <w14:ligatures w14:val="standardContextual"/>
        </w:rPr>
      </w:pPr>
      <w:r w:rsidRPr="00ED50C9">
        <w:rPr>
          <w:rFonts w:ascii="Times New Roman" w:hAnsi="Times New Roman" w:cs="Times New Roman"/>
          <w:kern w:val="2"/>
          <w:lang w:val="en-MY"/>
          <w14:ligatures w14:val="standardContextual"/>
        </w:rPr>
        <w:t>My research journey commenced with a compelling problem: the ever-growing impact of AI-driven recommendation systems on consumer behaviour in e-commerce. This fascination stemmed from my passion for technology and its transformative potential across industries. However, as I ventured into the initial phases of proposing a research topic, I encountered a significant challenge. While my enthusiasm knew no bounds, I grappled with the need to distil this broad interest into a specific, well-defined research problem and question. This dilemma mixed excitement with uncertainty. I was eager to explore my passion, yet I felt apprehensive about narrowing it down.</w:t>
      </w:r>
    </w:p>
    <w:p w14:paraId="238AE9C2" w14:textId="77777777" w:rsidR="00ED50C9" w:rsidRPr="00ED50C9" w:rsidRDefault="00ED50C9" w:rsidP="00ED50C9">
      <w:pPr>
        <w:spacing w:line="360" w:lineRule="auto"/>
        <w:ind w:firstLine="720"/>
        <w:jc w:val="both"/>
        <w:rPr>
          <w:rFonts w:ascii="Times New Roman" w:hAnsi="Times New Roman" w:cs="Times New Roman"/>
          <w:kern w:val="2"/>
          <w:lang w:val="en-MY"/>
          <w14:ligatures w14:val="standardContextual"/>
        </w:rPr>
      </w:pPr>
      <w:r w:rsidRPr="00ED50C9">
        <w:rPr>
          <w:rFonts w:ascii="Times New Roman" w:hAnsi="Times New Roman" w:cs="Times New Roman"/>
          <w:kern w:val="2"/>
          <w:lang w:val="en-MY"/>
          <w14:ligatures w14:val="standardContextual"/>
        </w:rPr>
        <w:t>To address this challenge, I embarked on an assessment of the relevance and significance of my chosen research area. It swiftly became apparent that a clear problem statement was not just advisable but crucial. It was essential not only to align with my personal interests but also to bridge a discernible gap in existing literature. Consequently, I initiated a deeper analysis of the research area, and it was during this exploration that I stumbled upon a pivotal detail: the evaluation of recommendation systems’ value predominantly relied on conventional business metrics encompassing customer retention rates, user engagement, click-through rates, and revenue (</w:t>
      </w:r>
      <w:proofErr w:type="spellStart"/>
      <w:r w:rsidRPr="00ED50C9">
        <w:rPr>
          <w:rFonts w:ascii="Times New Roman" w:hAnsi="Times New Roman" w:cs="Times New Roman"/>
          <w:kern w:val="2"/>
          <w:lang w:val="en-MY"/>
          <w14:ligatures w14:val="standardContextual"/>
        </w:rPr>
        <w:t>Jannach</w:t>
      </w:r>
      <w:proofErr w:type="spellEnd"/>
      <w:r w:rsidRPr="00ED50C9">
        <w:rPr>
          <w:rFonts w:ascii="Times New Roman" w:hAnsi="Times New Roman" w:cs="Times New Roman"/>
          <w:kern w:val="2"/>
          <w:lang w:val="en-MY"/>
          <w14:ligatures w14:val="standardContextual"/>
        </w:rPr>
        <w:t xml:space="preserve"> &amp; Jugovac, 2019). Armed with this new perspective, I contemplated the profound impact of AI-driven recommendation systems on consumer behaviour and the enhancement of the overall customer experience.</w:t>
      </w:r>
    </w:p>
    <w:p w14:paraId="23367E70" w14:textId="77777777" w:rsidR="00ED50C9" w:rsidRPr="00ED50C9" w:rsidRDefault="00ED50C9" w:rsidP="00ED50C9">
      <w:pPr>
        <w:spacing w:line="360" w:lineRule="auto"/>
        <w:ind w:firstLine="720"/>
        <w:jc w:val="both"/>
        <w:rPr>
          <w:rFonts w:ascii="Times New Roman" w:hAnsi="Times New Roman" w:cs="Times New Roman"/>
          <w:kern w:val="2"/>
          <w:lang w:val="en-MY"/>
          <w14:ligatures w14:val="standardContextual"/>
        </w:rPr>
      </w:pPr>
      <w:r w:rsidRPr="00ED50C9">
        <w:rPr>
          <w:rFonts w:ascii="Times New Roman" w:hAnsi="Times New Roman" w:cs="Times New Roman"/>
          <w:kern w:val="2"/>
          <w:lang w:val="en-MY"/>
          <w14:ligatures w14:val="standardContextual"/>
        </w:rPr>
        <w:t>This introspection led me to realize that specific factors of AI-driven recommendation systems could significantly influence customer satisfaction (Behera, Gunasekaran, Gupta, Kamboj &amp; Bala, 2020) and purchase intention (</w:t>
      </w:r>
      <w:proofErr w:type="spellStart"/>
      <w:r w:rsidRPr="00ED50C9">
        <w:rPr>
          <w:rFonts w:ascii="Times New Roman" w:hAnsi="Times New Roman" w:cs="Times New Roman"/>
          <w:kern w:val="2"/>
          <w:lang w:val="en-MY"/>
          <w14:ligatures w14:val="standardContextual"/>
        </w:rPr>
        <w:t>Roudposhti</w:t>
      </w:r>
      <w:proofErr w:type="spellEnd"/>
      <w:r w:rsidRPr="00ED50C9">
        <w:rPr>
          <w:rFonts w:ascii="Times New Roman" w:hAnsi="Times New Roman" w:cs="Times New Roman"/>
          <w:kern w:val="2"/>
          <w:lang w:val="en-MY"/>
          <w14:ligatures w14:val="standardContextual"/>
        </w:rPr>
        <w:t xml:space="preserve">, </w:t>
      </w:r>
      <w:proofErr w:type="spellStart"/>
      <w:r w:rsidRPr="00ED50C9">
        <w:rPr>
          <w:rFonts w:ascii="Times New Roman" w:hAnsi="Times New Roman" w:cs="Times New Roman"/>
          <w:kern w:val="2"/>
          <w:lang w:val="en-MY"/>
          <w14:ligatures w14:val="standardContextual"/>
        </w:rPr>
        <w:t>Nilashi</w:t>
      </w:r>
      <w:proofErr w:type="spellEnd"/>
      <w:r w:rsidRPr="00ED50C9">
        <w:rPr>
          <w:rFonts w:ascii="Times New Roman" w:hAnsi="Times New Roman" w:cs="Times New Roman"/>
          <w:kern w:val="2"/>
          <w:lang w:val="en-MY"/>
          <w14:ligatures w14:val="standardContextual"/>
        </w:rPr>
        <w:t xml:space="preserve">, Mardani, </w:t>
      </w:r>
      <w:proofErr w:type="spellStart"/>
      <w:r w:rsidRPr="00ED50C9">
        <w:rPr>
          <w:rFonts w:ascii="Times New Roman" w:hAnsi="Times New Roman" w:cs="Times New Roman"/>
          <w:kern w:val="2"/>
          <w:lang w:val="en-MY"/>
          <w14:ligatures w14:val="standardContextual"/>
        </w:rPr>
        <w:t>Streimikieni</w:t>
      </w:r>
      <w:proofErr w:type="spellEnd"/>
      <w:r w:rsidRPr="00ED50C9">
        <w:rPr>
          <w:rFonts w:ascii="Times New Roman" w:hAnsi="Times New Roman" w:cs="Times New Roman"/>
          <w:kern w:val="2"/>
          <w:lang w:val="en-MY"/>
          <w14:ligatures w14:val="standardContextual"/>
        </w:rPr>
        <w:t xml:space="preserve">, Samad &amp; Ibrahim, 2018). This revelation held the promise of offering valuable insights to businesses, particularly in their relentless pursuit of optimizing their recommendation algorithms. The more I delved into this area, the clearer it </w:t>
      </w:r>
      <w:r w:rsidRPr="00ED50C9">
        <w:rPr>
          <w:rFonts w:ascii="Times New Roman" w:hAnsi="Times New Roman" w:cs="Times New Roman"/>
          <w:kern w:val="2"/>
          <w:lang w:val="en-MY"/>
          <w14:ligatures w14:val="standardContextual"/>
        </w:rPr>
        <w:lastRenderedPageBreak/>
        <w:t>became that this evaluation was pivotal not just from a business perspective but also from an academic standpoint.</w:t>
      </w:r>
    </w:p>
    <w:p w14:paraId="7C9D42AF" w14:textId="77777777" w:rsidR="00ED50C9" w:rsidRPr="00ED50C9" w:rsidRDefault="00ED50C9" w:rsidP="00ED50C9">
      <w:pPr>
        <w:spacing w:line="360" w:lineRule="auto"/>
        <w:ind w:firstLine="720"/>
        <w:jc w:val="both"/>
        <w:rPr>
          <w:rFonts w:ascii="Times New Roman" w:hAnsi="Times New Roman" w:cs="Times New Roman"/>
          <w:kern w:val="2"/>
          <w:lang w:val="en-MY"/>
          <w14:ligatures w14:val="standardContextual"/>
        </w:rPr>
      </w:pPr>
      <w:r w:rsidRPr="00ED50C9">
        <w:rPr>
          <w:rFonts w:ascii="Times New Roman" w:hAnsi="Times New Roman" w:cs="Times New Roman"/>
          <w:kern w:val="2"/>
          <w:lang w:val="en-MY"/>
          <w14:ligatures w14:val="standardContextual"/>
        </w:rPr>
        <w:t xml:space="preserve">As I sought to refine my research question, focusing on the variables of recommendation precision, diversity, and convenience of the system (Kim, Choi &amp; Li, 2021; Shin, 2020), I started to discern the broader significance of my research. By addressing these specific variables, I aimed to ascertain whether and to what extent they impact customer satisfaction and purchase intention. This evolving process was a vital learning experience as it underlined the paramount importance of a well-defined and specific problem statement. I recognized how this clarity could guide the research (Srinivas, Donald, </w:t>
      </w:r>
      <w:proofErr w:type="spellStart"/>
      <w:r w:rsidRPr="00ED50C9">
        <w:rPr>
          <w:rFonts w:ascii="Times New Roman" w:hAnsi="Times New Roman" w:cs="Times New Roman"/>
          <w:kern w:val="2"/>
          <w:lang w:val="en-MY"/>
          <w14:ligatures w14:val="standardContextual"/>
        </w:rPr>
        <w:t>Thippanna</w:t>
      </w:r>
      <w:proofErr w:type="spellEnd"/>
      <w:r w:rsidRPr="00ED50C9">
        <w:rPr>
          <w:rFonts w:ascii="Times New Roman" w:hAnsi="Times New Roman" w:cs="Times New Roman"/>
          <w:kern w:val="2"/>
          <w:lang w:val="en-MY"/>
          <w14:ligatures w14:val="standardContextual"/>
        </w:rPr>
        <w:t xml:space="preserve">, </w:t>
      </w:r>
      <w:proofErr w:type="spellStart"/>
      <w:r w:rsidRPr="00ED50C9">
        <w:rPr>
          <w:rFonts w:ascii="Times New Roman" w:hAnsi="Times New Roman" w:cs="Times New Roman"/>
          <w:kern w:val="2"/>
          <w:lang w:val="en-MY"/>
          <w14:ligatures w14:val="standardContextual"/>
        </w:rPr>
        <w:t>Madiletty</w:t>
      </w:r>
      <w:proofErr w:type="spellEnd"/>
      <w:r w:rsidRPr="00ED50C9">
        <w:rPr>
          <w:rFonts w:ascii="Times New Roman" w:hAnsi="Times New Roman" w:cs="Times New Roman"/>
          <w:kern w:val="2"/>
          <w:lang w:val="en-MY"/>
          <w14:ligatures w14:val="standardContextual"/>
        </w:rPr>
        <w:t xml:space="preserve"> &amp; Thanmai, 2023), preventing it from becoming too broad or unfocused.</w:t>
      </w:r>
    </w:p>
    <w:p w14:paraId="38143606" w14:textId="04F26AE2" w:rsidR="00ED50C9" w:rsidRPr="00ED50C9" w:rsidRDefault="00ED50C9" w:rsidP="00ED50C9">
      <w:pPr>
        <w:spacing w:line="360" w:lineRule="auto"/>
        <w:ind w:firstLine="720"/>
        <w:jc w:val="both"/>
        <w:rPr>
          <w:rFonts w:ascii="Times New Roman" w:hAnsi="Times New Roman" w:cs="Times New Roman"/>
          <w:kern w:val="2"/>
          <w:lang w:val="en-MY"/>
          <w14:ligatures w14:val="standardContextual"/>
        </w:rPr>
      </w:pPr>
      <w:r w:rsidRPr="00ED50C9">
        <w:rPr>
          <w:rFonts w:ascii="Times New Roman" w:hAnsi="Times New Roman" w:cs="Times New Roman"/>
          <w:kern w:val="2"/>
          <w:lang w:val="en-MY"/>
          <w14:ligatures w14:val="standardContextual"/>
        </w:rPr>
        <w:t xml:space="preserve">However, I encountered a unique challenge during the assessment process. It became evident that the word count restrictions could potentially hinder my ability to elucidate the research problem fully and connect it seamlessly to my research question. It was apparent that flexibility in word count would be immensely beneficial, allowing me to provide a more comprehensive literature review and, thus, a more holistic view of my research's foundation. This recognition instilled in me the importance of seeking guidance and feedback from </w:t>
      </w:r>
      <w:r w:rsidR="00107D06">
        <w:rPr>
          <w:rFonts w:ascii="Times New Roman" w:hAnsi="Times New Roman" w:cs="Times New Roman"/>
          <w:kern w:val="2"/>
          <w:lang w:val="en-MY"/>
          <w14:ligatures w14:val="standardContextual"/>
        </w:rPr>
        <w:t xml:space="preserve">the </w:t>
      </w:r>
      <w:r w:rsidRPr="00ED50C9">
        <w:rPr>
          <w:rFonts w:ascii="Times New Roman" w:hAnsi="Times New Roman" w:cs="Times New Roman"/>
          <w:kern w:val="2"/>
          <w:lang w:val="en-MY"/>
          <w14:ligatures w14:val="standardContextual"/>
        </w:rPr>
        <w:t>lecturer to strike balance between incorporating an exhaustive literature review and aligning my research with academic standards. This would serve to fortify a finely tuned and meticulously shaped research or assignment, ensuring precision, relevance, and alignment with the academic requirements.</w:t>
      </w:r>
    </w:p>
    <w:p w14:paraId="7A696728" w14:textId="77777777" w:rsidR="00ED50C9" w:rsidRPr="00ED50C9" w:rsidRDefault="00ED50C9" w:rsidP="00ED50C9">
      <w:pPr>
        <w:spacing w:line="360" w:lineRule="auto"/>
        <w:jc w:val="both"/>
        <w:rPr>
          <w:rFonts w:ascii="Times New Roman" w:hAnsi="Times New Roman" w:cs="Times New Roman"/>
          <w:b/>
          <w:bCs/>
          <w:kern w:val="2"/>
          <w:lang w:val="en-MY"/>
          <w14:ligatures w14:val="standardContextual"/>
        </w:rPr>
      </w:pPr>
      <w:bookmarkStart w:id="2" w:name="_Hlk144762479"/>
      <w:bookmarkEnd w:id="1"/>
      <w:r w:rsidRPr="00ED50C9">
        <w:rPr>
          <w:rFonts w:ascii="Times New Roman" w:hAnsi="Times New Roman" w:cs="Times New Roman"/>
          <w:b/>
          <w:bCs/>
          <w:kern w:val="2"/>
          <w:lang w:val="en-MY"/>
          <w14:ligatures w14:val="standardContextual"/>
        </w:rPr>
        <w:t>3.0 Idea Development</w:t>
      </w:r>
    </w:p>
    <w:p w14:paraId="38A767B6" w14:textId="77777777" w:rsidR="00ED50C9" w:rsidRPr="00ED50C9" w:rsidRDefault="00ED50C9" w:rsidP="00ED50C9">
      <w:pPr>
        <w:spacing w:line="360" w:lineRule="auto"/>
        <w:jc w:val="both"/>
        <w:rPr>
          <w:rFonts w:ascii="Times New Roman" w:hAnsi="Times New Roman" w:cs="Times New Roman"/>
          <w:kern w:val="2"/>
          <w:lang w:val="en-MY"/>
          <w14:ligatures w14:val="standardContextual"/>
        </w:rPr>
      </w:pPr>
      <w:r w:rsidRPr="00ED50C9">
        <w:rPr>
          <w:rFonts w:ascii="Times New Roman" w:hAnsi="Times New Roman" w:cs="Times New Roman"/>
          <w:kern w:val="2"/>
          <w:lang w:val="en-MY"/>
          <w14:ligatures w14:val="standardContextual"/>
        </w:rPr>
        <w:t xml:space="preserve">The research approach phase prompted me to contemplate the most suitable path to address my research question. For this research, I opted for the deductive reasoning approach, which involves deriving specific cases’ situations from a general rule (Okoli, 2021) and this aligns with my research objective to assess how specific variables impact customer satisfaction and purchase intention in the context of AI-driven recommendation systems. Initially, I considered primary research, to gather firsthand, </w:t>
      </w:r>
      <w:proofErr w:type="gramStart"/>
      <w:r w:rsidRPr="00ED50C9">
        <w:rPr>
          <w:rFonts w:ascii="Times New Roman" w:hAnsi="Times New Roman" w:cs="Times New Roman"/>
          <w:kern w:val="2"/>
          <w:lang w:val="en-MY"/>
          <w14:ligatures w14:val="standardContextual"/>
        </w:rPr>
        <w:t>authentic</w:t>
      </w:r>
      <w:proofErr w:type="gramEnd"/>
      <w:r w:rsidRPr="00ED50C9">
        <w:rPr>
          <w:rFonts w:ascii="Times New Roman" w:hAnsi="Times New Roman" w:cs="Times New Roman"/>
          <w:kern w:val="2"/>
          <w:lang w:val="en-MY"/>
          <w14:ligatures w14:val="standardContextual"/>
        </w:rPr>
        <w:t xml:space="preserve"> and reliable data (</w:t>
      </w:r>
      <w:proofErr w:type="spellStart"/>
      <w:r w:rsidRPr="00ED50C9">
        <w:rPr>
          <w:rFonts w:ascii="Times New Roman" w:hAnsi="Times New Roman" w:cs="Times New Roman"/>
          <w:kern w:val="2"/>
          <w:lang w:val="en-MY"/>
          <w14:ligatures w14:val="standardContextual"/>
        </w:rPr>
        <w:t>Taherdoost</w:t>
      </w:r>
      <w:proofErr w:type="spellEnd"/>
      <w:r w:rsidRPr="00ED50C9">
        <w:rPr>
          <w:rFonts w:ascii="Times New Roman" w:hAnsi="Times New Roman" w:cs="Times New Roman"/>
          <w:kern w:val="2"/>
          <w:lang w:val="en-MY"/>
          <w14:ligatures w14:val="standardContextual"/>
        </w:rPr>
        <w:t>, 2021), but later found it might be time and resource-intensive (Mishra &amp; Alok, 2022). Hence, I opted for a mixed-method approach, combining a questionnaire survey to gather data through respondents’ responses to a series of questions (</w:t>
      </w:r>
      <w:proofErr w:type="spellStart"/>
      <w:r w:rsidRPr="00ED50C9">
        <w:rPr>
          <w:rFonts w:ascii="Times New Roman" w:hAnsi="Times New Roman" w:cs="Times New Roman"/>
          <w:kern w:val="2"/>
          <w:lang w:val="en-MY"/>
          <w14:ligatures w14:val="standardContextual"/>
        </w:rPr>
        <w:t>Taherdoost</w:t>
      </w:r>
      <w:proofErr w:type="spellEnd"/>
      <w:r w:rsidRPr="00ED50C9">
        <w:rPr>
          <w:rFonts w:ascii="Times New Roman" w:hAnsi="Times New Roman" w:cs="Times New Roman"/>
          <w:kern w:val="2"/>
          <w:lang w:val="en-MY"/>
          <w14:ligatures w14:val="standardContextual"/>
        </w:rPr>
        <w:t xml:space="preserve">, 2022), with an analysis of secondary data. This choice offered me a more comprehensive view of the research problem. I began with reviewing literature for secondary data collection, to identify AI-driven recommendation system factors impacting consumer behaviour and structure my questionnaire. Then, I conducted primary data collection to confirm these factors’ relationship with consumer behaviour. </w:t>
      </w:r>
    </w:p>
    <w:p w14:paraId="09428677" w14:textId="77777777" w:rsidR="00ED50C9" w:rsidRPr="00ED50C9" w:rsidRDefault="00ED50C9" w:rsidP="00ED50C9">
      <w:pPr>
        <w:spacing w:line="360" w:lineRule="auto"/>
        <w:jc w:val="both"/>
        <w:rPr>
          <w:rFonts w:ascii="Times New Roman" w:hAnsi="Times New Roman" w:cs="Times New Roman"/>
          <w:kern w:val="2"/>
          <w:lang w:val="en-MY"/>
          <w14:ligatures w14:val="standardContextual"/>
        </w:rPr>
      </w:pPr>
      <w:r w:rsidRPr="00ED50C9">
        <w:rPr>
          <w:rFonts w:ascii="Times New Roman" w:hAnsi="Times New Roman" w:cs="Times New Roman"/>
          <w:kern w:val="2"/>
          <w:lang w:val="en-MY"/>
          <w14:ligatures w14:val="standardContextual"/>
        </w:rPr>
        <w:tab/>
        <w:t xml:space="preserve">Delving into a primary and secondary research stirred a mix of emotions. Surveying online excited me because they allowed for quick responses due to the convenience (Ball, 2019) and the potential for rich, firsthand data. However, concerns about response rates and time constraint loomed. Moreover, the vast literature pool provided a sense of security and broader contextual understanding of </w:t>
      </w:r>
      <w:r w:rsidRPr="00ED50C9">
        <w:rPr>
          <w:rFonts w:ascii="Times New Roman" w:hAnsi="Times New Roman" w:cs="Times New Roman"/>
          <w:kern w:val="2"/>
          <w:lang w:val="en-MY"/>
          <w14:ligatures w14:val="standardContextual"/>
        </w:rPr>
        <w:lastRenderedPageBreak/>
        <w:t>the topic (</w:t>
      </w:r>
      <w:proofErr w:type="spellStart"/>
      <w:r w:rsidRPr="00ED50C9">
        <w:rPr>
          <w:rFonts w:ascii="Times New Roman" w:hAnsi="Times New Roman" w:cs="Times New Roman"/>
          <w:kern w:val="2"/>
          <w:lang w:val="en-MY"/>
          <w14:ligatures w14:val="standardContextual"/>
        </w:rPr>
        <w:t>Linnenluecke</w:t>
      </w:r>
      <w:proofErr w:type="spellEnd"/>
      <w:r w:rsidRPr="00ED50C9">
        <w:rPr>
          <w:rFonts w:ascii="Times New Roman" w:hAnsi="Times New Roman" w:cs="Times New Roman"/>
          <w:kern w:val="2"/>
          <w:lang w:val="en-MY"/>
          <w14:ligatures w14:val="standardContextual"/>
        </w:rPr>
        <w:t xml:space="preserve">, Marrone &amp; Singh, 2020), required meticulous sifting within the constraints of a tight deadline. Given Malaysia’s diverse e-commerce platforms and the time constraint, I decided to limit respondents to Shopee users only. </w:t>
      </w:r>
    </w:p>
    <w:p w14:paraId="582D326F" w14:textId="77777777" w:rsidR="00ED50C9" w:rsidRPr="00ED50C9" w:rsidRDefault="00ED50C9" w:rsidP="00ED50C9">
      <w:pPr>
        <w:spacing w:line="360" w:lineRule="auto"/>
        <w:ind w:firstLine="720"/>
        <w:jc w:val="both"/>
        <w:rPr>
          <w:rFonts w:ascii="Times New Roman" w:hAnsi="Times New Roman" w:cs="Times New Roman"/>
          <w:kern w:val="2"/>
          <w:lang w:val="en-MY"/>
          <w14:ligatures w14:val="standardContextual"/>
        </w:rPr>
      </w:pPr>
      <w:r w:rsidRPr="00ED50C9">
        <w:rPr>
          <w:rFonts w:ascii="Times New Roman" w:hAnsi="Times New Roman" w:cs="Times New Roman"/>
          <w:kern w:val="2"/>
          <w:lang w:val="en-MY"/>
          <w14:ligatures w14:val="standardContextual"/>
        </w:rPr>
        <w:t xml:space="preserve">Choosing Shopee as the research context proved strategic due to its reputation and prominence, large user base, ensuring access to diverse potential respondents and enhancing data quality. Consequently, the results, obtained from correlation analysis using SPSS, aligned with the research objective and complemented the literature review, which strengthened the research’s academic foundation and contributed to the existing body of knowledge. However, limitations arose, such as excluding users of other platforms, reducing the sample size, and introducing selection bias. To enhance the research, diversifying the sample by including users from other platforms and complementing surveys with qualitative interviews for richer insights could have been considered. </w:t>
      </w:r>
    </w:p>
    <w:p w14:paraId="58F4B6CC" w14:textId="77777777" w:rsidR="00ED50C9" w:rsidRPr="00ED50C9" w:rsidRDefault="00ED50C9" w:rsidP="00ED50C9">
      <w:pPr>
        <w:spacing w:line="360" w:lineRule="auto"/>
        <w:jc w:val="both"/>
        <w:rPr>
          <w:rFonts w:ascii="Times New Roman" w:hAnsi="Times New Roman" w:cs="Times New Roman"/>
          <w:kern w:val="2"/>
          <w:lang w:val="en-MY"/>
          <w14:ligatures w14:val="standardContextual"/>
        </w:rPr>
      </w:pPr>
      <w:r w:rsidRPr="00ED50C9">
        <w:rPr>
          <w:rFonts w:ascii="Times New Roman" w:hAnsi="Times New Roman" w:cs="Times New Roman"/>
          <w:kern w:val="2"/>
          <w:lang w:val="en-MY"/>
          <w14:ligatures w14:val="standardContextual"/>
        </w:rPr>
        <w:tab/>
        <w:t xml:space="preserve">Creating the elevator pitch video was a valuable learning experience. I outlined key points, practiced delivery, and used Microsoft Teams for recording. One challenge I encountered was overcoming camera nerves, but I aimed for confidence, </w:t>
      </w:r>
      <w:proofErr w:type="gramStart"/>
      <w:r w:rsidRPr="00ED50C9">
        <w:rPr>
          <w:rFonts w:ascii="Times New Roman" w:hAnsi="Times New Roman" w:cs="Times New Roman"/>
          <w:kern w:val="2"/>
          <w:lang w:val="en-MY"/>
          <w14:ligatures w14:val="standardContextual"/>
        </w:rPr>
        <w:t>engagement</w:t>
      </w:r>
      <w:proofErr w:type="gramEnd"/>
      <w:r w:rsidRPr="00ED50C9">
        <w:rPr>
          <w:rFonts w:ascii="Times New Roman" w:hAnsi="Times New Roman" w:cs="Times New Roman"/>
          <w:kern w:val="2"/>
          <w:lang w:val="en-MY"/>
          <w14:ligatures w14:val="standardContextual"/>
        </w:rPr>
        <w:t xml:space="preserve"> and clarity. Additionally, adhering to a three-minute limit for the video was not enough to cover all aspects as it meant focusing on key aspects, simplifying language and logical structuring. Crafting this pitch forced me to distil complex information into a clear, concise message that developed my skill in communicating ideas effectively. This experience is a valuable skill-building opportunity, emphasizing concise and confident communication of complex ideas. It underscores adaptability to various communication challenges which would be beneficial in academic and professional contexts. Moreover, feedback from my lecturer suggests that I should allocate more practice time, seek input from peers, simplify complex information using visuals and enhance fluency and confidence, thereby I am considering investing in public speaking courses or workshops. From this task, I learned the importance of brevity, </w:t>
      </w:r>
      <w:proofErr w:type="gramStart"/>
      <w:r w:rsidRPr="00ED50C9">
        <w:rPr>
          <w:rFonts w:ascii="Times New Roman" w:hAnsi="Times New Roman" w:cs="Times New Roman"/>
          <w:kern w:val="2"/>
          <w:lang w:val="en-MY"/>
          <w14:ligatures w14:val="standardContextual"/>
        </w:rPr>
        <w:t>clarity</w:t>
      </w:r>
      <w:proofErr w:type="gramEnd"/>
      <w:r w:rsidRPr="00ED50C9">
        <w:rPr>
          <w:rFonts w:ascii="Times New Roman" w:hAnsi="Times New Roman" w:cs="Times New Roman"/>
          <w:kern w:val="2"/>
          <w:lang w:val="en-MY"/>
          <w14:ligatures w14:val="standardContextual"/>
        </w:rPr>
        <w:t xml:space="preserve"> and confidence in delivering compelling pitches.</w:t>
      </w:r>
    </w:p>
    <w:p w14:paraId="3F158E38" w14:textId="77777777" w:rsidR="00ED50C9" w:rsidRPr="00ED50C9" w:rsidRDefault="00ED50C9" w:rsidP="00ED50C9">
      <w:pPr>
        <w:spacing w:line="360" w:lineRule="auto"/>
        <w:jc w:val="both"/>
        <w:rPr>
          <w:rFonts w:ascii="Times New Roman" w:hAnsi="Times New Roman" w:cs="Times New Roman"/>
          <w:kern w:val="2"/>
          <w:lang w:val="en-MY"/>
          <w14:ligatures w14:val="standardContextual"/>
        </w:rPr>
      </w:pPr>
      <w:r w:rsidRPr="00ED50C9">
        <w:rPr>
          <w:rFonts w:ascii="Times New Roman" w:hAnsi="Times New Roman" w:cs="Times New Roman"/>
          <w:kern w:val="2"/>
          <w:lang w:val="en-MY"/>
          <w14:ligatures w14:val="standardContextual"/>
        </w:rPr>
        <w:tab/>
        <w:t>Poster creation was an interesting experience for me. I enjoyed the creative aspect of designing and laying out the content. It allowed me to visually represent the key aspects of my research, which can be a very effective way to communicate complex information. The poster’s visual design and layout went well as I found a balance between text and visuals, which made the poster engaging and informative. Additionally, I received positive feedback from my family about the overall design. However, space limitations were a challenge. I wanted to say more about my research, but I had to prioritize the most essential points. To improve, I plan to refine content further, using more visual elements to convey information, such as graphs or diagrams, and start the design process earlier to allow more time for revisions and feedback. Seeking resources or workshops on effective poster design will also be beneficial.</w:t>
      </w:r>
    </w:p>
    <w:bookmarkEnd w:id="2"/>
    <w:p w14:paraId="38FDD994" w14:textId="77777777" w:rsidR="00ED50C9" w:rsidRPr="00ED50C9" w:rsidRDefault="00ED50C9" w:rsidP="00ED50C9">
      <w:pPr>
        <w:spacing w:line="360" w:lineRule="auto"/>
        <w:jc w:val="both"/>
        <w:rPr>
          <w:rFonts w:ascii="Times New Roman" w:hAnsi="Times New Roman" w:cs="Times New Roman"/>
          <w:b/>
          <w:bCs/>
          <w:kern w:val="2"/>
          <w:lang w:val="en-MY"/>
          <w14:ligatures w14:val="standardContextual"/>
        </w:rPr>
      </w:pPr>
      <w:r w:rsidRPr="00ED50C9">
        <w:rPr>
          <w:rFonts w:ascii="Times New Roman" w:hAnsi="Times New Roman" w:cs="Times New Roman"/>
          <w:b/>
          <w:bCs/>
          <w:kern w:val="2"/>
          <w:lang w:val="en-MY"/>
          <w14:ligatures w14:val="standardContextual"/>
        </w:rPr>
        <w:t>4.0 Individual Learning</w:t>
      </w:r>
    </w:p>
    <w:p w14:paraId="7D90D76E" w14:textId="77777777" w:rsidR="00ED50C9" w:rsidRPr="00ED50C9" w:rsidRDefault="00ED50C9" w:rsidP="00ED50C9">
      <w:pPr>
        <w:spacing w:line="360" w:lineRule="auto"/>
        <w:jc w:val="both"/>
        <w:rPr>
          <w:rFonts w:ascii="Times New Roman" w:hAnsi="Times New Roman" w:cs="Times New Roman"/>
          <w:kern w:val="2"/>
          <w:lang w:val="en-MY"/>
          <w14:ligatures w14:val="standardContextual"/>
        </w:rPr>
      </w:pPr>
      <w:r w:rsidRPr="00ED50C9">
        <w:rPr>
          <w:rFonts w:ascii="Times New Roman" w:hAnsi="Times New Roman" w:cs="Times New Roman"/>
          <w:kern w:val="2"/>
          <w:lang w:val="en-MY"/>
          <w14:ligatures w14:val="standardContextual"/>
        </w:rPr>
        <w:lastRenderedPageBreak/>
        <w:t xml:space="preserve">Throughout this research learning, I have developed and refined several critical skills, especially in the art of research. I have learned how to identify research problems, frame research </w:t>
      </w:r>
      <w:proofErr w:type="gramStart"/>
      <w:r w:rsidRPr="00ED50C9">
        <w:rPr>
          <w:rFonts w:ascii="Times New Roman" w:hAnsi="Times New Roman" w:cs="Times New Roman"/>
          <w:kern w:val="2"/>
          <w:lang w:val="en-MY"/>
          <w14:ligatures w14:val="standardContextual"/>
        </w:rPr>
        <w:t>questions</w:t>
      </w:r>
      <w:proofErr w:type="gramEnd"/>
      <w:r w:rsidRPr="00ED50C9">
        <w:rPr>
          <w:rFonts w:ascii="Times New Roman" w:hAnsi="Times New Roman" w:cs="Times New Roman"/>
          <w:kern w:val="2"/>
          <w:lang w:val="en-MY"/>
          <w14:ligatures w14:val="standardContextual"/>
        </w:rPr>
        <w:t xml:space="preserve"> and conduct comprehensive literature reviews. These skills are invaluable for any researcher, as they provide the foundation for informed decision-making and problem-solving (</w:t>
      </w:r>
      <w:proofErr w:type="spellStart"/>
      <w:r w:rsidRPr="00ED50C9">
        <w:rPr>
          <w:rFonts w:ascii="Times New Roman" w:hAnsi="Times New Roman" w:cs="Times New Roman"/>
          <w:kern w:val="2"/>
          <w:lang w:val="en-MY"/>
          <w14:ligatures w14:val="standardContextual"/>
        </w:rPr>
        <w:t>Mydin</w:t>
      </w:r>
      <w:proofErr w:type="spellEnd"/>
      <w:r w:rsidRPr="00ED50C9">
        <w:rPr>
          <w:rFonts w:ascii="Times New Roman" w:hAnsi="Times New Roman" w:cs="Times New Roman"/>
          <w:kern w:val="2"/>
          <w:lang w:val="en-MY"/>
          <w14:ligatures w14:val="standardContextual"/>
        </w:rPr>
        <w:t>, Rahman &amp; Mohammad, 2021). Moreover, I have become adept at designing and conducting primary research, particularly through questionnaire surveys. This experience has enabled me to understand the practical aspects of data collection, from crafting effective survey questions to managing and analyzing data sets. As a result, I have gained a working knowledge of statistical software and data analysis techniques from self-learning via Moodle, which are increasingly vital in today’s data-driven world. Furthermore, Moodle has served as a valuable repository of insights, not only enhancing my understanding of idea generation but also fostering creativity in approaches to idea presentation. This diverse knowledge base has been instrumental in shaping my holistic learning experience.</w:t>
      </w:r>
    </w:p>
    <w:p w14:paraId="38A5A0E8" w14:textId="77777777" w:rsidR="00ED50C9" w:rsidRPr="00ED50C9" w:rsidRDefault="00ED50C9" w:rsidP="00ED50C9">
      <w:pPr>
        <w:spacing w:line="360" w:lineRule="auto"/>
        <w:jc w:val="both"/>
        <w:rPr>
          <w:rFonts w:ascii="Times New Roman" w:hAnsi="Times New Roman" w:cs="Times New Roman"/>
          <w:kern w:val="2"/>
          <w:lang w:val="en-MY"/>
          <w14:ligatures w14:val="standardContextual"/>
        </w:rPr>
      </w:pPr>
      <w:r w:rsidRPr="00ED50C9">
        <w:rPr>
          <w:rFonts w:ascii="Times New Roman" w:hAnsi="Times New Roman" w:cs="Times New Roman"/>
          <w:kern w:val="2"/>
          <w:lang w:val="en-MY"/>
          <w14:ligatures w14:val="standardContextual"/>
        </w:rPr>
        <w:tab/>
        <w:t xml:space="preserve">I found great enjoyment in the challenges presented by this research journey. Tackling research question, delving deep into literature to unearth insights, and the sense of accomplishment that followed each milestone were highly satisfying. Additionally, I relished the creative aspects of research, such as designing a research poster and producing an elevator pitch video. These elements allowed me to combine analytical thinking with creativity, resulting in engaging outputs. However, I also encountered certain aspects that were less enjoyable. For instance, grappling with word count restrictions in Assessment 1 and time limit in the elevator pitch video, proved to be a test of brevity and clarity. The pressure of conveying complex ideas like this was occasionally frustrating. </w:t>
      </w:r>
    </w:p>
    <w:p w14:paraId="451AA731" w14:textId="77777777" w:rsidR="00ED50C9" w:rsidRPr="00ED50C9" w:rsidRDefault="00ED50C9" w:rsidP="00ED50C9">
      <w:pPr>
        <w:spacing w:line="360" w:lineRule="auto"/>
        <w:jc w:val="both"/>
        <w:rPr>
          <w:rFonts w:ascii="Times New Roman" w:hAnsi="Times New Roman" w:cs="Times New Roman"/>
          <w:kern w:val="2"/>
          <w:lang w:val="en-MY"/>
          <w14:ligatures w14:val="standardContextual"/>
        </w:rPr>
      </w:pPr>
      <w:r w:rsidRPr="00ED50C9">
        <w:rPr>
          <w:rFonts w:ascii="Times New Roman" w:hAnsi="Times New Roman" w:cs="Times New Roman"/>
          <w:kern w:val="2"/>
          <w:lang w:val="en-MY"/>
          <w14:ligatures w14:val="standardContextual"/>
        </w:rPr>
        <w:tab/>
        <w:t>Throughout this journey, I have pinpointed certain areas in need of improvement. One challenge I encountered was time management, especially when dealing with multiple tasks and deadlines. There were instances where I needed to allocate my time more efficiently to ensure each research’s aspect received adequate attention. Furthermore, I identified room for growth in my data visualization skills as creating impactful visuals to convey research findings is vital for effective communication across diverse audiences (Asamoah, 2022).</w:t>
      </w:r>
    </w:p>
    <w:p w14:paraId="2A8CE482" w14:textId="0F5938DA" w:rsidR="00ED50C9" w:rsidRPr="00ED50C9" w:rsidRDefault="00ED50C9" w:rsidP="00ED50C9">
      <w:pPr>
        <w:spacing w:line="360" w:lineRule="auto"/>
        <w:jc w:val="both"/>
        <w:rPr>
          <w:rFonts w:ascii="Times New Roman" w:hAnsi="Times New Roman" w:cs="Times New Roman"/>
          <w:kern w:val="2"/>
          <w:lang w:val="en-MY"/>
          <w14:ligatures w14:val="standardContextual"/>
        </w:rPr>
      </w:pPr>
      <w:r w:rsidRPr="00ED50C9">
        <w:rPr>
          <w:rFonts w:ascii="Times New Roman" w:hAnsi="Times New Roman" w:cs="Times New Roman"/>
          <w:kern w:val="2"/>
          <w:lang w:val="en-MY"/>
          <w14:ligatures w14:val="standardContextual"/>
        </w:rPr>
        <w:tab/>
        <w:t xml:space="preserve">To tackle these areas and build on my strengths, I plan to employ time management tools and techniques like the Pomodoro technique, which involves breaking work into 25-minute intervals followed by short breaks (Costales, Abellana, Gracia &amp; Devaraj, 2021). This will help me better manage my time across various tasks, enhancing focus and productivity while alleviating the stress of tight deadlines (Usman, 2020). To enhance my data visualization skills, I will explore relevant courses or workshops to learn how to represent complex data effectively, especially in making research findings more engaging and accessible to a broader audience. Additionally, I will learn to refine my elevator pitch and presentation skills by actively seeking opportunities for public speaking practice. </w:t>
      </w:r>
      <w:r w:rsidR="00E20467">
        <w:rPr>
          <w:rFonts w:ascii="Times New Roman" w:hAnsi="Times New Roman" w:cs="Times New Roman"/>
          <w:kern w:val="2"/>
          <w:lang w:val="en-MY"/>
          <w14:ligatures w14:val="standardContextual"/>
        </w:rPr>
        <w:t>T</w:t>
      </w:r>
      <w:r w:rsidRPr="00ED50C9">
        <w:rPr>
          <w:rFonts w:ascii="Times New Roman" w:hAnsi="Times New Roman" w:cs="Times New Roman"/>
          <w:kern w:val="2"/>
          <w:lang w:val="en-MY"/>
          <w14:ligatures w14:val="standardContextual"/>
        </w:rPr>
        <w:t xml:space="preserve">his may </w:t>
      </w:r>
      <w:r w:rsidRPr="00ED50C9">
        <w:rPr>
          <w:rFonts w:ascii="Times New Roman" w:hAnsi="Times New Roman" w:cs="Times New Roman"/>
          <w:kern w:val="2"/>
          <w:lang w:val="en-MY"/>
          <w14:ligatures w14:val="standardContextual"/>
        </w:rPr>
        <w:lastRenderedPageBreak/>
        <w:t>involve participation in workshops, joining public speaking clubs, or engaging in mock presentations with peers or mentors.</w:t>
      </w:r>
    </w:p>
    <w:p w14:paraId="7A2723AB" w14:textId="77777777" w:rsidR="00ED50C9" w:rsidRPr="00ED50C9" w:rsidRDefault="00ED50C9" w:rsidP="00ED50C9">
      <w:pPr>
        <w:spacing w:line="360" w:lineRule="auto"/>
        <w:jc w:val="both"/>
        <w:rPr>
          <w:rFonts w:ascii="Times New Roman" w:hAnsi="Times New Roman" w:cs="Times New Roman"/>
          <w:kern w:val="2"/>
          <w:lang w:val="en-MY"/>
          <w14:ligatures w14:val="standardContextual"/>
        </w:rPr>
      </w:pPr>
      <w:r w:rsidRPr="00ED50C9">
        <w:rPr>
          <w:rFonts w:ascii="Times New Roman" w:hAnsi="Times New Roman" w:cs="Times New Roman"/>
          <w:kern w:val="2"/>
          <w:lang w:val="en-MY"/>
          <w14:ligatures w14:val="standardContextual"/>
        </w:rPr>
        <w:tab/>
        <w:t>In the workplace, I foresee using these skills and knowledge to contribute to evidence-based decision-making. My ability to identify research problems, design data collection and analysis strategies, and communicate complex information will be valuable in roles that require problem-solving and research-oriented tasks, which are significant in marketing positions. These skills are highly transferable and will empower me to excel in various professional contexts, spanning research, academia, industry and beyond.</w:t>
      </w:r>
    </w:p>
    <w:p w14:paraId="4A904C29" w14:textId="77777777" w:rsidR="00ED50C9" w:rsidRPr="00ED50C9" w:rsidRDefault="00ED50C9" w:rsidP="00ED50C9">
      <w:pPr>
        <w:spacing w:line="360" w:lineRule="auto"/>
        <w:jc w:val="both"/>
        <w:rPr>
          <w:rFonts w:ascii="Times New Roman" w:hAnsi="Times New Roman" w:cs="Times New Roman"/>
          <w:b/>
          <w:bCs/>
          <w:kern w:val="2"/>
          <w:lang w:val="en-MY"/>
          <w14:ligatures w14:val="standardContextual"/>
        </w:rPr>
      </w:pPr>
      <w:r w:rsidRPr="00ED50C9">
        <w:rPr>
          <w:rFonts w:ascii="Times New Roman" w:hAnsi="Times New Roman" w:cs="Times New Roman"/>
          <w:b/>
          <w:bCs/>
          <w:kern w:val="2"/>
          <w:lang w:val="en-MY"/>
          <w14:ligatures w14:val="standardContextual"/>
        </w:rPr>
        <w:t>5.0 Conclusion</w:t>
      </w:r>
    </w:p>
    <w:p w14:paraId="7D89E235" w14:textId="20BD1DC9" w:rsidR="00ED50C9" w:rsidRDefault="00ED50C9" w:rsidP="00ED50C9">
      <w:pPr>
        <w:spacing w:line="360" w:lineRule="auto"/>
        <w:jc w:val="both"/>
        <w:rPr>
          <w:rFonts w:ascii="Times New Roman" w:hAnsi="Times New Roman" w:cs="Times New Roman"/>
          <w:kern w:val="2"/>
          <w:lang w:val="en-MY"/>
          <w14:ligatures w14:val="standardContextual"/>
        </w:rPr>
      </w:pPr>
      <w:r w:rsidRPr="00ED50C9">
        <w:rPr>
          <w:rFonts w:ascii="Times New Roman" w:hAnsi="Times New Roman" w:cs="Times New Roman"/>
          <w:kern w:val="2"/>
          <w:lang w:val="en-MY"/>
          <w14:ligatures w14:val="standardContextual"/>
        </w:rPr>
        <w:t>This reflective journey using Gibb’s Reflective Model (1988) through the research process has honed my skills and deepened my understanding. It began with a broad fascination with AI-driven recommendation systems and evolved into a well-defined research question about their impact on consumer behaviour in e-commerce. The challenges of word limit and time management were acknowledged, highlighting the importance of balance in research communication. The experiences of primary and secondary research, along with creating an elevator pitch video and a research poster through self-learning, emphasized the need for concise and engaging communication. These skills will undoubtedly benefit evidence-based decision-making in diverse professional contexts, marking a transformative step in my academic and professional journey.</w:t>
      </w:r>
    </w:p>
    <w:p w14:paraId="122C58F3" w14:textId="77777777" w:rsidR="00ED50C9" w:rsidRDefault="00ED50C9">
      <w:pPr>
        <w:rPr>
          <w:rFonts w:ascii="Times New Roman" w:hAnsi="Times New Roman" w:cs="Times New Roman"/>
          <w:kern w:val="2"/>
          <w:lang w:val="en-MY"/>
          <w14:ligatures w14:val="standardContextual"/>
        </w:rPr>
      </w:pPr>
      <w:r>
        <w:rPr>
          <w:rFonts w:ascii="Times New Roman" w:hAnsi="Times New Roman" w:cs="Times New Roman"/>
          <w:kern w:val="2"/>
          <w:lang w:val="en-MY"/>
          <w14:ligatures w14:val="standardContextual"/>
        </w:rPr>
        <w:br w:type="page"/>
      </w:r>
    </w:p>
    <w:p w14:paraId="4A5D2D35" w14:textId="77777777" w:rsidR="00ED50C9" w:rsidRPr="00B14626" w:rsidRDefault="00ED50C9" w:rsidP="00ED50C9">
      <w:pPr>
        <w:spacing w:line="360" w:lineRule="auto"/>
        <w:jc w:val="both"/>
        <w:rPr>
          <w:rFonts w:ascii="Times New Roman" w:hAnsi="Times New Roman" w:cs="Times New Roman"/>
          <w:b/>
          <w:bCs/>
        </w:rPr>
      </w:pPr>
      <w:r w:rsidRPr="00B14626">
        <w:rPr>
          <w:rFonts w:ascii="Times New Roman" w:hAnsi="Times New Roman" w:cs="Times New Roman"/>
          <w:b/>
          <w:bCs/>
        </w:rPr>
        <w:lastRenderedPageBreak/>
        <w:t>References</w:t>
      </w:r>
    </w:p>
    <w:p w14:paraId="739C164E" w14:textId="77777777" w:rsidR="00ED50C9" w:rsidRPr="0021738F" w:rsidRDefault="00ED50C9" w:rsidP="00ED50C9">
      <w:pPr>
        <w:pStyle w:val="NormalWeb"/>
        <w:spacing w:line="360" w:lineRule="auto"/>
        <w:ind w:left="567" w:hanging="567"/>
        <w:jc w:val="both"/>
        <w:rPr>
          <w:sz w:val="22"/>
          <w:szCs w:val="22"/>
        </w:rPr>
      </w:pPr>
      <w:proofErr w:type="spellStart"/>
      <w:r w:rsidRPr="0021738F">
        <w:rPr>
          <w:sz w:val="22"/>
          <w:szCs w:val="22"/>
        </w:rPr>
        <w:t>Adeani</w:t>
      </w:r>
      <w:proofErr w:type="spellEnd"/>
      <w:r w:rsidRPr="0021738F">
        <w:rPr>
          <w:sz w:val="22"/>
          <w:szCs w:val="22"/>
        </w:rPr>
        <w:t xml:space="preserve">, I. S., </w:t>
      </w:r>
      <w:proofErr w:type="spellStart"/>
      <w:r w:rsidRPr="0021738F">
        <w:rPr>
          <w:sz w:val="22"/>
          <w:szCs w:val="22"/>
        </w:rPr>
        <w:t>Febriani</w:t>
      </w:r>
      <w:proofErr w:type="spellEnd"/>
      <w:r w:rsidRPr="0021738F">
        <w:rPr>
          <w:sz w:val="22"/>
          <w:szCs w:val="22"/>
        </w:rPr>
        <w:t xml:space="preserve">, R. B., &amp; </w:t>
      </w:r>
      <w:proofErr w:type="spellStart"/>
      <w:r w:rsidRPr="0021738F">
        <w:rPr>
          <w:sz w:val="22"/>
          <w:szCs w:val="22"/>
        </w:rPr>
        <w:t>Syafryadin</w:t>
      </w:r>
      <w:proofErr w:type="spellEnd"/>
      <w:r w:rsidRPr="0021738F">
        <w:rPr>
          <w:sz w:val="22"/>
          <w:szCs w:val="22"/>
        </w:rPr>
        <w:t xml:space="preserve">. (2020). Using Gibbs Reflective Cycle in Making Reflections of Literary Analysis. </w:t>
      </w:r>
      <w:r w:rsidRPr="0021738F">
        <w:rPr>
          <w:i/>
          <w:iCs/>
          <w:sz w:val="22"/>
          <w:szCs w:val="22"/>
        </w:rPr>
        <w:t>Indonesian EFL Journal</w:t>
      </w:r>
      <w:r w:rsidRPr="0021738F">
        <w:rPr>
          <w:sz w:val="22"/>
          <w:szCs w:val="22"/>
        </w:rPr>
        <w:t xml:space="preserve">, </w:t>
      </w:r>
      <w:r w:rsidRPr="0021738F">
        <w:rPr>
          <w:i/>
          <w:iCs/>
          <w:sz w:val="22"/>
          <w:szCs w:val="22"/>
        </w:rPr>
        <w:t>6</w:t>
      </w:r>
      <w:r w:rsidRPr="0021738F">
        <w:rPr>
          <w:sz w:val="22"/>
          <w:szCs w:val="22"/>
        </w:rPr>
        <w:t xml:space="preserve">(2), 139. https://doi.org/10.25134/ieflj.v6i2.3382 </w:t>
      </w:r>
    </w:p>
    <w:p w14:paraId="46109630" w14:textId="77777777" w:rsidR="00ED50C9" w:rsidRPr="0021738F" w:rsidRDefault="00ED50C9" w:rsidP="00ED50C9">
      <w:pPr>
        <w:spacing w:line="360" w:lineRule="auto"/>
        <w:ind w:left="567" w:hanging="567"/>
        <w:jc w:val="both"/>
        <w:rPr>
          <w:rFonts w:ascii="Times New Roman" w:hAnsi="Times New Roman" w:cs="Times New Roman"/>
        </w:rPr>
      </w:pPr>
      <w:r w:rsidRPr="0021738F">
        <w:rPr>
          <w:rFonts w:ascii="Times New Roman" w:hAnsi="Times New Roman" w:cs="Times New Roman"/>
        </w:rPr>
        <w:t>Asamoah, D. (2022). Improving Data Visualization Skills: A Curriculum Design. </w:t>
      </w:r>
      <w:r w:rsidRPr="0021738F">
        <w:rPr>
          <w:rFonts w:ascii="Times New Roman" w:hAnsi="Times New Roman" w:cs="Times New Roman"/>
          <w:i/>
          <w:iCs/>
        </w:rPr>
        <w:t>International Journal of Education and Development Using Information and Communication Technology</w:t>
      </w:r>
      <w:r w:rsidRPr="0021738F">
        <w:rPr>
          <w:rFonts w:ascii="Times New Roman" w:hAnsi="Times New Roman" w:cs="Times New Roman"/>
        </w:rPr>
        <w:t>, </w:t>
      </w:r>
      <w:r w:rsidRPr="0021738F">
        <w:rPr>
          <w:rFonts w:ascii="Times New Roman" w:hAnsi="Times New Roman" w:cs="Times New Roman"/>
          <w:i/>
          <w:iCs/>
        </w:rPr>
        <w:t>18</w:t>
      </w:r>
      <w:r w:rsidRPr="0021738F">
        <w:rPr>
          <w:rFonts w:ascii="Times New Roman" w:hAnsi="Times New Roman" w:cs="Times New Roman"/>
        </w:rPr>
        <w:t>(1), 213-235.</w:t>
      </w:r>
    </w:p>
    <w:p w14:paraId="055E7FFD" w14:textId="77777777" w:rsidR="00ED50C9" w:rsidRPr="0021738F" w:rsidRDefault="00ED50C9" w:rsidP="00ED50C9">
      <w:pPr>
        <w:spacing w:line="360" w:lineRule="auto"/>
        <w:ind w:left="567" w:hanging="567"/>
        <w:jc w:val="both"/>
        <w:rPr>
          <w:rFonts w:ascii="Times New Roman" w:hAnsi="Times New Roman" w:cs="Times New Roman"/>
        </w:rPr>
      </w:pPr>
      <w:r w:rsidRPr="0021738F">
        <w:rPr>
          <w:rFonts w:ascii="Times New Roman" w:hAnsi="Times New Roman" w:cs="Times New Roman"/>
        </w:rPr>
        <w:t>Ball, H. L. (2019). Conducting online surveys. </w:t>
      </w:r>
      <w:r w:rsidRPr="0021738F">
        <w:rPr>
          <w:rFonts w:ascii="Times New Roman" w:hAnsi="Times New Roman" w:cs="Times New Roman"/>
          <w:i/>
          <w:iCs/>
        </w:rPr>
        <w:t>Journal of human lactation</w:t>
      </w:r>
      <w:r w:rsidRPr="0021738F">
        <w:rPr>
          <w:rFonts w:ascii="Times New Roman" w:hAnsi="Times New Roman" w:cs="Times New Roman"/>
        </w:rPr>
        <w:t>, </w:t>
      </w:r>
      <w:r w:rsidRPr="0021738F">
        <w:rPr>
          <w:rFonts w:ascii="Times New Roman" w:hAnsi="Times New Roman" w:cs="Times New Roman"/>
          <w:i/>
          <w:iCs/>
        </w:rPr>
        <w:t>35</w:t>
      </w:r>
      <w:r w:rsidRPr="0021738F">
        <w:rPr>
          <w:rFonts w:ascii="Times New Roman" w:hAnsi="Times New Roman" w:cs="Times New Roman"/>
        </w:rPr>
        <w:t>(3), 413-417.</w:t>
      </w:r>
    </w:p>
    <w:p w14:paraId="1560CA81" w14:textId="77777777" w:rsidR="00ED50C9" w:rsidRPr="0021738F" w:rsidRDefault="00ED50C9" w:rsidP="00ED50C9">
      <w:pPr>
        <w:pStyle w:val="NormalWeb"/>
        <w:spacing w:line="360" w:lineRule="auto"/>
        <w:ind w:left="567" w:hanging="567"/>
        <w:jc w:val="both"/>
        <w:rPr>
          <w:sz w:val="22"/>
          <w:szCs w:val="22"/>
        </w:rPr>
      </w:pPr>
      <w:r w:rsidRPr="0021738F">
        <w:rPr>
          <w:sz w:val="22"/>
          <w:szCs w:val="22"/>
        </w:rPr>
        <w:t xml:space="preserve">Behera, R. K., Gunasekaran, A., Gupta, S., Kamboj, S., &amp; Bala, P. K. (2020). Personalized Digital Marketing Recommender engine. </w:t>
      </w:r>
      <w:r w:rsidRPr="0021738F">
        <w:rPr>
          <w:i/>
          <w:iCs/>
          <w:sz w:val="22"/>
          <w:szCs w:val="22"/>
        </w:rPr>
        <w:t>Journal of Retailing and Consumer Services</w:t>
      </w:r>
      <w:r w:rsidRPr="0021738F">
        <w:rPr>
          <w:sz w:val="22"/>
          <w:szCs w:val="22"/>
        </w:rPr>
        <w:t xml:space="preserve">, </w:t>
      </w:r>
      <w:r w:rsidRPr="0021738F">
        <w:rPr>
          <w:i/>
          <w:iCs/>
          <w:sz w:val="22"/>
          <w:szCs w:val="22"/>
        </w:rPr>
        <w:t>53</w:t>
      </w:r>
      <w:r w:rsidRPr="0021738F">
        <w:rPr>
          <w:sz w:val="22"/>
          <w:szCs w:val="22"/>
        </w:rPr>
        <w:t xml:space="preserve">, 101799. https://doi.org/10.1016/j.jretconser.2019.03.026 </w:t>
      </w:r>
    </w:p>
    <w:p w14:paraId="3D45762E" w14:textId="77777777" w:rsidR="00ED50C9" w:rsidRPr="0021738F" w:rsidRDefault="00ED50C9" w:rsidP="00ED50C9">
      <w:pPr>
        <w:pStyle w:val="NormalWeb"/>
        <w:spacing w:line="360" w:lineRule="auto"/>
        <w:ind w:left="567" w:hanging="567"/>
        <w:jc w:val="both"/>
        <w:rPr>
          <w:sz w:val="22"/>
          <w:szCs w:val="22"/>
        </w:rPr>
      </w:pPr>
      <w:r w:rsidRPr="0021738F">
        <w:rPr>
          <w:sz w:val="22"/>
          <w:szCs w:val="22"/>
        </w:rPr>
        <w:t xml:space="preserve">Costales, J., Abellana, J., Gracia, J., &amp; Devaraj, M. (2021). A learning assessment applying Pomodoro technique as a productivity tool for online learning. </w:t>
      </w:r>
      <w:r w:rsidRPr="0021738F">
        <w:rPr>
          <w:i/>
          <w:iCs/>
          <w:sz w:val="22"/>
          <w:szCs w:val="22"/>
        </w:rPr>
        <w:t>Proceedings of the 13th International Conference on Education Technology and Computers</w:t>
      </w:r>
      <w:r w:rsidRPr="0021738F">
        <w:rPr>
          <w:sz w:val="22"/>
          <w:szCs w:val="22"/>
        </w:rPr>
        <w:t xml:space="preserve">. https://doi.org/10.1145/3498765.3498844 </w:t>
      </w:r>
    </w:p>
    <w:p w14:paraId="2CD388D8" w14:textId="77777777" w:rsidR="00ED50C9" w:rsidRPr="0021738F" w:rsidRDefault="00ED50C9" w:rsidP="00ED50C9">
      <w:pPr>
        <w:spacing w:line="360" w:lineRule="auto"/>
        <w:ind w:left="567" w:hanging="567"/>
        <w:jc w:val="both"/>
        <w:rPr>
          <w:rFonts w:ascii="Times New Roman" w:hAnsi="Times New Roman" w:cs="Times New Roman"/>
        </w:rPr>
      </w:pPr>
      <w:r w:rsidRPr="0021738F">
        <w:rPr>
          <w:rFonts w:ascii="Times New Roman" w:hAnsi="Times New Roman" w:cs="Times New Roman"/>
        </w:rPr>
        <w:t>Gibbs, G. (1988). Learning by doing: A guide to teaching and learning methods. Further Education Unit.</w:t>
      </w:r>
    </w:p>
    <w:p w14:paraId="4A35A0E8" w14:textId="77777777" w:rsidR="00ED50C9" w:rsidRPr="0021738F" w:rsidRDefault="00ED50C9" w:rsidP="00ED50C9">
      <w:pPr>
        <w:spacing w:line="360" w:lineRule="auto"/>
        <w:ind w:left="567" w:hanging="567"/>
        <w:jc w:val="both"/>
        <w:rPr>
          <w:rFonts w:ascii="Times New Roman" w:hAnsi="Times New Roman" w:cs="Times New Roman"/>
        </w:rPr>
      </w:pPr>
      <w:proofErr w:type="spellStart"/>
      <w:r w:rsidRPr="0021738F">
        <w:rPr>
          <w:rFonts w:ascii="Times New Roman" w:hAnsi="Times New Roman" w:cs="Times New Roman"/>
        </w:rPr>
        <w:t>Jannach</w:t>
      </w:r>
      <w:proofErr w:type="spellEnd"/>
      <w:r w:rsidRPr="0021738F">
        <w:rPr>
          <w:rFonts w:ascii="Times New Roman" w:hAnsi="Times New Roman" w:cs="Times New Roman"/>
        </w:rPr>
        <w:t xml:space="preserve">, D., &amp; Jugovac, M. (2019). Measuring the business value of Recommender Systems. </w:t>
      </w:r>
      <w:r w:rsidRPr="0021738F">
        <w:rPr>
          <w:rFonts w:ascii="Times New Roman" w:hAnsi="Times New Roman" w:cs="Times New Roman"/>
          <w:i/>
          <w:iCs/>
        </w:rPr>
        <w:t>ACM Transactions on Management Information Systems, 10</w:t>
      </w:r>
      <w:r w:rsidRPr="0021738F">
        <w:rPr>
          <w:rFonts w:ascii="Times New Roman" w:hAnsi="Times New Roman" w:cs="Times New Roman"/>
        </w:rPr>
        <w:t>(4), 1–23. https://doi.org/10.1145/3370082</w:t>
      </w:r>
    </w:p>
    <w:p w14:paraId="066AC757" w14:textId="77777777" w:rsidR="00ED50C9" w:rsidRPr="0021738F" w:rsidRDefault="00ED50C9" w:rsidP="00ED50C9">
      <w:pPr>
        <w:spacing w:line="360" w:lineRule="auto"/>
        <w:ind w:left="567" w:hanging="567"/>
        <w:jc w:val="both"/>
        <w:rPr>
          <w:rFonts w:ascii="Times New Roman" w:hAnsi="Times New Roman" w:cs="Times New Roman"/>
        </w:rPr>
      </w:pPr>
      <w:r w:rsidRPr="0021738F">
        <w:rPr>
          <w:rFonts w:ascii="Times New Roman" w:hAnsi="Times New Roman" w:cs="Times New Roman"/>
        </w:rPr>
        <w:t>Kim, J, Choi, I., &amp; Li, Q. (2021). Customer satisfaction of Recommender system: Examining accuracy and diversity in several types of recommendation approaches. Sustainability, 13(11), 6165. https://doi.org/10.3390/su13116165</w:t>
      </w:r>
    </w:p>
    <w:p w14:paraId="496E0D07" w14:textId="77777777" w:rsidR="00ED50C9" w:rsidRPr="0021738F" w:rsidRDefault="00ED50C9" w:rsidP="00ED50C9">
      <w:pPr>
        <w:spacing w:line="360" w:lineRule="auto"/>
        <w:ind w:left="567" w:hanging="567"/>
        <w:jc w:val="both"/>
        <w:rPr>
          <w:rFonts w:ascii="Times New Roman" w:hAnsi="Times New Roman" w:cs="Times New Roman"/>
        </w:rPr>
      </w:pPr>
      <w:r w:rsidRPr="0021738F">
        <w:rPr>
          <w:rFonts w:ascii="Times New Roman" w:hAnsi="Times New Roman" w:cs="Times New Roman"/>
        </w:rPr>
        <w:t xml:space="preserve">Li, Y., Chen, W., Liu, C., &amp; Deng, M. (2020). Nurses’ psychological feelings about the application of Gibbs reflective cycle of adverse events. </w:t>
      </w:r>
      <w:r w:rsidRPr="0021738F">
        <w:rPr>
          <w:rFonts w:ascii="Times New Roman" w:hAnsi="Times New Roman" w:cs="Times New Roman"/>
          <w:i/>
          <w:iCs/>
        </w:rPr>
        <w:t>American Journal of Nursing Science</w:t>
      </w:r>
      <w:r w:rsidRPr="0021738F">
        <w:rPr>
          <w:rFonts w:ascii="Times New Roman" w:hAnsi="Times New Roman" w:cs="Times New Roman"/>
        </w:rPr>
        <w:t xml:space="preserve">, </w:t>
      </w:r>
      <w:r w:rsidRPr="0021738F">
        <w:rPr>
          <w:rFonts w:ascii="Times New Roman" w:hAnsi="Times New Roman" w:cs="Times New Roman"/>
          <w:i/>
          <w:iCs/>
        </w:rPr>
        <w:t>9</w:t>
      </w:r>
      <w:r w:rsidRPr="0021738F">
        <w:rPr>
          <w:rFonts w:ascii="Times New Roman" w:hAnsi="Times New Roman" w:cs="Times New Roman"/>
        </w:rPr>
        <w:t xml:space="preserve">(2), 74. https://doi.org/10.11648/j.ajns.20200902.17 </w:t>
      </w:r>
    </w:p>
    <w:p w14:paraId="1DF696C5" w14:textId="77777777" w:rsidR="00ED50C9" w:rsidRPr="0021738F" w:rsidRDefault="00ED50C9" w:rsidP="00ED50C9">
      <w:pPr>
        <w:spacing w:line="360" w:lineRule="auto"/>
        <w:ind w:left="567" w:hanging="567"/>
        <w:jc w:val="both"/>
        <w:rPr>
          <w:rFonts w:ascii="Times New Roman" w:hAnsi="Times New Roman" w:cs="Times New Roman"/>
        </w:rPr>
      </w:pPr>
      <w:proofErr w:type="spellStart"/>
      <w:r w:rsidRPr="0021738F">
        <w:rPr>
          <w:rFonts w:ascii="Times New Roman" w:hAnsi="Times New Roman" w:cs="Times New Roman"/>
        </w:rPr>
        <w:t>Linnenluecke</w:t>
      </w:r>
      <w:proofErr w:type="spellEnd"/>
      <w:r w:rsidRPr="0021738F">
        <w:rPr>
          <w:rFonts w:ascii="Times New Roman" w:hAnsi="Times New Roman" w:cs="Times New Roman"/>
        </w:rPr>
        <w:t>, M. K., Marrone, M., &amp; Singh, A. K. (2020). Conducting systematic literature reviews and bibliometric analyses. </w:t>
      </w:r>
      <w:r w:rsidRPr="0021738F">
        <w:rPr>
          <w:rFonts w:ascii="Times New Roman" w:hAnsi="Times New Roman" w:cs="Times New Roman"/>
          <w:i/>
          <w:iCs/>
        </w:rPr>
        <w:t>Australian Journal of Management</w:t>
      </w:r>
      <w:r w:rsidRPr="0021738F">
        <w:rPr>
          <w:rFonts w:ascii="Times New Roman" w:hAnsi="Times New Roman" w:cs="Times New Roman"/>
        </w:rPr>
        <w:t>, </w:t>
      </w:r>
      <w:r w:rsidRPr="0021738F">
        <w:rPr>
          <w:rFonts w:ascii="Times New Roman" w:hAnsi="Times New Roman" w:cs="Times New Roman"/>
          <w:i/>
          <w:iCs/>
        </w:rPr>
        <w:t>45</w:t>
      </w:r>
      <w:r w:rsidRPr="0021738F">
        <w:rPr>
          <w:rFonts w:ascii="Times New Roman" w:hAnsi="Times New Roman" w:cs="Times New Roman"/>
        </w:rPr>
        <w:t>(2), 175-194.</w:t>
      </w:r>
    </w:p>
    <w:p w14:paraId="1802B326" w14:textId="77777777" w:rsidR="00ED50C9" w:rsidRPr="0021738F" w:rsidRDefault="00ED50C9" w:rsidP="00ED50C9">
      <w:pPr>
        <w:pStyle w:val="NormalWeb"/>
        <w:spacing w:line="360" w:lineRule="auto"/>
        <w:ind w:left="567" w:hanging="567"/>
        <w:jc w:val="both"/>
        <w:rPr>
          <w:sz w:val="22"/>
          <w:szCs w:val="22"/>
        </w:rPr>
      </w:pPr>
      <w:r w:rsidRPr="0021738F">
        <w:rPr>
          <w:sz w:val="22"/>
          <w:szCs w:val="22"/>
        </w:rPr>
        <w:t xml:space="preserve">Markkanen, P., Välimäki, M., Anttila, M., &amp; </w:t>
      </w:r>
      <w:proofErr w:type="spellStart"/>
      <w:r w:rsidRPr="0021738F">
        <w:rPr>
          <w:sz w:val="22"/>
          <w:szCs w:val="22"/>
        </w:rPr>
        <w:t>Kuuskorpi</w:t>
      </w:r>
      <w:proofErr w:type="spellEnd"/>
      <w:r w:rsidRPr="0021738F">
        <w:rPr>
          <w:sz w:val="22"/>
          <w:szCs w:val="22"/>
        </w:rPr>
        <w:t xml:space="preserve">, M. (2020). A reflective cycle: Understanding challenging situations in a school setting. </w:t>
      </w:r>
      <w:r w:rsidRPr="0021738F">
        <w:rPr>
          <w:i/>
          <w:iCs/>
          <w:sz w:val="22"/>
          <w:szCs w:val="22"/>
        </w:rPr>
        <w:t>Educational Research</w:t>
      </w:r>
      <w:r w:rsidRPr="0021738F">
        <w:rPr>
          <w:sz w:val="22"/>
          <w:szCs w:val="22"/>
        </w:rPr>
        <w:t xml:space="preserve">, </w:t>
      </w:r>
      <w:r w:rsidRPr="0021738F">
        <w:rPr>
          <w:i/>
          <w:iCs/>
          <w:sz w:val="22"/>
          <w:szCs w:val="22"/>
        </w:rPr>
        <w:t>62</w:t>
      </w:r>
      <w:r w:rsidRPr="0021738F">
        <w:rPr>
          <w:sz w:val="22"/>
          <w:szCs w:val="22"/>
        </w:rPr>
        <w:t xml:space="preserve">(1), 46–62. https://doi.org/10.1080/00131881.2020.1711790 </w:t>
      </w:r>
    </w:p>
    <w:p w14:paraId="3A9F7965" w14:textId="77777777" w:rsidR="00ED50C9" w:rsidRPr="0021738F" w:rsidRDefault="00ED50C9" w:rsidP="00ED50C9">
      <w:pPr>
        <w:spacing w:line="360" w:lineRule="auto"/>
        <w:ind w:left="567" w:hanging="567"/>
        <w:jc w:val="both"/>
        <w:rPr>
          <w:rFonts w:ascii="Times New Roman" w:hAnsi="Times New Roman" w:cs="Times New Roman"/>
        </w:rPr>
      </w:pPr>
      <w:r w:rsidRPr="0021738F">
        <w:rPr>
          <w:rFonts w:ascii="Times New Roman" w:hAnsi="Times New Roman" w:cs="Times New Roman"/>
        </w:rPr>
        <w:lastRenderedPageBreak/>
        <w:t>Mishra, S. B., &amp; Alok, S. (2022). Handbook of research methodology.</w:t>
      </w:r>
    </w:p>
    <w:p w14:paraId="1300E133" w14:textId="77777777" w:rsidR="00ED50C9" w:rsidRPr="0021738F" w:rsidRDefault="00ED50C9" w:rsidP="00ED50C9">
      <w:pPr>
        <w:spacing w:line="360" w:lineRule="auto"/>
        <w:ind w:left="567" w:hanging="567"/>
        <w:jc w:val="both"/>
        <w:rPr>
          <w:rFonts w:ascii="Times New Roman" w:hAnsi="Times New Roman" w:cs="Times New Roman"/>
        </w:rPr>
      </w:pPr>
      <w:proofErr w:type="spellStart"/>
      <w:r w:rsidRPr="0021738F">
        <w:rPr>
          <w:rFonts w:ascii="Times New Roman" w:hAnsi="Times New Roman" w:cs="Times New Roman"/>
        </w:rPr>
        <w:t>Mydin</w:t>
      </w:r>
      <w:proofErr w:type="spellEnd"/>
      <w:r w:rsidRPr="0021738F">
        <w:rPr>
          <w:rFonts w:ascii="Times New Roman" w:hAnsi="Times New Roman" w:cs="Times New Roman"/>
        </w:rPr>
        <w:t>, F., Rahman, R. S. A. R. A., &amp; Mohammad, W. M. R. W. (2021). Research collaboration: enhancing the research skills and self-confidence of early career academics. </w:t>
      </w:r>
      <w:r w:rsidRPr="0021738F">
        <w:rPr>
          <w:rFonts w:ascii="Times New Roman" w:hAnsi="Times New Roman" w:cs="Times New Roman"/>
          <w:i/>
          <w:iCs/>
        </w:rPr>
        <w:t>Asian Journal of University Education</w:t>
      </w:r>
      <w:r w:rsidRPr="0021738F">
        <w:rPr>
          <w:rFonts w:ascii="Times New Roman" w:hAnsi="Times New Roman" w:cs="Times New Roman"/>
        </w:rPr>
        <w:t>, </w:t>
      </w:r>
      <w:r w:rsidRPr="0021738F">
        <w:rPr>
          <w:rFonts w:ascii="Times New Roman" w:hAnsi="Times New Roman" w:cs="Times New Roman"/>
          <w:i/>
          <w:iCs/>
        </w:rPr>
        <w:t>17</w:t>
      </w:r>
      <w:r w:rsidRPr="0021738F">
        <w:rPr>
          <w:rFonts w:ascii="Times New Roman" w:hAnsi="Times New Roman" w:cs="Times New Roman"/>
        </w:rPr>
        <w:t>(3), 142-153.</w:t>
      </w:r>
    </w:p>
    <w:p w14:paraId="23CC1C46" w14:textId="77777777" w:rsidR="00ED50C9" w:rsidRPr="0021738F" w:rsidRDefault="00ED50C9" w:rsidP="00ED50C9">
      <w:pPr>
        <w:pStyle w:val="NormalWeb"/>
        <w:spacing w:line="360" w:lineRule="auto"/>
        <w:ind w:left="567" w:hanging="567"/>
        <w:jc w:val="both"/>
        <w:rPr>
          <w:sz w:val="22"/>
          <w:szCs w:val="22"/>
        </w:rPr>
      </w:pPr>
      <w:r w:rsidRPr="0021738F">
        <w:rPr>
          <w:sz w:val="22"/>
          <w:szCs w:val="22"/>
        </w:rPr>
        <w:t xml:space="preserve">Okoli, C. (2021). Inductive, </w:t>
      </w:r>
      <w:proofErr w:type="gramStart"/>
      <w:r w:rsidRPr="0021738F">
        <w:rPr>
          <w:sz w:val="22"/>
          <w:szCs w:val="22"/>
        </w:rPr>
        <w:t>abductive</w:t>
      </w:r>
      <w:proofErr w:type="gramEnd"/>
      <w:r w:rsidRPr="0021738F">
        <w:rPr>
          <w:sz w:val="22"/>
          <w:szCs w:val="22"/>
        </w:rPr>
        <w:t xml:space="preserve"> and deductive theorizing. </w:t>
      </w:r>
      <w:r w:rsidRPr="0021738F">
        <w:rPr>
          <w:i/>
          <w:iCs/>
          <w:sz w:val="22"/>
          <w:szCs w:val="22"/>
        </w:rPr>
        <w:t>SSRN Electronic Journal</w:t>
      </w:r>
      <w:r w:rsidRPr="0021738F">
        <w:rPr>
          <w:sz w:val="22"/>
          <w:szCs w:val="22"/>
        </w:rPr>
        <w:t xml:space="preserve">. https://doi.org/10.2139/ssrn.3774317 </w:t>
      </w:r>
    </w:p>
    <w:p w14:paraId="68656C7D" w14:textId="77777777" w:rsidR="00ED50C9" w:rsidRPr="0021738F" w:rsidRDefault="00ED50C9" w:rsidP="00ED50C9">
      <w:pPr>
        <w:pStyle w:val="NormalWeb"/>
        <w:spacing w:line="360" w:lineRule="auto"/>
        <w:ind w:left="567" w:hanging="567"/>
        <w:rPr>
          <w:sz w:val="22"/>
          <w:szCs w:val="22"/>
        </w:rPr>
      </w:pPr>
      <w:proofErr w:type="spellStart"/>
      <w:r w:rsidRPr="0021738F">
        <w:rPr>
          <w:sz w:val="22"/>
          <w:szCs w:val="22"/>
        </w:rPr>
        <w:t>Roudposhti</w:t>
      </w:r>
      <w:proofErr w:type="spellEnd"/>
      <w:r w:rsidRPr="0021738F">
        <w:rPr>
          <w:sz w:val="22"/>
          <w:szCs w:val="22"/>
        </w:rPr>
        <w:t xml:space="preserve">, V., </w:t>
      </w:r>
      <w:proofErr w:type="spellStart"/>
      <w:r w:rsidRPr="0021738F">
        <w:rPr>
          <w:sz w:val="22"/>
          <w:szCs w:val="22"/>
        </w:rPr>
        <w:t>Nilashi</w:t>
      </w:r>
      <w:proofErr w:type="spellEnd"/>
      <w:r w:rsidRPr="0021738F">
        <w:rPr>
          <w:sz w:val="22"/>
          <w:szCs w:val="22"/>
        </w:rPr>
        <w:t xml:space="preserve">, M., Mardani, A., </w:t>
      </w:r>
      <w:proofErr w:type="spellStart"/>
      <w:r w:rsidRPr="0021738F">
        <w:rPr>
          <w:sz w:val="22"/>
          <w:szCs w:val="22"/>
        </w:rPr>
        <w:t>Streimikiene</w:t>
      </w:r>
      <w:proofErr w:type="spellEnd"/>
      <w:r w:rsidRPr="0021738F">
        <w:rPr>
          <w:sz w:val="22"/>
          <w:szCs w:val="22"/>
        </w:rPr>
        <w:t xml:space="preserve">, D., Samad, S., &amp; Ibrahim, O. (2018). A new model for customer purchase intention in e-commerce recommendation agents. </w:t>
      </w:r>
      <w:r w:rsidRPr="0021738F">
        <w:rPr>
          <w:i/>
          <w:iCs/>
          <w:sz w:val="22"/>
          <w:szCs w:val="22"/>
        </w:rPr>
        <w:t>Journal of International Studies</w:t>
      </w:r>
      <w:r w:rsidRPr="0021738F">
        <w:rPr>
          <w:sz w:val="22"/>
          <w:szCs w:val="22"/>
        </w:rPr>
        <w:t xml:space="preserve">, </w:t>
      </w:r>
      <w:r w:rsidRPr="0021738F">
        <w:rPr>
          <w:i/>
          <w:iCs/>
          <w:sz w:val="22"/>
          <w:szCs w:val="22"/>
        </w:rPr>
        <w:t>11</w:t>
      </w:r>
      <w:r w:rsidRPr="0021738F">
        <w:rPr>
          <w:sz w:val="22"/>
          <w:szCs w:val="22"/>
        </w:rPr>
        <w:t xml:space="preserve">(4), 237–253. https://doi.org/10.14254/2071-8330.2018/11-4/17 </w:t>
      </w:r>
    </w:p>
    <w:p w14:paraId="15FFE70E" w14:textId="77777777" w:rsidR="00ED50C9" w:rsidRPr="0021738F" w:rsidRDefault="00ED50C9" w:rsidP="00ED50C9">
      <w:pPr>
        <w:spacing w:line="360" w:lineRule="auto"/>
        <w:ind w:left="567" w:hanging="567"/>
        <w:jc w:val="both"/>
        <w:rPr>
          <w:rFonts w:ascii="Times New Roman" w:hAnsi="Times New Roman" w:cs="Times New Roman"/>
        </w:rPr>
      </w:pPr>
      <w:r w:rsidRPr="0021738F">
        <w:rPr>
          <w:rFonts w:ascii="Times New Roman" w:hAnsi="Times New Roman" w:cs="Times New Roman"/>
        </w:rPr>
        <w:t xml:space="preserve">Shin, D. (2020). How do users interact with algorithm recommender systems? the interaction of users, algorithms, and performance. Computers in Human </w:t>
      </w:r>
      <w:proofErr w:type="spellStart"/>
      <w:r w:rsidRPr="0021738F">
        <w:rPr>
          <w:rFonts w:ascii="Times New Roman" w:hAnsi="Times New Roman" w:cs="Times New Roman"/>
        </w:rPr>
        <w:t>Behavior</w:t>
      </w:r>
      <w:proofErr w:type="spellEnd"/>
      <w:r w:rsidRPr="0021738F">
        <w:rPr>
          <w:rFonts w:ascii="Times New Roman" w:hAnsi="Times New Roman" w:cs="Times New Roman"/>
        </w:rPr>
        <w:t>, 109, 106344. https://doi.org/10.1016/j.chb.2020.106344</w:t>
      </w:r>
    </w:p>
    <w:p w14:paraId="154FD04A" w14:textId="77777777" w:rsidR="00ED50C9" w:rsidRPr="0021738F" w:rsidRDefault="00ED50C9" w:rsidP="00ED50C9">
      <w:pPr>
        <w:spacing w:line="360" w:lineRule="auto"/>
        <w:ind w:left="567" w:hanging="567"/>
        <w:jc w:val="both"/>
        <w:rPr>
          <w:rFonts w:ascii="Times New Roman" w:hAnsi="Times New Roman" w:cs="Times New Roman"/>
        </w:rPr>
      </w:pPr>
      <w:r w:rsidRPr="0021738F">
        <w:rPr>
          <w:rFonts w:ascii="Times New Roman" w:hAnsi="Times New Roman" w:cs="Times New Roman"/>
        </w:rPr>
        <w:t xml:space="preserve">Srinivas, T. A. S., Donald, A. D., </w:t>
      </w:r>
      <w:proofErr w:type="spellStart"/>
      <w:r w:rsidRPr="0021738F">
        <w:rPr>
          <w:rFonts w:ascii="Times New Roman" w:hAnsi="Times New Roman" w:cs="Times New Roman"/>
        </w:rPr>
        <w:t>Thippanna</w:t>
      </w:r>
      <w:proofErr w:type="spellEnd"/>
      <w:r w:rsidRPr="0021738F">
        <w:rPr>
          <w:rFonts w:ascii="Times New Roman" w:hAnsi="Times New Roman" w:cs="Times New Roman"/>
        </w:rPr>
        <w:t xml:space="preserve">, G., </w:t>
      </w:r>
      <w:proofErr w:type="spellStart"/>
      <w:r w:rsidRPr="0021738F">
        <w:rPr>
          <w:rFonts w:ascii="Times New Roman" w:hAnsi="Times New Roman" w:cs="Times New Roman"/>
        </w:rPr>
        <w:t>Madiletty</w:t>
      </w:r>
      <w:proofErr w:type="spellEnd"/>
      <w:r w:rsidRPr="0021738F">
        <w:rPr>
          <w:rFonts w:ascii="Times New Roman" w:hAnsi="Times New Roman" w:cs="Times New Roman"/>
        </w:rPr>
        <w:t>, C., &amp; Thanmai, B. T. (2023). Exploring the Uncharted: A Research Problem Statement. </w:t>
      </w:r>
      <w:r w:rsidRPr="0021738F">
        <w:rPr>
          <w:rFonts w:ascii="Times New Roman" w:hAnsi="Times New Roman" w:cs="Times New Roman"/>
          <w:i/>
          <w:iCs/>
        </w:rPr>
        <w:t>Recent Trends in Androids and IOS Applications</w:t>
      </w:r>
      <w:r w:rsidRPr="0021738F">
        <w:rPr>
          <w:rFonts w:ascii="Times New Roman" w:hAnsi="Times New Roman" w:cs="Times New Roman"/>
        </w:rPr>
        <w:t>, </w:t>
      </w:r>
      <w:r w:rsidRPr="0021738F">
        <w:rPr>
          <w:rFonts w:ascii="Times New Roman" w:hAnsi="Times New Roman" w:cs="Times New Roman"/>
          <w:i/>
          <w:iCs/>
        </w:rPr>
        <w:t>5</w:t>
      </w:r>
      <w:r w:rsidRPr="0021738F">
        <w:rPr>
          <w:rFonts w:ascii="Times New Roman" w:hAnsi="Times New Roman" w:cs="Times New Roman"/>
        </w:rPr>
        <w:t>(3), 11-14.</w:t>
      </w:r>
    </w:p>
    <w:p w14:paraId="31F6764F" w14:textId="77777777" w:rsidR="00ED50C9" w:rsidRPr="0021738F" w:rsidRDefault="00ED50C9" w:rsidP="00ED50C9">
      <w:pPr>
        <w:spacing w:line="360" w:lineRule="auto"/>
        <w:ind w:left="567" w:hanging="567"/>
        <w:jc w:val="both"/>
        <w:rPr>
          <w:rFonts w:ascii="Times New Roman" w:hAnsi="Times New Roman" w:cs="Times New Roman"/>
        </w:rPr>
      </w:pPr>
      <w:proofErr w:type="spellStart"/>
      <w:r w:rsidRPr="0021738F">
        <w:rPr>
          <w:rFonts w:ascii="Times New Roman" w:hAnsi="Times New Roman" w:cs="Times New Roman"/>
        </w:rPr>
        <w:t>Taherdoost</w:t>
      </w:r>
      <w:proofErr w:type="spellEnd"/>
      <w:r w:rsidRPr="0021738F">
        <w:rPr>
          <w:rFonts w:ascii="Times New Roman" w:hAnsi="Times New Roman" w:cs="Times New Roman"/>
        </w:rPr>
        <w:t xml:space="preserve">, H. (2021). Data Collection Methods and Tools for Research; A Step-by-Step Guide to Choose Data Collection Technique for Academic and Business Research Projects. </w:t>
      </w:r>
      <w:r w:rsidRPr="0021738F">
        <w:rPr>
          <w:rFonts w:ascii="Times New Roman" w:hAnsi="Times New Roman" w:cs="Times New Roman"/>
          <w:i/>
          <w:iCs/>
        </w:rPr>
        <w:t>International Journal of Academic Research in Management (IJARM), 10</w:t>
      </w:r>
      <w:r w:rsidRPr="0021738F">
        <w:rPr>
          <w:rFonts w:ascii="Times New Roman" w:hAnsi="Times New Roman" w:cs="Times New Roman"/>
        </w:rPr>
        <w:t>(1), 10-38.</w:t>
      </w:r>
    </w:p>
    <w:p w14:paraId="57257CDB" w14:textId="77777777" w:rsidR="00ED50C9" w:rsidRPr="0021738F" w:rsidRDefault="00ED50C9" w:rsidP="00ED50C9">
      <w:pPr>
        <w:pStyle w:val="NormalWeb"/>
        <w:spacing w:line="360" w:lineRule="auto"/>
        <w:ind w:left="567" w:hanging="567"/>
        <w:jc w:val="both"/>
        <w:rPr>
          <w:sz w:val="22"/>
          <w:szCs w:val="22"/>
        </w:rPr>
      </w:pPr>
      <w:proofErr w:type="spellStart"/>
      <w:r w:rsidRPr="0021738F">
        <w:rPr>
          <w:sz w:val="22"/>
          <w:szCs w:val="22"/>
        </w:rPr>
        <w:t>Taherdoost</w:t>
      </w:r>
      <w:proofErr w:type="spellEnd"/>
      <w:r w:rsidRPr="0021738F">
        <w:rPr>
          <w:sz w:val="22"/>
          <w:szCs w:val="22"/>
        </w:rPr>
        <w:t xml:space="preserve">, H. (2022). Designing a questionnaire for a research paper: A comprehensive guide to design and develop an effective questionnaire. </w:t>
      </w:r>
      <w:r w:rsidRPr="0021738F">
        <w:rPr>
          <w:i/>
          <w:iCs/>
          <w:sz w:val="22"/>
          <w:szCs w:val="22"/>
        </w:rPr>
        <w:t>Asian Journal of Managerial Science</w:t>
      </w:r>
      <w:r w:rsidRPr="0021738F">
        <w:rPr>
          <w:sz w:val="22"/>
          <w:szCs w:val="22"/>
        </w:rPr>
        <w:t xml:space="preserve">, </w:t>
      </w:r>
      <w:r w:rsidRPr="0021738F">
        <w:rPr>
          <w:i/>
          <w:iCs/>
          <w:sz w:val="22"/>
          <w:szCs w:val="22"/>
        </w:rPr>
        <w:t>11</w:t>
      </w:r>
      <w:r w:rsidRPr="0021738F">
        <w:rPr>
          <w:sz w:val="22"/>
          <w:szCs w:val="22"/>
        </w:rPr>
        <w:t xml:space="preserve">(1), 8–16. https://doi.org/10.51983/ajms-2022.11.1.3087 </w:t>
      </w:r>
    </w:p>
    <w:p w14:paraId="4372A8A8" w14:textId="18779209" w:rsidR="00E4119D" w:rsidRPr="00ED50C9" w:rsidRDefault="00ED50C9" w:rsidP="00ED50C9">
      <w:pPr>
        <w:spacing w:line="360" w:lineRule="auto"/>
        <w:ind w:left="567" w:hanging="567"/>
        <w:jc w:val="both"/>
        <w:rPr>
          <w:rFonts w:ascii="Times New Roman" w:hAnsi="Times New Roman" w:cs="Times New Roman"/>
        </w:rPr>
      </w:pPr>
      <w:r w:rsidRPr="0021738F">
        <w:rPr>
          <w:rFonts w:ascii="Times New Roman" w:hAnsi="Times New Roman" w:cs="Times New Roman"/>
        </w:rPr>
        <w:t>Usman, S. A. (2020). </w:t>
      </w:r>
      <w:r w:rsidRPr="0021738F">
        <w:rPr>
          <w:rFonts w:ascii="Times New Roman" w:hAnsi="Times New Roman" w:cs="Times New Roman"/>
          <w:i/>
          <w:iCs/>
        </w:rPr>
        <w:t>Using the Pomodoro Technique® to help undergraduate students better manage technology-based multitasking during independent study: A design-based research investigation</w:t>
      </w:r>
      <w:r w:rsidRPr="0021738F">
        <w:rPr>
          <w:rFonts w:ascii="Times New Roman" w:hAnsi="Times New Roman" w:cs="Times New Roman"/>
        </w:rPr>
        <w:t>. Lancaster University (United Kingdom).</w:t>
      </w:r>
    </w:p>
    <w:sectPr w:rsidR="00E4119D" w:rsidRPr="00ED50C9" w:rsidSect="00ED50C9">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8DB8B" w14:textId="77777777" w:rsidR="00AE68E4" w:rsidRDefault="00AE68E4" w:rsidP="00F85AEC">
      <w:pPr>
        <w:spacing w:after="0" w:line="240" w:lineRule="auto"/>
      </w:pPr>
      <w:r>
        <w:separator/>
      </w:r>
    </w:p>
  </w:endnote>
  <w:endnote w:type="continuationSeparator" w:id="0">
    <w:p w14:paraId="00947878" w14:textId="77777777" w:rsidR="00AE68E4" w:rsidRDefault="00AE68E4" w:rsidP="00F85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5977717"/>
      <w:docPartObj>
        <w:docPartGallery w:val="Page Numbers (Bottom of Page)"/>
        <w:docPartUnique/>
      </w:docPartObj>
    </w:sdtPr>
    <w:sdtEndPr>
      <w:rPr>
        <w:rFonts w:ascii="Times New Roman" w:hAnsi="Times New Roman" w:cs="Times New Roman"/>
        <w:noProof/>
      </w:rPr>
    </w:sdtEndPr>
    <w:sdtContent>
      <w:p w14:paraId="4FB4EDEE" w14:textId="47B25B2D" w:rsidR="00ED50C9" w:rsidRPr="00ED50C9" w:rsidRDefault="00ED50C9">
        <w:pPr>
          <w:pStyle w:val="Footer"/>
          <w:jc w:val="right"/>
          <w:rPr>
            <w:rFonts w:ascii="Times New Roman" w:hAnsi="Times New Roman" w:cs="Times New Roman"/>
          </w:rPr>
        </w:pPr>
        <w:r w:rsidRPr="00ED50C9">
          <w:rPr>
            <w:rFonts w:ascii="Times New Roman" w:hAnsi="Times New Roman" w:cs="Times New Roman"/>
          </w:rPr>
          <w:fldChar w:fldCharType="begin"/>
        </w:r>
        <w:r w:rsidRPr="00ED50C9">
          <w:rPr>
            <w:rFonts w:ascii="Times New Roman" w:hAnsi="Times New Roman" w:cs="Times New Roman"/>
          </w:rPr>
          <w:instrText xml:space="preserve"> PAGE   \* MERGEFORMAT </w:instrText>
        </w:r>
        <w:r w:rsidRPr="00ED50C9">
          <w:rPr>
            <w:rFonts w:ascii="Times New Roman" w:hAnsi="Times New Roman" w:cs="Times New Roman"/>
          </w:rPr>
          <w:fldChar w:fldCharType="separate"/>
        </w:r>
        <w:r w:rsidRPr="00ED50C9">
          <w:rPr>
            <w:rFonts w:ascii="Times New Roman" w:hAnsi="Times New Roman" w:cs="Times New Roman"/>
            <w:noProof/>
          </w:rPr>
          <w:t>2</w:t>
        </w:r>
        <w:r w:rsidRPr="00ED50C9">
          <w:rPr>
            <w:rFonts w:ascii="Times New Roman" w:hAnsi="Times New Roman" w:cs="Times New Roman"/>
            <w:noProof/>
          </w:rPr>
          <w:fldChar w:fldCharType="end"/>
        </w:r>
      </w:p>
    </w:sdtContent>
  </w:sdt>
  <w:p w14:paraId="64578064" w14:textId="77777777" w:rsidR="00ED50C9" w:rsidRDefault="00ED50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34C7D" w14:textId="77777777" w:rsidR="00AE68E4" w:rsidRDefault="00AE68E4" w:rsidP="00F85AEC">
      <w:pPr>
        <w:spacing w:after="0" w:line="240" w:lineRule="auto"/>
      </w:pPr>
      <w:r>
        <w:separator/>
      </w:r>
    </w:p>
  </w:footnote>
  <w:footnote w:type="continuationSeparator" w:id="0">
    <w:p w14:paraId="724D457F" w14:textId="77777777" w:rsidR="00AE68E4" w:rsidRDefault="00AE68E4" w:rsidP="00F85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539179B"/>
    <w:multiLevelType w:val="hybridMultilevel"/>
    <w:tmpl w:val="FA22B6C2"/>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75EB1361"/>
    <w:multiLevelType w:val="multilevel"/>
    <w:tmpl w:val="29667E7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7DD354D6"/>
    <w:multiLevelType w:val="hybridMultilevel"/>
    <w:tmpl w:val="635E8F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1596258">
    <w:abstractNumId w:val="3"/>
  </w:num>
  <w:num w:numId="2" w16cid:durableId="2115317009">
    <w:abstractNumId w:val="0"/>
  </w:num>
  <w:num w:numId="3" w16cid:durableId="2009400480">
    <w:abstractNumId w:val="2"/>
  </w:num>
  <w:num w:numId="4" w16cid:durableId="1629506809">
    <w:abstractNumId w:val="1"/>
  </w:num>
  <w:num w:numId="5" w16cid:durableId="494228313">
    <w:abstractNumId w:val="5"/>
  </w:num>
  <w:num w:numId="6" w16cid:durableId="4001784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11550"/>
    <w:rsid w:val="00107D06"/>
    <w:rsid w:val="0013083C"/>
    <w:rsid w:val="00162473"/>
    <w:rsid w:val="00182795"/>
    <w:rsid w:val="001B4CF6"/>
    <w:rsid w:val="001B6F18"/>
    <w:rsid w:val="001E6C48"/>
    <w:rsid w:val="002663A2"/>
    <w:rsid w:val="00271B4F"/>
    <w:rsid w:val="002C4960"/>
    <w:rsid w:val="002D45DF"/>
    <w:rsid w:val="00311DCF"/>
    <w:rsid w:val="00354A74"/>
    <w:rsid w:val="00355954"/>
    <w:rsid w:val="00380625"/>
    <w:rsid w:val="00427EE5"/>
    <w:rsid w:val="004421D9"/>
    <w:rsid w:val="00494884"/>
    <w:rsid w:val="004D059C"/>
    <w:rsid w:val="00517ECB"/>
    <w:rsid w:val="0052110F"/>
    <w:rsid w:val="00546417"/>
    <w:rsid w:val="005760B2"/>
    <w:rsid w:val="005E7477"/>
    <w:rsid w:val="00617FE4"/>
    <w:rsid w:val="00727C9A"/>
    <w:rsid w:val="00763EDE"/>
    <w:rsid w:val="008A677B"/>
    <w:rsid w:val="008D5EC5"/>
    <w:rsid w:val="009343AA"/>
    <w:rsid w:val="0095633D"/>
    <w:rsid w:val="009950FD"/>
    <w:rsid w:val="009A4999"/>
    <w:rsid w:val="00A10F78"/>
    <w:rsid w:val="00A32A59"/>
    <w:rsid w:val="00A931FB"/>
    <w:rsid w:val="00AB6847"/>
    <w:rsid w:val="00AE68E4"/>
    <w:rsid w:val="00BC0D90"/>
    <w:rsid w:val="00BC4FEE"/>
    <w:rsid w:val="00C34A40"/>
    <w:rsid w:val="00CD5A28"/>
    <w:rsid w:val="00D05F95"/>
    <w:rsid w:val="00D85CE1"/>
    <w:rsid w:val="00DA4AE8"/>
    <w:rsid w:val="00E20467"/>
    <w:rsid w:val="00E4119D"/>
    <w:rsid w:val="00E45374"/>
    <w:rsid w:val="00E57302"/>
    <w:rsid w:val="00E70465"/>
    <w:rsid w:val="00ED50C9"/>
    <w:rsid w:val="00F35578"/>
    <w:rsid w:val="00F473B3"/>
    <w:rsid w:val="00F85AE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Header">
    <w:name w:val="header"/>
    <w:basedOn w:val="Normal"/>
    <w:link w:val="HeaderChar"/>
    <w:uiPriority w:val="99"/>
    <w:unhideWhenUsed/>
    <w:rsid w:val="00F85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AEC"/>
  </w:style>
  <w:style w:type="paragraph" w:styleId="Footer">
    <w:name w:val="footer"/>
    <w:basedOn w:val="Normal"/>
    <w:link w:val="FooterChar"/>
    <w:uiPriority w:val="99"/>
    <w:unhideWhenUsed/>
    <w:rsid w:val="00F85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AEC"/>
  </w:style>
  <w:style w:type="paragraph" w:styleId="ListParagraph">
    <w:name w:val="List Paragraph"/>
    <w:basedOn w:val="Normal"/>
    <w:uiPriority w:val="34"/>
    <w:qFormat/>
    <w:rsid w:val="00D85CE1"/>
    <w:pPr>
      <w:ind w:left="720"/>
      <w:contextualSpacing/>
    </w:pPr>
  </w:style>
  <w:style w:type="paragraph" w:styleId="NormalWeb">
    <w:name w:val="Normal (Web)"/>
    <w:basedOn w:val="Normal"/>
    <w:uiPriority w:val="99"/>
    <w:semiHidden/>
    <w:unhideWhenUsed/>
    <w:rsid w:val="00ED50C9"/>
    <w:pPr>
      <w:spacing w:before="100" w:beforeAutospacing="1" w:after="100" w:afterAutospacing="1" w:line="240" w:lineRule="auto"/>
    </w:pPr>
    <w:rPr>
      <w:rFonts w:ascii="Times New Roman" w:eastAsia="Times New Roman" w:hAnsi="Times New Roman" w:cs="Times New Roman"/>
      <w:sz w:val="24"/>
      <w:szCs w:val="24"/>
      <w:lang w:val="en-MY"/>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343895688">
      <w:bodyDiv w:val="1"/>
      <w:marLeft w:val="0"/>
      <w:marRight w:val="0"/>
      <w:marTop w:val="0"/>
      <w:marBottom w:val="0"/>
      <w:divBdr>
        <w:top w:val="none" w:sz="0" w:space="0" w:color="auto"/>
        <w:left w:val="none" w:sz="0" w:space="0" w:color="auto"/>
        <w:bottom w:val="none" w:sz="0" w:space="0" w:color="auto"/>
        <w:right w:val="none" w:sz="0" w:space="0" w:color="auto"/>
      </w:divBdr>
      <w:divsChild>
        <w:div w:id="1521358920">
          <w:marLeft w:val="418"/>
          <w:marRight w:val="0"/>
          <w:marTop w:val="91"/>
          <w:marBottom w:val="120"/>
          <w:divBdr>
            <w:top w:val="none" w:sz="0" w:space="0" w:color="auto"/>
            <w:left w:val="none" w:sz="0" w:space="0" w:color="auto"/>
            <w:bottom w:val="none" w:sz="0" w:space="0" w:color="auto"/>
            <w:right w:val="none" w:sz="0" w:space="0" w:color="auto"/>
          </w:divBdr>
        </w:div>
        <w:div w:id="620692516">
          <w:marLeft w:val="418"/>
          <w:marRight w:val="0"/>
          <w:marTop w:val="91"/>
          <w:marBottom w:val="120"/>
          <w:divBdr>
            <w:top w:val="none" w:sz="0" w:space="0" w:color="auto"/>
            <w:left w:val="none" w:sz="0" w:space="0" w:color="auto"/>
            <w:bottom w:val="none" w:sz="0" w:space="0" w:color="auto"/>
            <w:right w:val="none" w:sz="0" w:space="0" w:color="auto"/>
          </w:divBdr>
        </w:div>
        <w:div w:id="1148284980">
          <w:marLeft w:val="418"/>
          <w:marRight w:val="0"/>
          <w:marTop w:val="91"/>
          <w:marBottom w:val="120"/>
          <w:divBdr>
            <w:top w:val="none" w:sz="0" w:space="0" w:color="auto"/>
            <w:left w:val="none" w:sz="0" w:space="0" w:color="auto"/>
            <w:bottom w:val="none" w:sz="0" w:space="0" w:color="auto"/>
            <w:right w:val="none" w:sz="0" w:space="0" w:color="auto"/>
          </w:divBdr>
        </w:div>
        <w:div w:id="569460811">
          <w:marLeft w:val="418"/>
          <w:marRight w:val="0"/>
          <w:marTop w:val="91"/>
          <w:marBottom w:val="120"/>
          <w:divBdr>
            <w:top w:val="none" w:sz="0" w:space="0" w:color="auto"/>
            <w:left w:val="none" w:sz="0" w:space="0" w:color="auto"/>
            <w:bottom w:val="none" w:sz="0" w:space="0" w:color="auto"/>
            <w:right w:val="none" w:sz="0" w:space="0" w:color="auto"/>
          </w:divBdr>
        </w:div>
      </w:divsChild>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5" Type="http://schemas.openxmlformats.org/officeDocument/2006/relationships/numbering" Target="numbering.xml"/><Relationship Id="rId15" Type="http://schemas.microsoft.com/office/2007/relationships/diagramDrawing" Target="diagrams/drawing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8BEB624-4733-4877-9699-8500DB9F7DDF}"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MY"/>
        </a:p>
      </dgm:t>
    </dgm:pt>
    <dgm:pt modelId="{5F1A492C-90B3-4870-AF96-471D737C18B0}">
      <dgm:prSet phldrT="[Text]"/>
      <dgm:spPr>
        <a:xfrm>
          <a:off x="1413329" y="637"/>
          <a:ext cx="802806" cy="52182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MY">
              <a:solidFill>
                <a:sysClr val="window" lastClr="FFFFFF"/>
              </a:solidFill>
              <a:latin typeface="Calibri" panose="020F0502020204030204"/>
              <a:ea typeface="+mn-ea"/>
              <a:cs typeface="+mn-cs"/>
            </a:rPr>
            <a:t>Description</a:t>
          </a:r>
        </a:p>
      </dgm:t>
    </dgm:pt>
    <dgm:pt modelId="{83B8FF94-F671-4134-9041-C65F4989FD60}" type="parTrans" cxnId="{783FB758-058F-43B0-8492-3E7407E80809}">
      <dgm:prSet/>
      <dgm:spPr/>
      <dgm:t>
        <a:bodyPr/>
        <a:lstStyle/>
        <a:p>
          <a:endParaRPr lang="en-MY"/>
        </a:p>
      </dgm:t>
    </dgm:pt>
    <dgm:pt modelId="{32C01CA6-BEFC-47DC-A0FB-B56A53C8B2C0}" type="sibTrans" cxnId="{783FB758-058F-43B0-8492-3E7407E80809}">
      <dgm:prSet/>
      <dgm:spPr>
        <a:xfrm>
          <a:off x="585106" y="261549"/>
          <a:ext cx="2459251" cy="2459251"/>
        </a:xfrm>
        <a:custGeom>
          <a:avLst/>
          <a:gdLst/>
          <a:ahLst/>
          <a:cxnLst/>
          <a:rect l="0" t="0" r="0" b="0"/>
          <a:pathLst>
            <a:path>
              <a:moveTo>
                <a:pt x="1732064" y="107335"/>
              </a:moveTo>
              <a:arcTo wR="1229625" hR="1229625" stAng="17647058" swAng="924272"/>
            </a:path>
          </a:pathLst>
        </a:custGeom>
        <a:noFill/>
        <a:ln w="6350" cap="flat" cmpd="sng" algn="ctr">
          <a:solidFill>
            <a:srgbClr val="4472C4">
              <a:hueOff val="0"/>
              <a:satOff val="0"/>
              <a:lumOff val="0"/>
              <a:alphaOff val="0"/>
            </a:srgbClr>
          </a:solidFill>
          <a:prstDash val="solid"/>
          <a:miter lim="800000"/>
          <a:tailEnd type="arrow"/>
        </a:ln>
        <a:effectLst/>
      </dgm:spPr>
      <dgm:t>
        <a:bodyPr/>
        <a:lstStyle/>
        <a:p>
          <a:endParaRPr lang="en-MY"/>
        </a:p>
      </dgm:t>
    </dgm:pt>
    <dgm:pt modelId="{EE50D81F-C14E-4925-9B2A-65F5FDB44A00}">
      <dgm:prSet phldrT="[Text]"/>
      <dgm:spPr>
        <a:xfrm>
          <a:off x="2478216" y="615450"/>
          <a:ext cx="802806" cy="52182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MY">
              <a:solidFill>
                <a:sysClr val="window" lastClr="FFFFFF"/>
              </a:solidFill>
              <a:latin typeface="Calibri" panose="020F0502020204030204"/>
              <a:ea typeface="+mn-ea"/>
              <a:cs typeface="+mn-cs"/>
            </a:rPr>
            <a:t>Feelings</a:t>
          </a:r>
        </a:p>
      </dgm:t>
    </dgm:pt>
    <dgm:pt modelId="{F9C632F4-E389-4F17-885B-3A117315E3F7}" type="parTrans" cxnId="{CEC60A66-D76E-45A7-A330-225E65C10F30}">
      <dgm:prSet/>
      <dgm:spPr/>
      <dgm:t>
        <a:bodyPr/>
        <a:lstStyle/>
        <a:p>
          <a:endParaRPr lang="en-MY"/>
        </a:p>
      </dgm:t>
    </dgm:pt>
    <dgm:pt modelId="{1BCD94B1-F60E-4F65-8BEF-B213FDA4B726}" type="sibTrans" cxnId="{CEC60A66-D76E-45A7-A330-225E65C10F30}">
      <dgm:prSet/>
      <dgm:spPr>
        <a:xfrm>
          <a:off x="585106" y="261549"/>
          <a:ext cx="2459251" cy="2459251"/>
        </a:xfrm>
        <a:custGeom>
          <a:avLst/>
          <a:gdLst/>
          <a:ahLst/>
          <a:cxnLst/>
          <a:rect l="0" t="0" r="0" b="0"/>
          <a:pathLst>
            <a:path>
              <a:moveTo>
                <a:pt x="2440079" y="1013338"/>
              </a:moveTo>
              <a:arcTo wR="1229625" hR="1229625" stAng="20992150" swAng="1215700"/>
            </a:path>
          </a:pathLst>
        </a:custGeom>
        <a:noFill/>
        <a:ln w="6350" cap="flat" cmpd="sng" algn="ctr">
          <a:solidFill>
            <a:srgbClr val="4472C4">
              <a:hueOff val="0"/>
              <a:satOff val="0"/>
              <a:lumOff val="0"/>
              <a:alphaOff val="0"/>
            </a:srgbClr>
          </a:solidFill>
          <a:prstDash val="solid"/>
          <a:miter lim="800000"/>
          <a:tailEnd type="arrow"/>
        </a:ln>
        <a:effectLst/>
      </dgm:spPr>
      <dgm:t>
        <a:bodyPr/>
        <a:lstStyle/>
        <a:p>
          <a:endParaRPr lang="en-MY"/>
        </a:p>
      </dgm:t>
    </dgm:pt>
    <dgm:pt modelId="{795E3A5D-54DA-43B2-95AF-6FAA628F3048}">
      <dgm:prSet phldrT="[Text]"/>
      <dgm:spPr>
        <a:xfrm>
          <a:off x="2478216" y="1845076"/>
          <a:ext cx="802806" cy="52182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MY">
              <a:solidFill>
                <a:sysClr val="window" lastClr="FFFFFF"/>
              </a:solidFill>
              <a:latin typeface="Calibri" panose="020F0502020204030204"/>
              <a:ea typeface="+mn-ea"/>
              <a:cs typeface="+mn-cs"/>
            </a:rPr>
            <a:t>Evaluation</a:t>
          </a:r>
        </a:p>
      </dgm:t>
    </dgm:pt>
    <dgm:pt modelId="{4043E607-0280-43D2-A5F6-816B6402E30E}" type="parTrans" cxnId="{A01E0C8F-D30D-4BBA-9B0B-7FB60CF2D321}">
      <dgm:prSet/>
      <dgm:spPr/>
      <dgm:t>
        <a:bodyPr/>
        <a:lstStyle/>
        <a:p>
          <a:endParaRPr lang="en-MY"/>
        </a:p>
      </dgm:t>
    </dgm:pt>
    <dgm:pt modelId="{3FE59DBB-9081-49B5-94DA-F4DD1EFA8D9D}" type="sibTrans" cxnId="{A01E0C8F-D30D-4BBA-9B0B-7FB60CF2D321}">
      <dgm:prSet/>
      <dgm:spPr>
        <a:xfrm>
          <a:off x="585106" y="261549"/>
          <a:ext cx="2459251" cy="2459251"/>
        </a:xfrm>
        <a:custGeom>
          <a:avLst/>
          <a:gdLst/>
          <a:ahLst/>
          <a:cxnLst/>
          <a:rect l="0" t="0" r="0" b="0"/>
          <a:pathLst>
            <a:path>
              <a:moveTo>
                <a:pt x="2012130" y="2178132"/>
              </a:moveTo>
              <a:arcTo wR="1229625" hR="1229625" stAng="3028670" swAng="924272"/>
            </a:path>
          </a:pathLst>
        </a:custGeom>
        <a:noFill/>
        <a:ln w="6350" cap="flat" cmpd="sng" algn="ctr">
          <a:solidFill>
            <a:srgbClr val="4472C4">
              <a:hueOff val="0"/>
              <a:satOff val="0"/>
              <a:lumOff val="0"/>
              <a:alphaOff val="0"/>
            </a:srgbClr>
          </a:solidFill>
          <a:prstDash val="solid"/>
          <a:miter lim="800000"/>
          <a:tailEnd type="arrow"/>
        </a:ln>
        <a:effectLst/>
      </dgm:spPr>
      <dgm:t>
        <a:bodyPr/>
        <a:lstStyle/>
        <a:p>
          <a:endParaRPr lang="en-MY"/>
        </a:p>
      </dgm:t>
    </dgm:pt>
    <dgm:pt modelId="{0F01F107-2518-4B10-BACE-FE72705731A8}">
      <dgm:prSet phldrT="[Text]"/>
      <dgm:spPr>
        <a:xfrm>
          <a:off x="1413329" y="2459889"/>
          <a:ext cx="802806" cy="52182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MY">
              <a:solidFill>
                <a:sysClr val="window" lastClr="FFFFFF"/>
              </a:solidFill>
              <a:latin typeface="Calibri" panose="020F0502020204030204"/>
              <a:ea typeface="+mn-ea"/>
              <a:cs typeface="+mn-cs"/>
            </a:rPr>
            <a:t>Analysis</a:t>
          </a:r>
        </a:p>
      </dgm:t>
    </dgm:pt>
    <dgm:pt modelId="{088F8A6E-5DBD-40F2-BC6E-E98D1A163001}" type="parTrans" cxnId="{89982DBB-D919-4A22-8136-09C0B84D589F}">
      <dgm:prSet/>
      <dgm:spPr/>
      <dgm:t>
        <a:bodyPr/>
        <a:lstStyle/>
        <a:p>
          <a:endParaRPr lang="en-MY"/>
        </a:p>
      </dgm:t>
    </dgm:pt>
    <dgm:pt modelId="{CE867697-EF5C-4E0C-9887-2329AC5EA81B}" type="sibTrans" cxnId="{89982DBB-D919-4A22-8136-09C0B84D589F}">
      <dgm:prSet/>
      <dgm:spPr>
        <a:xfrm>
          <a:off x="585106" y="261549"/>
          <a:ext cx="2459251" cy="2459251"/>
        </a:xfrm>
        <a:custGeom>
          <a:avLst/>
          <a:gdLst/>
          <a:ahLst/>
          <a:cxnLst/>
          <a:rect l="0" t="0" r="0" b="0"/>
          <a:pathLst>
            <a:path>
              <a:moveTo>
                <a:pt x="727186" y="2351915"/>
              </a:moveTo>
              <a:arcTo wR="1229625" hR="1229625" stAng="6847058" swAng="924272"/>
            </a:path>
          </a:pathLst>
        </a:custGeom>
        <a:noFill/>
        <a:ln w="6350" cap="flat" cmpd="sng" algn="ctr">
          <a:solidFill>
            <a:srgbClr val="4472C4">
              <a:hueOff val="0"/>
              <a:satOff val="0"/>
              <a:lumOff val="0"/>
              <a:alphaOff val="0"/>
            </a:srgbClr>
          </a:solidFill>
          <a:prstDash val="solid"/>
          <a:miter lim="800000"/>
          <a:tailEnd type="arrow"/>
        </a:ln>
        <a:effectLst/>
      </dgm:spPr>
      <dgm:t>
        <a:bodyPr/>
        <a:lstStyle/>
        <a:p>
          <a:endParaRPr lang="en-MY"/>
        </a:p>
      </dgm:t>
    </dgm:pt>
    <dgm:pt modelId="{2E3DD90C-6710-445B-9826-E951B1AF9BE7}">
      <dgm:prSet phldrT="[Text]"/>
      <dgm:spPr>
        <a:xfrm>
          <a:off x="348442" y="1845076"/>
          <a:ext cx="802806" cy="52182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MY">
              <a:solidFill>
                <a:sysClr val="window" lastClr="FFFFFF"/>
              </a:solidFill>
              <a:latin typeface="Calibri" panose="020F0502020204030204"/>
              <a:ea typeface="+mn-ea"/>
              <a:cs typeface="+mn-cs"/>
            </a:rPr>
            <a:t>Conclusion</a:t>
          </a:r>
        </a:p>
      </dgm:t>
    </dgm:pt>
    <dgm:pt modelId="{1E9D40A0-ABEF-46CF-9CD7-C3B8DB22A3AF}" type="parTrans" cxnId="{AB669912-CFFA-412E-A7D9-3A64626F7593}">
      <dgm:prSet/>
      <dgm:spPr/>
      <dgm:t>
        <a:bodyPr/>
        <a:lstStyle/>
        <a:p>
          <a:endParaRPr lang="en-MY"/>
        </a:p>
      </dgm:t>
    </dgm:pt>
    <dgm:pt modelId="{9118F91D-39BF-49E4-AFC7-907F30C24545}" type="sibTrans" cxnId="{AB669912-CFFA-412E-A7D9-3A64626F7593}">
      <dgm:prSet/>
      <dgm:spPr>
        <a:xfrm>
          <a:off x="585106" y="261549"/>
          <a:ext cx="2459251" cy="2459251"/>
        </a:xfrm>
        <a:custGeom>
          <a:avLst/>
          <a:gdLst/>
          <a:ahLst/>
          <a:cxnLst/>
          <a:rect l="0" t="0" r="0" b="0"/>
          <a:pathLst>
            <a:path>
              <a:moveTo>
                <a:pt x="19171" y="1445912"/>
              </a:moveTo>
              <a:arcTo wR="1229625" hR="1229625" stAng="10192150" swAng="1215700"/>
            </a:path>
          </a:pathLst>
        </a:custGeom>
        <a:noFill/>
        <a:ln w="6350" cap="flat" cmpd="sng" algn="ctr">
          <a:solidFill>
            <a:srgbClr val="4472C4">
              <a:hueOff val="0"/>
              <a:satOff val="0"/>
              <a:lumOff val="0"/>
              <a:alphaOff val="0"/>
            </a:srgbClr>
          </a:solidFill>
          <a:prstDash val="solid"/>
          <a:miter lim="800000"/>
          <a:tailEnd type="arrow"/>
        </a:ln>
        <a:effectLst/>
      </dgm:spPr>
      <dgm:t>
        <a:bodyPr/>
        <a:lstStyle/>
        <a:p>
          <a:endParaRPr lang="en-MY"/>
        </a:p>
      </dgm:t>
    </dgm:pt>
    <dgm:pt modelId="{80DF7857-3E75-49C4-AE42-BF0867399661}">
      <dgm:prSet phldrT="[Text]"/>
      <dgm:spPr>
        <a:xfrm>
          <a:off x="348442" y="615450"/>
          <a:ext cx="802806" cy="52182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MY">
              <a:solidFill>
                <a:sysClr val="window" lastClr="FFFFFF"/>
              </a:solidFill>
              <a:latin typeface="Calibri" panose="020F0502020204030204"/>
              <a:ea typeface="+mn-ea"/>
              <a:cs typeface="+mn-cs"/>
            </a:rPr>
            <a:t>Action Plan</a:t>
          </a:r>
        </a:p>
      </dgm:t>
    </dgm:pt>
    <dgm:pt modelId="{F44DDF2C-4E85-47F8-BC68-6DC319E24521}" type="parTrans" cxnId="{B1DB01E8-B4F1-4FCE-85D4-786AD6074BEC}">
      <dgm:prSet/>
      <dgm:spPr/>
      <dgm:t>
        <a:bodyPr/>
        <a:lstStyle/>
        <a:p>
          <a:endParaRPr lang="en-MY"/>
        </a:p>
      </dgm:t>
    </dgm:pt>
    <dgm:pt modelId="{A6F5133B-F020-4DEE-B1E2-1364052A8A5B}" type="sibTrans" cxnId="{B1DB01E8-B4F1-4FCE-85D4-786AD6074BEC}">
      <dgm:prSet/>
      <dgm:spPr>
        <a:xfrm>
          <a:off x="585106" y="261549"/>
          <a:ext cx="2459251" cy="2459251"/>
        </a:xfrm>
        <a:custGeom>
          <a:avLst/>
          <a:gdLst/>
          <a:ahLst/>
          <a:cxnLst/>
          <a:rect l="0" t="0" r="0" b="0"/>
          <a:pathLst>
            <a:path>
              <a:moveTo>
                <a:pt x="447120" y="281119"/>
              </a:moveTo>
              <a:arcTo wR="1229625" hR="1229625" stAng="13828670" swAng="924272"/>
            </a:path>
          </a:pathLst>
        </a:custGeom>
        <a:noFill/>
        <a:ln w="6350" cap="flat" cmpd="sng" algn="ctr">
          <a:solidFill>
            <a:srgbClr val="4472C4">
              <a:hueOff val="0"/>
              <a:satOff val="0"/>
              <a:lumOff val="0"/>
              <a:alphaOff val="0"/>
            </a:srgbClr>
          </a:solidFill>
          <a:prstDash val="solid"/>
          <a:miter lim="800000"/>
          <a:tailEnd type="arrow"/>
        </a:ln>
        <a:effectLst/>
      </dgm:spPr>
      <dgm:t>
        <a:bodyPr/>
        <a:lstStyle/>
        <a:p>
          <a:endParaRPr lang="en-MY"/>
        </a:p>
      </dgm:t>
    </dgm:pt>
    <dgm:pt modelId="{04F941B0-FA48-4C85-AA31-1AA68999B7EA}" type="pres">
      <dgm:prSet presAssocID="{58BEB624-4733-4877-9699-8500DB9F7DDF}" presName="cycle" presStyleCnt="0">
        <dgm:presLayoutVars>
          <dgm:dir/>
          <dgm:resizeHandles val="exact"/>
        </dgm:presLayoutVars>
      </dgm:prSet>
      <dgm:spPr/>
    </dgm:pt>
    <dgm:pt modelId="{68EBF853-D7DE-41D7-82C8-95F6D0DD1936}" type="pres">
      <dgm:prSet presAssocID="{5F1A492C-90B3-4870-AF96-471D737C18B0}" presName="node" presStyleLbl="node1" presStyleIdx="0" presStyleCnt="6">
        <dgm:presLayoutVars>
          <dgm:bulletEnabled val="1"/>
        </dgm:presLayoutVars>
      </dgm:prSet>
      <dgm:spPr/>
    </dgm:pt>
    <dgm:pt modelId="{48FF6CEE-2C88-4F18-8529-13FAA655C26E}" type="pres">
      <dgm:prSet presAssocID="{5F1A492C-90B3-4870-AF96-471D737C18B0}" presName="spNode" presStyleCnt="0"/>
      <dgm:spPr/>
    </dgm:pt>
    <dgm:pt modelId="{377C748A-7F07-43C1-A2A7-78248D70D410}" type="pres">
      <dgm:prSet presAssocID="{32C01CA6-BEFC-47DC-A0FB-B56A53C8B2C0}" presName="sibTrans" presStyleLbl="sibTrans1D1" presStyleIdx="0" presStyleCnt="6"/>
      <dgm:spPr/>
    </dgm:pt>
    <dgm:pt modelId="{CAF76176-50ED-4D18-A4FA-9E4E63FADA20}" type="pres">
      <dgm:prSet presAssocID="{EE50D81F-C14E-4925-9B2A-65F5FDB44A00}" presName="node" presStyleLbl="node1" presStyleIdx="1" presStyleCnt="6">
        <dgm:presLayoutVars>
          <dgm:bulletEnabled val="1"/>
        </dgm:presLayoutVars>
      </dgm:prSet>
      <dgm:spPr/>
    </dgm:pt>
    <dgm:pt modelId="{32875AA6-0B68-42A9-A40B-5052A239E5D4}" type="pres">
      <dgm:prSet presAssocID="{EE50D81F-C14E-4925-9B2A-65F5FDB44A00}" presName="spNode" presStyleCnt="0"/>
      <dgm:spPr/>
    </dgm:pt>
    <dgm:pt modelId="{DEE23D68-30D6-41A5-8E46-C00E6E81512F}" type="pres">
      <dgm:prSet presAssocID="{1BCD94B1-F60E-4F65-8BEF-B213FDA4B726}" presName="sibTrans" presStyleLbl="sibTrans1D1" presStyleIdx="1" presStyleCnt="6"/>
      <dgm:spPr/>
    </dgm:pt>
    <dgm:pt modelId="{1833DE62-1A94-4D28-BFD3-7731012B3871}" type="pres">
      <dgm:prSet presAssocID="{795E3A5D-54DA-43B2-95AF-6FAA628F3048}" presName="node" presStyleLbl="node1" presStyleIdx="2" presStyleCnt="6">
        <dgm:presLayoutVars>
          <dgm:bulletEnabled val="1"/>
        </dgm:presLayoutVars>
      </dgm:prSet>
      <dgm:spPr/>
    </dgm:pt>
    <dgm:pt modelId="{498055E7-52F2-4C1B-87E6-BC85DF9DDFBB}" type="pres">
      <dgm:prSet presAssocID="{795E3A5D-54DA-43B2-95AF-6FAA628F3048}" presName="spNode" presStyleCnt="0"/>
      <dgm:spPr/>
    </dgm:pt>
    <dgm:pt modelId="{920114D0-E685-45DE-A6BE-322098C59BF3}" type="pres">
      <dgm:prSet presAssocID="{3FE59DBB-9081-49B5-94DA-F4DD1EFA8D9D}" presName="sibTrans" presStyleLbl="sibTrans1D1" presStyleIdx="2" presStyleCnt="6"/>
      <dgm:spPr/>
    </dgm:pt>
    <dgm:pt modelId="{133EF183-6201-43D5-83D9-694E734352F2}" type="pres">
      <dgm:prSet presAssocID="{0F01F107-2518-4B10-BACE-FE72705731A8}" presName="node" presStyleLbl="node1" presStyleIdx="3" presStyleCnt="6">
        <dgm:presLayoutVars>
          <dgm:bulletEnabled val="1"/>
        </dgm:presLayoutVars>
      </dgm:prSet>
      <dgm:spPr/>
    </dgm:pt>
    <dgm:pt modelId="{23F29FC4-B1AA-459F-941D-95B3AE60F9F2}" type="pres">
      <dgm:prSet presAssocID="{0F01F107-2518-4B10-BACE-FE72705731A8}" presName="spNode" presStyleCnt="0"/>
      <dgm:spPr/>
    </dgm:pt>
    <dgm:pt modelId="{916771E4-0E33-44D9-88E8-BB6C5FC83CB4}" type="pres">
      <dgm:prSet presAssocID="{CE867697-EF5C-4E0C-9887-2329AC5EA81B}" presName="sibTrans" presStyleLbl="sibTrans1D1" presStyleIdx="3" presStyleCnt="6"/>
      <dgm:spPr/>
    </dgm:pt>
    <dgm:pt modelId="{C15CB399-BA12-475F-931B-DFA2AE27F09C}" type="pres">
      <dgm:prSet presAssocID="{2E3DD90C-6710-445B-9826-E951B1AF9BE7}" presName="node" presStyleLbl="node1" presStyleIdx="4" presStyleCnt="6">
        <dgm:presLayoutVars>
          <dgm:bulletEnabled val="1"/>
        </dgm:presLayoutVars>
      </dgm:prSet>
      <dgm:spPr/>
    </dgm:pt>
    <dgm:pt modelId="{F6E45515-D811-4CCE-B686-AFC3A8404A46}" type="pres">
      <dgm:prSet presAssocID="{2E3DD90C-6710-445B-9826-E951B1AF9BE7}" presName="spNode" presStyleCnt="0"/>
      <dgm:spPr/>
    </dgm:pt>
    <dgm:pt modelId="{D7A6CD83-FAEB-4804-B40A-2ECCB4798D00}" type="pres">
      <dgm:prSet presAssocID="{9118F91D-39BF-49E4-AFC7-907F30C24545}" presName="sibTrans" presStyleLbl="sibTrans1D1" presStyleIdx="4" presStyleCnt="6"/>
      <dgm:spPr/>
    </dgm:pt>
    <dgm:pt modelId="{43175158-A672-42C9-95CC-61E057F2D078}" type="pres">
      <dgm:prSet presAssocID="{80DF7857-3E75-49C4-AE42-BF0867399661}" presName="node" presStyleLbl="node1" presStyleIdx="5" presStyleCnt="6">
        <dgm:presLayoutVars>
          <dgm:bulletEnabled val="1"/>
        </dgm:presLayoutVars>
      </dgm:prSet>
      <dgm:spPr/>
    </dgm:pt>
    <dgm:pt modelId="{C8309FA3-005C-4FA3-9BFC-6742AFDFCE6D}" type="pres">
      <dgm:prSet presAssocID="{80DF7857-3E75-49C4-AE42-BF0867399661}" presName="spNode" presStyleCnt="0"/>
      <dgm:spPr/>
    </dgm:pt>
    <dgm:pt modelId="{B8C99A88-CEFB-42A6-A17A-349F9E82CA91}" type="pres">
      <dgm:prSet presAssocID="{A6F5133B-F020-4DEE-B1E2-1364052A8A5B}" presName="sibTrans" presStyleLbl="sibTrans1D1" presStyleIdx="5" presStyleCnt="6"/>
      <dgm:spPr/>
    </dgm:pt>
  </dgm:ptLst>
  <dgm:cxnLst>
    <dgm:cxn modelId="{4CB63F0B-4547-47F9-BBD1-633AF48C7FDE}" type="presOf" srcId="{2E3DD90C-6710-445B-9826-E951B1AF9BE7}" destId="{C15CB399-BA12-475F-931B-DFA2AE27F09C}" srcOrd="0" destOrd="0" presId="urn:microsoft.com/office/officeart/2005/8/layout/cycle5"/>
    <dgm:cxn modelId="{AB669912-CFFA-412E-A7D9-3A64626F7593}" srcId="{58BEB624-4733-4877-9699-8500DB9F7DDF}" destId="{2E3DD90C-6710-445B-9826-E951B1AF9BE7}" srcOrd="4" destOrd="0" parTransId="{1E9D40A0-ABEF-46CF-9CD7-C3B8DB22A3AF}" sibTransId="{9118F91D-39BF-49E4-AFC7-907F30C24545}"/>
    <dgm:cxn modelId="{B911211A-684A-4B68-A6A7-50EE32D0C715}" type="presOf" srcId="{32C01CA6-BEFC-47DC-A0FB-B56A53C8B2C0}" destId="{377C748A-7F07-43C1-A2A7-78248D70D410}" srcOrd="0" destOrd="0" presId="urn:microsoft.com/office/officeart/2005/8/layout/cycle5"/>
    <dgm:cxn modelId="{DF2DD521-2DBC-4856-B699-D42C38BE2FDD}" type="presOf" srcId="{9118F91D-39BF-49E4-AFC7-907F30C24545}" destId="{D7A6CD83-FAEB-4804-B40A-2ECCB4798D00}" srcOrd="0" destOrd="0" presId="urn:microsoft.com/office/officeart/2005/8/layout/cycle5"/>
    <dgm:cxn modelId="{E5D33030-FF92-4598-A8A4-B178A92C93A5}" type="presOf" srcId="{1BCD94B1-F60E-4F65-8BEF-B213FDA4B726}" destId="{DEE23D68-30D6-41A5-8E46-C00E6E81512F}" srcOrd="0" destOrd="0" presId="urn:microsoft.com/office/officeart/2005/8/layout/cycle5"/>
    <dgm:cxn modelId="{309A8D43-8B2F-4702-88D0-42D49943AD9F}" type="presOf" srcId="{3FE59DBB-9081-49B5-94DA-F4DD1EFA8D9D}" destId="{920114D0-E685-45DE-A6BE-322098C59BF3}" srcOrd="0" destOrd="0" presId="urn:microsoft.com/office/officeart/2005/8/layout/cycle5"/>
    <dgm:cxn modelId="{CEC60A66-D76E-45A7-A330-225E65C10F30}" srcId="{58BEB624-4733-4877-9699-8500DB9F7DDF}" destId="{EE50D81F-C14E-4925-9B2A-65F5FDB44A00}" srcOrd="1" destOrd="0" parTransId="{F9C632F4-E389-4F17-885B-3A117315E3F7}" sibTransId="{1BCD94B1-F60E-4F65-8BEF-B213FDA4B726}"/>
    <dgm:cxn modelId="{389D0267-EB79-4FFC-A419-E01EA9995D6B}" type="presOf" srcId="{58BEB624-4733-4877-9699-8500DB9F7DDF}" destId="{04F941B0-FA48-4C85-AA31-1AA68999B7EA}" srcOrd="0" destOrd="0" presId="urn:microsoft.com/office/officeart/2005/8/layout/cycle5"/>
    <dgm:cxn modelId="{F1EB3D4B-E0AF-4179-A0DB-E59DCB68ED5D}" type="presOf" srcId="{CE867697-EF5C-4E0C-9887-2329AC5EA81B}" destId="{916771E4-0E33-44D9-88E8-BB6C5FC83CB4}" srcOrd="0" destOrd="0" presId="urn:microsoft.com/office/officeart/2005/8/layout/cycle5"/>
    <dgm:cxn modelId="{783FB758-058F-43B0-8492-3E7407E80809}" srcId="{58BEB624-4733-4877-9699-8500DB9F7DDF}" destId="{5F1A492C-90B3-4870-AF96-471D737C18B0}" srcOrd="0" destOrd="0" parTransId="{83B8FF94-F671-4134-9041-C65F4989FD60}" sibTransId="{32C01CA6-BEFC-47DC-A0FB-B56A53C8B2C0}"/>
    <dgm:cxn modelId="{964A0A89-E136-4D84-B9C3-09BB45B16DA0}" type="presOf" srcId="{5F1A492C-90B3-4870-AF96-471D737C18B0}" destId="{68EBF853-D7DE-41D7-82C8-95F6D0DD1936}" srcOrd="0" destOrd="0" presId="urn:microsoft.com/office/officeart/2005/8/layout/cycle5"/>
    <dgm:cxn modelId="{A01E0C8F-D30D-4BBA-9B0B-7FB60CF2D321}" srcId="{58BEB624-4733-4877-9699-8500DB9F7DDF}" destId="{795E3A5D-54DA-43B2-95AF-6FAA628F3048}" srcOrd="2" destOrd="0" parTransId="{4043E607-0280-43D2-A5F6-816B6402E30E}" sibTransId="{3FE59DBB-9081-49B5-94DA-F4DD1EFA8D9D}"/>
    <dgm:cxn modelId="{0CEE8E9F-78FA-4E06-ABF4-B48798A27397}" type="presOf" srcId="{0F01F107-2518-4B10-BACE-FE72705731A8}" destId="{133EF183-6201-43D5-83D9-694E734352F2}" srcOrd="0" destOrd="0" presId="urn:microsoft.com/office/officeart/2005/8/layout/cycle5"/>
    <dgm:cxn modelId="{2A57CAAE-E393-44D9-9EF5-DA6B8B5DA4CA}" type="presOf" srcId="{795E3A5D-54DA-43B2-95AF-6FAA628F3048}" destId="{1833DE62-1A94-4D28-BFD3-7731012B3871}" srcOrd="0" destOrd="0" presId="urn:microsoft.com/office/officeart/2005/8/layout/cycle5"/>
    <dgm:cxn modelId="{89982DBB-D919-4A22-8136-09C0B84D589F}" srcId="{58BEB624-4733-4877-9699-8500DB9F7DDF}" destId="{0F01F107-2518-4B10-BACE-FE72705731A8}" srcOrd="3" destOrd="0" parTransId="{088F8A6E-5DBD-40F2-BC6E-E98D1A163001}" sibTransId="{CE867697-EF5C-4E0C-9887-2329AC5EA81B}"/>
    <dgm:cxn modelId="{73E831DB-1A37-427F-9709-B38DC97BED8C}" type="presOf" srcId="{80DF7857-3E75-49C4-AE42-BF0867399661}" destId="{43175158-A672-42C9-95CC-61E057F2D078}" srcOrd="0" destOrd="0" presId="urn:microsoft.com/office/officeart/2005/8/layout/cycle5"/>
    <dgm:cxn modelId="{1B0EDEE0-2ED7-499C-AABE-4CD98EAF9F49}" type="presOf" srcId="{EE50D81F-C14E-4925-9B2A-65F5FDB44A00}" destId="{CAF76176-50ED-4D18-A4FA-9E4E63FADA20}" srcOrd="0" destOrd="0" presId="urn:microsoft.com/office/officeart/2005/8/layout/cycle5"/>
    <dgm:cxn modelId="{CC25E5E7-AA84-40DC-BF7A-A60987FEE797}" type="presOf" srcId="{A6F5133B-F020-4DEE-B1E2-1364052A8A5B}" destId="{B8C99A88-CEFB-42A6-A17A-349F9E82CA91}" srcOrd="0" destOrd="0" presId="urn:microsoft.com/office/officeart/2005/8/layout/cycle5"/>
    <dgm:cxn modelId="{B1DB01E8-B4F1-4FCE-85D4-786AD6074BEC}" srcId="{58BEB624-4733-4877-9699-8500DB9F7DDF}" destId="{80DF7857-3E75-49C4-AE42-BF0867399661}" srcOrd="5" destOrd="0" parTransId="{F44DDF2C-4E85-47F8-BC68-6DC319E24521}" sibTransId="{A6F5133B-F020-4DEE-B1E2-1364052A8A5B}"/>
    <dgm:cxn modelId="{2FB62E02-5593-42A8-9629-B786B1D01E57}" type="presParOf" srcId="{04F941B0-FA48-4C85-AA31-1AA68999B7EA}" destId="{68EBF853-D7DE-41D7-82C8-95F6D0DD1936}" srcOrd="0" destOrd="0" presId="urn:microsoft.com/office/officeart/2005/8/layout/cycle5"/>
    <dgm:cxn modelId="{2BFFE96B-65E8-4A70-9301-4F5A10AF3551}" type="presParOf" srcId="{04F941B0-FA48-4C85-AA31-1AA68999B7EA}" destId="{48FF6CEE-2C88-4F18-8529-13FAA655C26E}" srcOrd="1" destOrd="0" presId="urn:microsoft.com/office/officeart/2005/8/layout/cycle5"/>
    <dgm:cxn modelId="{4216CEF2-D36B-451C-A6A0-D4413C1DD764}" type="presParOf" srcId="{04F941B0-FA48-4C85-AA31-1AA68999B7EA}" destId="{377C748A-7F07-43C1-A2A7-78248D70D410}" srcOrd="2" destOrd="0" presId="urn:microsoft.com/office/officeart/2005/8/layout/cycle5"/>
    <dgm:cxn modelId="{C3910064-2185-468A-AF3B-91A9F3A67BAE}" type="presParOf" srcId="{04F941B0-FA48-4C85-AA31-1AA68999B7EA}" destId="{CAF76176-50ED-4D18-A4FA-9E4E63FADA20}" srcOrd="3" destOrd="0" presId="urn:microsoft.com/office/officeart/2005/8/layout/cycle5"/>
    <dgm:cxn modelId="{C0AB0BC3-8567-4B9E-9675-B5536AF698B9}" type="presParOf" srcId="{04F941B0-FA48-4C85-AA31-1AA68999B7EA}" destId="{32875AA6-0B68-42A9-A40B-5052A239E5D4}" srcOrd="4" destOrd="0" presId="urn:microsoft.com/office/officeart/2005/8/layout/cycle5"/>
    <dgm:cxn modelId="{3E743CA5-64A6-4582-8254-DB70A0EC46D6}" type="presParOf" srcId="{04F941B0-FA48-4C85-AA31-1AA68999B7EA}" destId="{DEE23D68-30D6-41A5-8E46-C00E6E81512F}" srcOrd="5" destOrd="0" presId="urn:microsoft.com/office/officeart/2005/8/layout/cycle5"/>
    <dgm:cxn modelId="{3DE189B0-6B04-487B-9C16-DB757574D7C9}" type="presParOf" srcId="{04F941B0-FA48-4C85-AA31-1AA68999B7EA}" destId="{1833DE62-1A94-4D28-BFD3-7731012B3871}" srcOrd="6" destOrd="0" presId="urn:microsoft.com/office/officeart/2005/8/layout/cycle5"/>
    <dgm:cxn modelId="{C85F9B6D-9900-48FD-BEAF-84FDA5C7E95A}" type="presParOf" srcId="{04F941B0-FA48-4C85-AA31-1AA68999B7EA}" destId="{498055E7-52F2-4C1B-87E6-BC85DF9DDFBB}" srcOrd="7" destOrd="0" presId="urn:microsoft.com/office/officeart/2005/8/layout/cycle5"/>
    <dgm:cxn modelId="{B6A26992-22E8-4BA4-8F63-923FD69D9509}" type="presParOf" srcId="{04F941B0-FA48-4C85-AA31-1AA68999B7EA}" destId="{920114D0-E685-45DE-A6BE-322098C59BF3}" srcOrd="8" destOrd="0" presId="urn:microsoft.com/office/officeart/2005/8/layout/cycle5"/>
    <dgm:cxn modelId="{8617732C-424E-411C-8345-199A35B5EFCB}" type="presParOf" srcId="{04F941B0-FA48-4C85-AA31-1AA68999B7EA}" destId="{133EF183-6201-43D5-83D9-694E734352F2}" srcOrd="9" destOrd="0" presId="urn:microsoft.com/office/officeart/2005/8/layout/cycle5"/>
    <dgm:cxn modelId="{DB350485-8C62-4D0A-B8EB-51B9567D8798}" type="presParOf" srcId="{04F941B0-FA48-4C85-AA31-1AA68999B7EA}" destId="{23F29FC4-B1AA-459F-941D-95B3AE60F9F2}" srcOrd="10" destOrd="0" presId="urn:microsoft.com/office/officeart/2005/8/layout/cycle5"/>
    <dgm:cxn modelId="{4ABBFF56-E179-4ACF-8498-7E47A471D7ED}" type="presParOf" srcId="{04F941B0-FA48-4C85-AA31-1AA68999B7EA}" destId="{916771E4-0E33-44D9-88E8-BB6C5FC83CB4}" srcOrd="11" destOrd="0" presId="urn:microsoft.com/office/officeart/2005/8/layout/cycle5"/>
    <dgm:cxn modelId="{5B5A334E-7B14-4BD6-9483-0FFE7CD5E59A}" type="presParOf" srcId="{04F941B0-FA48-4C85-AA31-1AA68999B7EA}" destId="{C15CB399-BA12-475F-931B-DFA2AE27F09C}" srcOrd="12" destOrd="0" presId="urn:microsoft.com/office/officeart/2005/8/layout/cycle5"/>
    <dgm:cxn modelId="{C36080D4-EAA4-4C3A-B87B-A397B467B973}" type="presParOf" srcId="{04F941B0-FA48-4C85-AA31-1AA68999B7EA}" destId="{F6E45515-D811-4CCE-B686-AFC3A8404A46}" srcOrd="13" destOrd="0" presId="urn:microsoft.com/office/officeart/2005/8/layout/cycle5"/>
    <dgm:cxn modelId="{9171A83B-ADDE-4B8D-B22A-D86D8508638A}" type="presParOf" srcId="{04F941B0-FA48-4C85-AA31-1AA68999B7EA}" destId="{D7A6CD83-FAEB-4804-B40A-2ECCB4798D00}" srcOrd="14" destOrd="0" presId="urn:microsoft.com/office/officeart/2005/8/layout/cycle5"/>
    <dgm:cxn modelId="{DDA52C49-0AB0-4A6C-BBEF-77AA277E38EB}" type="presParOf" srcId="{04F941B0-FA48-4C85-AA31-1AA68999B7EA}" destId="{43175158-A672-42C9-95CC-61E057F2D078}" srcOrd="15" destOrd="0" presId="urn:microsoft.com/office/officeart/2005/8/layout/cycle5"/>
    <dgm:cxn modelId="{87E9711F-24BD-46C8-A609-8AC0D3955990}" type="presParOf" srcId="{04F941B0-FA48-4C85-AA31-1AA68999B7EA}" destId="{C8309FA3-005C-4FA3-9BFC-6742AFDFCE6D}" srcOrd="16" destOrd="0" presId="urn:microsoft.com/office/officeart/2005/8/layout/cycle5"/>
    <dgm:cxn modelId="{666D6DB4-3DEC-4391-93EB-465C01A2FFF0}" type="presParOf" srcId="{04F941B0-FA48-4C85-AA31-1AA68999B7EA}" destId="{B8C99A88-CEFB-42A6-A17A-349F9E82CA91}" srcOrd="17" destOrd="0" presId="urn:microsoft.com/office/officeart/2005/8/layout/cycle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EBF853-D7DE-41D7-82C8-95F6D0DD1936}">
      <dsp:nvSpPr>
        <dsp:cNvPr id="0" name=""/>
        <dsp:cNvSpPr/>
      </dsp:nvSpPr>
      <dsp:spPr>
        <a:xfrm>
          <a:off x="1413329" y="637"/>
          <a:ext cx="802806" cy="52182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MY" sz="1100" kern="1200">
              <a:solidFill>
                <a:sysClr val="window" lastClr="FFFFFF"/>
              </a:solidFill>
              <a:latin typeface="Calibri" panose="020F0502020204030204"/>
              <a:ea typeface="+mn-ea"/>
              <a:cs typeface="+mn-cs"/>
            </a:rPr>
            <a:t>Description</a:t>
          </a:r>
        </a:p>
      </dsp:txBody>
      <dsp:txXfrm>
        <a:off x="1438802" y="26110"/>
        <a:ext cx="751860" cy="470878"/>
      </dsp:txXfrm>
    </dsp:sp>
    <dsp:sp modelId="{377C748A-7F07-43C1-A2A7-78248D70D410}">
      <dsp:nvSpPr>
        <dsp:cNvPr id="0" name=""/>
        <dsp:cNvSpPr/>
      </dsp:nvSpPr>
      <dsp:spPr>
        <a:xfrm>
          <a:off x="585106" y="261549"/>
          <a:ext cx="2459251" cy="2459251"/>
        </a:xfrm>
        <a:custGeom>
          <a:avLst/>
          <a:gdLst/>
          <a:ahLst/>
          <a:cxnLst/>
          <a:rect l="0" t="0" r="0" b="0"/>
          <a:pathLst>
            <a:path>
              <a:moveTo>
                <a:pt x="1732064" y="107335"/>
              </a:moveTo>
              <a:arcTo wR="1229625" hR="1229625" stAng="17647058" swAng="924272"/>
            </a:path>
          </a:pathLst>
        </a:custGeom>
        <a:noFill/>
        <a:ln w="6350" cap="flat" cmpd="sng" algn="ctr">
          <a:solidFill>
            <a:srgbClr val="4472C4">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CAF76176-50ED-4D18-A4FA-9E4E63FADA20}">
      <dsp:nvSpPr>
        <dsp:cNvPr id="0" name=""/>
        <dsp:cNvSpPr/>
      </dsp:nvSpPr>
      <dsp:spPr>
        <a:xfrm>
          <a:off x="2478216" y="615450"/>
          <a:ext cx="802806" cy="52182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MY" sz="1100" kern="1200">
              <a:solidFill>
                <a:sysClr val="window" lastClr="FFFFFF"/>
              </a:solidFill>
              <a:latin typeface="Calibri" panose="020F0502020204030204"/>
              <a:ea typeface="+mn-ea"/>
              <a:cs typeface="+mn-cs"/>
            </a:rPr>
            <a:t>Feelings</a:t>
          </a:r>
        </a:p>
      </dsp:txBody>
      <dsp:txXfrm>
        <a:off x="2503689" y="640923"/>
        <a:ext cx="751860" cy="470878"/>
      </dsp:txXfrm>
    </dsp:sp>
    <dsp:sp modelId="{DEE23D68-30D6-41A5-8E46-C00E6E81512F}">
      <dsp:nvSpPr>
        <dsp:cNvPr id="0" name=""/>
        <dsp:cNvSpPr/>
      </dsp:nvSpPr>
      <dsp:spPr>
        <a:xfrm>
          <a:off x="585106" y="261549"/>
          <a:ext cx="2459251" cy="2459251"/>
        </a:xfrm>
        <a:custGeom>
          <a:avLst/>
          <a:gdLst/>
          <a:ahLst/>
          <a:cxnLst/>
          <a:rect l="0" t="0" r="0" b="0"/>
          <a:pathLst>
            <a:path>
              <a:moveTo>
                <a:pt x="2440079" y="1013338"/>
              </a:moveTo>
              <a:arcTo wR="1229625" hR="1229625" stAng="20992150" swAng="1215700"/>
            </a:path>
          </a:pathLst>
        </a:custGeom>
        <a:noFill/>
        <a:ln w="6350" cap="flat" cmpd="sng" algn="ctr">
          <a:solidFill>
            <a:srgbClr val="4472C4">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1833DE62-1A94-4D28-BFD3-7731012B3871}">
      <dsp:nvSpPr>
        <dsp:cNvPr id="0" name=""/>
        <dsp:cNvSpPr/>
      </dsp:nvSpPr>
      <dsp:spPr>
        <a:xfrm>
          <a:off x="2478216" y="1845076"/>
          <a:ext cx="802806" cy="52182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MY" sz="1100" kern="1200">
              <a:solidFill>
                <a:sysClr val="window" lastClr="FFFFFF"/>
              </a:solidFill>
              <a:latin typeface="Calibri" panose="020F0502020204030204"/>
              <a:ea typeface="+mn-ea"/>
              <a:cs typeface="+mn-cs"/>
            </a:rPr>
            <a:t>Evaluation</a:t>
          </a:r>
        </a:p>
      </dsp:txBody>
      <dsp:txXfrm>
        <a:off x="2503689" y="1870549"/>
        <a:ext cx="751860" cy="470878"/>
      </dsp:txXfrm>
    </dsp:sp>
    <dsp:sp modelId="{920114D0-E685-45DE-A6BE-322098C59BF3}">
      <dsp:nvSpPr>
        <dsp:cNvPr id="0" name=""/>
        <dsp:cNvSpPr/>
      </dsp:nvSpPr>
      <dsp:spPr>
        <a:xfrm>
          <a:off x="585106" y="261549"/>
          <a:ext cx="2459251" cy="2459251"/>
        </a:xfrm>
        <a:custGeom>
          <a:avLst/>
          <a:gdLst/>
          <a:ahLst/>
          <a:cxnLst/>
          <a:rect l="0" t="0" r="0" b="0"/>
          <a:pathLst>
            <a:path>
              <a:moveTo>
                <a:pt x="2012130" y="2178132"/>
              </a:moveTo>
              <a:arcTo wR="1229625" hR="1229625" stAng="3028670" swAng="924272"/>
            </a:path>
          </a:pathLst>
        </a:custGeom>
        <a:noFill/>
        <a:ln w="6350" cap="flat" cmpd="sng" algn="ctr">
          <a:solidFill>
            <a:srgbClr val="4472C4">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133EF183-6201-43D5-83D9-694E734352F2}">
      <dsp:nvSpPr>
        <dsp:cNvPr id="0" name=""/>
        <dsp:cNvSpPr/>
      </dsp:nvSpPr>
      <dsp:spPr>
        <a:xfrm>
          <a:off x="1413329" y="2459889"/>
          <a:ext cx="802806" cy="52182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MY" sz="1100" kern="1200">
              <a:solidFill>
                <a:sysClr val="window" lastClr="FFFFFF"/>
              </a:solidFill>
              <a:latin typeface="Calibri" panose="020F0502020204030204"/>
              <a:ea typeface="+mn-ea"/>
              <a:cs typeface="+mn-cs"/>
            </a:rPr>
            <a:t>Analysis</a:t>
          </a:r>
        </a:p>
      </dsp:txBody>
      <dsp:txXfrm>
        <a:off x="1438802" y="2485362"/>
        <a:ext cx="751860" cy="470878"/>
      </dsp:txXfrm>
    </dsp:sp>
    <dsp:sp modelId="{916771E4-0E33-44D9-88E8-BB6C5FC83CB4}">
      <dsp:nvSpPr>
        <dsp:cNvPr id="0" name=""/>
        <dsp:cNvSpPr/>
      </dsp:nvSpPr>
      <dsp:spPr>
        <a:xfrm>
          <a:off x="585106" y="261549"/>
          <a:ext cx="2459251" cy="2459251"/>
        </a:xfrm>
        <a:custGeom>
          <a:avLst/>
          <a:gdLst/>
          <a:ahLst/>
          <a:cxnLst/>
          <a:rect l="0" t="0" r="0" b="0"/>
          <a:pathLst>
            <a:path>
              <a:moveTo>
                <a:pt x="727186" y="2351915"/>
              </a:moveTo>
              <a:arcTo wR="1229625" hR="1229625" stAng="6847058" swAng="924272"/>
            </a:path>
          </a:pathLst>
        </a:custGeom>
        <a:noFill/>
        <a:ln w="6350" cap="flat" cmpd="sng" algn="ctr">
          <a:solidFill>
            <a:srgbClr val="4472C4">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C15CB399-BA12-475F-931B-DFA2AE27F09C}">
      <dsp:nvSpPr>
        <dsp:cNvPr id="0" name=""/>
        <dsp:cNvSpPr/>
      </dsp:nvSpPr>
      <dsp:spPr>
        <a:xfrm>
          <a:off x="348442" y="1845076"/>
          <a:ext cx="802806" cy="52182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MY" sz="1100" kern="1200">
              <a:solidFill>
                <a:sysClr val="window" lastClr="FFFFFF"/>
              </a:solidFill>
              <a:latin typeface="Calibri" panose="020F0502020204030204"/>
              <a:ea typeface="+mn-ea"/>
              <a:cs typeface="+mn-cs"/>
            </a:rPr>
            <a:t>Conclusion</a:t>
          </a:r>
        </a:p>
      </dsp:txBody>
      <dsp:txXfrm>
        <a:off x="373915" y="1870549"/>
        <a:ext cx="751860" cy="470878"/>
      </dsp:txXfrm>
    </dsp:sp>
    <dsp:sp modelId="{D7A6CD83-FAEB-4804-B40A-2ECCB4798D00}">
      <dsp:nvSpPr>
        <dsp:cNvPr id="0" name=""/>
        <dsp:cNvSpPr/>
      </dsp:nvSpPr>
      <dsp:spPr>
        <a:xfrm>
          <a:off x="585106" y="261549"/>
          <a:ext cx="2459251" cy="2459251"/>
        </a:xfrm>
        <a:custGeom>
          <a:avLst/>
          <a:gdLst/>
          <a:ahLst/>
          <a:cxnLst/>
          <a:rect l="0" t="0" r="0" b="0"/>
          <a:pathLst>
            <a:path>
              <a:moveTo>
                <a:pt x="19171" y="1445912"/>
              </a:moveTo>
              <a:arcTo wR="1229625" hR="1229625" stAng="10192150" swAng="1215700"/>
            </a:path>
          </a:pathLst>
        </a:custGeom>
        <a:noFill/>
        <a:ln w="6350" cap="flat" cmpd="sng" algn="ctr">
          <a:solidFill>
            <a:srgbClr val="4472C4">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43175158-A672-42C9-95CC-61E057F2D078}">
      <dsp:nvSpPr>
        <dsp:cNvPr id="0" name=""/>
        <dsp:cNvSpPr/>
      </dsp:nvSpPr>
      <dsp:spPr>
        <a:xfrm>
          <a:off x="348442" y="615450"/>
          <a:ext cx="802806" cy="52182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MY" sz="1100" kern="1200">
              <a:solidFill>
                <a:sysClr val="window" lastClr="FFFFFF"/>
              </a:solidFill>
              <a:latin typeface="Calibri" panose="020F0502020204030204"/>
              <a:ea typeface="+mn-ea"/>
              <a:cs typeface="+mn-cs"/>
            </a:rPr>
            <a:t>Action Plan</a:t>
          </a:r>
        </a:p>
      </dsp:txBody>
      <dsp:txXfrm>
        <a:off x="373915" y="640923"/>
        <a:ext cx="751860" cy="470878"/>
      </dsp:txXfrm>
    </dsp:sp>
    <dsp:sp modelId="{B8C99A88-CEFB-42A6-A17A-349F9E82CA91}">
      <dsp:nvSpPr>
        <dsp:cNvPr id="0" name=""/>
        <dsp:cNvSpPr/>
      </dsp:nvSpPr>
      <dsp:spPr>
        <a:xfrm>
          <a:off x="585106" y="261549"/>
          <a:ext cx="2459251" cy="2459251"/>
        </a:xfrm>
        <a:custGeom>
          <a:avLst/>
          <a:gdLst/>
          <a:ahLst/>
          <a:cxnLst/>
          <a:rect l="0" t="0" r="0" b="0"/>
          <a:pathLst>
            <a:path>
              <a:moveTo>
                <a:pt x="447120" y="281119"/>
              </a:moveTo>
              <a:arcTo wR="1229625" hR="1229625" stAng="13828670" swAng="924272"/>
            </a:path>
          </a:pathLst>
        </a:custGeom>
        <a:noFill/>
        <a:ln w="6350" cap="flat" cmpd="sng" algn="ctr">
          <a:solidFill>
            <a:srgbClr val="4472C4">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6" ma:contentTypeDescription="Create a new document." ma:contentTypeScope="" ma:versionID="5a189810bbab97e94cbbe945e47a7751">
  <xsd:schema xmlns:xsd="http://www.w3.org/2001/XMLSchema" xmlns:xs="http://www.w3.org/2001/XMLSchema" xmlns:p="http://schemas.microsoft.com/office/2006/metadata/properties" xmlns:ns2="abcc3a54-e6f0-4180-86b3-bd2fb95de4a1" targetNamespace="http://schemas.microsoft.com/office/2006/metadata/properties" ma:root="true" ma:fieldsID="52e647761023abc1a665bcaf5a19879e" ns2:_="">
    <xsd:import namespace="abcc3a54-e6f0-4180-86b3-bd2fb95de4a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01E373-D8C6-4F9B-86E8-27353EE944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9511DE0-D2CF-4B4A-9479-B84AB5C0FF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4EB3370-8AD1-4153-9FBE-214DC583151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10</Pages>
  <Words>2963</Words>
  <Characters>16895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Reflection</vt:lpstr>
    </vt:vector>
  </TitlesOfParts>
  <Company>University of Wales Trinity Saint David</Company>
  <LinksUpToDate>false</LinksUpToDate>
  <CharactersWithSpaces>19819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dc:title>
  <dc:subject>Changemakers: Creativity and Value Creation</dc:subject>
  <dc:creator>hew lee teng (2120986)</dc:creator>
  <cp:keywords/>
  <dc:description/>
  <cp:lastModifiedBy>hewleeteng</cp:lastModifiedBy>
  <cp:revision>7</cp:revision>
  <dcterms:created xsi:type="dcterms:W3CDTF">2023-09-04T15:38:00Z</dcterms:created>
  <dcterms:modified xsi:type="dcterms:W3CDTF">2023-09-05T08:00:00Z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0x01010050276C9F849C534789590F477B415462</vt:lpwstr>
  </property>
</Properties>
</file>