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96AA7" w14:textId="739DD6FA" w:rsidR="00077169" w:rsidRPr="00077169" w:rsidRDefault="00077169" w:rsidP="00077169">
      <w:pPr>
        <w:spacing w:line="360" w:lineRule="auto"/>
        <w:rPr>
          <w:rFonts w:ascii="Arial" w:hAnsi="Arial" w:cs="Arial"/>
          <w:b/>
          <w:bCs/>
          <w:sz w:val="32"/>
          <w:szCs w:val="32"/>
        </w:rPr>
      </w:pPr>
      <w:r w:rsidRPr="00077169">
        <w:rPr>
          <w:rFonts w:ascii="Arial" w:hAnsi="Arial" w:cs="Arial"/>
          <w:b/>
          <w:bCs/>
          <w:sz w:val="32"/>
          <w:szCs w:val="32"/>
        </w:rPr>
        <w:t>Financial Management for the Hotel Industry</w:t>
      </w:r>
      <w:r w:rsidRPr="00077169">
        <w:rPr>
          <w:rFonts w:ascii="Arial" w:hAnsi="Arial" w:cs="Arial"/>
          <w:b/>
          <w:bCs/>
          <w:sz w:val="32"/>
          <w:szCs w:val="32"/>
        </w:rPr>
        <w:t>-</w:t>
      </w:r>
      <w:r w:rsidRPr="00077169">
        <w:rPr>
          <w:rFonts w:ascii="Arial" w:hAnsi="Arial" w:cs="Arial"/>
          <w:b/>
          <w:bCs/>
          <w:sz w:val="32"/>
          <w:szCs w:val="32"/>
        </w:rPr>
        <w:t>BMIH5007</w:t>
      </w:r>
    </w:p>
    <w:p w14:paraId="052B664D" w14:textId="5B6EDCA7" w:rsidR="00077169" w:rsidRPr="00077169" w:rsidRDefault="00077169" w:rsidP="00077169">
      <w:pPr>
        <w:spacing w:line="360" w:lineRule="auto"/>
        <w:jc w:val="center"/>
        <w:rPr>
          <w:rFonts w:ascii="Arial" w:hAnsi="Arial" w:cs="Arial"/>
          <w:b/>
          <w:bCs/>
          <w:sz w:val="28"/>
          <w:szCs w:val="28"/>
        </w:rPr>
      </w:pPr>
      <w:r w:rsidRPr="00077169">
        <w:rPr>
          <w:rFonts w:ascii="Arial" w:hAnsi="Arial" w:cs="Arial"/>
          <w:b/>
          <w:bCs/>
          <w:sz w:val="28"/>
          <w:szCs w:val="28"/>
        </w:rPr>
        <w:t>Urban Heights Hotel</w:t>
      </w:r>
    </w:p>
    <w:p w14:paraId="6D0045FA" w14:textId="77777777" w:rsidR="00077169" w:rsidRPr="00077169" w:rsidRDefault="00077169" w:rsidP="00077169">
      <w:pPr>
        <w:spacing w:line="360" w:lineRule="auto"/>
        <w:jc w:val="center"/>
        <w:rPr>
          <w:rFonts w:ascii="Arial" w:hAnsi="Arial" w:cs="Arial"/>
          <w:b/>
          <w:bCs/>
          <w:sz w:val="28"/>
          <w:szCs w:val="28"/>
        </w:rPr>
      </w:pPr>
      <w:r w:rsidRPr="00077169">
        <w:rPr>
          <w:rFonts w:ascii="Arial" w:hAnsi="Arial" w:cs="Arial"/>
          <w:b/>
          <w:bCs/>
          <w:sz w:val="28"/>
          <w:szCs w:val="28"/>
        </w:rPr>
        <w:t>Report</w:t>
      </w:r>
    </w:p>
    <w:p w14:paraId="3A7C7F39" w14:textId="77777777" w:rsidR="00077169" w:rsidRDefault="00077169" w:rsidP="00077169"/>
    <w:p w14:paraId="55298DEA" w14:textId="77777777" w:rsidR="00077169" w:rsidRDefault="00077169" w:rsidP="00077169"/>
    <w:p w14:paraId="36362C8A" w14:textId="77777777" w:rsidR="00077169" w:rsidRDefault="00077169" w:rsidP="00077169"/>
    <w:p w14:paraId="57577E80" w14:textId="77777777" w:rsidR="00077169" w:rsidRDefault="00077169" w:rsidP="00077169">
      <w:pPr>
        <w:spacing w:line="360" w:lineRule="auto"/>
        <w:jc w:val="center"/>
        <w:rPr>
          <w:rFonts w:ascii="Arial" w:hAnsi="Arial" w:cs="Arial"/>
        </w:rPr>
      </w:pPr>
    </w:p>
    <w:p w14:paraId="01DD3CF9" w14:textId="77777777" w:rsidR="00077169" w:rsidRPr="00077169" w:rsidRDefault="00077169" w:rsidP="00077169">
      <w:pPr>
        <w:spacing w:line="360" w:lineRule="auto"/>
        <w:jc w:val="center"/>
        <w:rPr>
          <w:rFonts w:ascii="Arial" w:hAnsi="Arial" w:cs="Arial"/>
        </w:rPr>
      </w:pPr>
    </w:p>
    <w:p w14:paraId="529CE292" w14:textId="25D57F2E" w:rsidR="00077169" w:rsidRPr="00077169" w:rsidRDefault="00077169" w:rsidP="00077169">
      <w:pPr>
        <w:spacing w:line="360" w:lineRule="auto"/>
        <w:jc w:val="center"/>
        <w:rPr>
          <w:rFonts w:ascii="Arial" w:hAnsi="Arial" w:cs="Arial"/>
          <w:sz w:val="24"/>
          <w:szCs w:val="24"/>
        </w:rPr>
      </w:pPr>
      <w:r w:rsidRPr="00077169">
        <w:rPr>
          <w:rFonts w:ascii="Arial" w:hAnsi="Arial" w:cs="Arial"/>
          <w:sz w:val="24"/>
          <w:szCs w:val="24"/>
        </w:rPr>
        <w:t>Lecturer:</w:t>
      </w:r>
      <w:r w:rsidRPr="00077169">
        <w:rPr>
          <w:rFonts w:ascii="Arial" w:hAnsi="Arial" w:cs="Arial"/>
          <w:sz w:val="24"/>
          <w:szCs w:val="24"/>
        </w:rPr>
        <w:t xml:space="preserve"> Tristan Hawkins</w:t>
      </w:r>
    </w:p>
    <w:p w14:paraId="67ACCE5B" w14:textId="2D551C90" w:rsidR="00077169" w:rsidRPr="00077169" w:rsidRDefault="00077169" w:rsidP="00077169">
      <w:pPr>
        <w:spacing w:line="360" w:lineRule="auto"/>
        <w:jc w:val="center"/>
        <w:rPr>
          <w:rFonts w:ascii="Arial" w:hAnsi="Arial" w:cs="Arial"/>
          <w:sz w:val="24"/>
          <w:szCs w:val="24"/>
        </w:rPr>
      </w:pPr>
      <w:r w:rsidRPr="00077169">
        <w:rPr>
          <w:rFonts w:ascii="Arial" w:hAnsi="Arial" w:cs="Arial"/>
          <w:sz w:val="24"/>
          <w:szCs w:val="24"/>
        </w:rPr>
        <w:t>Student id:</w:t>
      </w:r>
      <w:r w:rsidRPr="00077169">
        <w:rPr>
          <w:rFonts w:ascii="Arial" w:hAnsi="Arial" w:cs="Arial"/>
          <w:sz w:val="24"/>
          <w:szCs w:val="24"/>
        </w:rPr>
        <w:t>2234760</w:t>
      </w:r>
    </w:p>
    <w:p w14:paraId="6B7578A9" w14:textId="3CF19BBE" w:rsidR="00077169" w:rsidRDefault="00077169" w:rsidP="00077169">
      <w:pPr>
        <w:spacing w:line="360" w:lineRule="auto"/>
        <w:jc w:val="center"/>
        <w:rPr>
          <w:rFonts w:ascii="Arial" w:hAnsi="Arial" w:cs="Arial"/>
          <w:sz w:val="24"/>
          <w:szCs w:val="24"/>
        </w:rPr>
      </w:pPr>
      <w:r w:rsidRPr="00077169">
        <w:rPr>
          <w:rFonts w:ascii="Arial" w:hAnsi="Arial" w:cs="Arial"/>
          <w:sz w:val="24"/>
          <w:szCs w:val="24"/>
        </w:rPr>
        <w:t>Student name:</w:t>
      </w:r>
      <w:r w:rsidRPr="00077169">
        <w:rPr>
          <w:rFonts w:ascii="Arial" w:hAnsi="Arial" w:cs="Arial"/>
          <w:sz w:val="24"/>
          <w:szCs w:val="24"/>
        </w:rPr>
        <w:t xml:space="preserve"> Constantin Alexandru Toma</w:t>
      </w:r>
    </w:p>
    <w:p w14:paraId="5DEB1C03" w14:textId="52E3E239" w:rsidR="00360D1A" w:rsidRDefault="00360D1A" w:rsidP="00077169">
      <w:pPr>
        <w:spacing w:line="360" w:lineRule="auto"/>
        <w:jc w:val="center"/>
        <w:rPr>
          <w:rFonts w:ascii="Arial" w:hAnsi="Arial" w:cs="Arial"/>
          <w:sz w:val="24"/>
          <w:szCs w:val="24"/>
        </w:rPr>
      </w:pPr>
      <w:r>
        <w:rPr>
          <w:rFonts w:ascii="Arial" w:hAnsi="Arial" w:cs="Arial"/>
          <w:sz w:val="24"/>
          <w:szCs w:val="24"/>
        </w:rPr>
        <w:t>Word count: 2134</w:t>
      </w:r>
    </w:p>
    <w:p w14:paraId="7B1DFADB" w14:textId="77777777" w:rsidR="00077169" w:rsidRDefault="00077169" w:rsidP="00077169">
      <w:pPr>
        <w:spacing w:line="360" w:lineRule="auto"/>
        <w:jc w:val="center"/>
        <w:rPr>
          <w:rFonts w:ascii="Arial" w:hAnsi="Arial" w:cs="Arial"/>
          <w:sz w:val="24"/>
          <w:szCs w:val="24"/>
        </w:rPr>
      </w:pPr>
    </w:p>
    <w:p w14:paraId="16D4057D" w14:textId="77777777" w:rsidR="00077169" w:rsidRDefault="00077169" w:rsidP="00077169">
      <w:pPr>
        <w:spacing w:line="360" w:lineRule="auto"/>
        <w:jc w:val="center"/>
        <w:rPr>
          <w:rFonts w:ascii="Arial" w:hAnsi="Arial" w:cs="Arial"/>
          <w:sz w:val="24"/>
          <w:szCs w:val="24"/>
        </w:rPr>
      </w:pPr>
    </w:p>
    <w:p w14:paraId="4FB4D206" w14:textId="77777777" w:rsidR="00077169" w:rsidRDefault="00077169" w:rsidP="00077169">
      <w:pPr>
        <w:spacing w:line="360" w:lineRule="auto"/>
        <w:jc w:val="center"/>
        <w:rPr>
          <w:rFonts w:ascii="Arial" w:hAnsi="Arial" w:cs="Arial"/>
          <w:sz w:val="24"/>
          <w:szCs w:val="24"/>
        </w:rPr>
      </w:pPr>
    </w:p>
    <w:p w14:paraId="3C050E30" w14:textId="77777777" w:rsidR="00077169" w:rsidRDefault="00077169" w:rsidP="00077169">
      <w:pPr>
        <w:spacing w:line="360" w:lineRule="auto"/>
        <w:jc w:val="center"/>
        <w:rPr>
          <w:rFonts w:ascii="Arial" w:hAnsi="Arial" w:cs="Arial"/>
          <w:sz w:val="24"/>
          <w:szCs w:val="24"/>
        </w:rPr>
      </w:pPr>
    </w:p>
    <w:p w14:paraId="35EB2E03" w14:textId="77777777" w:rsidR="00077169" w:rsidRDefault="00077169" w:rsidP="00077169">
      <w:pPr>
        <w:spacing w:line="360" w:lineRule="auto"/>
        <w:jc w:val="center"/>
        <w:rPr>
          <w:rFonts w:ascii="Arial" w:hAnsi="Arial" w:cs="Arial"/>
          <w:sz w:val="24"/>
          <w:szCs w:val="24"/>
        </w:rPr>
      </w:pPr>
    </w:p>
    <w:p w14:paraId="30299ECD" w14:textId="77777777" w:rsidR="00077169" w:rsidRDefault="00077169" w:rsidP="00077169">
      <w:pPr>
        <w:spacing w:line="360" w:lineRule="auto"/>
        <w:jc w:val="center"/>
        <w:rPr>
          <w:rFonts w:ascii="Arial" w:hAnsi="Arial" w:cs="Arial"/>
          <w:sz w:val="24"/>
          <w:szCs w:val="24"/>
        </w:rPr>
      </w:pPr>
    </w:p>
    <w:p w14:paraId="593D3CA9" w14:textId="77777777" w:rsidR="00077169" w:rsidRDefault="00077169" w:rsidP="00077169">
      <w:pPr>
        <w:spacing w:line="360" w:lineRule="auto"/>
        <w:jc w:val="center"/>
        <w:rPr>
          <w:rFonts w:ascii="Arial" w:hAnsi="Arial" w:cs="Arial"/>
          <w:sz w:val="24"/>
          <w:szCs w:val="24"/>
        </w:rPr>
      </w:pPr>
    </w:p>
    <w:p w14:paraId="3182F09C" w14:textId="77777777" w:rsidR="00077169" w:rsidRDefault="00077169" w:rsidP="00077169">
      <w:pPr>
        <w:spacing w:line="360" w:lineRule="auto"/>
        <w:jc w:val="center"/>
        <w:rPr>
          <w:rFonts w:ascii="Arial" w:hAnsi="Arial" w:cs="Arial"/>
          <w:sz w:val="24"/>
          <w:szCs w:val="24"/>
        </w:rPr>
      </w:pPr>
    </w:p>
    <w:p w14:paraId="72629B14" w14:textId="77777777" w:rsidR="00077169" w:rsidRDefault="00077169" w:rsidP="00077169">
      <w:pPr>
        <w:spacing w:line="360" w:lineRule="auto"/>
        <w:jc w:val="center"/>
        <w:rPr>
          <w:rFonts w:ascii="Arial" w:hAnsi="Arial" w:cs="Arial"/>
          <w:sz w:val="24"/>
          <w:szCs w:val="24"/>
        </w:rPr>
      </w:pPr>
    </w:p>
    <w:p w14:paraId="0F9D8F0A" w14:textId="77777777" w:rsidR="00077169" w:rsidRDefault="00077169" w:rsidP="00077169">
      <w:pPr>
        <w:spacing w:line="360" w:lineRule="auto"/>
        <w:jc w:val="center"/>
        <w:rPr>
          <w:rFonts w:ascii="Arial" w:hAnsi="Arial" w:cs="Arial"/>
          <w:sz w:val="24"/>
          <w:szCs w:val="24"/>
        </w:rPr>
      </w:pPr>
    </w:p>
    <w:p w14:paraId="4FB8017E" w14:textId="77777777" w:rsidR="00077169" w:rsidRDefault="00077169" w:rsidP="00077169">
      <w:pPr>
        <w:spacing w:line="360" w:lineRule="auto"/>
        <w:jc w:val="center"/>
        <w:rPr>
          <w:rFonts w:ascii="Arial" w:hAnsi="Arial" w:cs="Arial"/>
          <w:sz w:val="24"/>
          <w:szCs w:val="24"/>
        </w:rPr>
      </w:pPr>
    </w:p>
    <w:p w14:paraId="5A8EF19C" w14:textId="77777777" w:rsidR="00077169" w:rsidRDefault="00077169" w:rsidP="00077169">
      <w:pPr>
        <w:spacing w:line="360" w:lineRule="auto"/>
        <w:jc w:val="center"/>
        <w:rPr>
          <w:rFonts w:ascii="Arial" w:hAnsi="Arial" w:cs="Arial"/>
          <w:sz w:val="24"/>
          <w:szCs w:val="24"/>
        </w:rPr>
      </w:pPr>
    </w:p>
    <w:p w14:paraId="4D4F2D3F" w14:textId="77777777" w:rsidR="00077169" w:rsidRDefault="00077169" w:rsidP="00077169">
      <w:pPr>
        <w:spacing w:line="360" w:lineRule="auto"/>
        <w:jc w:val="center"/>
        <w:rPr>
          <w:rFonts w:ascii="Arial" w:hAnsi="Arial" w:cs="Arial"/>
          <w:sz w:val="24"/>
          <w:szCs w:val="24"/>
        </w:rPr>
      </w:pPr>
    </w:p>
    <w:sdt>
      <w:sdtPr>
        <w:id w:val="-6622455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D93451B" w14:textId="58666BD4" w:rsidR="00360D1A" w:rsidRPr="00360D1A" w:rsidRDefault="00360D1A" w:rsidP="00360D1A">
          <w:pPr>
            <w:pStyle w:val="TOCHeading"/>
            <w:jc w:val="both"/>
            <w:rPr>
              <w:rFonts w:ascii="Arial" w:hAnsi="Arial" w:cs="Arial"/>
            </w:rPr>
          </w:pPr>
          <w:r w:rsidRPr="00360D1A">
            <w:rPr>
              <w:rFonts w:ascii="Arial" w:hAnsi="Arial" w:cs="Arial"/>
            </w:rPr>
            <w:t>Contents</w:t>
          </w:r>
        </w:p>
        <w:p w14:paraId="7DDD196E" w14:textId="482B001C" w:rsidR="00360D1A" w:rsidRPr="00360D1A" w:rsidRDefault="00360D1A" w:rsidP="00360D1A">
          <w:pPr>
            <w:pStyle w:val="TOC1"/>
            <w:tabs>
              <w:tab w:val="left" w:pos="480"/>
              <w:tab w:val="right" w:leader="dot" w:pos="9016"/>
            </w:tabs>
            <w:jc w:val="both"/>
            <w:rPr>
              <w:rFonts w:ascii="Arial" w:hAnsi="Arial" w:cs="Arial"/>
              <w:noProof/>
            </w:rPr>
          </w:pPr>
          <w:r w:rsidRPr="00360D1A">
            <w:rPr>
              <w:rFonts w:ascii="Arial" w:hAnsi="Arial" w:cs="Arial"/>
            </w:rPr>
            <w:fldChar w:fldCharType="begin"/>
          </w:r>
          <w:r w:rsidRPr="00360D1A">
            <w:rPr>
              <w:rFonts w:ascii="Arial" w:hAnsi="Arial" w:cs="Arial"/>
            </w:rPr>
            <w:instrText xml:space="preserve"> TOC \o "1-3" \h \z \u </w:instrText>
          </w:r>
          <w:r w:rsidRPr="00360D1A">
            <w:rPr>
              <w:rFonts w:ascii="Arial" w:hAnsi="Arial" w:cs="Arial"/>
            </w:rPr>
            <w:fldChar w:fldCharType="separate"/>
          </w:r>
          <w:hyperlink w:anchor="_Toc168598913" w:history="1">
            <w:r w:rsidRPr="00360D1A">
              <w:rPr>
                <w:rStyle w:val="Hyperlink"/>
                <w:rFonts w:ascii="Arial" w:hAnsi="Arial" w:cs="Arial"/>
                <w:noProof/>
              </w:rPr>
              <w:t>1.</w:t>
            </w:r>
            <w:r w:rsidRPr="00360D1A">
              <w:rPr>
                <w:rFonts w:ascii="Arial" w:hAnsi="Arial" w:cs="Arial"/>
                <w:noProof/>
              </w:rPr>
              <w:tab/>
            </w:r>
            <w:r w:rsidRPr="00360D1A">
              <w:rPr>
                <w:rStyle w:val="Hyperlink"/>
                <w:rFonts w:ascii="Arial" w:hAnsi="Arial" w:cs="Arial"/>
                <w:noProof/>
              </w:rPr>
              <w:t>Introduction</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_Toc168598913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3</w:t>
            </w:r>
            <w:r w:rsidRPr="00360D1A">
              <w:rPr>
                <w:rFonts w:ascii="Arial" w:hAnsi="Arial" w:cs="Arial"/>
                <w:noProof/>
                <w:webHidden/>
              </w:rPr>
              <w:fldChar w:fldCharType="end"/>
            </w:r>
          </w:hyperlink>
        </w:p>
        <w:p w14:paraId="26257F8F" w14:textId="60F79EB1" w:rsidR="00360D1A" w:rsidRPr="00360D1A" w:rsidRDefault="00360D1A" w:rsidP="00360D1A">
          <w:pPr>
            <w:pStyle w:val="TOC1"/>
            <w:tabs>
              <w:tab w:val="left" w:pos="480"/>
              <w:tab w:val="right" w:leader="dot" w:pos="9016"/>
            </w:tabs>
            <w:jc w:val="both"/>
            <w:rPr>
              <w:rFonts w:ascii="Arial" w:hAnsi="Arial" w:cs="Arial"/>
              <w:noProof/>
            </w:rPr>
          </w:pPr>
          <w:hyperlink w:anchor="_Toc168598914" w:history="1">
            <w:r w:rsidRPr="00360D1A">
              <w:rPr>
                <w:rStyle w:val="Hyperlink"/>
                <w:rFonts w:ascii="Arial" w:eastAsia="Times New Roman" w:hAnsi="Arial" w:cs="Arial"/>
                <w:noProof/>
              </w:rPr>
              <w:t>2.</w:t>
            </w:r>
            <w:r w:rsidRPr="00360D1A">
              <w:rPr>
                <w:rFonts w:ascii="Arial" w:hAnsi="Arial" w:cs="Arial"/>
                <w:noProof/>
              </w:rPr>
              <w:tab/>
            </w:r>
            <w:r w:rsidRPr="00360D1A">
              <w:rPr>
                <w:rStyle w:val="Hyperlink"/>
                <w:rFonts w:ascii="Arial" w:eastAsia="Times New Roman" w:hAnsi="Arial" w:cs="Arial"/>
                <w:noProof/>
              </w:rPr>
              <w:t>Three years financial performance trends</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_Toc168598914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3</w:t>
            </w:r>
            <w:r w:rsidRPr="00360D1A">
              <w:rPr>
                <w:rFonts w:ascii="Arial" w:hAnsi="Arial" w:cs="Arial"/>
                <w:noProof/>
                <w:webHidden/>
              </w:rPr>
              <w:fldChar w:fldCharType="end"/>
            </w:r>
          </w:hyperlink>
        </w:p>
        <w:p w14:paraId="079B4853" w14:textId="263DD2E8" w:rsidR="00360D1A" w:rsidRPr="00360D1A" w:rsidRDefault="00360D1A" w:rsidP="00360D1A">
          <w:pPr>
            <w:pStyle w:val="TOC1"/>
            <w:tabs>
              <w:tab w:val="left" w:pos="480"/>
              <w:tab w:val="right" w:leader="dot" w:pos="9016"/>
            </w:tabs>
            <w:jc w:val="both"/>
            <w:rPr>
              <w:rFonts w:ascii="Arial" w:hAnsi="Arial" w:cs="Arial"/>
              <w:noProof/>
            </w:rPr>
          </w:pPr>
          <w:hyperlink w:anchor="_Toc168598915" w:history="1">
            <w:r w:rsidRPr="00360D1A">
              <w:rPr>
                <w:rStyle w:val="Hyperlink"/>
                <w:rFonts w:ascii="Arial" w:eastAsia="Times New Roman" w:hAnsi="Arial" w:cs="Arial"/>
                <w:noProof/>
              </w:rPr>
              <w:t>3.</w:t>
            </w:r>
            <w:r w:rsidRPr="00360D1A">
              <w:rPr>
                <w:rFonts w:ascii="Arial" w:hAnsi="Arial" w:cs="Arial"/>
                <w:noProof/>
              </w:rPr>
              <w:tab/>
            </w:r>
            <w:r w:rsidRPr="00360D1A">
              <w:rPr>
                <w:rStyle w:val="Hyperlink"/>
                <w:rFonts w:ascii="Arial" w:eastAsia="Times New Roman" w:hAnsi="Arial" w:cs="Arial"/>
                <w:noProof/>
              </w:rPr>
              <w:t>Main reasons behind the decline</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_Toc168598915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5</w:t>
            </w:r>
            <w:r w:rsidRPr="00360D1A">
              <w:rPr>
                <w:rFonts w:ascii="Arial" w:hAnsi="Arial" w:cs="Arial"/>
                <w:noProof/>
                <w:webHidden/>
              </w:rPr>
              <w:fldChar w:fldCharType="end"/>
            </w:r>
          </w:hyperlink>
        </w:p>
        <w:p w14:paraId="6B32548B" w14:textId="60977649" w:rsidR="00360D1A" w:rsidRPr="00360D1A" w:rsidRDefault="00360D1A" w:rsidP="00360D1A">
          <w:pPr>
            <w:pStyle w:val="TOC1"/>
            <w:tabs>
              <w:tab w:val="left" w:pos="480"/>
              <w:tab w:val="right" w:leader="dot" w:pos="9016"/>
            </w:tabs>
            <w:jc w:val="both"/>
            <w:rPr>
              <w:rFonts w:ascii="Arial" w:hAnsi="Arial" w:cs="Arial"/>
              <w:noProof/>
            </w:rPr>
          </w:pPr>
          <w:hyperlink w:anchor="_Toc168598916" w:history="1">
            <w:r w:rsidRPr="00360D1A">
              <w:rPr>
                <w:rStyle w:val="Hyperlink"/>
                <w:rFonts w:ascii="Arial" w:eastAsia="Times New Roman" w:hAnsi="Arial" w:cs="Arial"/>
                <w:noProof/>
              </w:rPr>
              <w:t>4.</w:t>
            </w:r>
            <w:r w:rsidRPr="00360D1A">
              <w:rPr>
                <w:rFonts w:ascii="Arial" w:hAnsi="Arial" w:cs="Arial"/>
                <w:noProof/>
              </w:rPr>
              <w:tab/>
            </w:r>
            <w:r w:rsidRPr="00360D1A">
              <w:rPr>
                <w:rStyle w:val="Hyperlink"/>
                <w:rFonts w:ascii="Arial" w:eastAsia="Times New Roman" w:hAnsi="Arial" w:cs="Arial"/>
                <w:noProof/>
              </w:rPr>
              <w:t>Conclusion</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_Toc168598916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6</w:t>
            </w:r>
            <w:r w:rsidRPr="00360D1A">
              <w:rPr>
                <w:rFonts w:ascii="Arial" w:hAnsi="Arial" w:cs="Arial"/>
                <w:noProof/>
                <w:webHidden/>
              </w:rPr>
              <w:fldChar w:fldCharType="end"/>
            </w:r>
          </w:hyperlink>
        </w:p>
        <w:p w14:paraId="04E241C6" w14:textId="2D90E56C" w:rsidR="00360D1A" w:rsidRPr="00360D1A" w:rsidRDefault="00360D1A" w:rsidP="00360D1A">
          <w:pPr>
            <w:pStyle w:val="TOC1"/>
            <w:tabs>
              <w:tab w:val="left" w:pos="480"/>
              <w:tab w:val="right" w:leader="dot" w:pos="9016"/>
            </w:tabs>
            <w:jc w:val="both"/>
            <w:rPr>
              <w:rFonts w:ascii="Arial" w:hAnsi="Arial" w:cs="Arial"/>
              <w:noProof/>
            </w:rPr>
          </w:pPr>
          <w:hyperlink w:anchor="_Toc168598917" w:history="1">
            <w:r w:rsidRPr="00360D1A">
              <w:rPr>
                <w:rStyle w:val="Hyperlink"/>
                <w:rFonts w:ascii="Arial" w:eastAsia="Times New Roman" w:hAnsi="Arial" w:cs="Arial"/>
                <w:noProof/>
              </w:rPr>
              <w:t>5.</w:t>
            </w:r>
            <w:r w:rsidRPr="00360D1A">
              <w:rPr>
                <w:rFonts w:ascii="Arial" w:hAnsi="Arial" w:cs="Arial"/>
                <w:noProof/>
              </w:rPr>
              <w:tab/>
            </w:r>
            <w:r w:rsidRPr="00360D1A">
              <w:rPr>
                <w:rStyle w:val="Hyperlink"/>
                <w:rFonts w:ascii="Arial" w:eastAsia="Times New Roman" w:hAnsi="Arial" w:cs="Arial"/>
                <w:noProof/>
              </w:rPr>
              <w:t>Recommendations</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_Toc168598917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7</w:t>
            </w:r>
            <w:r w:rsidRPr="00360D1A">
              <w:rPr>
                <w:rFonts w:ascii="Arial" w:hAnsi="Arial" w:cs="Arial"/>
                <w:noProof/>
                <w:webHidden/>
              </w:rPr>
              <w:fldChar w:fldCharType="end"/>
            </w:r>
          </w:hyperlink>
        </w:p>
        <w:p w14:paraId="77020458" w14:textId="5E53C1BF" w:rsidR="00360D1A" w:rsidRPr="00360D1A" w:rsidRDefault="00360D1A" w:rsidP="00360D1A">
          <w:pPr>
            <w:pStyle w:val="TOC1"/>
            <w:tabs>
              <w:tab w:val="left" w:pos="480"/>
              <w:tab w:val="right" w:leader="dot" w:pos="9016"/>
            </w:tabs>
            <w:jc w:val="both"/>
            <w:rPr>
              <w:rFonts w:ascii="Arial" w:hAnsi="Arial" w:cs="Arial"/>
              <w:noProof/>
            </w:rPr>
          </w:pPr>
          <w:hyperlink w:anchor="_Toc168598918" w:history="1">
            <w:r w:rsidRPr="00360D1A">
              <w:rPr>
                <w:rStyle w:val="Hyperlink"/>
                <w:rFonts w:ascii="Arial" w:hAnsi="Arial" w:cs="Arial"/>
                <w:noProof/>
              </w:rPr>
              <w:t>6.</w:t>
            </w:r>
            <w:r w:rsidRPr="00360D1A">
              <w:rPr>
                <w:rFonts w:ascii="Arial" w:hAnsi="Arial" w:cs="Arial"/>
                <w:noProof/>
              </w:rPr>
              <w:tab/>
            </w:r>
            <w:r w:rsidRPr="00360D1A">
              <w:rPr>
                <w:rStyle w:val="Hyperlink"/>
                <w:rFonts w:ascii="Arial" w:hAnsi="Arial" w:cs="Arial"/>
                <w:noProof/>
              </w:rPr>
              <w:t>References</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_Toc168598918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9</w:t>
            </w:r>
            <w:r w:rsidRPr="00360D1A">
              <w:rPr>
                <w:rFonts w:ascii="Arial" w:hAnsi="Arial" w:cs="Arial"/>
                <w:noProof/>
                <w:webHidden/>
              </w:rPr>
              <w:fldChar w:fldCharType="end"/>
            </w:r>
          </w:hyperlink>
        </w:p>
        <w:p w14:paraId="236DA5BF" w14:textId="06FFADDD" w:rsidR="00360D1A" w:rsidRPr="00360D1A" w:rsidRDefault="00360D1A" w:rsidP="00360D1A">
          <w:pPr>
            <w:pStyle w:val="TOC1"/>
            <w:tabs>
              <w:tab w:val="left" w:pos="480"/>
              <w:tab w:val="right" w:leader="dot" w:pos="9016"/>
            </w:tabs>
            <w:jc w:val="both"/>
            <w:rPr>
              <w:rFonts w:ascii="Arial" w:hAnsi="Arial" w:cs="Arial"/>
              <w:noProof/>
            </w:rPr>
          </w:pPr>
          <w:hyperlink w:anchor="_Toc168598919" w:history="1">
            <w:r w:rsidRPr="00360D1A">
              <w:rPr>
                <w:rStyle w:val="Hyperlink"/>
                <w:rFonts w:ascii="Arial" w:hAnsi="Arial" w:cs="Arial"/>
                <w:noProof/>
              </w:rPr>
              <w:t>7.</w:t>
            </w:r>
            <w:r w:rsidRPr="00360D1A">
              <w:rPr>
                <w:rFonts w:ascii="Arial" w:hAnsi="Arial" w:cs="Arial"/>
                <w:noProof/>
              </w:rPr>
              <w:tab/>
            </w:r>
            <w:r w:rsidRPr="00360D1A">
              <w:rPr>
                <w:rStyle w:val="Hyperlink"/>
                <w:rFonts w:ascii="Arial" w:hAnsi="Arial" w:cs="Arial"/>
                <w:noProof/>
              </w:rPr>
              <w:t>Appendix</w:t>
            </w:r>
            <w:r w:rsidRPr="00360D1A">
              <w:rPr>
                <w:rFonts w:ascii="Arial" w:hAnsi="Arial" w:cs="Arial"/>
                <w:noProof/>
                <w:webHidden/>
              </w:rPr>
              <w:tab/>
            </w:r>
            <w:r w:rsidRPr="00360D1A">
              <w:rPr>
                <w:rFonts w:ascii="Arial" w:hAnsi="Arial" w:cs="Arial"/>
                <w:noProof/>
                <w:webHidden/>
              </w:rPr>
              <w:fldChar w:fldCharType="begin"/>
            </w:r>
            <w:r w:rsidRPr="00360D1A">
              <w:rPr>
                <w:rFonts w:ascii="Arial" w:hAnsi="Arial" w:cs="Arial"/>
                <w:noProof/>
                <w:webHidden/>
              </w:rPr>
              <w:instrText xml:space="preserve"> PAGEREF _Toc168598919 \h </w:instrText>
            </w:r>
            <w:r w:rsidRPr="00360D1A">
              <w:rPr>
                <w:rFonts w:ascii="Arial" w:hAnsi="Arial" w:cs="Arial"/>
                <w:noProof/>
                <w:webHidden/>
              </w:rPr>
            </w:r>
            <w:r w:rsidRPr="00360D1A">
              <w:rPr>
                <w:rFonts w:ascii="Arial" w:hAnsi="Arial" w:cs="Arial"/>
                <w:noProof/>
                <w:webHidden/>
              </w:rPr>
              <w:fldChar w:fldCharType="separate"/>
            </w:r>
            <w:r w:rsidR="006E5FAE">
              <w:rPr>
                <w:rFonts w:ascii="Arial" w:hAnsi="Arial" w:cs="Arial"/>
                <w:noProof/>
                <w:webHidden/>
              </w:rPr>
              <w:t>11</w:t>
            </w:r>
            <w:r w:rsidRPr="00360D1A">
              <w:rPr>
                <w:rFonts w:ascii="Arial" w:hAnsi="Arial" w:cs="Arial"/>
                <w:noProof/>
                <w:webHidden/>
              </w:rPr>
              <w:fldChar w:fldCharType="end"/>
            </w:r>
          </w:hyperlink>
        </w:p>
        <w:p w14:paraId="45CF070F" w14:textId="276E9568" w:rsidR="00360D1A" w:rsidRDefault="00360D1A" w:rsidP="00360D1A">
          <w:pPr>
            <w:jc w:val="both"/>
          </w:pPr>
          <w:r w:rsidRPr="00360D1A">
            <w:rPr>
              <w:rFonts w:ascii="Arial" w:hAnsi="Arial" w:cs="Arial"/>
              <w:b/>
              <w:bCs/>
              <w:noProof/>
            </w:rPr>
            <w:fldChar w:fldCharType="end"/>
          </w:r>
        </w:p>
      </w:sdtContent>
    </w:sdt>
    <w:p w14:paraId="7D363601" w14:textId="77777777" w:rsidR="00077169" w:rsidRDefault="00077169" w:rsidP="00077169">
      <w:pPr>
        <w:spacing w:line="360" w:lineRule="auto"/>
        <w:jc w:val="center"/>
        <w:rPr>
          <w:rFonts w:ascii="Arial" w:hAnsi="Arial" w:cs="Arial"/>
          <w:sz w:val="24"/>
          <w:szCs w:val="24"/>
        </w:rPr>
      </w:pPr>
    </w:p>
    <w:p w14:paraId="113A7EE0" w14:textId="77777777" w:rsidR="00360D1A" w:rsidRDefault="00360D1A" w:rsidP="00077169">
      <w:pPr>
        <w:spacing w:line="360" w:lineRule="auto"/>
        <w:jc w:val="center"/>
        <w:rPr>
          <w:rFonts w:ascii="Arial" w:hAnsi="Arial" w:cs="Arial"/>
          <w:sz w:val="24"/>
          <w:szCs w:val="24"/>
        </w:rPr>
      </w:pPr>
    </w:p>
    <w:p w14:paraId="14D2B328" w14:textId="77777777" w:rsidR="00360D1A" w:rsidRDefault="00360D1A" w:rsidP="00077169">
      <w:pPr>
        <w:spacing w:line="360" w:lineRule="auto"/>
        <w:jc w:val="center"/>
        <w:rPr>
          <w:rFonts w:ascii="Arial" w:hAnsi="Arial" w:cs="Arial"/>
          <w:sz w:val="24"/>
          <w:szCs w:val="24"/>
        </w:rPr>
      </w:pPr>
    </w:p>
    <w:p w14:paraId="2FC1A665" w14:textId="77777777" w:rsidR="00360D1A" w:rsidRDefault="00360D1A" w:rsidP="00077169">
      <w:pPr>
        <w:spacing w:line="360" w:lineRule="auto"/>
        <w:jc w:val="center"/>
        <w:rPr>
          <w:rFonts w:ascii="Arial" w:hAnsi="Arial" w:cs="Arial"/>
          <w:sz w:val="24"/>
          <w:szCs w:val="24"/>
        </w:rPr>
      </w:pPr>
    </w:p>
    <w:p w14:paraId="6A0E2EF1" w14:textId="77777777" w:rsidR="00360D1A" w:rsidRDefault="00360D1A" w:rsidP="00077169">
      <w:pPr>
        <w:spacing w:line="360" w:lineRule="auto"/>
        <w:jc w:val="center"/>
        <w:rPr>
          <w:rFonts w:ascii="Arial" w:hAnsi="Arial" w:cs="Arial"/>
          <w:sz w:val="24"/>
          <w:szCs w:val="24"/>
        </w:rPr>
      </w:pPr>
    </w:p>
    <w:p w14:paraId="525F47B4" w14:textId="77777777" w:rsidR="00360D1A" w:rsidRDefault="00360D1A" w:rsidP="00077169">
      <w:pPr>
        <w:spacing w:line="360" w:lineRule="auto"/>
        <w:jc w:val="center"/>
        <w:rPr>
          <w:rFonts w:ascii="Arial" w:hAnsi="Arial" w:cs="Arial"/>
          <w:sz w:val="24"/>
          <w:szCs w:val="24"/>
        </w:rPr>
      </w:pPr>
    </w:p>
    <w:p w14:paraId="5F0D8F9F" w14:textId="77777777" w:rsidR="00360D1A" w:rsidRPr="00360D1A" w:rsidRDefault="00360D1A" w:rsidP="00077169">
      <w:pPr>
        <w:spacing w:line="360" w:lineRule="auto"/>
        <w:jc w:val="center"/>
        <w:rPr>
          <w:rFonts w:ascii="Arial" w:hAnsi="Arial" w:cs="Arial"/>
          <w:sz w:val="24"/>
          <w:szCs w:val="24"/>
        </w:rPr>
      </w:pPr>
    </w:p>
    <w:p w14:paraId="40C429F1" w14:textId="77777777" w:rsidR="00360D1A" w:rsidRPr="00360D1A" w:rsidRDefault="00360D1A" w:rsidP="00077169">
      <w:pPr>
        <w:spacing w:line="360" w:lineRule="auto"/>
        <w:jc w:val="center"/>
        <w:rPr>
          <w:rFonts w:ascii="Arial" w:hAnsi="Arial" w:cs="Arial"/>
          <w:sz w:val="24"/>
          <w:szCs w:val="24"/>
        </w:rPr>
      </w:pPr>
    </w:p>
    <w:p w14:paraId="03D8BA01" w14:textId="77777777" w:rsidR="00360D1A" w:rsidRPr="00360D1A" w:rsidRDefault="00360D1A" w:rsidP="00077169">
      <w:pPr>
        <w:spacing w:line="360" w:lineRule="auto"/>
        <w:jc w:val="center"/>
        <w:rPr>
          <w:rFonts w:ascii="Arial" w:hAnsi="Arial" w:cs="Arial"/>
          <w:sz w:val="24"/>
          <w:szCs w:val="24"/>
        </w:rPr>
      </w:pPr>
    </w:p>
    <w:p w14:paraId="2378A98E" w14:textId="77777777" w:rsidR="00360D1A" w:rsidRPr="00360D1A" w:rsidRDefault="00360D1A" w:rsidP="00077169">
      <w:pPr>
        <w:spacing w:line="360" w:lineRule="auto"/>
        <w:jc w:val="center"/>
        <w:rPr>
          <w:rFonts w:ascii="Arial" w:hAnsi="Arial" w:cs="Arial"/>
          <w:sz w:val="24"/>
          <w:szCs w:val="24"/>
        </w:rPr>
      </w:pPr>
    </w:p>
    <w:p w14:paraId="0ACE6D96" w14:textId="77777777" w:rsidR="00360D1A" w:rsidRPr="00360D1A" w:rsidRDefault="00360D1A" w:rsidP="00077169">
      <w:pPr>
        <w:spacing w:line="360" w:lineRule="auto"/>
        <w:jc w:val="center"/>
        <w:rPr>
          <w:rFonts w:ascii="Arial" w:hAnsi="Arial" w:cs="Arial"/>
          <w:sz w:val="24"/>
          <w:szCs w:val="24"/>
        </w:rPr>
      </w:pPr>
    </w:p>
    <w:p w14:paraId="66421D9B" w14:textId="77777777" w:rsidR="00360D1A" w:rsidRPr="00360D1A" w:rsidRDefault="00360D1A" w:rsidP="00077169">
      <w:pPr>
        <w:spacing w:line="360" w:lineRule="auto"/>
        <w:jc w:val="center"/>
        <w:rPr>
          <w:rFonts w:ascii="Arial" w:hAnsi="Arial" w:cs="Arial"/>
          <w:sz w:val="24"/>
          <w:szCs w:val="24"/>
        </w:rPr>
      </w:pPr>
    </w:p>
    <w:p w14:paraId="13965182" w14:textId="77777777" w:rsidR="00360D1A" w:rsidRPr="00360D1A" w:rsidRDefault="00360D1A" w:rsidP="00077169">
      <w:pPr>
        <w:spacing w:line="360" w:lineRule="auto"/>
        <w:jc w:val="center"/>
        <w:rPr>
          <w:rFonts w:ascii="Arial" w:hAnsi="Arial" w:cs="Arial"/>
          <w:sz w:val="24"/>
          <w:szCs w:val="24"/>
        </w:rPr>
      </w:pPr>
    </w:p>
    <w:p w14:paraId="0684D9CF" w14:textId="77777777" w:rsidR="00360D1A" w:rsidRDefault="00360D1A" w:rsidP="00077169">
      <w:pPr>
        <w:spacing w:line="360" w:lineRule="auto"/>
        <w:jc w:val="center"/>
        <w:rPr>
          <w:rFonts w:ascii="Arial" w:hAnsi="Arial" w:cs="Arial"/>
          <w:sz w:val="24"/>
          <w:szCs w:val="24"/>
        </w:rPr>
      </w:pPr>
    </w:p>
    <w:p w14:paraId="0D36AD59" w14:textId="77777777" w:rsidR="00360D1A" w:rsidRDefault="00360D1A" w:rsidP="00077169">
      <w:pPr>
        <w:spacing w:line="360" w:lineRule="auto"/>
        <w:jc w:val="center"/>
        <w:rPr>
          <w:rFonts w:ascii="Arial" w:hAnsi="Arial" w:cs="Arial"/>
          <w:sz w:val="24"/>
          <w:szCs w:val="24"/>
        </w:rPr>
      </w:pPr>
    </w:p>
    <w:p w14:paraId="21EB8D62" w14:textId="77777777" w:rsidR="00360D1A" w:rsidRPr="00360D1A" w:rsidRDefault="00360D1A" w:rsidP="00077169">
      <w:pPr>
        <w:spacing w:line="360" w:lineRule="auto"/>
        <w:jc w:val="center"/>
        <w:rPr>
          <w:rFonts w:ascii="Arial" w:hAnsi="Arial" w:cs="Arial"/>
          <w:sz w:val="24"/>
          <w:szCs w:val="24"/>
        </w:rPr>
      </w:pPr>
    </w:p>
    <w:p w14:paraId="0115CAC6" w14:textId="77777777" w:rsidR="00077169" w:rsidRPr="00360D1A" w:rsidRDefault="00077169" w:rsidP="00360D1A">
      <w:pPr>
        <w:spacing w:line="360" w:lineRule="auto"/>
        <w:jc w:val="both"/>
        <w:rPr>
          <w:rFonts w:ascii="Arial" w:hAnsi="Arial" w:cs="Arial"/>
          <w:sz w:val="24"/>
          <w:szCs w:val="24"/>
        </w:rPr>
      </w:pPr>
    </w:p>
    <w:p w14:paraId="687CB41A" w14:textId="4015D075" w:rsidR="00077169" w:rsidRPr="00360D1A" w:rsidRDefault="006822E1" w:rsidP="00360D1A">
      <w:pPr>
        <w:pStyle w:val="EU"/>
        <w:numPr>
          <w:ilvl w:val="0"/>
          <w:numId w:val="1"/>
        </w:numPr>
        <w:rPr>
          <w:color w:val="auto"/>
        </w:rPr>
      </w:pPr>
      <w:bookmarkStart w:id="0" w:name="_Toc168598913"/>
      <w:r w:rsidRPr="00360D1A">
        <w:rPr>
          <w:color w:val="auto"/>
        </w:rPr>
        <w:t>Introduction</w:t>
      </w:r>
      <w:bookmarkEnd w:id="0"/>
    </w:p>
    <w:p w14:paraId="2D646813" w14:textId="151193A2" w:rsidR="00E338B8" w:rsidRPr="00360D1A" w:rsidRDefault="00E338B8" w:rsidP="00360D1A">
      <w:pPr>
        <w:spacing w:line="360" w:lineRule="auto"/>
        <w:jc w:val="both"/>
        <w:rPr>
          <w:rFonts w:ascii="Arial" w:eastAsia="Times New Roman" w:hAnsi="Arial" w:cs="Arial"/>
          <w:kern w:val="0"/>
          <w:sz w:val="24"/>
          <w:szCs w:val="24"/>
          <w:lang w:eastAsia="en-GB"/>
          <w14:ligatures w14:val="none"/>
        </w:rPr>
      </w:pPr>
      <w:r w:rsidRPr="00E338B8">
        <w:rPr>
          <w:rFonts w:ascii="Arial" w:eastAsia="Times New Roman" w:hAnsi="Arial" w:cs="Arial"/>
          <w:kern w:val="0"/>
          <w:sz w:val="24"/>
          <w:szCs w:val="24"/>
          <w:lang w:eastAsia="en-GB"/>
          <w14:ligatures w14:val="none"/>
        </w:rPr>
        <w:t>The primary objectives of this report are to evaluate the financial performance of Urban Heights Hotel over the past three years, with a focus on pertinent metrics such as profitability, liquidity, solvency, and efficiency. The research also seeks to find the key reasons of the decrease in profitability, considering both internal and external factors. Lastly, it will offer a reversal strategy to restore the hotel's financial stability and reputation.</w:t>
      </w:r>
      <w:r w:rsidRPr="00360D1A">
        <w:rPr>
          <w:rFonts w:ascii="Arial" w:eastAsia="Times New Roman" w:hAnsi="Arial" w:cs="Arial"/>
          <w:kern w:val="0"/>
          <w:sz w:val="24"/>
          <w:szCs w:val="24"/>
          <w:lang w:eastAsia="en-GB"/>
          <w14:ligatures w14:val="none"/>
        </w:rPr>
        <w:t xml:space="preserve"> </w:t>
      </w:r>
      <w:r w:rsidRPr="00360D1A">
        <w:rPr>
          <w:rFonts w:ascii="Arial" w:eastAsia="Times New Roman" w:hAnsi="Arial" w:cs="Arial"/>
          <w:kern w:val="0"/>
          <w:sz w:val="24"/>
          <w:szCs w:val="24"/>
          <w:lang w:eastAsia="en-GB"/>
          <w14:ligatures w14:val="none"/>
        </w:rPr>
        <w:t>Financial management is the term used to describe the strategic planning, organisation, direction, and oversight of an organization's financial operations (</w:t>
      </w:r>
      <w:proofErr w:type="spellStart"/>
      <w:r w:rsidRPr="00360D1A">
        <w:rPr>
          <w:rFonts w:ascii="Arial" w:eastAsia="Times New Roman" w:hAnsi="Arial" w:cs="Arial"/>
          <w:kern w:val="0"/>
          <w:sz w:val="24"/>
          <w:szCs w:val="24"/>
          <w:lang w:eastAsia="en-GB"/>
          <w14:ligatures w14:val="none"/>
        </w:rPr>
        <w:t>Atrill</w:t>
      </w:r>
      <w:proofErr w:type="spellEnd"/>
      <w:r w:rsidRPr="00360D1A">
        <w:rPr>
          <w:rFonts w:ascii="Arial" w:eastAsia="Times New Roman" w:hAnsi="Arial" w:cs="Arial"/>
          <w:kern w:val="0"/>
          <w:sz w:val="24"/>
          <w:szCs w:val="24"/>
          <w:lang w:eastAsia="en-GB"/>
          <w14:ligatures w14:val="none"/>
        </w:rPr>
        <w:t xml:space="preserve"> and McLaney, 2021). The application of management concepts to an organization's financial assets is necessary to attain financial stability and growth. Businesses that implement effective financial management are more adept at allocating resources, optimising revenues, preserving long-term viability, and promptly adapting to market fluctuations (</w:t>
      </w:r>
      <w:r w:rsidR="009809FD" w:rsidRPr="00360D1A">
        <w:rPr>
          <w:rFonts w:ascii="Arial" w:eastAsia="Times New Roman" w:hAnsi="Arial" w:cs="Arial"/>
          <w:kern w:val="0"/>
          <w:sz w:val="24"/>
          <w:szCs w:val="24"/>
          <w:lang w:eastAsia="en-GB"/>
          <w14:ligatures w14:val="none"/>
        </w:rPr>
        <w:t>Tranter, Stuart-Hill, and Parker, 2014</w:t>
      </w:r>
      <w:r w:rsidRPr="00360D1A">
        <w:rPr>
          <w:rFonts w:ascii="Arial" w:eastAsia="Times New Roman" w:hAnsi="Arial" w:cs="Arial"/>
          <w:kern w:val="0"/>
          <w:sz w:val="24"/>
          <w:szCs w:val="24"/>
          <w:lang w:eastAsia="en-GB"/>
          <w14:ligatures w14:val="none"/>
        </w:rPr>
        <w:t xml:space="preserve">). Bhimani (2006) posits that financial management enables organisations to enhance operational efficiency by enabling them to manage risks, reconcile short- and long-term objectives, and make decisions with clarity. The Heights Hotel, which is renowned for its location in a bustling metropolitan area, offers a variety of amenities, including a restaurant, lounge, and event space. </w:t>
      </w:r>
      <w:proofErr w:type="gramStart"/>
      <w:r w:rsidRPr="00360D1A">
        <w:rPr>
          <w:rFonts w:ascii="Arial" w:eastAsia="Times New Roman" w:hAnsi="Arial" w:cs="Arial"/>
          <w:kern w:val="0"/>
          <w:sz w:val="24"/>
          <w:szCs w:val="24"/>
          <w:lang w:eastAsia="en-GB"/>
          <w14:ligatures w14:val="none"/>
        </w:rPr>
        <w:t>In spite of</w:t>
      </w:r>
      <w:proofErr w:type="gramEnd"/>
      <w:r w:rsidRPr="00360D1A">
        <w:rPr>
          <w:rFonts w:ascii="Arial" w:eastAsia="Times New Roman" w:hAnsi="Arial" w:cs="Arial"/>
          <w:kern w:val="0"/>
          <w:sz w:val="24"/>
          <w:szCs w:val="24"/>
          <w:lang w:eastAsia="en-GB"/>
          <w14:ligatures w14:val="none"/>
        </w:rPr>
        <w:t xml:space="preserve"> its exceptional location and extensive array of amenities, the hotel has encountered numerous challenges in recent months. Its long-term viability has been a subject of concern </w:t>
      </w:r>
      <w:r w:rsidRPr="00360D1A">
        <w:rPr>
          <w:rFonts w:ascii="Arial" w:eastAsia="Times New Roman" w:hAnsi="Arial" w:cs="Arial"/>
          <w:kern w:val="0"/>
          <w:sz w:val="24"/>
          <w:szCs w:val="24"/>
          <w:lang w:eastAsia="en-GB"/>
          <w14:ligatures w14:val="none"/>
        </w:rPr>
        <w:t>because of</w:t>
      </w:r>
      <w:r w:rsidRPr="00360D1A">
        <w:rPr>
          <w:rFonts w:ascii="Arial" w:eastAsia="Times New Roman" w:hAnsi="Arial" w:cs="Arial"/>
          <w:kern w:val="0"/>
          <w:sz w:val="24"/>
          <w:szCs w:val="24"/>
          <w:lang w:eastAsia="en-GB"/>
          <w14:ligatures w14:val="none"/>
        </w:rPr>
        <w:t xml:space="preserve"> declining revenue, occupancy rates, and customer satisfaction. </w:t>
      </w:r>
    </w:p>
    <w:p w14:paraId="2ED66AD6" w14:textId="77777777" w:rsidR="00E338B8" w:rsidRPr="00360D1A" w:rsidRDefault="00E338B8" w:rsidP="00360D1A">
      <w:pPr>
        <w:spacing w:line="360" w:lineRule="auto"/>
        <w:jc w:val="both"/>
        <w:rPr>
          <w:rFonts w:ascii="Arial" w:eastAsia="Times New Roman" w:hAnsi="Arial" w:cs="Arial"/>
          <w:kern w:val="0"/>
          <w:sz w:val="24"/>
          <w:szCs w:val="24"/>
          <w:lang w:eastAsia="en-GB"/>
          <w14:ligatures w14:val="none"/>
        </w:rPr>
      </w:pPr>
    </w:p>
    <w:p w14:paraId="4B345E5B" w14:textId="6EF25E53" w:rsidR="00E338B8" w:rsidRPr="00360D1A" w:rsidRDefault="00E338B8" w:rsidP="00360D1A">
      <w:pPr>
        <w:pStyle w:val="EU"/>
        <w:numPr>
          <w:ilvl w:val="0"/>
          <w:numId w:val="1"/>
        </w:numPr>
        <w:rPr>
          <w:rFonts w:eastAsia="Times New Roman"/>
          <w:color w:val="auto"/>
        </w:rPr>
      </w:pPr>
      <w:bookmarkStart w:id="1" w:name="_Toc168598914"/>
      <w:r w:rsidRPr="00360D1A">
        <w:rPr>
          <w:rFonts w:eastAsia="Times New Roman"/>
          <w:color w:val="auto"/>
        </w:rPr>
        <w:t>Three years financial performance trends</w:t>
      </w:r>
      <w:bookmarkEnd w:id="1"/>
      <w:r w:rsidRPr="00360D1A">
        <w:rPr>
          <w:rFonts w:eastAsia="Times New Roman"/>
          <w:color w:val="auto"/>
        </w:rPr>
        <w:t xml:space="preserve"> </w:t>
      </w:r>
    </w:p>
    <w:p w14:paraId="619A054A" w14:textId="01B2D47C" w:rsidR="00177333" w:rsidRPr="00360D1A" w:rsidRDefault="00EC13D0" w:rsidP="00360D1A">
      <w:pPr>
        <w:spacing w:line="360" w:lineRule="auto"/>
        <w:jc w:val="both"/>
        <w:rPr>
          <w:rFonts w:ascii="Arial" w:eastAsia="Times New Roman" w:hAnsi="Arial" w:cs="Arial"/>
          <w:kern w:val="0"/>
          <w:sz w:val="24"/>
          <w:szCs w:val="24"/>
          <w:lang w:eastAsia="en-GB"/>
          <w14:ligatures w14:val="none"/>
        </w:rPr>
      </w:pPr>
      <w:r w:rsidRPr="00EC13D0">
        <w:rPr>
          <w:rFonts w:ascii="Arial" w:eastAsia="Times New Roman" w:hAnsi="Arial" w:cs="Arial"/>
          <w:kern w:val="0"/>
          <w:sz w:val="24"/>
          <w:szCs w:val="24"/>
          <w:lang w:eastAsia="en-GB"/>
          <w14:ligatures w14:val="none"/>
        </w:rPr>
        <w:t>The current ratio is a financial indicator that assesses a company's capacity to repay its short-term creditors using its short-term assets. It is determined by dividing total current assets by current liabilities</w:t>
      </w:r>
      <w:r w:rsidR="009809FD" w:rsidRPr="00360D1A">
        <w:rPr>
          <w:rFonts w:ascii="Arial" w:hAnsi="Arial" w:cs="Arial"/>
          <w:sz w:val="24"/>
          <w:szCs w:val="24"/>
          <w:shd w:val="clear" w:color="auto" w:fill="FFFFFF"/>
        </w:rPr>
        <w:t xml:space="preserve"> </w:t>
      </w:r>
      <w:r w:rsidR="009809FD" w:rsidRPr="00360D1A">
        <w:rPr>
          <w:rFonts w:ascii="Arial" w:hAnsi="Arial" w:cs="Arial"/>
          <w:sz w:val="24"/>
          <w:szCs w:val="24"/>
          <w:shd w:val="clear" w:color="auto" w:fill="FFFFFF"/>
        </w:rPr>
        <w:t xml:space="preserve"> (McLaney and </w:t>
      </w:r>
      <w:proofErr w:type="spellStart"/>
      <w:r w:rsidR="009809FD" w:rsidRPr="00360D1A">
        <w:rPr>
          <w:rFonts w:ascii="Arial" w:hAnsi="Arial" w:cs="Arial"/>
          <w:sz w:val="24"/>
          <w:szCs w:val="24"/>
          <w:shd w:val="clear" w:color="auto" w:fill="FFFFFF"/>
        </w:rPr>
        <w:t>Atrill</w:t>
      </w:r>
      <w:proofErr w:type="spellEnd"/>
      <w:r w:rsidR="009809FD" w:rsidRPr="00360D1A">
        <w:rPr>
          <w:rFonts w:ascii="Arial" w:hAnsi="Arial" w:cs="Arial"/>
          <w:sz w:val="24"/>
          <w:szCs w:val="24"/>
          <w:shd w:val="clear" w:color="auto" w:fill="FFFFFF"/>
        </w:rPr>
        <w:t>, 2020)</w:t>
      </w:r>
      <w:r w:rsidR="009809FD" w:rsidRPr="00360D1A">
        <w:rPr>
          <w:rFonts w:ascii="Arial" w:hAnsi="Arial" w:cs="Arial"/>
          <w:sz w:val="24"/>
          <w:szCs w:val="24"/>
          <w:shd w:val="clear" w:color="auto" w:fill="FFFFFF"/>
        </w:rPr>
        <w:t xml:space="preserve">. </w:t>
      </w:r>
      <w:r w:rsidRPr="00EC13D0">
        <w:rPr>
          <w:rFonts w:ascii="Arial" w:eastAsia="Times New Roman" w:hAnsi="Arial" w:cs="Arial"/>
          <w:kern w:val="0"/>
          <w:sz w:val="24"/>
          <w:szCs w:val="24"/>
          <w:lang w:eastAsia="en-GB"/>
          <w14:ligatures w14:val="none"/>
        </w:rPr>
        <w:t xml:space="preserve"> A greater current ratio suggests improved liquidity and financial soundness.</w:t>
      </w:r>
      <w:r w:rsidRPr="00360D1A">
        <w:rPr>
          <w:rFonts w:ascii="Arial" w:eastAsia="Times New Roman" w:hAnsi="Arial" w:cs="Arial"/>
          <w:kern w:val="0"/>
          <w:sz w:val="24"/>
          <w:szCs w:val="24"/>
          <w:lang w:eastAsia="en-GB"/>
          <w14:ligatures w14:val="none"/>
        </w:rPr>
        <w:t xml:space="preserve"> </w:t>
      </w:r>
      <w:r w:rsidRPr="00EC13D0">
        <w:rPr>
          <w:rFonts w:ascii="Arial" w:eastAsia="Times New Roman" w:hAnsi="Arial" w:cs="Arial"/>
          <w:kern w:val="0"/>
          <w:sz w:val="24"/>
          <w:szCs w:val="24"/>
          <w:lang w:eastAsia="en-GB"/>
          <w14:ligatures w14:val="none"/>
        </w:rPr>
        <w:t>Over the last three years, the company's current ratio has decreased. In 2021, the current ratio was 1.8, which means that the firm has £1.80 in current assets for every £1.00 in current liabilities, suggesting high liquidity. By 2022, the ratio had declined to 1.11, indicating a lower but still acceptable liquidity position. However, in 2023, the current ratio decreased to 0.6, indicating that the corporation had just £0.60 in current assets for every £1.00 in current liabilities. This considerable fall indicates deteriorating liquidity, implying that the firm may struggle to satisfy its short-term obligations and may be in financial difficulties</w:t>
      </w:r>
      <w:r w:rsidR="009809FD" w:rsidRPr="00360D1A">
        <w:rPr>
          <w:rFonts w:ascii="Arial" w:eastAsia="Times New Roman" w:hAnsi="Arial" w:cs="Arial"/>
          <w:kern w:val="0"/>
          <w:sz w:val="24"/>
          <w:szCs w:val="24"/>
          <w:lang w:eastAsia="en-GB"/>
          <w14:ligatures w14:val="none"/>
        </w:rPr>
        <w:t xml:space="preserve"> (Jagels, 2007).</w:t>
      </w:r>
      <w:r w:rsidRPr="00360D1A">
        <w:rPr>
          <w:rFonts w:ascii="Arial" w:eastAsia="Times New Roman" w:hAnsi="Arial" w:cs="Arial"/>
          <w:kern w:val="0"/>
          <w:sz w:val="24"/>
          <w:szCs w:val="24"/>
          <w:lang w:eastAsia="en-GB"/>
          <w14:ligatures w14:val="none"/>
        </w:rPr>
        <w:t xml:space="preserve"> Furthermore, the</w:t>
      </w:r>
      <w:r w:rsidRPr="00360D1A">
        <w:rPr>
          <w:rFonts w:ascii="Arial" w:eastAsia="Times New Roman" w:hAnsi="Arial" w:cs="Arial"/>
          <w:kern w:val="0"/>
          <w:sz w:val="24"/>
          <w:szCs w:val="24"/>
          <w:lang w:eastAsia="en-GB"/>
          <w14:ligatures w14:val="none"/>
        </w:rPr>
        <w:t xml:space="preserve"> debt-to-equity ratio compares a company's total obligations to its shareholders' equity. It reflects the proportion of debt utilised to fund the company's assets in comparison to equity. A larger ratio indicates increased leverage and financial risk, since the organisation depends more on debt</w:t>
      </w:r>
      <w:r w:rsidR="009809FD" w:rsidRPr="00360D1A">
        <w:rPr>
          <w:rFonts w:ascii="Arial" w:eastAsia="Times New Roman" w:hAnsi="Arial" w:cs="Arial"/>
          <w:kern w:val="0"/>
          <w:sz w:val="24"/>
          <w:szCs w:val="24"/>
          <w:lang w:eastAsia="en-GB"/>
          <w14:ligatures w14:val="none"/>
        </w:rPr>
        <w:t xml:space="preserve"> (</w:t>
      </w:r>
      <w:proofErr w:type="spellStart"/>
      <w:r w:rsidR="009809FD" w:rsidRPr="00360D1A">
        <w:rPr>
          <w:rFonts w:ascii="Arial" w:eastAsia="Times New Roman" w:hAnsi="Arial" w:cs="Arial"/>
          <w:kern w:val="0"/>
          <w:sz w:val="24"/>
          <w:szCs w:val="24"/>
          <w:lang w:eastAsia="en-GB"/>
          <w14:ligatures w14:val="none"/>
        </w:rPr>
        <w:t>Guilding</w:t>
      </w:r>
      <w:proofErr w:type="spellEnd"/>
      <w:r w:rsidR="009809FD" w:rsidRPr="00360D1A">
        <w:rPr>
          <w:rFonts w:ascii="Arial" w:eastAsia="Times New Roman" w:hAnsi="Arial" w:cs="Arial"/>
          <w:kern w:val="0"/>
          <w:sz w:val="24"/>
          <w:szCs w:val="24"/>
          <w:lang w:eastAsia="en-GB"/>
          <w14:ligatures w14:val="none"/>
        </w:rPr>
        <w:t xml:space="preserve">, 2014). </w:t>
      </w:r>
      <w:r w:rsidRPr="00360D1A">
        <w:rPr>
          <w:rFonts w:ascii="Arial" w:eastAsia="Times New Roman" w:hAnsi="Arial" w:cs="Arial"/>
          <w:kern w:val="0"/>
          <w:sz w:val="24"/>
          <w:szCs w:val="24"/>
          <w:lang w:eastAsia="en-GB"/>
          <w14:ligatures w14:val="none"/>
        </w:rPr>
        <w:t xml:space="preserve"> </w:t>
      </w:r>
      <w:r w:rsidRPr="00360D1A">
        <w:rPr>
          <w:rFonts w:ascii="Arial" w:eastAsia="Times New Roman" w:hAnsi="Arial" w:cs="Arial"/>
          <w:kern w:val="0"/>
          <w:sz w:val="24"/>
          <w:szCs w:val="24"/>
          <w:lang w:eastAsia="en-GB"/>
          <w14:ligatures w14:val="none"/>
        </w:rPr>
        <w:t>Urban Heights Hotel's debt-to-equity ratio has risen dramatically during the last three years. In 2021, the ratio was 1.47, which means the hotel has £1.47 in debt for every £1.00 in equity, indicating a modest level of financial risk. By 2022, the ratio had risen to 1.78, indicating a growing reliance on debt funding. In 2023, the ratio increased to 2.39, suggesting that the hotel now owes £2.39 for every £1.00 in equity. This increased trend shows a growing reliance on debt, which increases financial risk and may signal difficulty in meeting obligations, harming the hotel's financial stability and flexibility</w:t>
      </w:r>
      <w:r w:rsidR="007877C7" w:rsidRPr="00360D1A">
        <w:rPr>
          <w:rFonts w:ascii="Arial" w:eastAsia="Times New Roman" w:hAnsi="Arial" w:cs="Arial"/>
          <w:kern w:val="0"/>
          <w:sz w:val="24"/>
          <w:szCs w:val="24"/>
          <w:lang w:eastAsia="en-GB"/>
          <w14:ligatures w14:val="none"/>
        </w:rPr>
        <w:t xml:space="preserve"> (</w:t>
      </w:r>
      <w:r w:rsidR="007877C7" w:rsidRPr="00360D1A">
        <w:rPr>
          <w:rFonts w:ascii="Arial" w:hAnsi="Arial" w:cs="Arial"/>
          <w:sz w:val="24"/>
          <w:szCs w:val="24"/>
          <w:shd w:val="clear" w:color="auto" w:fill="FFFFFF"/>
        </w:rPr>
        <w:t>Phillips et al., 2015)</w:t>
      </w:r>
      <w:r w:rsidR="007877C7" w:rsidRPr="00360D1A">
        <w:rPr>
          <w:rFonts w:ascii="Arial" w:hAnsi="Arial" w:cs="Arial"/>
          <w:sz w:val="24"/>
          <w:szCs w:val="24"/>
          <w:shd w:val="clear" w:color="auto" w:fill="FFFFFF"/>
        </w:rPr>
        <w:t xml:space="preserve">. </w:t>
      </w:r>
      <w:r w:rsidRPr="00360D1A">
        <w:rPr>
          <w:rFonts w:ascii="Arial" w:eastAsia="Times New Roman" w:hAnsi="Arial" w:cs="Arial"/>
          <w:kern w:val="0"/>
          <w:sz w:val="24"/>
          <w:szCs w:val="24"/>
          <w:lang w:eastAsia="en-GB"/>
          <w14:ligatures w14:val="none"/>
        </w:rPr>
        <w:t>Moreover, the</w:t>
      </w:r>
      <w:r w:rsidRPr="00360D1A">
        <w:rPr>
          <w:rFonts w:ascii="Arial" w:eastAsia="Times New Roman" w:hAnsi="Arial" w:cs="Arial"/>
          <w:kern w:val="0"/>
          <w:sz w:val="24"/>
          <w:szCs w:val="24"/>
          <w:lang w:eastAsia="en-GB"/>
          <w14:ligatures w14:val="none"/>
        </w:rPr>
        <w:t xml:space="preserve"> quick ratio, sometimes called the acid-test ratio, assesses a company's capacity to cover its short-term liabilities with its most liquid assets. It is determined by dividing current assets (minus inventory) by current liabilities. A greater quick ratio suggests stronger short-term financial health, since it demonstrates the company's ability to meet its immediate commitments without selling goods</w:t>
      </w:r>
      <w:r w:rsidR="007877C7" w:rsidRPr="00360D1A">
        <w:rPr>
          <w:rFonts w:ascii="Arial" w:eastAsia="Times New Roman" w:hAnsi="Arial" w:cs="Arial"/>
          <w:kern w:val="0"/>
          <w:sz w:val="24"/>
          <w:szCs w:val="24"/>
          <w:lang w:eastAsia="en-GB"/>
          <w14:ligatures w14:val="none"/>
        </w:rPr>
        <w:t xml:space="preserve"> (Seal, 2019).</w:t>
      </w:r>
      <w:r w:rsidRPr="00360D1A">
        <w:rPr>
          <w:rFonts w:ascii="Arial" w:eastAsia="Times New Roman" w:hAnsi="Arial" w:cs="Arial"/>
          <w:kern w:val="0"/>
          <w:sz w:val="24"/>
          <w:szCs w:val="24"/>
          <w:lang w:eastAsia="en-GB"/>
          <w14:ligatures w14:val="none"/>
        </w:rPr>
        <w:t xml:space="preserve"> </w:t>
      </w:r>
      <w:r w:rsidRPr="00360D1A">
        <w:rPr>
          <w:rFonts w:ascii="Arial" w:eastAsia="Times New Roman" w:hAnsi="Arial" w:cs="Arial"/>
          <w:kern w:val="0"/>
          <w:sz w:val="24"/>
          <w:szCs w:val="24"/>
          <w:lang w:eastAsia="en-GB"/>
          <w14:ligatures w14:val="none"/>
        </w:rPr>
        <w:t xml:space="preserve">The quick ratio at Urban Heights Hotel has dropped dramatically during the last three years. In 2021, the quick ratio was 1.8, which means the hotel has £1.80 in liquid assets for every £1.00 in current liabilities, showing a healthy liquidity position. In 2022, with total current assets of £300,000 and accounts payable of £270,000, the quick ratio fell to 1.11, suggesting acceptable liquidity but decreasing. By 2023, the quick ratio had decreased to 0.6, with total current assets of £180,000 and accounts payable of £300,000. This steep fall indicates that the hotel has just £0.60 in liquid assets for every £1.00 in current liabilities, suggesting </w:t>
      </w:r>
      <w:proofErr w:type="gramStart"/>
      <w:r w:rsidRPr="00360D1A">
        <w:rPr>
          <w:rFonts w:ascii="Arial" w:eastAsia="Times New Roman" w:hAnsi="Arial" w:cs="Arial"/>
          <w:kern w:val="0"/>
          <w:sz w:val="24"/>
          <w:szCs w:val="24"/>
          <w:lang w:eastAsia="en-GB"/>
          <w14:ligatures w14:val="none"/>
        </w:rPr>
        <w:t>possible liquidity</w:t>
      </w:r>
      <w:proofErr w:type="gramEnd"/>
      <w:r w:rsidRPr="00360D1A">
        <w:rPr>
          <w:rFonts w:ascii="Arial" w:eastAsia="Times New Roman" w:hAnsi="Arial" w:cs="Arial"/>
          <w:kern w:val="0"/>
          <w:sz w:val="24"/>
          <w:szCs w:val="24"/>
          <w:lang w:eastAsia="en-GB"/>
          <w14:ligatures w14:val="none"/>
        </w:rPr>
        <w:t xml:space="preserve"> challenges and raising worries about its capacity to satisfy short-term commitments without additional financing or asset liquidation</w:t>
      </w:r>
      <w:r w:rsidR="007877C7" w:rsidRPr="00360D1A">
        <w:rPr>
          <w:rFonts w:ascii="Arial" w:eastAsia="Times New Roman" w:hAnsi="Arial" w:cs="Arial"/>
          <w:kern w:val="0"/>
          <w:sz w:val="24"/>
          <w:szCs w:val="24"/>
          <w:lang w:eastAsia="en-GB"/>
          <w14:ligatures w14:val="none"/>
        </w:rPr>
        <w:t xml:space="preserve"> (</w:t>
      </w:r>
      <w:proofErr w:type="spellStart"/>
      <w:r w:rsidR="007877C7" w:rsidRPr="00360D1A">
        <w:rPr>
          <w:rFonts w:ascii="Arial" w:eastAsia="Times New Roman" w:hAnsi="Arial" w:cs="Arial"/>
          <w:kern w:val="0"/>
          <w:sz w:val="24"/>
          <w:szCs w:val="24"/>
          <w:lang w:eastAsia="en-GB"/>
          <w14:ligatures w14:val="none"/>
        </w:rPr>
        <w:t>Atrill</w:t>
      </w:r>
      <w:proofErr w:type="spellEnd"/>
      <w:r w:rsidR="007877C7" w:rsidRPr="00360D1A">
        <w:rPr>
          <w:rFonts w:ascii="Arial" w:eastAsia="Times New Roman" w:hAnsi="Arial" w:cs="Arial"/>
          <w:kern w:val="0"/>
          <w:sz w:val="24"/>
          <w:szCs w:val="24"/>
          <w:lang w:eastAsia="en-GB"/>
          <w14:ligatures w14:val="none"/>
        </w:rPr>
        <w:t xml:space="preserve"> and McLaney, 2021). </w:t>
      </w:r>
      <w:r w:rsidRPr="00360D1A">
        <w:rPr>
          <w:rFonts w:ascii="Arial" w:eastAsia="Times New Roman" w:hAnsi="Arial" w:cs="Arial"/>
          <w:kern w:val="0"/>
          <w:sz w:val="24"/>
          <w:szCs w:val="24"/>
          <w:lang w:eastAsia="en-GB"/>
          <w14:ligatures w14:val="none"/>
        </w:rPr>
        <w:t xml:space="preserve"> Additionally, </w:t>
      </w:r>
      <w:r w:rsidR="00177333" w:rsidRPr="00360D1A">
        <w:rPr>
          <w:rFonts w:ascii="Arial" w:eastAsia="Times New Roman" w:hAnsi="Arial" w:cs="Arial"/>
          <w:kern w:val="0"/>
          <w:sz w:val="24"/>
          <w:szCs w:val="24"/>
          <w:lang w:eastAsia="en-GB"/>
          <w14:ligatures w14:val="none"/>
        </w:rPr>
        <w:t>Return on Assets (ROA) is a financial term that assesses how well a firm manages its assets to create profit. It is computed by dividing net income by total assets. A greater ROA suggests that assets are being used more efficiently to generate earnings</w:t>
      </w:r>
      <w:r w:rsidR="007877C7" w:rsidRPr="00360D1A">
        <w:rPr>
          <w:rFonts w:ascii="Arial" w:eastAsia="Times New Roman" w:hAnsi="Arial" w:cs="Arial"/>
          <w:kern w:val="0"/>
          <w:sz w:val="24"/>
          <w:szCs w:val="24"/>
          <w:lang w:eastAsia="en-GB"/>
          <w14:ligatures w14:val="none"/>
        </w:rPr>
        <w:t xml:space="preserve"> (Drury, 2021). </w:t>
      </w:r>
      <w:r w:rsidR="00177333" w:rsidRPr="00360D1A">
        <w:rPr>
          <w:rFonts w:ascii="Arial" w:eastAsia="Times New Roman" w:hAnsi="Arial" w:cs="Arial"/>
          <w:kern w:val="0"/>
          <w:sz w:val="24"/>
          <w:szCs w:val="24"/>
          <w:lang w:eastAsia="en-GB"/>
          <w14:ligatures w14:val="none"/>
        </w:rPr>
        <w:t>Over the last three years, Urban Heights Hotel's ROA has decreased significantly, showing a drop in asset utilisation efficiency. In 2021, the ROA was 0.12, which means the hotel made 12 pence for every pound of assets, demonstrating good profitability and effective asset usage. By 2022, the ROA had fallen to 0.03, indicating a significant reduction in profitability, with just 3 pence produced per pound of assets</w:t>
      </w:r>
      <w:r w:rsidR="007877C7" w:rsidRPr="00360D1A">
        <w:rPr>
          <w:rFonts w:ascii="Arial" w:eastAsia="Times New Roman" w:hAnsi="Arial" w:cs="Arial"/>
          <w:kern w:val="0"/>
          <w:sz w:val="24"/>
          <w:szCs w:val="24"/>
          <w:lang w:eastAsia="en-GB"/>
          <w14:ligatures w14:val="none"/>
        </w:rPr>
        <w:t xml:space="preserve"> (Wild, 2018).</w:t>
      </w:r>
      <w:r w:rsidR="00177333" w:rsidRPr="00360D1A">
        <w:rPr>
          <w:rFonts w:ascii="Arial" w:eastAsia="Times New Roman" w:hAnsi="Arial" w:cs="Arial"/>
          <w:kern w:val="0"/>
          <w:sz w:val="24"/>
          <w:szCs w:val="24"/>
          <w:lang w:eastAsia="en-GB"/>
          <w14:ligatures w14:val="none"/>
        </w:rPr>
        <w:t xml:space="preserve"> In 2023, the situation deteriorated, with a negative ROA of -0.10, implying a loss of 10 pence per pound of assets. This negative ROA demonstrates serious operational inefficiencies and financial distress, as the hotel not only fails to produce profit from its assets but is also losing money, raising questions about its financial stability and long-term survival</w:t>
      </w:r>
      <w:r w:rsidR="007877C7" w:rsidRPr="00360D1A">
        <w:rPr>
          <w:rFonts w:ascii="Arial" w:eastAsia="Times New Roman" w:hAnsi="Arial" w:cs="Arial"/>
          <w:kern w:val="0"/>
          <w:sz w:val="24"/>
          <w:szCs w:val="24"/>
          <w:lang w:eastAsia="en-GB"/>
          <w14:ligatures w14:val="none"/>
        </w:rPr>
        <w:t xml:space="preserve"> (Weetman, 2019).</w:t>
      </w:r>
      <w:r w:rsidR="00177333" w:rsidRPr="00360D1A">
        <w:rPr>
          <w:rFonts w:ascii="Arial" w:eastAsia="Times New Roman" w:hAnsi="Arial" w:cs="Arial"/>
          <w:kern w:val="0"/>
          <w:sz w:val="24"/>
          <w:szCs w:val="24"/>
          <w:lang w:eastAsia="en-GB"/>
          <w14:ligatures w14:val="none"/>
        </w:rPr>
        <w:t xml:space="preserve"> Lastly, </w:t>
      </w:r>
      <w:r w:rsidR="00177333" w:rsidRPr="00360D1A">
        <w:rPr>
          <w:rFonts w:ascii="Arial" w:eastAsia="Times New Roman" w:hAnsi="Arial" w:cs="Arial"/>
          <w:kern w:val="0"/>
          <w:sz w:val="24"/>
          <w:szCs w:val="24"/>
          <w:lang w:eastAsia="en-GB"/>
          <w14:ligatures w14:val="none"/>
        </w:rPr>
        <w:t>Return on Equity (ROE) is a financial statistic that assesses a company's profitability in terms of shareholder equity. It is computed by dividing net income by shareholder equity. ROE measures how well a firm uses equity capital to create profits.</w:t>
      </w:r>
      <w:r w:rsidR="00177333" w:rsidRPr="00360D1A">
        <w:rPr>
          <w:rFonts w:ascii="Arial" w:eastAsia="Times New Roman" w:hAnsi="Arial" w:cs="Arial"/>
          <w:kern w:val="0"/>
          <w:sz w:val="24"/>
          <w:szCs w:val="24"/>
          <w:lang w:eastAsia="en-GB"/>
          <w14:ligatures w14:val="none"/>
        </w:rPr>
        <w:t xml:space="preserve"> </w:t>
      </w:r>
      <w:r w:rsidR="00177333" w:rsidRPr="00360D1A">
        <w:rPr>
          <w:rFonts w:ascii="Arial" w:eastAsia="Times New Roman" w:hAnsi="Arial" w:cs="Arial"/>
          <w:kern w:val="0"/>
          <w:sz w:val="24"/>
          <w:szCs w:val="24"/>
          <w:lang w:eastAsia="en-GB"/>
          <w14:ligatures w14:val="none"/>
        </w:rPr>
        <w:t>Urban Heights Hotel's ROE has dropped dramatically over the last three years, indicating declining profitability</w:t>
      </w:r>
      <w:r w:rsidR="007877C7" w:rsidRPr="00360D1A">
        <w:rPr>
          <w:rFonts w:ascii="Arial" w:eastAsia="Times New Roman" w:hAnsi="Arial" w:cs="Arial"/>
          <w:kern w:val="0"/>
          <w:sz w:val="24"/>
          <w:szCs w:val="24"/>
          <w:lang w:eastAsia="en-GB"/>
          <w14:ligatures w14:val="none"/>
        </w:rPr>
        <w:t xml:space="preserve"> (Mott, 2012). </w:t>
      </w:r>
      <w:r w:rsidR="00177333" w:rsidRPr="00360D1A">
        <w:rPr>
          <w:rFonts w:ascii="Arial" w:eastAsia="Times New Roman" w:hAnsi="Arial" w:cs="Arial"/>
          <w:kern w:val="0"/>
          <w:sz w:val="24"/>
          <w:szCs w:val="24"/>
          <w:lang w:eastAsia="en-GB"/>
          <w14:ligatures w14:val="none"/>
        </w:rPr>
        <w:t xml:space="preserve"> In 2021, the ROE was 0.31, which means the hotel earned 31 pence for every pound of equity, suggesting great financial success. In 2022, the ROE fell to 0.10, indicating a significant loss in profitability, with just 10 pence produced every pound of stock</w:t>
      </w:r>
      <w:r w:rsidR="007877C7" w:rsidRPr="00360D1A">
        <w:rPr>
          <w:rFonts w:ascii="Arial" w:eastAsia="Times New Roman" w:hAnsi="Arial" w:cs="Arial"/>
          <w:kern w:val="0"/>
          <w:sz w:val="24"/>
          <w:szCs w:val="24"/>
          <w:lang w:eastAsia="en-GB"/>
          <w14:ligatures w14:val="none"/>
        </w:rPr>
        <w:t xml:space="preserve"> (Seal, 2019).</w:t>
      </w:r>
      <w:r w:rsidR="00177333" w:rsidRPr="00360D1A">
        <w:rPr>
          <w:rFonts w:ascii="Arial" w:eastAsia="Times New Roman" w:hAnsi="Arial" w:cs="Arial"/>
          <w:kern w:val="0"/>
          <w:sz w:val="24"/>
          <w:szCs w:val="24"/>
          <w:lang w:eastAsia="en-GB"/>
          <w14:ligatures w14:val="none"/>
        </w:rPr>
        <w:t xml:space="preserve"> By 2023, the ROE had fallen to -0.36, showing that the hotel lost 36 pence for every pound of equity. This negative ROE is concerning since it demonstrates both a failure to create profit and considerable losses, implying serious financial difficulties and inefficiency. The hotel's declining ROE indicates the difficulties in </w:t>
      </w:r>
      <w:proofErr w:type="gramStart"/>
      <w:r w:rsidR="00177333" w:rsidRPr="00360D1A">
        <w:rPr>
          <w:rFonts w:ascii="Arial" w:eastAsia="Times New Roman" w:hAnsi="Arial" w:cs="Arial"/>
          <w:kern w:val="0"/>
          <w:sz w:val="24"/>
          <w:szCs w:val="24"/>
          <w:lang w:eastAsia="en-GB"/>
          <w14:ligatures w14:val="none"/>
        </w:rPr>
        <w:t>properly using</w:t>
      </w:r>
      <w:proofErr w:type="gramEnd"/>
      <w:r w:rsidR="00177333" w:rsidRPr="00360D1A">
        <w:rPr>
          <w:rFonts w:ascii="Arial" w:eastAsia="Times New Roman" w:hAnsi="Arial" w:cs="Arial"/>
          <w:kern w:val="0"/>
          <w:sz w:val="24"/>
          <w:szCs w:val="24"/>
          <w:lang w:eastAsia="en-GB"/>
          <w14:ligatures w14:val="none"/>
        </w:rPr>
        <w:t xml:space="preserve"> shareholders' equity to create returns, raising worries about its financial health and sustainability</w:t>
      </w:r>
      <w:r w:rsidR="007877C7" w:rsidRPr="00360D1A">
        <w:rPr>
          <w:rFonts w:ascii="Arial" w:eastAsia="Times New Roman" w:hAnsi="Arial" w:cs="Arial"/>
          <w:kern w:val="0"/>
          <w:sz w:val="24"/>
          <w:szCs w:val="24"/>
          <w:lang w:eastAsia="en-GB"/>
          <w14:ligatures w14:val="none"/>
        </w:rPr>
        <w:t xml:space="preserve"> (Drury, 2021).</w:t>
      </w:r>
    </w:p>
    <w:p w14:paraId="72C213E5" w14:textId="6CC9D460" w:rsidR="00177333" w:rsidRPr="00360D1A" w:rsidRDefault="00177333" w:rsidP="00360D1A">
      <w:pPr>
        <w:spacing w:line="360" w:lineRule="auto"/>
        <w:jc w:val="both"/>
        <w:rPr>
          <w:rFonts w:ascii="Arial" w:eastAsia="Times New Roman" w:hAnsi="Arial" w:cs="Arial"/>
          <w:kern w:val="0"/>
          <w:sz w:val="24"/>
          <w:szCs w:val="24"/>
          <w:lang w:eastAsia="en-GB"/>
          <w14:ligatures w14:val="none"/>
        </w:rPr>
      </w:pPr>
    </w:p>
    <w:p w14:paraId="7F2E23F7" w14:textId="56F730CA" w:rsidR="00EC13D0" w:rsidRPr="00360D1A" w:rsidRDefault="00177333" w:rsidP="00360D1A">
      <w:pPr>
        <w:pStyle w:val="EU"/>
        <w:numPr>
          <w:ilvl w:val="0"/>
          <w:numId w:val="1"/>
        </w:numPr>
        <w:rPr>
          <w:rFonts w:eastAsia="Times New Roman"/>
          <w:color w:val="auto"/>
        </w:rPr>
      </w:pPr>
      <w:bookmarkStart w:id="2" w:name="_Toc168598915"/>
      <w:r w:rsidRPr="00360D1A">
        <w:rPr>
          <w:rFonts w:eastAsia="Times New Roman"/>
          <w:color w:val="auto"/>
        </w:rPr>
        <w:t>Main reasons behind the decline</w:t>
      </w:r>
      <w:bookmarkEnd w:id="2"/>
      <w:r w:rsidRPr="00360D1A">
        <w:rPr>
          <w:rFonts w:eastAsia="Times New Roman"/>
          <w:color w:val="auto"/>
        </w:rPr>
        <w:t xml:space="preserve"> </w:t>
      </w:r>
    </w:p>
    <w:p w14:paraId="078AD213" w14:textId="080C4FB8" w:rsidR="00803CBF" w:rsidRPr="00803CBF" w:rsidRDefault="00803CBF" w:rsidP="00360D1A">
      <w:pPr>
        <w:spacing w:after="0" w:line="360" w:lineRule="auto"/>
        <w:jc w:val="both"/>
        <w:rPr>
          <w:rFonts w:ascii="Arial" w:eastAsia="Times New Roman" w:hAnsi="Arial" w:cs="Arial"/>
          <w:kern w:val="0"/>
          <w:sz w:val="24"/>
          <w:szCs w:val="24"/>
          <w:lang w:eastAsia="en-GB"/>
          <w14:ligatures w14:val="none"/>
        </w:rPr>
      </w:pPr>
      <w:r w:rsidRPr="00803CBF">
        <w:rPr>
          <w:rFonts w:ascii="Arial" w:eastAsia="Times New Roman" w:hAnsi="Arial" w:cs="Arial"/>
          <w:kern w:val="0"/>
          <w:sz w:val="24"/>
          <w:szCs w:val="24"/>
          <w:lang w:eastAsia="en-GB"/>
          <w14:ligatures w14:val="none"/>
        </w:rPr>
        <w:t>The fall in profitability at Urban Heights Hotel during the last three years can be traced to a mix of internal and external reasons, as evidenced by numerous data findings from recent industry publications.</w:t>
      </w:r>
      <w:r w:rsidRPr="00360D1A">
        <w:rPr>
          <w:rFonts w:ascii="Arial" w:eastAsia="Times New Roman" w:hAnsi="Arial" w:cs="Arial"/>
          <w:kern w:val="0"/>
          <w:sz w:val="24"/>
          <w:szCs w:val="24"/>
          <w:lang w:eastAsia="en-GB"/>
          <w14:ligatures w14:val="none"/>
        </w:rPr>
        <w:t xml:space="preserve"> </w:t>
      </w:r>
      <w:r w:rsidRPr="00803CBF">
        <w:rPr>
          <w:rFonts w:ascii="Arial" w:eastAsia="Times New Roman" w:hAnsi="Arial" w:cs="Arial"/>
          <w:kern w:val="0"/>
          <w:sz w:val="24"/>
          <w:szCs w:val="24"/>
          <w:lang w:eastAsia="en-GB"/>
          <w14:ligatures w14:val="none"/>
        </w:rPr>
        <w:t>Internally, growing operating expenses, particularly energy prices, have had a substantial influence on the hotel's profitability. According to the Office for National Statistics over three out of every five food and beverage service enterprises named energy prices as their primary worry in late 2022. This pressure has prompted many firms, particularly those in the hotel industry, to contemplate raising their own pricing to cover these expenses, affecting their competitive posture and consumer satisfaction (ONS, 2022).</w:t>
      </w:r>
      <w:r w:rsidRPr="00360D1A">
        <w:rPr>
          <w:rFonts w:ascii="Arial" w:eastAsia="Times New Roman" w:hAnsi="Arial" w:cs="Arial"/>
          <w:kern w:val="0"/>
          <w:sz w:val="24"/>
          <w:szCs w:val="24"/>
          <w:lang w:eastAsia="en-GB"/>
          <w14:ligatures w14:val="none"/>
        </w:rPr>
        <w:t xml:space="preserve"> </w:t>
      </w:r>
      <w:r w:rsidRPr="00803CBF">
        <w:rPr>
          <w:rFonts w:ascii="Arial" w:eastAsia="Times New Roman" w:hAnsi="Arial" w:cs="Arial"/>
          <w:kern w:val="0"/>
          <w:sz w:val="24"/>
          <w:szCs w:val="24"/>
          <w:lang w:eastAsia="en-GB"/>
          <w14:ligatures w14:val="none"/>
        </w:rPr>
        <w:t>External factors such as market rivalry and shifting consumer tastes have played an important impact. The hotel sector has been dealing with a substantial labour shortage, which is partially due to a decrease in EU workers following Brexit and the COVID-19 epidemic. According to the ONS, the number of EU nationals engaged in the UK hospitality sector has dropped dramatically, worsening recruiting issues and raising labour costs (ONS, 2023).</w:t>
      </w:r>
      <w:r w:rsidRPr="00360D1A">
        <w:rPr>
          <w:rFonts w:ascii="Arial" w:eastAsia="Times New Roman" w:hAnsi="Arial" w:cs="Arial"/>
          <w:kern w:val="0"/>
          <w:sz w:val="24"/>
          <w:szCs w:val="24"/>
          <w:lang w:eastAsia="en-GB"/>
          <w14:ligatures w14:val="none"/>
        </w:rPr>
        <w:t xml:space="preserve"> </w:t>
      </w:r>
      <w:r w:rsidRPr="00803CBF">
        <w:rPr>
          <w:rFonts w:ascii="Arial" w:eastAsia="Times New Roman" w:hAnsi="Arial" w:cs="Arial"/>
          <w:kern w:val="0"/>
          <w:sz w:val="24"/>
          <w:szCs w:val="24"/>
          <w:lang w:eastAsia="en-GB"/>
          <w14:ligatures w14:val="none"/>
        </w:rPr>
        <w:t xml:space="preserve">Furthermore, the COVID-19 epidemic has transformed travel and tourist trends. In 2022, the number of international visitors to the UK grew compared to </w:t>
      </w:r>
      <w:proofErr w:type="gramStart"/>
      <w:r w:rsidRPr="00803CBF">
        <w:rPr>
          <w:rFonts w:ascii="Arial" w:eastAsia="Times New Roman" w:hAnsi="Arial" w:cs="Arial"/>
          <w:kern w:val="0"/>
          <w:sz w:val="24"/>
          <w:szCs w:val="24"/>
          <w:lang w:eastAsia="en-GB"/>
          <w14:ligatures w14:val="none"/>
        </w:rPr>
        <w:t>2021, but</w:t>
      </w:r>
      <w:proofErr w:type="gramEnd"/>
      <w:r w:rsidRPr="00803CBF">
        <w:rPr>
          <w:rFonts w:ascii="Arial" w:eastAsia="Times New Roman" w:hAnsi="Arial" w:cs="Arial"/>
          <w:kern w:val="0"/>
          <w:sz w:val="24"/>
          <w:szCs w:val="24"/>
          <w:lang w:eastAsia="en-GB"/>
          <w14:ligatures w14:val="none"/>
        </w:rPr>
        <w:t xml:space="preserve"> remained 24% lower than pre-pandemic levels. The delayed rebound in international tourism has impacted occupancy rates and income for hotels that rely on foreign guests (ONS, 2023).</w:t>
      </w:r>
      <w:r w:rsidRPr="00360D1A">
        <w:rPr>
          <w:rFonts w:ascii="Arial" w:eastAsia="Times New Roman" w:hAnsi="Arial" w:cs="Arial"/>
          <w:kern w:val="0"/>
          <w:sz w:val="24"/>
          <w:szCs w:val="24"/>
          <w:lang w:eastAsia="en-GB"/>
          <w14:ligatures w14:val="none"/>
        </w:rPr>
        <w:t xml:space="preserve"> </w:t>
      </w:r>
      <w:r w:rsidRPr="00803CBF">
        <w:rPr>
          <w:rFonts w:ascii="Arial" w:eastAsia="Times New Roman" w:hAnsi="Arial" w:cs="Arial"/>
          <w:kern w:val="0"/>
          <w:sz w:val="24"/>
          <w:szCs w:val="24"/>
          <w:lang w:eastAsia="en-GB"/>
          <w14:ligatures w14:val="none"/>
        </w:rPr>
        <w:t>Inflation has exacerbated these concerns. Businesses in a variety of industries, including hospitality, have seen increasing material and service costs. According to McKinsey, excessive inflation has increased manufacturing costs, which corporations frequently pass on to customers. However, if not handled properly, this might reduce demand and diminish profitability (McKinsey</w:t>
      </w:r>
      <w:r w:rsidR="00F60FBD" w:rsidRPr="00360D1A">
        <w:rPr>
          <w:rFonts w:ascii="Arial" w:eastAsia="Times New Roman" w:hAnsi="Arial" w:cs="Arial"/>
          <w:kern w:val="0"/>
          <w:sz w:val="24"/>
          <w:szCs w:val="24"/>
          <w:lang w:eastAsia="en-GB"/>
          <w14:ligatures w14:val="none"/>
        </w:rPr>
        <w:t xml:space="preserve"> and Company,</w:t>
      </w:r>
      <w:r w:rsidRPr="00803CBF">
        <w:rPr>
          <w:rFonts w:ascii="Arial" w:eastAsia="Times New Roman" w:hAnsi="Arial" w:cs="Arial"/>
          <w:kern w:val="0"/>
          <w:sz w:val="24"/>
          <w:szCs w:val="24"/>
          <w:lang w:eastAsia="en-GB"/>
          <w14:ligatures w14:val="none"/>
        </w:rPr>
        <w:t xml:space="preserve"> 202</w:t>
      </w:r>
      <w:r w:rsidR="00F60FBD" w:rsidRPr="00360D1A">
        <w:rPr>
          <w:rFonts w:ascii="Arial" w:eastAsia="Times New Roman" w:hAnsi="Arial" w:cs="Arial"/>
          <w:kern w:val="0"/>
          <w:sz w:val="24"/>
          <w:szCs w:val="24"/>
          <w:lang w:eastAsia="en-GB"/>
          <w14:ligatures w14:val="none"/>
        </w:rPr>
        <w:t>2</w:t>
      </w:r>
      <w:r w:rsidRPr="00803CBF">
        <w:rPr>
          <w:rFonts w:ascii="Arial" w:eastAsia="Times New Roman" w:hAnsi="Arial" w:cs="Arial"/>
          <w:kern w:val="0"/>
          <w:sz w:val="24"/>
          <w:szCs w:val="24"/>
          <w:lang w:eastAsia="en-GB"/>
          <w14:ligatures w14:val="none"/>
        </w:rPr>
        <w:t>).</w:t>
      </w:r>
      <w:r w:rsidRPr="00360D1A">
        <w:rPr>
          <w:rFonts w:ascii="Arial" w:eastAsia="Times New Roman" w:hAnsi="Arial" w:cs="Arial"/>
          <w:kern w:val="0"/>
          <w:sz w:val="24"/>
          <w:szCs w:val="24"/>
          <w:lang w:eastAsia="en-GB"/>
          <w14:ligatures w14:val="none"/>
        </w:rPr>
        <w:t xml:space="preserve"> </w:t>
      </w:r>
      <w:r w:rsidRPr="00803CBF">
        <w:rPr>
          <w:rFonts w:ascii="Arial" w:eastAsia="Times New Roman" w:hAnsi="Arial" w:cs="Arial"/>
          <w:kern w:val="0"/>
          <w:sz w:val="24"/>
          <w:szCs w:val="24"/>
          <w:lang w:eastAsia="en-GB"/>
          <w14:ligatures w14:val="none"/>
        </w:rPr>
        <w:t>To overcome these issues, Urban Heights Hotel must develop a thorough turnaround plan that prioritises cost cutting, debt management, and market adaption. This involves investing in energy-efficient technologies, refinancing debt to decrease financial risk, and increasing marketing efforts to attract environmentally aware travellers. By addressing both internal inefficiencies and external market forces, the hotel may improve its financial stability and long-term survival.</w:t>
      </w:r>
    </w:p>
    <w:p w14:paraId="6B3E41EC" w14:textId="77A8503B" w:rsidR="00EC13D0" w:rsidRPr="00360D1A" w:rsidRDefault="00EC13D0" w:rsidP="00360D1A">
      <w:pPr>
        <w:spacing w:line="360" w:lineRule="auto"/>
        <w:jc w:val="both"/>
        <w:rPr>
          <w:rFonts w:ascii="Arial" w:eastAsia="Times New Roman" w:hAnsi="Arial" w:cs="Arial"/>
          <w:kern w:val="0"/>
          <w:sz w:val="24"/>
          <w:szCs w:val="24"/>
          <w:lang w:eastAsia="en-GB"/>
          <w14:ligatures w14:val="none"/>
        </w:rPr>
      </w:pPr>
    </w:p>
    <w:p w14:paraId="1B7CF5FF" w14:textId="124A5F11" w:rsidR="00E338B8" w:rsidRPr="00360D1A" w:rsidRDefault="00803CBF" w:rsidP="00360D1A">
      <w:pPr>
        <w:pStyle w:val="EU"/>
        <w:numPr>
          <w:ilvl w:val="0"/>
          <w:numId w:val="1"/>
        </w:numPr>
        <w:rPr>
          <w:rFonts w:eastAsia="Times New Roman"/>
          <w:color w:val="auto"/>
        </w:rPr>
      </w:pPr>
      <w:bookmarkStart w:id="3" w:name="_Toc168598916"/>
      <w:r w:rsidRPr="00360D1A">
        <w:rPr>
          <w:rFonts w:eastAsia="Times New Roman"/>
          <w:color w:val="auto"/>
        </w:rPr>
        <w:t>Conclusion</w:t>
      </w:r>
      <w:bookmarkEnd w:id="3"/>
      <w:r w:rsidRPr="00360D1A">
        <w:rPr>
          <w:rFonts w:eastAsia="Times New Roman"/>
          <w:color w:val="auto"/>
        </w:rPr>
        <w:t xml:space="preserve"> </w:t>
      </w:r>
    </w:p>
    <w:p w14:paraId="72B51F29" w14:textId="7E9F6D2D" w:rsidR="00803CBF" w:rsidRPr="00360D1A" w:rsidRDefault="00803CBF" w:rsidP="00360D1A">
      <w:pPr>
        <w:spacing w:line="360" w:lineRule="auto"/>
        <w:jc w:val="both"/>
        <w:rPr>
          <w:rFonts w:ascii="Arial" w:eastAsia="Times New Roman" w:hAnsi="Arial" w:cs="Arial"/>
          <w:kern w:val="0"/>
          <w:sz w:val="24"/>
          <w:szCs w:val="24"/>
          <w:lang w:eastAsia="en-GB"/>
          <w14:ligatures w14:val="none"/>
        </w:rPr>
      </w:pPr>
      <w:r w:rsidRPr="00360D1A">
        <w:rPr>
          <w:rFonts w:ascii="Arial" w:hAnsi="Arial" w:cs="Arial"/>
          <w:sz w:val="24"/>
          <w:szCs w:val="24"/>
        </w:rPr>
        <w:t>To conclude</w:t>
      </w:r>
      <w:r w:rsidRPr="00360D1A">
        <w:rPr>
          <w:rFonts w:ascii="Arial" w:hAnsi="Arial" w:cs="Arial"/>
          <w:b/>
          <w:bCs/>
          <w:sz w:val="24"/>
          <w:szCs w:val="24"/>
        </w:rPr>
        <w:t xml:space="preserve">, </w:t>
      </w:r>
      <w:r w:rsidRPr="00360D1A">
        <w:rPr>
          <w:rFonts w:ascii="Arial" w:eastAsia="Times New Roman" w:hAnsi="Arial" w:cs="Arial"/>
          <w:kern w:val="0"/>
          <w:sz w:val="24"/>
          <w:szCs w:val="24"/>
          <w:lang w:eastAsia="en-GB"/>
          <w14:ligatures w14:val="none"/>
        </w:rPr>
        <w:t>the financial examination of Urban Heights Hotel during the last three years shows a considerable deterioration in liquidity, solvency, profitability, and operational efficiency. The current ratio, quick ratio, and return on assets have all showed a concerning negative trend, indicating difficulties in paying short-term obligations and efficiently using assets. The hotel's rising debt-to-equity ratio and negative return on equity reflect its growing financial risk and incapacity to benefit from shareholder equity. The key causes for this drop include growing operational expenditures, notably energy prices, market competitiveness, post-Brexit labour difficulties, and the long-term consequences of the COVID-19 epidemic on foreign tourism. To address these difficulties, the hotel requires a thorough turnaround strategy that emphasises cost reduction, debt management, and market adaption. This plan should involve investing in energy-efficient technology, refinancing debt, and increasing marketing efforts to attract new consumers. Addressing these internal inefficiencies and external difficulties is critical for the hotel's financial recovery and long-term viability.</w:t>
      </w:r>
    </w:p>
    <w:p w14:paraId="26B91B3B" w14:textId="77777777" w:rsidR="00803CBF" w:rsidRPr="00360D1A" w:rsidRDefault="00803CBF" w:rsidP="00360D1A">
      <w:pPr>
        <w:spacing w:line="360" w:lineRule="auto"/>
        <w:jc w:val="both"/>
        <w:rPr>
          <w:rFonts w:ascii="Arial" w:eastAsia="Times New Roman" w:hAnsi="Arial" w:cs="Arial"/>
          <w:kern w:val="0"/>
          <w:sz w:val="24"/>
          <w:szCs w:val="24"/>
          <w:lang w:eastAsia="en-GB"/>
          <w14:ligatures w14:val="none"/>
        </w:rPr>
      </w:pPr>
    </w:p>
    <w:p w14:paraId="5A090E36" w14:textId="1E4BCA4C" w:rsidR="00803CBF" w:rsidRPr="00360D1A" w:rsidRDefault="00803CBF" w:rsidP="00360D1A">
      <w:pPr>
        <w:pStyle w:val="EU"/>
        <w:numPr>
          <w:ilvl w:val="0"/>
          <w:numId w:val="1"/>
        </w:numPr>
        <w:rPr>
          <w:rFonts w:eastAsia="Times New Roman"/>
          <w:color w:val="auto"/>
        </w:rPr>
      </w:pPr>
      <w:bookmarkStart w:id="4" w:name="_Toc168598917"/>
      <w:r w:rsidRPr="00360D1A">
        <w:rPr>
          <w:rFonts w:eastAsia="Times New Roman"/>
          <w:color w:val="auto"/>
        </w:rPr>
        <w:t>Recommendations</w:t>
      </w:r>
      <w:bookmarkEnd w:id="4"/>
      <w:r w:rsidRPr="00360D1A">
        <w:rPr>
          <w:rFonts w:eastAsia="Times New Roman"/>
          <w:color w:val="auto"/>
        </w:rPr>
        <w:t xml:space="preserve"> </w:t>
      </w:r>
    </w:p>
    <w:p w14:paraId="6656A24B" w14:textId="63643D99" w:rsidR="00F50C64" w:rsidRPr="00F50C64" w:rsidRDefault="00F50C64" w:rsidP="00360D1A">
      <w:pPr>
        <w:spacing w:after="0" w:line="360" w:lineRule="auto"/>
        <w:jc w:val="both"/>
        <w:rPr>
          <w:rFonts w:ascii="Arial" w:eastAsia="Times New Roman" w:hAnsi="Arial" w:cs="Arial"/>
          <w:kern w:val="0"/>
          <w:sz w:val="24"/>
          <w:szCs w:val="24"/>
          <w:lang w:eastAsia="en-GB"/>
          <w14:ligatures w14:val="none"/>
        </w:rPr>
      </w:pPr>
      <w:r w:rsidRPr="00F50C64">
        <w:rPr>
          <w:rFonts w:ascii="Arial" w:eastAsia="Times New Roman" w:hAnsi="Arial" w:cs="Arial"/>
          <w:kern w:val="0"/>
          <w:sz w:val="24"/>
          <w:szCs w:val="24"/>
          <w:lang w:eastAsia="en-GB"/>
          <w14:ligatures w14:val="none"/>
        </w:rPr>
        <w:t>To restore Urban Heights Hotel's financial health and image, a complete turnaround strategy must be adopted, with an emphasis on cost cutting, debt management, and market adaption. Cost reduction is critical, beginning with energy-efficiency measures. According to the ONS</w:t>
      </w:r>
      <w:r w:rsidR="00F60FBD" w:rsidRPr="00360D1A">
        <w:rPr>
          <w:rFonts w:ascii="Arial" w:eastAsia="Times New Roman" w:hAnsi="Arial" w:cs="Arial"/>
          <w:kern w:val="0"/>
          <w:sz w:val="24"/>
          <w:szCs w:val="24"/>
          <w:lang w:eastAsia="en-GB"/>
          <w14:ligatures w14:val="none"/>
        </w:rPr>
        <w:t>(2022)</w:t>
      </w:r>
      <w:r w:rsidRPr="00F50C64">
        <w:rPr>
          <w:rFonts w:ascii="Arial" w:eastAsia="Times New Roman" w:hAnsi="Arial" w:cs="Arial"/>
          <w:kern w:val="0"/>
          <w:sz w:val="24"/>
          <w:szCs w:val="24"/>
          <w:lang w:eastAsia="en-GB"/>
          <w14:ligatures w14:val="none"/>
        </w:rPr>
        <w:t xml:space="preserve">, energy prices have become a major worry for the hospitality industry, forcing many firms to contemplate boosting rates to control expenses. Urban Heights Hotel should invest in energy-efficient technology like LED lighting, smart thermostats, and solar panels to minimise energy use and expenses, thus increasing the hotel's bottom line. Implementing a strong energy management system can help to optimise energy consumption and savings. Furthermore, the hotel could </w:t>
      </w:r>
      <w:proofErr w:type="gramStart"/>
      <w:r w:rsidRPr="00F50C64">
        <w:rPr>
          <w:rFonts w:ascii="Arial" w:eastAsia="Times New Roman" w:hAnsi="Arial" w:cs="Arial"/>
          <w:kern w:val="0"/>
          <w:sz w:val="24"/>
          <w:szCs w:val="24"/>
          <w:lang w:eastAsia="en-GB"/>
          <w14:ligatures w14:val="none"/>
        </w:rPr>
        <w:t>look into</w:t>
      </w:r>
      <w:proofErr w:type="gramEnd"/>
      <w:r w:rsidRPr="00F50C64">
        <w:rPr>
          <w:rFonts w:ascii="Arial" w:eastAsia="Times New Roman" w:hAnsi="Arial" w:cs="Arial"/>
          <w:kern w:val="0"/>
          <w:sz w:val="24"/>
          <w:szCs w:val="24"/>
          <w:lang w:eastAsia="en-GB"/>
          <w14:ligatures w14:val="none"/>
        </w:rPr>
        <w:t xml:space="preserve"> government subsidies for energy-efficient modifications to help cover early investment costs </w:t>
      </w:r>
      <w:r w:rsidR="00F60FBD" w:rsidRPr="00360D1A">
        <w:rPr>
          <w:rFonts w:ascii="Arial" w:hAnsi="Arial" w:cs="Arial"/>
          <w:sz w:val="24"/>
          <w:szCs w:val="24"/>
          <w:shd w:val="clear" w:color="auto" w:fill="FFFFFF"/>
        </w:rPr>
        <w:t>(Zhang, Joglekar and Verma, 2010)</w:t>
      </w:r>
      <w:r w:rsidR="00F60FBD" w:rsidRPr="00360D1A">
        <w:rPr>
          <w:rFonts w:ascii="Arial" w:eastAsia="Times New Roman" w:hAnsi="Arial" w:cs="Arial"/>
          <w:kern w:val="0"/>
          <w:sz w:val="24"/>
          <w:szCs w:val="24"/>
          <w:lang w:eastAsia="en-GB"/>
          <w14:ligatures w14:val="none"/>
        </w:rPr>
        <w:t xml:space="preserve">. </w:t>
      </w:r>
      <w:r w:rsidRPr="00F50C64">
        <w:rPr>
          <w:rFonts w:ascii="Arial" w:eastAsia="Times New Roman" w:hAnsi="Arial" w:cs="Arial"/>
          <w:kern w:val="0"/>
          <w:sz w:val="24"/>
          <w:szCs w:val="24"/>
          <w:lang w:eastAsia="en-GB"/>
          <w14:ligatures w14:val="none"/>
        </w:rPr>
        <w:t xml:space="preserve">Labour optimisation is another important part of cost control. The ONS has identified substantial labour shortages in the hospitality industry, which are compounded by a drop in EU workers following Brexit. To address labour shortages and escalating labour expenses, the Urban Heights Hotel must implement automated solutions for everyday chores such as check-in/check-out and room service. These technologies can improve operational efficiency while reducing reliance on physical labour. Furthermore, attractive compensation, </w:t>
      </w:r>
      <w:proofErr w:type="gramStart"/>
      <w:r w:rsidRPr="00F50C64">
        <w:rPr>
          <w:rFonts w:ascii="Arial" w:eastAsia="Times New Roman" w:hAnsi="Arial" w:cs="Arial"/>
          <w:kern w:val="0"/>
          <w:sz w:val="24"/>
          <w:szCs w:val="24"/>
          <w:lang w:eastAsia="en-GB"/>
          <w14:ligatures w14:val="none"/>
        </w:rPr>
        <w:t>perks</w:t>
      </w:r>
      <w:proofErr w:type="gramEnd"/>
      <w:r w:rsidRPr="00F50C64">
        <w:rPr>
          <w:rFonts w:ascii="Arial" w:eastAsia="Times New Roman" w:hAnsi="Arial" w:cs="Arial"/>
          <w:kern w:val="0"/>
          <w:sz w:val="24"/>
          <w:szCs w:val="24"/>
          <w:lang w:eastAsia="en-GB"/>
          <w14:ligatures w14:val="none"/>
        </w:rPr>
        <w:t>, and professional development opportunities can help recruit and keep talented employees, resulting in constant service quality and customer satisfaction (</w:t>
      </w:r>
      <w:r w:rsidR="00F60FBD" w:rsidRPr="00360D1A">
        <w:rPr>
          <w:rFonts w:ascii="Arial" w:eastAsia="Times New Roman" w:hAnsi="Arial" w:cs="Arial"/>
          <w:kern w:val="0"/>
          <w:sz w:val="24"/>
          <w:szCs w:val="24"/>
          <w:lang w:eastAsia="en-GB"/>
          <w14:ligatures w14:val="none"/>
        </w:rPr>
        <w:t>CIPD, 2021</w:t>
      </w:r>
      <w:r w:rsidRPr="00F50C64">
        <w:rPr>
          <w:rFonts w:ascii="Arial" w:eastAsia="Times New Roman" w:hAnsi="Arial" w:cs="Arial"/>
          <w:kern w:val="0"/>
          <w:sz w:val="24"/>
          <w:szCs w:val="24"/>
          <w:lang w:eastAsia="en-GB"/>
          <w14:ligatures w14:val="none"/>
        </w:rPr>
        <w:t>). To promote staff retention, the hotel can seek flexible work arrangements and better working conditions.</w:t>
      </w:r>
      <w:r w:rsidRPr="00360D1A">
        <w:rPr>
          <w:rFonts w:ascii="Arial" w:eastAsia="Times New Roman" w:hAnsi="Arial" w:cs="Arial"/>
          <w:kern w:val="0"/>
          <w:sz w:val="24"/>
          <w:szCs w:val="24"/>
          <w:lang w:eastAsia="en-GB"/>
          <w14:ligatures w14:val="none"/>
        </w:rPr>
        <w:t xml:space="preserve"> </w:t>
      </w:r>
      <w:r w:rsidRPr="00F50C64">
        <w:rPr>
          <w:rFonts w:ascii="Arial" w:eastAsia="Times New Roman" w:hAnsi="Arial" w:cs="Arial"/>
          <w:kern w:val="0"/>
          <w:sz w:val="24"/>
          <w:szCs w:val="24"/>
          <w:lang w:eastAsia="en-GB"/>
          <w14:ligatures w14:val="none"/>
        </w:rPr>
        <w:t>Supply chain management is critical in an inflationary climate when the costs of commodities and services are growing. McKinsey suggests forming strategic alliances with suppliers to negotiate better terms and pricing, as well as diversifying sources to minimise interruptions</w:t>
      </w:r>
      <w:r w:rsidR="00F60FBD" w:rsidRPr="00360D1A">
        <w:rPr>
          <w:rFonts w:ascii="Arial" w:eastAsia="Times New Roman" w:hAnsi="Arial" w:cs="Arial"/>
          <w:kern w:val="0"/>
          <w:sz w:val="24"/>
          <w:szCs w:val="24"/>
          <w:lang w:eastAsia="en-GB"/>
          <w14:ligatures w14:val="none"/>
        </w:rPr>
        <w:t xml:space="preserve"> (McKinsey, 2023).</w:t>
      </w:r>
      <w:r w:rsidRPr="00F50C64">
        <w:rPr>
          <w:rFonts w:ascii="Arial" w:eastAsia="Times New Roman" w:hAnsi="Arial" w:cs="Arial"/>
          <w:kern w:val="0"/>
          <w:sz w:val="24"/>
          <w:szCs w:val="24"/>
          <w:lang w:eastAsia="en-GB"/>
          <w14:ligatures w14:val="none"/>
        </w:rPr>
        <w:t xml:space="preserve"> Urban Heights Hotel should </w:t>
      </w:r>
      <w:proofErr w:type="gramStart"/>
      <w:r w:rsidRPr="00F50C64">
        <w:rPr>
          <w:rFonts w:ascii="Arial" w:eastAsia="Times New Roman" w:hAnsi="Arial" w:cs="Arial"/>
          <w:kern w:val="0"/>
          <w:sz w:val="24"/>
          <w:szCs w:val="24"/>
          <w:lang w:eastAsia="en-GB"/>
          <w14:ligatures w14:val="none"/>
        </w:rPr>
        <w:t>enter into</w:t>
      </w:r>
      <w:proofErr w:type="gramEnd"/>
      <w:r w:rsidRPr="00F50C64">
        <w:rPr>
          <w:rFonts w:ascii="Arial" w:eastAsia="Times New Roman" w:hAnsi="Arial" w:cs="Arial"/>
          <w:kern w:val="0"/>
          <w:sz w:val="24"/>
          <w:szCs w:val="24"/>
          <w:lang w:eastAsia="en-GB"/>
          <w14:ligatures w14:val="none"/>
        </w:rPr>
        <w:t xml:space="preserve"> long-term contracts with key suppliers to lock in favourable costs and assure a consistent supply of necessary goods and services. Furthermore, the hotel may use inventory management strategies to optimise stock levels and eliminate waste, hence lowering expenses (McKinsey, 2023).</w:t>
      </w:r>
      <w:r w:rsidRPr="00360D1A">
        <w:rPr>
          <w:rFonts w:ascii="Arial" w:eastAsia="Times New Roman" w:hAnsi="Arial" w:cs="Arial"/>
          <w:kern w:val="0"/>
          <w:sz w:val="24"/>
          <w:szCs w:val="24"/>
          <w:lang w:eastAsia="en-GB"/>
          <w14:ligatures w14:val="none"/>
        </w:rPr>
        <w:t xml:space="preserve"> </w:t>
      </w:r>
      <w:r w:rsidRPr="00F50C64">
        <w:rPr>
          <w:rFonts w:ascii="Arial" w:eastAsia="Times New Roman" w:hAnsi="Arial" w:cs="Arial"/>
          <w:kern w:val="0"/>
          <w:sz w:val="24"/>
          <w:szCs w:val="24"/>
          <w:lang w:eastAsia="en-GB"/>
          <w14:ligatures w14:val="none"/>
        </w:rPr>
        <w:t>Debt management is critical to increasing the hotel's financial stability. With an increasing debt-to-equity ratio, Urban Heights Hotel must restructure its debt to decrease financial risk. This might include refinancing current debt at a reduced interest rate or negotiating longer payment arrangements with creditors</w:t>
      </w:r>
      <w:r w:rsidR="00F60FBD" w:rsidRPr="00360D1A">
        <w:rPr>
          <w:rFonts w:ascii="Arial" w:eastAsia="Times New Roman" w:hAnsi="Arial" w:cs="Arial"/>
          <w:kern w:val="0"/>
          <w:sz w:val="24"/>
          <w:szCs w:val="24"/>
          <w:lang w:eastAsia="en-GB"/>
          <w14:ligatures w14:val="none"/>
        </w:rPr>
        <w:t xml:space="preserve"> (Weetman, 2019).</w:t>
      </w:r>
      <w:r w:rsidRPr="00F50C64">
        <w:rPr>
          <w:rFonts w:ascii="Arial" w:eastAsia="Times New Roman" w:hAnsi="Arial" w:cs="Arial"/>
          <w:kern w:val="0"/>
          <w:sz w:val="24"/>
          <w:szCs w:val="24"/>
          <w:lang w:eastAsia="en-GB"/>
          <w14:ligatures w14:val="none"/>
        </w:rPr>
        <w:t xml:space="preserve"> By increasing cash flow and lowering debt payment costs, the hotel may devote more resources to operational improvements and expansion projects. Working with a financial expert can help you find the best debt restructuring and financial optimisation methods.</w:t>
      </w:r>
      <w:r w:rsidRPr="00360D1A">
        <w:rPr>
          <w:rFonts w:ascii="Arial" w:eastAsia="Times New Roman" w:hAnsi="Arial" w:cs="Arial"/>
          <w:kern w:val="0"/>
          <w:sz w:val="24"/>
          <w:szCs w:val="24"/>
          <w:lang w:eastAsia="en-GB"/>
          <w14:ligatures w14:val="none"/>
        </w:rPr>
        <w:t xml:space="preserve"> </w:t>
      </w:r>
      <w:r w:rsidRPr="00F50C64">
        <w:rPr>
          <w:rFonts w:ascii="Arial" w:eastAsia="Times New Roman" w:hAnsi="Arial" w:cs="Arial"/>
          <w:kern w:val="0"/>
          <w:sz w:val="24"/>
          <w:szCs w:val="24"/>
          <w:lang w:eastAsia="en-GB"/>
          <w14:ligatures w14:val="none"/>
        </w:rPr>
        <w:t>Market adaptability is critical for being competitive in the changing hospitality industry</w:t>
      </w:r>
      <w:r w:rsidR="00F60FBD" w:rsidRPr="00360D1A">
        <w:rPr>
          <w:rFonts w:ascii="Arial" w:eastAsia="Times New Roman" w:hAnsi="Arial" w:cs="Arial"/>
          <w:kern w:val="0"/>
          <w:sz w:val="24"/>
          <w:szCs w:val="24"/>
          <w:lang w:eastAsia="en-GB"/>
          <w14:ligatures w14:val="none"/>
        </w:rPr>
        <w:t xml:space="preserve"> (Seal, 2019). </w:t>
      </w:r>
      <w:r w:rsidRPr="00F50C64">
        <w:rPr>
          <w:rFonts w:ascii="Arial" w:eastAsia="Times New Roman" w:hAnsi="Arial" w:cs="Arial"/>
          <w:kern w:val="0"/>
          <w:sz w:val="24"/>
          <w:szCs w:val="24"/>
          <w:lang w:eastAsia="en-GB"/>
          <w14:ligatures w14:val="none"/>
        </w:rPr>
        <w:t>The COVID-19 epidemic has moved customer tastes to more sustainable and environmentally acceptable housing. Urban Heights Hotel could improve its marketing efforts to attract environmentally concerned travellers by emphasising its sustainability initiatives and certifications. Offering innovative, environmentally friendly activities may set the hotel apart from competitors and generate a devoted client base. Furthermore, implementing digital marketing methods such as social media campaigns and targeted online advertising may help the hotel gain awareness and reach a larger audience (McKinsey, 2023).</w:t>
      </w:r>
      <w:r w:rsidRPr="00360D1A">
        <w:rPr>
          <w:rFonts w:ascii="Arial" w:eastAsia="Times New Roman" w:hAnsi="Arial" w:cs="Arial"/>
          <w:kern w:val="0"/>
          <w:sz w:val="24"/>
          <w:szCs w:val="24"/>
          <w:lang w:eastAsia="en-GB"/>
          <w14:ligatures w14:val="none"/>
        </w:rPr>
        <w:t xml:space="preserve"> </w:t>
      </w:r>
      <w:r w:rsidR="00F60FBD" w:rsidRPr="00360D1A">
        <w:rPr>
          <w:rFonts w:ascii="Arial" w:eastAsia="Times New Roman" w:hAnsi="Arial" w:cs="Arial"/>
          <w:kern w:val="0"/>
          <w:sz w:val="24"/>
          <w:szCs w:val="24"/>
          <w:lang w:eastAsia="en-GB"/>
          <w14:ligatures w14:val="none"/>
        </w:rPr>
        <w:t>Also</w:t>
      </w:r>
      <w:r w:rsidRPr="00F50C64">
        <w:rPr>
          <w:rFonts w:ascii="Arial" w:eastAsia="Times New Roman" w:hAnsi="Arial" w:cs="Arial"/>
          <w:kern w:val="0"/>
          <w:sz w:val="24"/>
          <w:szCs w:val="24"/>
          <w:lang w:eastAsia="en-GB"/>
          <w14:ligatures w14:val="none"/>
        </w:rPr>
        <w:t>, enhancing the client experience is critical to repairing the hotel's image. Implementing a strong customer feedback system may assist discover areas for development and increase service quality. Personalised services and facilities can increase client happiness and loyalty</w:t>
      </w:r>
      <w:r w:rsidR="00360D1A" w:rsidRPr="00360D1A">
        <w:rPr>
          <w:rFonts w:ascii="Arial" w:eastAsia="Times New Roman" w:hAnsi="Arial" w:cs="Arial"/>
          <w:kern w:val="0"/>
          <w:sz w:val="24"/>
          <w:szCs w:val="24"/>
          <w:lang w:eastAsia="en-GB"/>
          <w14:ligatures w14:val="none"/>
        </w:rPr>
        <w:t xml:space="preserve"> (Walker, 2021).</w:t>
      </w:r>
      <w:r w:rsidRPr="00F50C64">
        <w:rPr>
          <w:rFonts w:ascii="Arial" w:eastAsia="Times New Roman" w:hAnsi="Arial" w:cs="Arial"/>
          <w:kern w:val="0"/>
          <w:sz w:val="24"/>
          <w:szCs w:val="24"/>
          <w:lang w:eastAsia="en-GB"/>
          <w14:ligatures w14:val="none"/>
        </w:rPr>
        <w:t xml:space="preserve"> Investing in staff training programmes may guarantee that personnel give great service, therefore enhancing the hotel's image.</w:t>
      </w:r>
    </w:p>
    <w:p w14:paraId="35ACA431" w14:textId="29795900" w:rsidR="006822E1" w:rsidRPr="00F50C64" w:rsidRDefault="006822E1" w:rsidP="00F50C64">
      <w:pPr>
        <w:spacing w:line="360" w:lineRule="auto"/>
        <w:jc w:val="both"/>
        <w:rPr>
          <w:rFonts w:ascii="Arial" w:hAnsi="Arial" w:cs="Arial"/>
          <w:b/>
          <w:bCs/>
          <w:sz w:val="24"/>
          <w:szCs w:val="24"/>
        </w:rPr>
      </w:pPr>
    </w:p>
    <w:p w14:paraId="19CC1969" w14:textId="77777777" w:rsidR="00E338B8" w:rsidRDefault="00E338B8" w:rsidP="006822E1">
      <w:pPr>
        <w:spacing w:line="360" w:lineRule="auto"/>
        <w:jc w:val="both"/>
        <w:rPr>
          <w:rFonts w:ascii="Arial" w:hAnsi="Arial" w:cs="Arial"/>
          <w:b/>
          <w:bCs/>
          <w:sz w:val="24"/>
          <w:szCs w:val="24"/>
        </w:rPr>
      </w:pPr>
    </w:p>
    <w:p w14:paraId="46FA7327" w14:textId="77777777" w:rsidR="00E338B8" w:rsidRDefault="00E338B8" w:rsidP="006822E1">
      <w:pPr>
        <w:spacing w:line="360" w:lineRule="auto"/>
        <w:jc w:val="both"/>
        <w:rPr>
          <w:rFonts w:ascii="Arial" w:hAnsi="Arial" w:cs="Arial"/>
          <w:b/>
          <w:bCs/>
          <w:sz w:val="24"/>
          <w:szCs w:val="24"/>
        </w:rPr>
      </w:pPr>
    </w:p>
    <w:p w14:paraId="26E8C6BA" w14:textId="77777777" w:rsidR="00E338B8" w:rsidRDefault="00E338B8" w:rsidP="006822E1">
      <w:pPr>
        <w:spacing w:line="360" w:lineRule="auto"/>
        <w:jc w:val="both"/>
        <w:rPr>
          <w:rFonts w:ascii="Arial" w:hAnsi="Arial" w:cs="Arial"/>
          <w:b/>
          <w:bCs/>
          <w:sz w:val="24"/>
          <w:szCs w:val="24"/>
        </w:rPr>
      </w:pPr>
    </w:p>
    <w:p w14:paraId="2235DC83" w14:textId="77777777" w:rsidR="00E338B8" w:rsidRDefault="00E338B8" w:rsidP="006822E1">
      <w:pPr>
        <w:spacing w:line="360" w:lineRule="auto"/>
        <w:jc w:val="both"/>
        <w:rPr>
          <w:rFonts w:ascii="Arial" w:hAnsi="Arial" w:cs="Arial"/>
          <w:b/>
          <w:bCs/>
          <w:sz w:val="24"/>
          <w:szCs w:val="24"/>
        </w:rPr>
      </w:pPr>
    </w:p>
    <w:p w14:paraId="09CB10B1" w14:textId="77777777" w:rsidR="00E338B8" w:rsidRDefault="00E338B8" w:rsidP="006822E1">
      <w:pPr>
        <w:spacing w:line="360" w:lineRule="auto"/>
        <w:jc w:val="both"/>
        <w:rPr>
          <w:rFonts w:ascii="Arial" w:hAnsi="Arial" w:cs="Arial"/>
          <w:b/>
          <w:bCs/>
          <w:sz w:val="24"/>
          <w:szCs w:val="24"/>
        </w:rPr>
      </w:pPr>
    </w:p>
    <w:p w14:paraId="55F1EB08" w14:textId="77777777" w:rsidR="00E338B8" w:rsidRDefault="00E338B8" w:rsidP="006822E1">
      <w:pPr>
        <w:spacing w:line="360" w:lineRule="auto"/>
        <w:jc w:val="both"/>
        <w:rPr>
          <w:rFonts w:ascii="Arial" w:hAnsi="Arial" w:cs="Arial"/>
          <w:b/>
          <w:bCs/>
          <w:sz w:val="24"/>
          <w:szCs w:val="24"/>
        </w:rPr>
      </w:pPr>
    </w:p>
    <w:p w14:paraId="738CE13D" w14:textId="77777777" w:rsidR="00E338B8" w:rsidRDefault="00E338B8" w:rsidP="006822E1">
      <w:pPr>
        <w:spacing w:line="360" w:lineRule="auto"/>
        <w:jc w:val="both"/>
        <w:rPr>
          <w:rFonts w:ascii="Arial" w:hAnsi="Arial" w:cs="Arial"/>
          <w:b/>
          <w:bCs/>
          <w:sz w:val="24"/>
          <w:szCs w:val="24"/>
        </w:rPr>
      </w:pPr>
    </w:p>
    <w:p w14:paraId="25FE81D9" w14:textId="77777777" w:rsidR="009809FD" w:rsidRPr="00360D1A" w:rsidRDefault="009809FD" w:rsidP="00360D1A">
      <w:pPr>
        <w:spacing w:line="360" w:lineRule="auto"/>
        <w:jc w:val="both"/>
        <w:rPr>
          <w:rFonts w:ascii="Arial" w:hAnsi="Arial" w:cs="Arial"/>
          <w:b/>
          <w:bCs/>
          <w:sz w:val="24"/>
          <w:szCs w:val="24"/>
        </w:rPr>
      </w:pPr>
    </w:p>
    <w:p w14:paraId="3CFFDEB9" w14:textId="23E9C408" w:rsidR="00E338B8" w:rsidRPr="00360D1A" w:rsidRDefault="00C95FE3" w:rsidP="00360D1A">
      <w:pPr>
        <w:pStyle w:val="EU"/>
        <w:numPr>
          <w:ilvl w:val="0"/>
          <w:numId w:val="1"/>
        </w:numPr>
        <w:rPr>
          <w:color w:val="auto"/>
        </w:rPr>
      </w:pPr>
      <w:bookmarkStart w:id="5" w:name="_Toc168598918"/>
      <w:r w:rsidRPr="00360D1A">
        <w:rPr>
          <w:color w:val="auto"/>
        </w:rPr>
        <w:t>References</w:t>
      </w:r>
      <w:bookmarkEnd w:id="5"/>
    </w:p>
    <w:p w14:paraId="3F1E9BC2" w14:textId="0096C9B3" w:rsidR="00C95FE3" w:rsidRPr="00360D1A" w:rsidRDefault="009809FD" w:rsidP="00360D1A">
      <w:pPr>
        <w:spacing w:line="360" w:lineRule="auto"/>
        <w:jc w:val="both"/>
        <w:rPr>
          <w:rFonts w:ascii="Arial" w:hAnsi="Arial" w:cs="Arial"/>
          <w:sz w:val="24"/>
          <w:szCs w:val="24"/>
        </w:rPr>
      </w:pPr>
      <w:proofErr w:type="spellStart"/>
      <w:r w:rsidRPr="00360D1A">
        <w:rPr>
          <w:rFonts w:ascii="Arial" w:hAnsi="Arial" w:cs="Arial"/>
          <w:sz w:val="24"/>
          <w:szCs w:val="24"/>
        </w:rPr>
        <w:t>Atrill</w:t>
      </w:r>
      <w:proofErr w:type="spellEnd"/>
      <w:r w:rsidRPr="00360D1A">
        <w:rPr>
          <w:rFonts w:ascii="Arial" w:hAnsi="Arial" w:cs="Arial"/>
          <w:sz w:val="24"/>
          <w:szCs w:val="24"/>
        </w:rPr>
        <w:t xml:space="preserve"> P, McLaney E (2021) Management Accounting for Decision Makers, FT Prentice Hall</w:t>
      </w:r>
    </w:p>
    <w:p w14:paraId="3515B28C" w14:textId="0E066F79" w:rsidR="009809FD" w:rsidRPr="00360D1A" w:rsidRDefault="009809FD" w:rsidP="00360D1A">
      <w:pPr>
        <w:spacing w:line="360" w:lineRule="auto"/>
        <w:jc w:val="both"/>
        <w:rPr>
          <w:rFonts w:ascii="Arial" w:hAnsi="Arial" w:cs="Arial"/>
          <w:sz w:val="24"/>
          <w:szCs w:val="24"/>
        </w:rPr>
      </w:pPr>
      <w:r w:rsidRPr="00360D1A">
        <w:rPr>
          <w:rFonts w:ascii="Arial" w:hAnsi="Arial" w:cs="Arial"/>
          <w:sz w:val="24"/>
          <w:szCs w:val="24"/>
        </w:rPr>
        <w:t>Bhimani A, (Ed) (2006) Contemporary Issues in Management Accounting , Oxford</w:t>
      </w:r>
    </w:p>
    <w:p w14:paraId="0DEAA801" w14:textId="20752398" w:rsidR="00F60FBD"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CIPD (2021). ADDRESSING SKILLS AND LABOUR SHORTAGES POST-BREXIT Report. [online] Available at: </w:t>
      </w:r>
      <w:hyperlink r:id="rId8" w:history="1">
        <w:r w:rsidRPr="00360D1A">
          <w:rPr>
            <w:rStyle w:val="Hyperlink"/>
            <w:rFonts w:ascii="Arial" w:hAnsi="Arial" w:cs="Arial"/>
            <w:color w:val="auto"/>
          </w:rPr>
          <w:t>https://www.cipd.org/globalassets/media/knowledge/knowledge-hub/reports/addressing-skills-labour-shortages-post-brexit_tcm18-102313.pdf</w:t>
        </w:r>
      </w:hyperlink>
      <w:r w:rsidRPr="00360D1A">
        <w:rPr>
          <w:rFonts w:ascii="Arial" w:hAnsi="Arial" w:cs="Arial"/>
        </w:rPr>
        <w:t>.</w:t>
      </w:r>
    </w:p>
    <w:p w14:paraId="020B3703"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7769CFDC" w14:textId="78CDEAC0" w:rsidR="007877C7" w:rsidRPr="00360D1A" w:rsidRDefault="007877C7" w:rsidP="00360D1A">
      <w:pPr>
        <w:spacing w:line="360" w:lineRule="auto"/>
        <w:jc w:val="both"/>
        <w:rPr>
          <w:rFonts w:ascii="Arial" w:hAnsi="Arial" w:cs="Arial"/>
          <w:sz w:val="24"/>
          <w:szCs w:val="24"/>
        </w:rPr>
      </w:pPr>
      <w:r w:rsidRPr="00360D1A">
        <w:rPr>
          <w:rFonts w:ascii="Arial" w:hAnsi="Arial" w:cs="Arial"/>
          <w:sz w:val="24"/>
          <w:szCs w:val="24"/>
        </w:rPr>
        <w:t>Drury C (2021) (11th Ed) Management and Cost Accounting, London, Prentice Hall</w:t>
      </w:r>
    </w:p>
    <w:p w14:paraId="2C6D6201" w14:textId="15ECC51A" w:rsidR="009809FD" w:rsidRPr="00360D1A" w:rsidRDefault="009809FD" w:rsidP="00360D1A">
      <w:pPr>
        <w:spacing w:line="360" w:lineRule="auto"/>
        <w:jc w:val="both"/>
        <w:rPr>
          <w:rFonts w:ascii="Arial" w:hAnsi="Arial" w:cs="Arial"/>
          <w:sz w:val="24"/>
          <w:szCs w:val="24"/>
        </w:rPr>
      </w:pPr>
      <w:proofErr w:type="spellStart"/>
      <w:r w:rsidRPr="00360D1A">
        <w:rPr>
          <w:rFonts w:ascii="Arial" w:hAnsi="Arial" w:cs="Arial"/>
          <w:sz w:val="24"/>
          <w:szCs w:val="24"/>
        </w:rPr>
        <w:t>Guilding,C</w:t>
      </w:r>
      <w:proofErr w:type="spellEnd"/>
      <w:r w:rsidRPr="00360D1A">
        <w:rPr>
          <w:rFonts w:ascii="Arial" w:hAnsi="Arial" w:cs="Arial"/>
          <w:sz w:val="24"/>
          <w:szCs w:val="24"/>
        </w:rPr>
        <w:t>.(2014) (3rd Edition) Accounting Essentials for Hospitality Managers, London, Routledge</w:t>
      </w:r>
    </w:p>
    <w:p w14:paraId="25E6F5BB" w14:textId="7AC21474" w:rsidR="009809FD" w:rsidRPr="00360D1A" w:rsidRDefault="009809FD" w:rsidP="00360D1A">
      <w:pPr>
        <w:spacing w:line="360" w:lineRule="auto"/>
        <w:jc w:val="both"/>
        <w:rPr>
          <w:rFonts w:ascii="Arial" w:hAnsi="Arial" w:cs="Arial"/>
          <w:sz w:val="24"/>
          <w:szCs w:val="24"/>
        </w:rPr>
      </w:pPr>
      <w:proofErr w:type="spellStart"/>
      <w:r w:rsidRPr="00360D1A">
        <w:rPr>
          <w:rFonts w:ascii="Arial" w:hAnsi="Arial" w:cs="Arial"/>
          <w:sz w:val="24"/>
          <w:szCs w:val="24"/>
        </w:rPr>
        <w:t>Jagels,M</w:t>
      </w:r>
      <w:proofErr w:type="spellEnd"/>
      <w:r w:rsidRPr="00360D1A">
        <w:rPr>
          <w:rFonts w:ascii="Arial" w:hAnsi="Arial" w:cs="Arial"/>
          <w:sz w:val="24"/>
          <w:szCs w:val="24"/>
        </w:rPr>
        <w:t>. (2007) Hospitality Management Accounting, London, Wiley</w:t>
      </w:r>
    </w:p>
    <w:p w14:paraId="4EB39296" w14:textId="6D8D6AAC" w:rsidR="00F60FBD"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McKinsey</w:t>
      </w:r>
      <w:r w:rsidRPr="00360D1A">
        <w:rPr>
          <w:rFonts w:ascii="Arial" w:hAnsi="Arial" w:cs="Arial"/>
        </w:rPr>
        <w:t xml:space="preserve"> &amp; Company (2022). What Is inflation: the Causes and Impact. [online] </w:t>
      </w:r>
      <w:proofErr w:type="spellStart"/>
      <w:r w:rsidRPr="00360D1A">
        <w:rPr>
          <w:rFonts w:ascii="Arial" w:hAnsi="Arial" w:cs="Arial"/>
        </w:rPr>
        <w:t>Mckinsey</w:t>
      </w:r>
      <w:proofErr w:type="spellEnd"/>
      <w:r w:rsidRPr="00360D1A">
        <w:rPr>
          <w:rFonts w:ascii="Arial" w:hAnsi="Arial" w:cs="Arial"/>
        </w:rPr>
        <w:t xml:space="preserve"> &amp; Company. Available at: </w:t>
      </w:r>
      <w:hyperlink r:id="rId9" w:history="1">
        <w:r w:rsidRPr="00360D1A">
          <w:rPr>
            <w:rStyle w:val="Hyperlink"/>
            <w:rFonts w:ascii="Arial" w:hAnsi="Arial" w:cs="Arial"/>
            <w:color w:val="auto"/>
          </w:rPr>
          <w:t>https://www.mckinsey.com/featured-insights/mckinsey-explainers/what-is-inflation</w:t>
        </w:r>
      </w:hyperlink>
      <w:r w:rsidRPr="00360D1A">
        <w:rPr>
          <w:rFonts w:ascii="Arial" w:hAnsi="Arial" w:cs="Arial"/>
        </w:rPr>
        <w:t>.</w:t>
      </w:r>
    </w:p>
    <w:p w14:paraId="7FD34D98"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6BF46C0A" w14:textId="4CDBE3FA" w:rsidR="00F60FBD"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McKinsey (2023). </w:t>
      </w:r>
      <w:r w:rsidRPr="00360D1A">
        <w:rPr>
          <w:rFonts w:ascii="Arial" w:hAnsi="Arial" w:cs="Arial"/>
        </w:rPr>
        <w:t xml:space="preserve">Hotel staffing shortages | McKinsey. [online] Available at: </w:t>
      </w:r>
      <w:hyperlink r:id="rId10" w:history="1">
        <w:r w:rsidRPr="00360D1A">
          <w:rPr>
            <w:rStyle w:val="Hyperlink"/>
            <w:rFonts w:ascii="Arial" w:hAnsi="Arial" w:cs="Arial"/>
            <w:color w:val="auto"/>
          </w:rPr>
          <w:t>https://www.mckinsey.com/industries/travel-logistics-and-infrastructure/our-insights/three-innovations-to-solve-hotel-staffing-shortages</w:t>
        </w:r>
      </w:hyperlink>
      <w:r w:rsidRPr="00360D1A">
        <w:rPr>
          <w:rFonts w:ascii="Arial" w:hAnsi="Arial" w:cs="Arial"/>
        </w:rPr>
        <w:t>.</w:t>
      </w:r>
    </w:p>
    <w:p w14:paraId="631CBAE5"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651AB728" w14:textId="26DD1AC5" w:rsidR="009809FD" w:rsidRPr="00360D1A" w:rsidRDefault="009809FD"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McLaney, E. and </w:t>
      </w:r>
      <w:proofErr w:type="spellStart"/>
      <w:r w:rsidRPr="00360D1A">
        <w:rPr>
          <w:rFonts w:ascii="Arial" w:hAnsi="Arial" w:cs="Arial"/>
        </w:rPr>
        <w:t>Atrill</w:t>
      </w:r>
      <w:proofErr w:type="spellEnd"/>
      <w:r w:rsidRPr="00360D1A">
        <w:rPr>
          <w:rFonts w:ascii="Arial" w:hAnsi="Arial" w:cs="Arial"/>
        </w:rPr>
        <w:t xml:space="preserve">, P. (2020). Accounting and finance : an introduction. [online] thuvienso.hoasen.edu.vn. Pearson. Available at: </w:t>
      </w:r>
      <w:hyperlink r:id="rId11" w:history="1">
        <w:r w:rsidRPr="00360D1A">
          <w:rPr>
            <w:rStyle w:val="Hyperlink"/>
            <w:rFonts w:ascii="Arial" w:hAnsi="Arial" w:cs="Arial"/>
            <w:color w:val="auto"/>
          </w:rPr>
          <w:t>https://thuvienso.hoasen.edu.vn/handle/123456789/12316</w:t>
        </w:r>
      </w:hyperlink>
      <w:r w:rsidRPr="00360D1A">
        <w:rPr>
          <w:rFonts w:ascii="Arial" w:hAnsi="Arial" w:cs="Arial"/>
        </w:rPr>
        <w:t>.</w:t>
      </w:r>
    </w:p>
    <w:p w14:paraId="213A4C72" w14:textId="77777777" w:rsidR="007877C7" w:rsidRPr="00360D1A" w:rsidRDefault="007877C7" w:rsidP="00360D1A">
      <w:pPr>
        <w:pStyle w:val="NormalWeb"/>
        <w:spacing w:before="0" w:beforeAutospacing="0" w:after="0" w:afterAutospacing="0" w:line="360" w:lineRule="auto"/>
        <w:jc w:val="both"/>
        <w:rPr>
          <w:rFonts w:ascii="Arial" w:hAnsi="Arial" w:cs="Arial"/>
        </w:rPr>
      </w:pPr>
    </w:p>
    <w:p w14:paraId="356172B3" w14:textId="740DDB04" w:rsidR="007877C7" w:rsidRPr="00360D1A" w:rsidRDefault="007877C7"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Mott, G. (2012). Accounting for Non-Accountants: A Manual for Managers and Students. [online] Google Books. Kogan Page Publishers. Available at: </w:t>
      </w:r>
      <w:hyperlink r:id="rId12" w:history="1">
        <w:r w:rsidRPr="00360D1A">
          <w:rPr>
            <w:rStyle w:val="Hyperlink"/>
            <w:rFonts w:ascii="Arial" w:hAnsi="Arial" w:cs="Arial"/>
            <w:color w:val="auto"/>
          </w:rPr>
          <w:t>https://books.google.co.uk/books?id=ybeTLfm26tMC&amp;newbks=0&amp;printsec=frontcover&amp;pg=PP4&amp;hl=en&amp;source=newbks_fb&amp;redir_esc=y#v=onepage&amp;q&amp;f=false</w:t>
        </w:r>
      </w:hyperlink>
      <w:r w:rsidRPr="00360D1A">
        <w:rPr>
          <w:rFonts w:ascii="Arial" w:hAnsi="Arial" w:cs="Arial"/>
        </w:rPr>
        <w:t>.</w:t>
      </w:r>
    </w:p>
    <w:p w14:paraId="61436955" w14:textId="77777777" w:rsidR="007877C7" w:rsidRPr="00360D1A" w:rsidRDefault="007877C7" w:rsidP="00360D1A">
      <w:pPr>
        <w:pStyle w:val="NormalWeb"/>
        <w:spacing w:before="0" w:beforeAutospacing="0" w:after="0" w:afterAutospacing="0" w:line="360" w:lineRule="auto"/>
        <w:jc w:val="both"/>
        <w:rPr>
          <w:rFonts w:ascii="Arial" w:hAnsi="Arial" w:cs="Arial"/>
        </w:rPr>
      </w:pPr>
    </w:p>
    <w:p w14:paraId="29B76694" w14:textId="4AC1B293" w:rsidR="007877C7" w:rsidRPr="00360D1A" w:rsidRDefault="007877C7"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ONS (2022). Tourism Industry - Office for National Statistics. [online] Ons.gov.uk. Available at: </w:t>
      </w:r>
      <w:hyperlink r:id="rId13" w:history="1">
        <w:r w:rsidR="00F60FBD" w:rsidRPr="00360D1A">
          <w:rPr>
            <w:rStyle w:val="Hyperlink"/>
            <w:rFonts w:ascii="Arial" w:hAnsi="Arial" w:cs="Arial"/>
            <w:color w:val="auto"/>
          </w:rPr>
          <w:t>https://www.ons.gov.uk/businessindustryandtrade/tourismindustry</w:t>
        </w:r>
      </w:hyperlink>
      <w:r w:rsidRPr="00360D1A">
        <w:rPr>
          <w:rFonts w:ascii="Arial" w:hAnsi="Arial" w:cs="Arial"/>
        </w:rPr>
        <w:t>.</w:t>
      </w:r>
    </w:p>
    <w:p w14:paraId="7AB5BD4F"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4F504FBA" w14:textId="5AF6055C" w:rsidR="00F60FBD"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ONS (2023). </w:t>
      </w:r>
      <w:r w:rsidRPr="00360D1A">
        <w:rPr>
          <w:rFonts w:ascii="Arial" w:hAnsi="Arial" w:cs="Arial"/>
        </w:rPr>
        <w:t xml:space="preserve">Hospitality businesses are most likely to be struggling to fill vacancies - Office for National Statistics. [online] Available at: https://www.ons.gov.uk/employmentandlabourmarket/peopleinwork/employmentandemployeetypes/articles/hospitalitybusinessesaremostlikelytobestrugglingtofillvacancies/2021-09-16#:~:text=Hospitality%20businesses%20are%20more%20than </w:t>
      </w:r>
    </w:p>
    <w:p w14:paraId="50323204"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4D7CB4D0" w14:textId="538C1B01" w:rsidR="007877C7"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ONS (2023). </w:t>
      </w:r>
      <w:r w:rsidRPr="00360D1A">
        <w:rPr>
          <w:rFonts w:ascii="Arial" w:hAnsi="Arial" w:cs="Arial"/>
        </w:rPr>
        <w:t xml:space="preserve">Travel trends - Office for National Statistics. [online] Available at: </w:t>
      </w:r>
      <w:hyperlink r:id="rId14" w:history="1">
        <w:r w:rsidRPr="00360D1A">
          <w:rPr>
            <w:rStyle w:val="Hyperlink"/>
            <w:rFonts w:ascii="Arial" w:hAnsi="Arial" w:cs="Arial"/>
            <w:color w:val="auto"/>
          </w:rPr>
          <w:t>https://www.ons.gov.uk/peoplepopulationandcommunity/leisureandtourism/articles/traveltrends/2023</w:t>
        </w:r>
      </w:hyperlink>
      <w:r w:rsidRPr="00360D1A">
        <w:rPr>
          <w:rFonts w:ascii="Arial" w:hAnsi="Arial" w:cs="Arial"/>
        </w:rPr>
        <w:t>.</w:t>
      </w:r>
    </w:p>
    <w:p w14:paraId="6EBB52C4" w14:textId="77777777" w:rsidR="00F60FBD" w:rsidRPr="00360D1A" w:rsidRDefault="00F60FBD" w:rsidP="00360D1A">
      <w:pPr>
        <w:pStyle w:val="NormalWeb"/>
        <w:spacing w:before="0" w:beforeAutospacing="0" w:after="0" w:afterAutospacing="0" w:line="360" w:lineRule="auto"/>
        <w:jc w:val="both"/>
        <w:rPr>
          <w:rFonts w:ascii="Arial" w:hAnsi="Arial" w:cs="Arial"/>
        </w:rPr>
      </w:pPr>
    </w:p>
    <w:p w14:paraId="353576A5" w14:textId="13247225" w:rsidR="007877C7" w:rsidRPr="00360D1A" w:rsidRDefault="007877C7" w:rsidP="00360D1A">
      <w:pPr>
        <w:pStyle w:val="NormalWeb"/>
        <w:spacing w:before="0" w:beforeAutospacing="0" w:after="0" w:afterAutospacing="0" w:line="360" w:lineRule="auto"/>
        <w:jc w:val="both"/>
        <w:rPr>
          <w:rFonts w:ascii="Arial" w:hAnsi="Arial" w:cs="Arial"/>
        </w:rPr>
      </w:pPr>
      <w:r w:rsidRPr="00360D1A">
        <w:rPr>
          <w:rFonts w:ascii="Arial" w:hAnsi="Arial" w:cs="Arial"/>
        </w:rPr>
        <w:t xml:space="preserve">Phillips, F., Libby, R., Libby, P.A. and Mackintosh, B. (2015). Fundamentals of financial accounting. [online] thuvienso.hoasen.edu.vn. McGraw-Hill Ryerson. Available at: </w:t>
      </w:r>
      <w:hyperlink r:id="rId15" w:history="1">
        <w:r w:rsidRPr="00360D1A">
          <w:rPr>
            <w:rStyle w:val="Hyperlink"/>
            <w:rFonts w:ascii="Arial" w:hAnsi="Arial" w:cs="Arial"/>
            <w:color w:val="auto"/>
          </w:rPr>
          <w:t>https://thuvienso.hoasen.edu.vn/handle/123456789/11828</w:t>
        </w:r>
      </w:hyperlink>
      <w:r w:rsidRPr="00360D1A">
        <w:rPr>
          <w:rFonts w:ascii="Arial" w:hAnsi="Arial" w:cs="Arial"/>
        </w:rPr>
        <w:t>.</w:t>
      </w:r>
    </w:p>
    <w:p w14:paraId="6CD74EDB" w14:textId="77777777" w:rsidR="007877C7" w:rsidRPr="00360D1A" w:rsidRDefault="007877C7" w:rsidP="00360D1A">
      <w:pPr>
        <w:pStyle w:val="NormalWeb"/>
        <w:spacing w:before="0" w:beforeAutospacing="0" w:after="0" w:afterAutospacing="0" w:line="360" w:lineRule="auto"/>
        <w:jc w:val="both"/>
        <w:rPr>
          <w:rFonts w:ascii="Arial" w:hAnsi="Arial" w:cs="Arial"/>
        </w:rPr>
      </w:pPr>
    </w:p>
    <w:p w14:paraId="3C05362A" w14:textId="17074CEF" w:rsidR="007877C7" w:rsidRPr="00360D1A" w:rsidRDefault="007877C7" w:rsidP="00360D1A">
      <w:pPr>
        <w:pStyle w:val="NormalWeb"/>
        <w:spacing w:before="0" w:beforeAutospacing="0" w:after="0" w:afterAutospacing="0" w:line="360" w:lineRule="auto"/>
        <w:jc w:val="both"/>
        <w:rPr>
          <w:rFonts w:ascii="Arial" w:hAnsi="Arial" w:cs="Arial"/>
        </w:rPr>
      </w:pPr>
      <w:r w:rsidRPr="00360D1A">
        <w:rPr>
          <w:rFonts w:ascii="Arial" w:hAnsi="Arial" w:cs="Arial"/>
        </w:rPr>
        <w:t>Seal W (2019) (6th Ed) Management Accounting, London, McGraw Hill</w:t>
      </w:r>
    </w:p>
    <w:p w14:paraId="3DDE4DFE" w14:textId="77777777" w:rsidR="009809FD" w:rsidRPr="00360D1A" w:rsidRDefault="009809FD" w:rsidP="00360D1A">
      <w:pPr>
        <w:pStyle w:val="NormalWeb"/>
        <w:spacing w:before="0" w:beforeAutospacing="0" w:after="0" w:afterAutospacing="0" w:line="360" w:lineRule="auto"/>
        <w:jc w:val="both"/>
        <w:rPr>
          <w:rFonts w:ascii="Arial" w:hAnsi="Arial" w:cs="Arial"/>
        </w:rPr>
      </w:pPr>
    </w:p>
    <w:p w14:paraId="6B0AA2CF" w14:textId="481DCB4D" w:rsidR="00E338B8" w:rsidRPr="00360D1A" w:rsidRDefault="009809FD" w:rsidP="00360D1A">
      <w:pPr>
        <w:spacing w:line="360" w:lineRule="auto"/>
        <w:jc w:val="both"/>
        <w:rPr>
          <w:rFonts w:ascii="Arial" w:hAnsi="Arial" w:cs="Arial"/>
          <w:sz w:val="24"/>
          <w:szCs w:val="24"/>
        </w:rPr>
      </w:pPr>
      <w:proofErr w:type="spellStart"/>
      <w:r w:rsidRPr="00360D1A">
        <w:rPr>
          <w:rFonts w:ascii="Arial" w:hAnsi="Arial" w:cs="Arial"/>
          <w:sz w:val="24"/>
          <w:szCs w:val="24"/>
        </w:rPr>
        <w:t>Tranter,K</w:t>
      </w:r>
      <w:proofErr w:type="spellEnd"/>
      <w:r w:rsidRPr="00360D1A">
        <w:rPr>
          <w:rFonts w:ascii="Arial" w:hAnsi="Arial" w:cs="Arial"/>
          <w:sz w:val="24"/>
          <w:szCs w:val="24"/>
        </w:rPr>
        <w:t>. Stuart-</w:t>
      </w:r>
      <w:proofErr w:type="spellStart"/>
      <w:r w:rsidRPr="00360D1A">
        <w:rPr>
          <w:rFonts w:ascii="Arial" w:hAnsi="Arial" w:cs="Arial"/>
          <w:sz w:val="24"/>
          <w:szCs w:val="24"/>
        </w:rPr>
        <w:t>Hill,T</w:t>
      </w:r>
      <w:proofErr w:type="spellEnd"/>
      <w:r w:rsidRPr="00360D1A">
        <w:rPr>
          <w:rFonts w:ascii="Arial" w:hAnsi="Arial" w:cs="Arial"/>
          <w:sz w:val="24"/>
          <w:szCs w:val="24"/>
        </w:rPr>
        <w:t xml:space="preserve">. </w:t>
      </w:r>
      <w:proofErr w:type="spellStart"/>
      <w:r w:rsidRPr="00360D1A">
        <w:rPr>
          <w:rFonts w:ascii="Arial" w:hAnsi="Arial" w:cs="Arial"/>
          <w:sz w:val="24"/>
          <w:szCs w:val="24"/>
        </w:rPr>
        <w:t>Parker,J</w:t>
      </w:r>
      <w:proofErr w:type="spellEnd"/>
      <w:r w:rsidRPr="00360D1A">
        <w:rPr>
          <w:rFonts w:ascii="Arial" w:hAnsi="Arial" w:cs="Arial"/>
          <w:sz w:val="24"/>
          <w:szCs w:val="24"/>
        </w:rPr>
        <w:t>. (2014) Introduction to Revenue Management for the Hospitality Industry, London, Pearson</w:t>
      </w:r>
    </w:p>
    <w:p w14:paraId="7A32EF64" w14:textId="5F6EFBDC" w:rsidR="00360D1A" w:rsidRPr="00360D1A" w:rsidRDefault="00360D1A" w:rsidP="00360D1A">
      <w:pPr>
        <w:spacing w:line="360" w:lineRule="auto"/>
        <w:jc w:val="both"/>
        <w:rPr>
          <w:rFonts w:ascii="Arial" w:hAnsi="Arial" w:cs="Arial"/>
          <w:sz w:val="24"/>
          <w:szCs w:val="24"/>
        </w:rPr>
      </w:pPr>
      <w:r w:rsidRPr="00360D1A">
        <w:rPr>
          <w:rFonts w:ascii="Arial" w:hAnsi="Arial" w:cs="Arial"/>
          <w:sz w:val="24"/>
          <w:szCs w:val="24"/>
        </w:rPr>
        <w:t>Walker J (2021) Introduction to Hospitality, Harlow, Pearson</w:t>
      </w:r>
    </w:p>
    <w:p w14:paraId="4E64A90C" w14:textId="31FB8832" w:rsidR="007877C7" w:rsidRPr="00360D1A" w:rsidRDefault="007877C7" w:rsidP="00360D1A">
      <w:pPr>
        <w:spacing w:line="360" w:lineRule="auto"/>
        <w:jc w:val="both"/>
        <w:rPr>
          <w:rFonts w:ascii="Arial" w:hAnsi="Arial" w:cs="Arial"/>
          <w:b/>
          <w:bCs/>
          <w:sz w:val="24"/>
          <w:szCs w:val="24"/>
        </w:rPr>
      </w:pPr>
      <w:r w:rsidRPr="00360D1A">
        <w:rPr>
          <w:rFonts w:ascii="Arial" w:hAnsi="Arial" w:cs="Arial"/>
          <w:sz w:val="24"/>
          <w:szCs w:val="24"/>
          <w:shd w:val="clear" w:color="auto" w:fill="FFFFFF"/>
        </w:rPr>
        <w:t>Weetman, P., 2019. Financial and management accounting. Pearson UK.</w:t>
      </w:r>
    </w:p>
    <w:p w14:paraId="4095802C" w14:textId="0250FBD5" w:rsidR="00E338B8" w:rsidRPr="00360D1A" w:rsidRDefault="007877C7" w:rsidP="00360D1A">
      <w:pPr>
        <w:spacing w:line="360" w:lineRule="auto"/>
        <w:jc w:val="both"/>
        <w:rPr>
          <w:rFonts w:ascii="Arial" w:hAnsi="Arial" w:cs="Arial"/>
          <w:sz w:val="24"/>
          <w:szCs w:val="24"/>
        </w:rPr>
      </w:pPr>
      <w:r w:rsidRPr="00360D1A">
        <w:rPr>
          <w:rFonts w:ascii="Arial" w:hAnsi="Arial" w:cs="Arial"/>
          <w:sz w:val="24"/>
          <w:szCs w:val="24"/>
        </w:rPr>
        <w:t>Wild J (2018) Fundamental Accounting Principles, New York, McGraw Hill</w:t>
      </w:r>
    </w:p>
    <w:p w14:paraId="2B35D5BD" w14:textId="77777777" w:rsidR="00F60FBD" w:rsidRPr="00360D1A" w:rsidRDefault="00F60FBD" w:rsidP="00360D1A">
      <w:pPr>
        <w:pStyle w:val="NormalWeb"/>
        <w:spacing w:before="0" w:beforeAutospacing="0" w:after="0" w:afterAutospacing="0" w:line="360" w:lineRule="auto"/>
        <w:jc w:val="both"/>
        <w:rPr>
          <w:rFonts w:ascii="Arial" w:hAnsi="Arial" w:cs="Arial"/>
        </w:rPr>
      </w:pPr>
      <w:r w:rsidRPr="00360D1A">
        <w:rPr>
          <w:rFonts w:ascii="Arial" w:hAnsi="Arial" w:cs="Arial"/>
        </w:rPr>
        <w:t>Zhang, J., Joglekar, N. and Verma, R. (2010). Cornell Hospitality Report Developing Measures for Environmental Sustainability in Hotels: An Exploratory Study. [online] Available at: https://ecommons.cornell.edu/server/api/core/bitstreams/c6059dd1-a7dd-4e78-b763-3bccecedfab8/content.</w:t>
      </w:r>
    </w:p>
    <w:p w14:paraId="4B558508" w14:textId="77777777" w:rsidR="00F60FBD" w:rsidRPr="00360D1A" w:rsidRDefault="00F60FBD" w:rsidP="00360D1A">
      <w:pPr>
        <w:pStyle w:val="NormalWeb"/>
        <w:spacing w:line="360" w:lineRule="auto"/>
        <w:jc w:val="both"/>
        <w:rPr>
          <w:rFonts w:ascii="Arial" w:hAnsi="Arial" w:cs="Arial"/>
        </w:rPr>
      </w:pPr>
      <w:r w:rsidRPr="00360D1A">
        <w:rPr>
          <w:rFonts w:ascii="Arial" w:hAnsi="Arial" w:cs="Arial"/>
        </w:rPr>
        <w:t>‌</w:t>
      </w:r>
    </w:p>
    <w:p w14:paraId="7CD44D94" w14:textId="77777777" w:rsidR="00E338B8" w:rsidRDefault="00E338B8" w:rsidP="006822E1">
      <w:pPr>
        <w:spacing w:line="360" w:lineRule="auto"/>
        <w:jc w:val="both"/>
        <w:rPr>
          <w:rFonts w:ascii="Arial" w:hAnsi="Arial" w:cs="Arial"/>
          <w:b/>
          <w:bCs/>
          <w:sz w:val="24"/>
          <w:szCs w:val="24"/>
        </w:rPr>
      </w:pPr>
    </w:p>
    <w:p w14:paraId="4140D71E" w14:textId="77777777" w:rsidR="00360D1A" w:rsidRDefault="00360D1A" w:rsidP="006822E1">
      <w:pPr>
        <w:spacing w:line="360" w:lineRule="auto"/>
        <w:jc w:val="both"/>
        <w:rPr>
          <w:rFonts w:ascii="Arial" w:hAnsi="Arial" w:cs="Arial"/>
          <w:b/>
          <w:bCs/>
          <w:sz w:val="24"/>
          <w:szCs w:val="24"/>
        </w:rPr>
      </w:pPr>
    </w:p>
    <w:p w14:paraId="6BA12ECB" w14:textId="32C0BED1" w:rsidR="00E338B8" w:rsidRPr="00360D1A" w:rsidRDefault="00E338B8" w:rsidP="00360D1A">
      <w:pPr>
        <w:pStyle w:val="EU"/>
        <w:numPr>
          <w:ilvl w:val="0"/>
          <w:numId w:val="1"/>
        </w:numPr>
      </w:pPr>
      <w:bookmarkStart w:id="6" w:name="_Toc168598919"/>
      <w:r w:rsidRPr="00360D1A">
        <w:rPr>
          <w:color w:val="auto"/>
        </w:rPr>
        <w:t>Appendix</w:t>
      </w:r>
      <w:bookmarkEnd w:id="6"/>
      <w:r w:rsidRPr="00360D1A">
        <w:rPr>
          <w:color w:val="auto"/>
        </w:rPr>
        <w:t xml:space="preserve"> </w:t>
      </w:r>
    </w:p>
    <w:p w14:paraId="7481F003" w14:textId="77777777" w:rsidR="00E338B8" w:rsidRPr="00360D1A" w:rsidRDefault="00E338B8" w:rsidP="006822E1">
      <w:pPr>
        <w:spacing w:line="360" w:lineRule="auto"/>
        <w:jc w:val="both"/>
        <w:rPr>
          <w:rFonts w:ascii="Arial" w:hAnsi="Arial" w:cs="Arial"/>
          <w:b/>
          <w:bCs/>
          <w:sz w:val="24"/>
          <w:szCs w:val="24"/>
        </w:rPr>
      </w:pPr>
    </w:p>
    <w:p w14:paraId="4FF2C27C" w14:textId="77777777" w:rsidR="00ED0163" w:rsidRPr="00ED0163" w:rsidRDefault="00ED0163" w:rsidP="00ED0163">
      <w:pPr>
        <w:spacing w:line="360" w:lineRule="auto"/>
        <w:jc w:val="both"/>
        <w:rPr>
          <w:rFonts w:ascii="Arial" w:hAnsi="Arial" w:cs="Arial"/>
          <w:sz w:val="24"/>
          <w:szCs w:val="24"/>
        </w:rPr>
      </w:pPr>
      <w:r w:rsidRPr="00ED0163">
        <w:rPr>
          <w:rFonts w:ascii="Arial" w:hAnsi="Arial" w:cs="Arial"/>
          <w:sz w:val="24"/>
          <w:szCs w:val="24"/>
        </w:rPr>
        <w:t xml:space="preserve">Current ratio (2021)=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ED0163">
        <w:rPr>
          <w:rFonts w:ascii="Arial" w:eastAsiaTheme="minorEastAsia" w:hAnsi="Arial" w:cs="Arial"/>
          <w:sz w:val="24"/>
          <w:szCs w:val="24"/>
        </w:rPr>
        <w:t>=</w:t>
      </w:r>
      <w:r w:rsidRPr="00ED0163">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£450,000</m:t>
            </m:r>
          </m:num>
          <m:den>
            <m:r>
              <w:rPr>
                <w:rFonts w:ascii="Cambria Math" w:hAnsi="Cambria Math" w:cs="Arial"/>
                <w:sz w:val="24"/>
                <w:szCs w:val="24"/>
              </w:rPr>
              <m:t>£250,000</m:t>
            </m:r>
          </m:den>
        </m:f>
      </m:oMath>
      <w:r w:rsidRPr="00ED0163">
        <w:rPr>
          <w:rFonts w:ascii="Arial" w:eastAsiaTheme="minorEastAsia" w:hAnsi="Arial" w:cs="Arial"/>
          <w:sz w:val="24"/>
          <w:szCs w:val="24"/>
        </w:rPr>
        <w:t>=1.8</w:t>
      </w:r>
    </w:p>
    <w:p w14:paraId="5CBC5E65" w14:textId="77777777" w:rsidR="00ED0163" w:rsidRPr="00ED0163" w:rsidRDefault="00ED0163" w:rsidP="00ED0163">
      <w:pPr>
        <w:spacing w:line="360" w:lineRule="auto"/>
        <w:jc w:val="both"/>
        <w:rPr>
          <w:rFonts w:ascii="Arial" w:hAnsi="Arial" w:cs="Arial"/>
          <w:sz w:val="24"/>
          <w:szCs w:val="24"/>
        </w:rPr>
      </w:pPr>
      <w:r w:rsidRPr="00ED0163">
        <w:rPr>
          <w:rFonts w:ascii="Arial" w:hAnsi="Arial" w:cs="Arial"/>
          <w:sz w:val="24"/>
          <w:szCs w:val="24"/>
        </w:rPr>
        <w:t xml:space="preserve">Current ratio (2022)=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ED0163">
        <w:rPr>
          <w:rFonts w:ascii="Arial" w:eastAsiaTheme="minorEastAsia" w:hAnsi="Arial" w:cs="Arial"/>
          <w:sz w:val="24"/>
          <w:szCs w:val="24"/>
        </w:rPr>
        <w:t>=</w:t>
      </w:r>
      <w:r w:rsidRPr="00ED0163">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£300,000</m:t>
            </m:r>
          </m:num>
          <m:den>
            <m:r>
              <w:rPr>
                <w:rFonts w:ascii="Cambria Math" w:hAnsi="Cambria Math" w:cs="Arial"/>
                <w:sz w:val="24"/>
                <w:szCs w:val="24"/>
              </w:rPr>
              <m:t>£270,000</m:t>
            </m:r>
          </m:den>
        </m:f>
      </m:oMath>
      <w:r w:rsidRPr="00ED0163">
        <w:rPr>
          <w:rFonts w:ascii="Arial" w:eastAsiaTheme="minorEastAsia" w:hAnsi="Arial" w:cs="Arial"/>
          <w:sz w:val="24"/>
          <w:szCs w:val="24"/>
        </w:rPr>
        <w:t>=1.11</w:t>
      </w:r>
    </w:p>
    <w:p w14:paraId="202A7FA1" w14:textId="77777777" w:rsidR="00ED0163" w:rsidRPr="00ED0163" w:rsidRDefault="00ED0163" w:rsidP="00ED0163">
      <w:pPr>
        <w:spacing w:line="360" w:lineRule="auto"/>
        <w:jc w:val="both"/>
        <w:rPr>
          <w:rFonts w:ascii="Arial" w:hAnsi="Arial" w:cs="Arial"/>
          <w:sz w:val="24"/>
          <w:szCs w:val="24"/>
        </w:rPr>
      </w:pPr>
      <w:r w:rsidRPr="00ED0163">
        <w:rPr>
          <w:rFonts w:ascii="Arial" w:hAnsi="Arial" w:cs="Arial"/>
          <w:sz w:val="24"/>
          <w:szCs w:val="24"/>
        </w:rPr>
        <w:t xml:space="preserve">Current ratio (2023)= </w:t>
      </w:r>
      <m:oMath>
        <m:f>
          <m:fPr>
            <m:ctrlPr>
              <w:rPr>
                <w:rFonts w:ascii="Cambria Math" w:hAnsi="Cambria Math" w:cs="Arial"/>
                <w:i/>
                <w:sz w:val="24"/>
                <w:szCs w:val="24"/>
              </w:rPr>
            </m:ctrlPr>
          </m:fPr>
          <m:num>
            <m:r>
              <w:rPr>
                <w:rFonts w:ascii="Cambria Math" w:hAnsi="Cambria Math" w:cs="Arial"/>
                <w:sz w:val="24"/>
                <w:szCs w:val="24"/>
              </w:rPr>
              <m:t>Total Current assets</m:t>
            </m:r>
          </m:num>
          <m:den>
            <m:r>
              <w:rPr>
                <w:rFonts w:ascii="Cambria Math" w:hAnsi="Cambria Math" w:cs="Arial"/>
                <w:sz w:val="24"/>
                <w:szCs w:val="24"/>
              </w:rPr>
              <m:t>Current liabilities</m:t>
            </m:r>
          </m:den>
        </m:f>
      </m:oMath>
      <w:r w:rsidRPr="00ED0163">
        <w:rPr>
          <w:rFonts w:ascii="Arial" w:eastAsiaTheme="minorEastAsia" w:hAnsi="Arial" w:cs="Arial"/>
          <w:sz w:val="24"/>
          <w:szCs w:val="24"/>
        </w:rPr>
        <w:t>=</w:t>
      </w:r>
      <w:r w:rsidRPr="00ED0163">
        <w:rPr>
          <w:rFonts w:ascii="Arial" w:hAnsi="Arial" w:cs="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£180,000</m:t>
            </m:r>
          </m:num>
          <m:den>
            <m:r>
              <w:rPr>
                <w:rFonts w:ascii="Cambria Math" w:hAnsi="Cambria Math" w:cs="Arial"/>
                <w:sz w:val="24"/>
                <w:szCs w:val="24"/>
              </w:rPr>
              <m:t>£300,000</m:t>
            </m:r>
          </m:den>
        </m:f>
      </m:oMath>
      <w:r w:rsidRPr="00ED0163">
        <w:rPr>
          <w:rFonts w:ascii="Arial" w:eastAsiaTheme="minorEastAsia" w:hAnsi="Arial" w:cs="Arial"/>
          <w:sz w:val="24"/>
          <w:szCs w:val="24"/>
        </w:rPr>
        <w:t>=0.6</w:t>
      </w:r>
    </w:p>
    <w:p w14:paraId="196F1649" w14:textId="67642A12" w:rsidR="00ED0163" w:rsidRPr="00360D1A" w:rsidRDefault="00ED0163" w:rsidP="00ED0163">
      <w:pPr>
        <w:spacing w:line="360" w:lineRule="auto"/>
        <w:jc w:val="both"/>
        <w:rPr>
          <w:rFonts w:ascii="Arial" w:hAnsi="Arial" w:cs="Arial"/>
          <w:sz w:val="24"/>
          <w:szCs w:val="24"/>
        </w:rPr>
      </w:pPr>
    </w:p>
    <w:p w14:paraId="4B9F6D8B" w14:textId="77777777" w:rsidR="004A14C6" w:rsidRPr="004A14C6" w:rsidRDefault="004A14C6" w:rsidP="004A14C6">
      <w:pPr>
        <w:spacing w:line="360" w:lineRule="auto"/>
        <w:jc w:val="both"/>
        <w:rPr>
          <w:rFonts w:ascii="Arial" w:hAnsi="Arial" w:cs="Arial"/>
          <w:sz w:val="24"/>
          <w:szCs w:val="24"/>
        </w:rPr>
      </w:pPr>
      <w:r w:rsidRPr="004A14C6">
        <w:rPr>
          <w:rFonts w:ascii="Arial" w:hAnsi="Arial" w:cs="Arial"/>
          <w:sz w:val="24"/>
          <w:szCs w:val="24"/>
        </w:rPr>
        <w:t>Debt to equity ratio (2021)=</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£3,250,000</m:t>
            </m:r>
          </m:num>
          <m:den>
            <m:r>
              <w:rPr>
                <w:rFonts w:ascii="Cambria Math" w:hAnsi="Cambria Math" w:cs="Arial"/>
                <w:sz w:val="24"/>
                <w:szCs w:val="24"/>
              </w:rPr>
              <m:t>£2,200,000</m:t>
            </m:r>
          </m:den>
        </m:f>
      </m:oMath>
      <w:r w:rsidRPr="004A14C6">
        <w:rPr>
          <w:rFonts w:ascii="Arial" w:eastAsiaTheme="minorEastAsia" w:hAnsi="Arial" w:cs="Arial"/>
          <w:sz w:val="24"/>
          <w:szCs w:val="24"/>
        </w:rPr>
        <w:t>=1.47</w:t>
      </w:r>
    </w:p>
    <w:p w14:paraId="3E3A5918" w14:textId="77777777" w:rsidR="004A14C6" w:rsidRPr="004A14C6" w:rsidRDefault="004A14C6" w:rsidP="004A14C6">
      <w:pPr>
        <w:spacing w:line="360" w:lineRule="auto"/>
        <w:jc w:val="both"/>
        <w:rPr>
          <w:rFonts w:ascii="Arial" w:hAnsi="Arial" w:cs="Arial"/>
          <w:sz w:val="24"/>
          <w:szCs w:val="24"/>
        </w:rPr>
      </w:pPr>
      <w:r w:rsidRPr="004A14C6">
        <w:rPr>
          <w:rFonts w:ascii="Arial" w:hAnsi="Arial" w:cs="Arial"/>
          <w:sz w:val="24"/>
          <w:szCs w:val="24"/>
        </w:rPr>
        <w:t>Debt to equity ratio (2022)=</w:t>
      </w:r>
      <w:r w:rsidRPr="004A14C6">
        <w:rPr>
          <w:rFonts w:ascii="Arial" w:hAnsi="Arial" w:cs="Arial"/>
          <w:i/>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£3,270,000</m:t>
            </m:r>
          </m:num>
          <m:den>
            <m:r>
              <w:rPr>
                <w:rFonts w:ascii="Cambria Math" w:hAnsi="Cambria Math" w:cs="Arial"/>
                <w:sz w:val="24"/>
                <w:szCs w:val="24"/>
              </w:rPr>
              <m:t>£1,830,000</m:t>
            </m:r>
          </m:den>
        </m:f>
      </m:oMath>
      <w:r w:rsidRPr="004A14C6">
        <w:rPr>
          <w:rFonts w:ascii="Arial" w:eastAsiaTheme="minorEastAsia" w:hAnsi="Arial" w:cs="Arial"/>
          <w:sz w:val="24"/>
          <w:szCs w:val="24"/>
        </w:rPr>
        <w:t>=1.78</w:t>
      </w:r>
    </w:p>
    <w:p w14:paraId="5F78C143" w14:textId="77777777" w:rsidR="004A14C6" w:rsidRPr="00360D1A" w:rsidRDefault="004A14C6" w:rsidP="004A14C6">
      <w:pPr>
        <w:spacing w:line="360" w:lineRule="auto"/>
        <w:jc w:val="both"/>
        <w:rPr>
          <w:rFonts w:ascii="Arial" w:eastAsiaTheme="minorEastAsia" w:hAnsi="Arial" w:cs="Arial"/>
          <w:sz w:val="24"/>
          <w:szCs w:val="24"/>
        </w:rPr>
      </w:pPr>
      <w:r w:rsidRPr="004A14C6">
        <w:rPr>
          <w:rFonts w:ascii="Arial" w:hAnsi="Arial" w:cs="Arial"/>
          <w:sz w:val="24"/>
          <w:szCs w:val="24"/>
        </w:rPr>
        <w:t>Debt to equity ratio (2023)=</w:t>
      </w:r>
      <w:r w:rsidRPr="004A14C6">
        <w:rPr>
          <w:rFonts w:ascii="Arial" w:hAnsi="Arial" w:cs="Arial"/>
          <w:i/>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Total liabilities</m:t>
            </m:r>
          </m:num>
          <m:den>
            <m:r>
              <w:rPr>
                <w:rFonts w:ascii="Cambria Math" w:hAnsi="Cambria Math" w:cs="Arial"/>
                <w:sz w:val="24"/>
                <w:szCs w:val="24"/>
              </w:rPr>
              <m:t>Equity</m:t>
            </m:r>
          </m:den>
        </m:f>
        <m:r>
          <m:rPr>
            <m:sty m:val="p"/>
          </m:rPr>
          <w:rPr>
            <w:rFonts w:ascii="Cambria Math" w:eastAsiaTheme="minorEastAsia"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£3,300,000</m:t>
            </m:r>
          </m:num>
          <m:den>
            <m:r>
              <w:rPr>
                <w:rFonts w:ascii="Cambria Math" w:hAnsi="Cambria Math" w:cs="Arial"/>
                <w:sz w:val="24"/>
                <w:szCs w:val="24"/>
              </w:rPr>
              <m:t>£1,380,000</m:t>
            </m:r>
          </m:den>
        </m:f>
      </m:oMath>
      <w:r w:rsidRPr="004A14C6">
        <w:rPr>
          <w:rFonts w:ascii="Arial" w:eastAsiaTheme="minorEastAsia" w:hAnsi="Arial" w:cs="Arial"/>
          <w:sz w:val="24"/>
          <w:szCs w:val="24"/>
        </w:rPr>
        <w:t>=2.39</w:t>
      </w:r>
    </w:p>
    <w:p w14:paraId="4878D455" w14:textId="56BEC43D" w:rsidR="004A14C6" w:rsidRPr="00360D1A" w:rsidRDefault="00C47DB5" w:rsidP="004A14C6">
      <w:pPr>
        <w:spacing w:line="360" w:lineRule="auto"/>
        <w:jc w:val="both"/>
        <w:rPr>
          <w:rFonts w:ascii="Arial" w:eastAsiaTheme="minorEastAsia" w:hAnsi="Arial" w:cs="Arial"/>
          <w:sz w:val="24"/>
          <w:szCs w:val="24"/>
        </w:rPr>
      </w:pPr>
      <w:r w:rsidRPr="00360D1A">
        <w:rPr>
          <w:rFonts w:ascii="Arial" w:eastAsiaTheme="minorEastAsia" w:hAnsi="Arial" w:cs="Arial"/>
          <w:sz w:val="24"/>
          <w:szCs w:val="24"/>
        </w:rPr>
        <w:t>2021:</w:t>
      </w:r>
    </w:p>
    <w:p w14:paraId="5874B33F"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Cash and Equivalents: £300,000</w:t>
      </w:r>
    </w:p>
    <w:p w14:paraId="100D5088"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Accounts Receivable: £150,000</w:t>
      </w:r>
    </w:p>
    <w:p w14:paraId="050F2E0F" w14:textId="69D7204F" w:rsidR="004A14C6" w:rsidRPr="004A14C6" w:rsidRDefault="00C47DB5" w:rsidP="00C47DB5">
      <w:pPr>
        <w:spacing w:line="360" w:lineRule="auto"/>
        <w:jc w:val="both"/>
        <w:rPr>
          <w:rFonts w:ascii="Arial" w:hAnsi="Arial" w:cs="Arial"/>
          <w:sz w:val="24"/>
          <w:szCs w:val="24"/>
        </w:rPr>
      </w:pPr>
      <w:r w:rsidRPr="00360D1A">
        <w:rPr>
          <w:rFonts w:ascii="Arial" w:hAnsi="Arial" w:cs="Arial"/>
          <w:sz w:val="24"/>
          <w:szCs w:val="24"/>
        </w:rPr>
        <w:t>Total Current Assets = £300,000 + £150,000 = £450,000</w:t>
      </w:r>
    </w:p>
    <w:p w14:paraId="3A40A20D" w14:textId="684E10EF" w:rsidR="00ED0163" w:rsidRPr="00360D1A" w:rsidRDefault="00C47DB5" w:rsidP="00ED0163">
      <w:pPr>
        <w:spacing w:line="360" w:lineRule="auto"/>
        <w:jc w:val="both"/>
        <w:rPr>
          <w:rFonts w:ascii="Arial" w:hAnsi="Arial" w:cs="Arial"/>
          <w:sz w:val="24"/>
          <w:szCs w:val="24"/>
        </w:rPr>
      </w:pPr>
      <w:r w:rsidRPr="00360D1A">
        <w:rPr>
          <w:rFonts w:ascii="Arial" w:hAnsi="Arial" w:cs="Arial"/>
          <w:sz w:val="24"/>
          <w:szCs w:val="24"/>
        </w:rPr>
        <w:t>Accounts Payable: £250,000</w:t>
      </w:r>
    </w:p>
    <w:p w14:paraId="2C6F9A54" w14:textId="5333AAC3" w:rsidR="00C47DB5" w:rsidRPr="00ED0163" w:rsidRDefault="00C47DB5" w:rsidP="00ED0163">
      <w:pPr>
        <w:spacing w:line="360" w:lineRule="auto"/>
        <w:jc w:val="both"/>
        <w:rPr>
          <w:rFonts w:ascii="Arial" w:hAnsi="Arial" w:cs="Arial"/>
          <w:b/>
          <w:bCs/>
          <w:sz w:val="24"/>
          <w:szCs w:val="24"/>
        </w:rPr>
      </w:pPr>
      <w:r w:rsidRPr="00360D1A">
        <w:rPr>
          <w:rFonts w:ascii="Arial" w:hAnsi="Arial" w:cs="Arial"/>
          <w:b/>
          <w:bCs/>
          <w:sz w:val="24"/>
          <w:szCs w:val="24"/>
        </w:rPr>
        <w:t>Quick ratio (2021)=</w:t>
      </w:r>
      <m:oMath>
        <m:f>
          <m:fPr>
            <m:ctrlPr>
              <w:rPr>
                <w:rFonts w:ascii="Cambria Math" w:hAnsi="Cambria Math" w:cs="Arial"/>
                <w:b/>
                <w:bCs/>
                <w:i/>
                <w:sz w:val="24"/>
                <w:szCs w:val="24"/>
              </w:rPr>
            </m:ctrlPr>
          </m:fPr>
          <m:num>
            <m:r>
              <m:rPr>
                <m:sty m:val="bi"/>
              </m:rPr>
              <w:rPr>
                <w:rFonts w:ascii="Cambria Math" w:hAnsi="Cambria Math" w:cs="Arial"/>
                <w:sz w:val="24"/>
                <w:szCs w:val="24"/>
              </w:rPr>
              <m:t xml:space="preserve">Current assets </m:t>
            </m:r>
          </m:num>
          <m:den>
            <m:r>
              <m:rPr>
                <m:sty m:val="bi"/>
              </m:rPr>
              <w:rPr>
                <w:rFonts w:ascii="Cambria Math" w:hAnsi="Cambria Math" w:cs="Arial"/>
                <w:sz w:val="24"/>
                <w:szCs w:val="24"/>
              </w:rPr>
              <m:t>Current liabilities</m:t>
            </m:r>
          </m:den>
        </m:f>
      </m:oMath>
      <w:r w:rsidRPr="00360D1A">
        <w:rPr>
          <w:rFonts w:ascii="Arial" w:eastAsiaTheme="minorEastAsia" w:hAnsi="Arial" w:cs="Arial"/>
          <w:b/>
          <w:bCs/>
          <w:sz w:val="24"/>
          <w:szCs w:val="24"/>
        </w:rPr>
        <w:t>=</w:t>
      </w:r>
      <m:oMath>
        <m:f>
          <m:fPr>
            <m:ctrlPr>
              <w:rPr>
                <w:rFonts w:ascii="Cambria Math" w:hAnsi="Cambria Math" w:cs="Arial"/>
                <w:b/>
                <w:bCs/>
                <w:i/>
                <w:sz w:val="24"/>
                <w:szCs w:val="24"/>
              </w:rPr>
            </m:ctrlPr>
          </m:fPr>
          <m:num>
            <m:r>
              <m:rPr>
                <m:sty m:val="bi"/>
              </m:rPr>
              <w:rPr>
                <w:rFonts w:ascii="Cambria Math" w:hAnsi="Cambria Math" w:cs="Arial"/>
                <w:sz w:val="24"/>
                <w:szCs w:val="24"/>
              </w:rPr>
              <m:t xml:space="preserve">£450,000 </m:t>
            </m:r>
          </m:num>
          <m:den>
            <m:r>
              <m:rPr>
                <m:sty m:val="bi"/>
              </m:rPr>
              <w:rPr>
                <w:rFonts w:ascii="Cambria Math" w:hAnsi="Cambria Math" w:cs="Arial"/>
                <w:sz w:val="24"/>
                <w:szCs w:val="24"/>
              </w:rPr>
              <m:t>£250,000</m:t>
            </m:r>
          </m:den>
        </m:f>
      </m:oMath>
      <w:r w:rsidRPr="00360D1A">
        <w:rPr>
          <w:rFonts w:ascii="Arial" w:eastAsiaTheme="minorEastAsia" w:hAnsi="Arial" w:cs="Arial"/>
          <w:b/>
          <w:bCs/>
          <w:sz w:val="24"/>
          <w:szCs w:val="24"/>
        </w:rPr>
        <w:t>=</w:t>
      </w:r>
      <w:r w:rsidRPr="00360D1A">
        <w:rPr>
          <w:rFonts w:ascii="Arial" w:eastAsiaTheme="minorEastAsia" w:hAnsi="Arial" w:cs="Arial"/>
          <w:b/>
          <w:bCs/>
          <w:sz w:val="24"/>
          <w:szCs w:val="24"/>
        </w:rPr>
        <w:t>1.8</w:t>
      </w:r>
    </w:p>
    <w:p w14:paraId="7B4F97A7"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2022:</w:t>
      </w:r>
    </w:p>
    <w:p w14:paraId="0237B5BE" w14:textId="2C921580"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Cash and Equivalents: £200,000</w:t>
      </w:r>
    </w:p>
    <w:p w14:paraId="2E43DFCA"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Accounts Receivable: £100,000</w:t>
      </w:r>
    </w:p>
    <w:p w14:paraId="54F8264F" w14:textId="2DABEB63" w:rsidR="00077169"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Total Current Assets = £200,000 + £100,000 = £300,000</w:t>
      </w:r>
    </w:p>
    <w:p w14:paraId="2BD19BFA" w14:textId="0CDB9FA1"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Accounts Payable: £270,000</w:t>
      </w:r>
    </w:p>
    <w:p w14:paraId="7030C195" w14:textId="623B643F" w:rsidR="00C47DB5" w:rsidRPr="00ED0163" w:rsidRDefault="00C47DB5" w:rsidP="00C47DB5">
      <w:pPr>
        <w:spacing w:line="360" w:lineRule="auto"/>
        <w:jc w:val="both"/>
        <w:rPr>
          <w:rFonts w:ascii="Arial" w:hAnsi="Arial" w:cs="Arial"/>
          <w:b/>
          <w:bCs/>
          <w:sz w:val="24"/>
          <w:szCs w:val="24"/>
        </w:rPr>
      </w:pPr>
      <w:bookmarkStart w:id="7" w:name="_Hlk168593601"/>
      <w:r w:rsidRPr="00360D1A">
        <w:rPr>
          <w:rFonts w:ascii="Arial" w:hAnsi="Arial" w:cs="Arial"/>
          <w:b/>
          <w:bCs/>
          <w:sz w:val="24"/>
          <w:szCs w:val="24"/>
        </w:rPr>
        <w:t>Quick ratio (202</w:t>
      </w:r>
      <w:r w:rsidRPr="00360D1A">
        <w:rPr>
          <w:rFonts w:ascii="Arial" w:hAnsi="Arial" w:cs="Arial"/>
          <w:b/>
          <w:bCs/>
          <w:sz w:val="24"/>
          <w:szCs w:val="24"/>
        </w:rPr>
        <w:t>2</w:t>
      </w:r>
      <w:r w:rsidRPr="00360D1A">
        <w:rPr>
          <w:rFonts w:ascii="Arial" w:hAnsi="Arial" w:cs="Arial"/>
          <w:b/>
          <w:bCs/>
          <w:sz w:val="24"/>
          <w:szCs w:val="24"/>
        </w:rPr>
        <w:t>)=</w:t>
      </w:r>
      <m:oMath>
        <m:f>
          <m:fPr>
            <m:ctrlPr>
              <w:rPr>
                <w:rFonts w:ascii="Cambria Math" w:hAnsi="Cambria Math" w:cs="Arial"/>
                <w:b/>
                <w:bCs/>
                <w:i/>
                <w:sz w:val="24"/>
                <w:szCs w:val="24"/>
              </w:rPr>
            </m:ctrlPr>
          </m:fPr>
          <m:num>
            <m:r>
              <m:rPr>
                <m:sty m:val="bi"/>
              </m:rPr>
              <w:rPr>
                <w:rFonts w:ascii="Cambria Math" w:hAnsi="Cambria Math" w:cs="Arial"/>
                <w:sz w:val="24"/>
                <w:szCs w:val="24"/>
              </w:rPr>
              <m:t xml:space="preserve">Current assets </m:t>
            </m:r>
          </m:num>
          <m:den>
            <m:r>
              <m:rPr>
                <m:sty m:val="bi"/>
              </m:rPr>
              <w:rPr>
                <w:rFonts w:ascii="Cambria Math" w:hAnsi="Cambria Math" w:cs="Arial"/>
                <w:sz w:val="24"/>
                <w:szCs w:val="24"/>
              </w:rPr>
              <m:t>Current liabilities</m:t>
            </m:r>
          </m:den>
        </m:f>
      </m:oMath>
      <w:r w:rsidRPr="00360D1A">
        <w:rPr>
          <w:rFonts w:ascii="Arial" w:eastAsiaTheme="minorEastAsia" w:hAnsi="Arial" w:cs="Arial"/>
          <w:b/>
          <w:bCs/>
          <w:sz w:val="24"/>
          <w:szCs w:val="24"/>
        </w:rPr>
        <w:t>=</w:t>
      </w:r>
      <m:oMath>
        <m:f>
          <m:fPr>
            <m:ctrlPr>
              <w:rPr>
                <w:rFonts w:ascii="Cambria Math" w:hAnsi="Cambria Math" w:cs="Arial"/>
                <w:b/>
                <w:bCs/>
                <w:i/>
                <w:sz w:val="24"/>
                <w:szCs w:val="24"/>
              </w:rPr>
            </m:ctrlPr>
          </m:fPr>
          <m:num>
            <m:r>
              <m:rPr>
                <m:sty m:val="bi"/>
              </m:rPr>
              <w:rPr>
                <w:rFonts w:ascii="Cambria Math" w:hAnsi="Cambria Math" w:cs="Arial"/>
                <w:sz w:val="24"/>
                <w:szCs w:val="24"/>
              </w:rPr>
              <m:t xml:space="preserve">£300,000 </m:t>
            </m:r>
          </m:num>
          <m:den>
            <m:r>
              <m:rPr>
                <m:sty m:val="bi"/>
              </m:rPr>
              <w:rPr>
                <w:rFonts w:ascii="Cambria Math" w:hAnsi="Cambria Math" w:cs="Arial"/>
                <w:sz w:val="24"/>
                <w:szCs w:val="24"/>
              </w:rPr>
              <m:t>£270,000</m:t>
            </m:r>
          </m:den>
        </m:f>
      </m:oMath>
      <w:r w:rsidRPr="00360D1A">
        <w:rPr>
          <w:rFonts w:ascii="Arial" w:eastAsiaTheme="minorEastAsia" w:hAnsi="Arial" w:cs="Arial"/>
          <w:b/>
          <w:bCs/>
          <w:sz w:val="24"/>
          <w:szCs w:val="24"/>
        </w:rPr>
        <w:t>=1.</w:t>
      </w:r>
      <w:r w:rsidRPr="00360D1A">
        <w:rPr>
          <w:rFonts w:ascii="Arial" w:eastAsiaTheme="minorEastAsia" w:hAnsi="Arial" w:cs="Arial"/>
          <w:b/>
          <w:bCs/>
          <w:sz w:val="24"/>
          <w:szCs w:val="24"/>
        </w:rPr>
        <w:t>11</w:t>
      </w:r>
    </w:p>
    <w:bookmarkEnd w:id="7"/>
    <w:p w14:paraId="05940695"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2023:</w:t>
      </w:r>
    </w:p>
    <w:p w14:paraId="776F93E2" w14:textId="5484CC0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Cash and Equivalents: £100,000</w:t>
      </w:r>
    </w:p>
    <w:p w14:paraId="0E89319A" w14:textId="77777777"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Accounts Receivable: £80,000</w:t>
      </w:r>
    </w:p>
    <w:p w14:paraId="63DDB1A1" w14:textId="40409505" w:rsidR="00077169"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Total Current Assets = £100,000 + £80,000 = £180,000</w:t>
      </w:r>
    </w:p>
    <w:p w14:paraId="4D51EFB2" w14:textId="56986926"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Accounts Payable: £300,000</w:t>
      </w:r>
    </w:p>
    <w:p w14:paraId="60459500" w14:textId="1AEEF6F5" w:rsidR="00C47DB5" w:rsidRPr="00ED0163" w:rsidRDefault="00C47DB5" w:rsidP="00C47DB5">
      <w:pPr>
        <w:spacing w:line="360" w:lineRule="auto"/>
        <w:jc w:val="both"/>
        <w:rPr>
          <w:rFonts w:ascii="Arial" w:hAnsi="Arial" w:cs="Arial"/>
          <w:b/>
          <w:bCs/>
          <w:sz w:val="24"/>
          <w:szCs w:val="24"/>
        </w:rPr>
      </w:pPr>
      <w:r w:rsidRPr="00360D1A">
        <w:rPr>
          <w:rFonts w:ascii="Arial" w:hAnsi="Arial" w:cs="Arial"/>
          <w:b/>
          <w:bCs/>
          <w:sz w:val="24"/>
          <w:szCs w:val="24"/>
        </w:rPr>
        <w:t>Quick ratio (202</w:t>
      </w:r>
      <w:r w:rsidRPr="00360D1A">
        <w:rPr>
          <w:rFonts w:ascii="Arial" w:hAnsi="Arial" w:cs="Arial"/>
          <w:b/>
          <w:bCs/>
          <w:sz w:val="24"/>
          <w:szCs w:val="24"/>
        </w:rPr>
        <w:t>3</w:t>
      </w:r>
      <w:r w:rsidRPr="00360D1A">
        <w:rPr>
          <w:rFonts w:ascii="Arial" w:hAnsi="Arial" w:cs="Arial"/>
          <w:b/>
          <w:bCs/>
          <w:sz w:val="24"/>
          <w:szCs w:val="24"/>
        </w:rPr>
        <w:t>)=</w:t>
      </w:r>
      <m:oMath>
        <m:f>
          <m:fPr>
            <m:ctrlPr>
              <w:rPr>
                <w:rFonts w:ascii="Cambria Math" w:hAnsi="Cambria Math" w:cs="Arial"/>
                <w:b/>
                <w:bCs/>
                <w:i/>
                <w:sz w:val="24"/>
                <w:szCs w:val="24"/>
              </w:rPr>
            </m:ctrlPr>
          </m:fPr>
          <m:num>
            <m:r>
              <m:rPr>
                <m:sty m:val="bi"/>
              </m:rPr>
              <w:rPr>
                <w:rFonts w:ascii="Cambria Math" w:hAnsi="Cambria Math" w:cs="Arial"/>
                <w:sz w:val="24"/>
                <w:szCs w:val="24"/>
              </w:rPr>
              <m:t xml:space="preserve">Current assets </m:t>
            </m:r>
          </m:num>
          <m:den>
            <m:r>
              <m:rPr>
                <m:sty m:val="bi"/>
              </m:rPr>
              <w:rPr>
                <w:rFonts w:ascii="Cambria Math" w:hAnsi="Cambria Math" w:cs="Arial"/>
                <w:sz w:val="24"/>
                <w:szCs w:val="24"/>
              </w:rPr>
              <m:t>Current liabilities</m:t>
            </m:r>
          </m:den>
        </m:f>
      </m:oMath>
      <w:r w:rsidRPr="00360D1A">
        <w:rPr>
          <w:rFonts w:ascii="Arial" w:eastAsiaTheme="minorEastAsia" w:hAnsi="Arial" w:cs="Arial"/>
          <w:b/>
          <w:bCs/>
          <w:sz w:val="24"/>
          <w:szCs w:val="24"/>
        </w:rPr>
        <w:t>=</w:t>
      </w:r>
      <m:oMath>
        <m:f>
          <m:fPr>
            <m:ctrlPr>
              <w:rPr>
                <w:rFonts w:ascii="Cambria Math" w:hAnsi="Cambria Math" w:cs="Arial"/>
                <w:b/>
                <w:bCs/>
                <w:i/>
                <w:sz w:val="24"/>
                <w:szCs w:val="24"/>
              </w:rPr>
            </m:ctrlPr>
          </m:fPr>
          <m:num>
            <m:r>
              <m:rPr>
                <m:sty m:val="bi"/>
              </m:rPr>
              <w:rPr>
                <w:rFonts w:ascii="Cambria Math" w:hAnsi="Cambria Math" w:cs="Arial"/>
                <w:sz w:val="24"/>
                <w:szCs w:val="24"/>
              </w:rPr>
              <m:t>£</m:t>
            </m:r>
            <m:r>
              <m:rPr>
                <m:sty m:val="bi"/>
              </m:rPr>
              <w:rPr>
                <w:rFonts w:ascii="Cambria Math" w:hAnsi="Cambria Math" w:cs="Arial"/>
                <w:sz w:val="24"/>
                <w:szCs w:val="24"/>
              </w:rPr>
              <m:t>18</m:t>
            </m:r>
            <m:r>
              <m:rPr>
                <m:sty m:val="bi"/>
              </m:rPr>
              <w:rPr>
                <w:rFonts w:ascii="Cambria Math" w:hAnsi="Cambria Math" w:cs="Arial"/>
                <w:sz w:val="24"/>
                <w:szCs w:val="24"/>
              </w:rPr>
              <m:t xml:space="preserve">0,000 </m:t>
            </m:r>
          </m:num>
          <m:den>
            <m:r>
              <m:rPr>
                <m:sty m:val="bi"/>
              </m:rPr>
              <w:rPr>
                <w:rFonts w:ascii="Cambria Math" w:hAnsi="Cambria Math" w:cs="Arial"/>
                <w:sz w:val="24"/>
                <w:szCs w:val="24"/>
              </w:rPr>
              <m:t>£</m:t>
            </m:r>
            <m:r>
              <m:rPr>
                <m:sty m:val="bi"/>
              </m:rPr>
              <w:rPr>
                <w:rFonts w:ascii="Cambria Math" w:hAnsi="Cambria Math" w:cs="Arial"/>
                <w:sz w:val="24"/>
                <w:szCs w:val="24"/>
              </w:rPr>
              <m:t>30</m:t>
            </m:r>
            <m:r>
              <m:rPr>
                <m:sty m:val="bi"/>
              </m:rPr>
              <w:rPr>
                <w:rFonts w:ascii="Cambria Math" w:hAnsi="Cambria Math" w:cs="Arial"/>
                <w:sz w:val="24"/>
                <w:szCs w:val="24"/>
              </w:rPr>
              <m:t>0,000</m:t>
            </m:r>
          </m:den>
        </m:f>
      </m:oMath>
      <w:r w:rsidRPr="00360D1A">
        <w:rPr>
          <w:rFonts w:ascii="Arial" w:eastAsiaTheme="minorEastAsia" w:hAnsi="Arial" w:cs="Arial"/>
          <w:b/>
          <w:bCs/>
          <w:sz w:val="24"/>
          <w:szCs w:val="24"/>
        </w:rPr>
        <w:t>=</w:t>
      </w:r>
      <w:r w:rsidRPr="00360D1A">
        <w:rPr>
          <w:rFonts w:ascii="Arial" w:eastAsiaTheme="minorEastAsia" w:hAnsi="Arial" w:cs="Arial"/>
          <w:b/>
          <w:bCs/>
          <w:sz w:val="24"/>
          <w:szCs w:val="24"/>
        </w:rPr>
        <w:t>0.6</w:t>
      </w:r>
    </w:p>
    <w:p w14:paraId="19B463EE" w14:textId="77777777" w:rsidR="00077169" w:rsidRPr="00360D1A" w:rsidRDefault="00077169" w:rsidP="00C47DB5">
      <w:pPr>
        <w:spacing w:line="360" w:lineRule="auto"/>
        <w:jc w:val="both"/>
        <w:rPr>
          <w:rFonts w:ascii="Arial" w:hAnsi="Arial" w:cs="Arial"/>
          <w:sz w:val="24"/>
          <w:szCs w:val="24"/>
        </w:rPr>
      </w:pPr>
    </w:p>
    <w:p w14:paraId="541E84BB" w14:textId="18BE9BBE" w:rsidR="00077169"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Return on assets(2021) =</w:t>
      </w:r>
      <w:bookmarkStart w:id="8" w:name="_Hlk168593724"/>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 xml:space="preserve">Total assets </m:t>
            </m:r>
          </m:den>
        </m:f>
      </m:oMath>
      <w:r w:rsidRPr="00360D1A">
        <w:rPr>
          <w:rFonts w:ascii="Arial" w:eastAsiaTheme="minorEastAsia" w:hAnsi="Arial" w:cs="Arial"/>
          <w:sz w:val="24"/>
          <w:szCs w:val="24"/>
        </w:rPr>
        <w:t>=</w:t>
      </w:r>
      <w:bookmarkEnd w:id="8"/>
      <m:oMath>
        <m:f>
          <m:fPr>
            <m:ctrlPr>
              <w:rPr>
                <w:rFonts w:ascii="Cambria Math" w:hAnsi="Cambria Math" w:cs="Arial"/>
                <w:i/>
                <w:sz w:val="24"/>
                <w:szCs w:val="24"/>
              </w:rPr>
            </m:ctrlPr>
          </m:fPr>
          <m:num>
            <m:r>
              <w:rPr>
                <w:rFonts w:ascii="Cambria Math" w:hAnsi="Cambria Math" w:cs="Arial"/>
                <w:sz w:val="24"/>
                <w:szCs w:val="24"/>
              </w:rPr>
              <m:t>£700,000</m:t>
            </m:r>
          </m:num>
          <m:den>
            <m:r>
              <w:rPr>
                <w:rFonts w:ascii="Cambria Math" w:hAnsi="Cambria Math" w:cs="Arial"/>
                <w:sz w:val="24"/>
                <w:szCs w:val="24"/>
              </w:rPr>
              <m:t>£5,450,000</m:t>
            </m:r>
          </m:den>
        </m:f>
      </m:oMath>
      <w:r w:rsidRPr="00360D1A">
        <w:rPr>
          <w:rFonts w:ascii="Arial" w:eastAsiaTheme="minorEastAsia" w:hAnsi="Arial" w:cs="Arial"/>
          <w:sz w:val="24"/>
          <w:szCs w:val="24"/>
        </w:rPr>
        <w:t>=</w:t>
      </w:r>
      <w:r w:rsidRPr="00360D1A">
        <w:rPr>
          <w:rFonts w:ascii="Arial" w:eastAsiaTheme="minorEastAsia" w:hAnsi="Arial" w:cs="Arial"/>
          <w:sz w:val="24"/>
          <w:szCs w:val="24"/>
        </w:rPr>
        <w:t>0.12</w:t>
      </w:r>
    </w:p>
    <w:p w14:paraId="763CE232" w14:textId="2AB613A1" w:rsidR="00C47DB5" w:rsidRPr="00360D1A" w:rsidRDefault="00C47DB5" w:rsidP="00C47DB5">
      <w:pPr>
        <w:spacing w:line="360" w:lineRule="auto"/>
        <w:jc w:val="both"/>
        <w:rPr>
          <w:rFonts w:ascii="Arial" w:hAnsi="Arial" w:cs="Arial"/>
          <w:sz w:val="24"/>
          <w:szCs w:val="24"/>
        </w:rPr>
      </w:pPr>
      <w:r w:rsidRPr="00360D1A">
        <w:rPr>
          <w:rFonts w:ascii="Arial" w:hAnsi="Arial" w:cs="Arial"/>
          <w:sz w:val="24"/>
          <w:szCs w:val="24"/>
        </w:rPr>
        <w:t>Return on assets(202</w:t>
      </w:r>
      <w:r w:rsidRPr="00360D1A">
        <w:rPr>
          <w:rFonts w:ascii="Arial" w:hAnsi="Arial" w:cs="Arial"/>
          <w:sz w:val="24"/>
          <w:szCs w:val="24"/>
        </w:rPr>
        <w:t>2</w:t>
      </w:r>
      <w:r w:rsidRPr="00360D1A">
        <w:rPr>
          <w:rFonts w:ascii="Arial" w:hAnsi="Arial" w:cs="Arial"/>
          <w:sz w:val="24"/>
          <w:szCs w:val="24"/>
        </w:rPr>
        <w:t>) =</w:t>
      </w:r>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 xml:space="preserve">Total assets </m:t>
            </m:r>
          </m:den>
        </m:f>
      </m:oMath>
      <w:r w:rsidRPr="00360D1A">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m:t>
            </m:r>
            <m:r>
              <w:rPr>
                <w:rFonts w:ascii="Cambria Math" w:hAnsi="Cambria Math" w:cs="Arial"/>
                <w:sz w:val="24"/>
                <w:szCs w:val="24"/>
              </w:rPr>
              <m:t>2</m:t>
            </m:r>
            <m:r>
              <w:rPr>
                <w:rFonts w:ascii="Cambria Math" w:hAnsi="Cambria Math" w:cs="Arial"/>
                <w:sz w:val="24"/>
                <w:szCs w:val="24"/>
              </w:rPr>
              <m:t>00,000</m:t>
            </m:r>
          </m:num>
          <m:den>
            <m:r>
              <w:rPr>
                <w:rFonts w:ascii="Cambria Math" w:hAnsi="Cambria Math" w:cs="Arial"/>
                <w:sz w:val="24"/>
                <w:szCs w:val="24"/>
              </w:rPr>
              <m:t>£5,</m:t>
            </m:r>
            <m:r>
              <w:rPr>
                <w:rFonts w:ascii="Cambria Math" w:hAnsi="Cambria Math" w:cs="Arial"/>
                <w:sz w:val="24"/>
                <w:szCs w:val="24"/>
              </w:rPr>
              <m:t>10</m:t>
            </m:r>
            <m:r>
              <w:rPr>
                <w:rFonts w:ascii="Cambria Math" w:hAnsi="Cambria Math" w:cs="Arial"/>
                <w:sz w:val="24"/>
                <w:szCs w:val="24"/>
              </w:rPr>
              <m:t>0,000</m:t>
            </m:r>
          </m:den>
        </m:f>
      </m:oMath>
      <w:r w:rsidRPr="00360D1A">
        <w:rPr>
          <w:rFonts w:ascii="Arial" w:eastAsiaTheme="minorEastAsia" w:hAnsi="Arial" w:cs="Arial"/>
          <w:sz w:val="24"/>
          <w:szCs w:val="24"/>
        </w:rPr>
        <w:t>=</w:t>
      </w:r>
      <w:r w:rsidRPr="00360D1A">
        <w:rPr>
          <w:rFonts w:ascii="Arial" w:eastAsiaTheme="minorEastAsia" w:hAnsi="Arial" w:cs="Arial"/>
          <w:sz w:val="24"/>
          <w:szCs w:val="24"/>
        </w:rPr>
        <w:t>0.03</w:t>
      </w:r>
    </w:p>
    <w:p w14:paraId="2438A6D9" w14:textId="6F6C061F" w:rsidR="00C47DB5" w:rsidRPr="00360D1A" w:rsidRDefault="00C47DB5" w:rsidP="00C47DB5">
      <w:pPr>
        <w:spacing w:line="360" w:lineRule="auto"/>
        <w:jc w:val="both"/>
        <w:rPr>
          <w:rFonts w:ascii="Arial" w:eastAsiaTheme="minorEastAsia" w:hAnsi="Arial" w:cs="Arial"/>
          <w:sz w:val="24"/>
          <w:szCs w:val="24"/>
        </w:rPr>
      </w:pPr>
      <w:r w:rsidRPr="00360D1A">
        <w:rPr>
          <w:rFonts w:ascii="Arial" w:hAnsi="Arial" w:cs="Arial"/>
          <w:sz w:val="24"/>
          <w:szCs w:val="24"/>
        </w:rPr>
        <w:t>Return on assets(202</w:t>
      </w:r>
      <w:r w:rsidRPr="00360D1A">
        <w:rPr>
          <w:rFonts w:ascii="Arial" w:hAnsi="Arial" w:cs="Arial"/>
          <w:sz w:val="24"/>
          <w:szCs w:val="24"/>
        </w:rPr>
        <w:t>3</w:t>
      </w:r>
      <w:r w:rsidRPr="00360D1A">
        <w:rPr>
          <w:rFonts w:ascii="Arial" w:hAnsi="Arial" w:cs="Arial"/>
          <w:sz w:val="24"/>
          <w:szCs w:val="24"/>
        </w:rPr>
        <w:t>) =</w:t>
      </w:r>
      <m:oMath>
        <m:f>
          <m:fPr>
            <m:ctrlPr>
              <w:rPr>
                <w:rFonts w:ascii="Cambria Math" w:hAnsi="Cambria Math" w:cs="Arial"/>
                <w:i/>
                <w:sz w:val="24"/>
                <w:szCs w:val="24"/>
              </w:rPr>
            </m:ctrlPr>
          </m:fPr>
          <m:num>
            <m:r>
              <w:rPr>
                <w:rFonts w:ascii="Cambria Math" w:hAnsi="Cambria Math" w:cs="Arial"/>
                <w:sz w:val="24"/>
                <w:szCs w:val="24"/>
              </w:rPr>
              <m:t>Net income</m:t>
            </m:r>
          </m:num>
          <m:den>
            <m:r>
              <w:rPr>
                <w:rFonts w:ascii="Cambria Math" w:hAnsi="Cambria Math" w:cs="Arial"/>
                <w:sz w:val="24"/>
                <w:szCs w:val="24"/>
              </w:rPr>
              <m:t xml:space="preserve">Total assets </m:t>
            </m:r>
          </m:den>
        </m:f>
      </m:oMath>
      <w:r w:rsidRPr="00360D1A">
        <w:rPr>
          <w:rFonts w:ascii="Arial" w:eastAsiaTheme="minorEastAsia" w:hAnsi="Arial" w:cs="Arial"/>
          <w:sz w:val="24"/>
          <w:szCs w:val="24"/>
        </w:rPr>
        <w:t>=</w:t>
      </w:r>
      <m:oMath>
        <m:f>
          <m:fPr>
            <m:ctrlPr>
              <w:rPr>
                <w:rFonts w:ascii="Cambria Math" w:hAnsi="Cambria Math" w:cs="Arial"/>
                <w:i/>
                <w:sz w:val="24"/>
                <w:szCs w:val="24"/>
              </w:rPr>
            </m:ctrlPr>
          </m:fPr>
          <m:num>
            <m:r>
              <w:rPr>
                <w:rFonts w:ascii="Cambria Math" w:hAnsi="Cambria Math" w:cs="Arial"/>
                <w:sz w:val="24"/>
                <w:szCs w:val="24"/>
              </w:rPr>
              <m:t>£</m:t>
            </m:r>
            <m:r>
              <w:rPr>
                <w:rFonts w:ascii="Cambria Math" w:hAnsi="Cambria Math" w:cs="Arial"/>
                <w:sz w:val="24"/>
                <w:szCs w:val="24"/>
              </w:rPr>
              <m:t>(5</m:t>
            </m:r>
            <m:r>
              <w:rPr>
                <w:rFonts w:ascii="Cambria Math" w:hAnsi="Cambria Math" w:cs="Arial"/>
                <w:sz w:val="24"/>
                <w:szCs w:val="24"/>
              </w:rPr>
              <m:t>00,000</m:t>
            </m:r>
            <m:r>
              <w:rPr>
                <w:rFonts w:ascii="Cambria Math" w:hAnsi="Cambria Math" w:cs="Arial"/>
                <w:sz w:val="24"/>
                <w:szCs w:val="24"/>
              </w:rPr>
              <m:t>)</m:t>
            </m:r>
          </m:num>
          <m:den>
            <m:r>
              <w:rPr>
                <w:rFonts w:ascii="Cambria Math" w:hAnsi="Cambria Math" w:cs="Arial"/>
                <w:sz w:val="24"/>
                <w:szCs w:val="24"/>
              </w:rPr>
              <m:t>£</m:t>
            </m:r>
            <m:r>
              <w:rPr>
                <w:rFonts w:ascii="Cambria Math" w:hAnsi="Cambria Math" w:cs="Arial"/>
                <w:sz w:val="24"/>
                <w:szCs w:val="24"/>
              </w:rPr>
              <m:t>4</m:t>
            </m:r>
            <m:r>
              <w:rPr>
                <w:rFonts w:ascii="Cambria Math" w:hAnsi="Cambria Math" w:cs="Arial"/>
                <w:sz w:val="24"/>
                <w:szCs w:val="24"/>
              </w:rPr>
              <m:t>,</m:t>
            </m:r>
            <m:r>
              <w:rPr>
                <w:rFonts w:ascii="Cambria Math" w:hAnsi="Cambria Math" w:cs="Arial"/>
                <w:sz w:val="24"/>
                <w:szCs w:val="24"/>
              </w:rPr>
              <m:t>68</m:t>
            </m:r>
            <m:r>
              <w:rPr>
                <w:rFonts w:ascii="Cambria Math" w:hAnsi="Cambria Math" w:cs="Arial"/>
                <w:sz w:val="24"/>
                <w:szCs w:val="24"/>
              </w:rPr>
              <m:t>0,000</m:t>
            </m:r>
          </m:den>
        </m:f>
      </m:oMath>
      <w:r w:rsidRPr="00360D1A">
        <w:rPr>
          <w:rFonts w:ascii="Arial" w:eastAsiaTheme="minorEastAsia" w:hAnsi="Arial" w:cs="Arial"/>
          <w:sz w:val="24"/>
          <w:szCs w:val="24"/>
        </w:rPr>
        <w:t>=</w:t>
      </w:r>
      <w:r w:rsidR="00C163C0" w:rsidRPr="00360D1A">
        <w:rPr>
          <w:rFonts w:ascii="Arial" w:eastAsiaTheme="minorEastAsia" w:hAnsi="Arial" w:cs="Arial"/>
          <w:sz w:val="24"/>
          <w:szCs w:val="24"/>
        </w:rPr>
        <w:t>(0.10)</w:t>
      </w:r>
    </w:p>
    <w:p w14:paraId="43D17EBC" w14:textId="77777777" w:rsidR="00C163C0" w:rsidRPr="00360D1A" w:rsidRDefault="00C163C0" w:rsidP="00C47DB5">
      <w:pPr>
        <w:spacing w:line="360" w:lineRule="auto"/>
        <w:jc w:val="both"/>
        <w:rPr>
          <w:rFonts w:ascii="Arial" w:eastAsiaTheme="minorEastAsia" w:hAnsi="Arial" w:cs="Arial"/>
          <w:sz w:val="24"/>
          <w:szCs w:val="24"/>
        </w:rPr>
      </w:pPr>
    </w:p>
    <w:p w14:paraId="7C92BE8C" w14:textId="36D96142" w:rsidR="00C163C0" w:rsidRPr="00360D1A" w:rsidRDefault="00C163C0" w:rsidP="00C47DB5">
      <w:pPr>
        <w:spacing w:line="360" w:lineRule="auto"/>
        <w:jc w:val="both"/>
        <w:rPr>
          <w:rFonts w:ascii="Arial" w:hAnsi="Arial" w:cs="Arial"/>
          <w:b/>
          <w:bCs/>
          <w:sz w:val="24"/>
          <w:szCs w:val="24"/>
        </w:rPr>
      </w:pPr>
      <w:r w:rsidRPr="00360D1A">
        <w:rPr>
          <w:rFonts w:ascii="Arial" w:eastAsiaTheme="minorEastAsia" w:hAnsi="Arial" w:cs="Arial"/>
          <w:b/>
          <w:bCs/>
          <w:sz w:val="24"/>
          <w:szCs w:val="24"/>
        </w:rPr>
        <w:t>ROE(2021)=</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Net income</m:t>
            </m:r>
          </m:num>
          <m:den>
            <m:r>
              <m:rPr>
                <m:sty m:val="bi"/>
              </m:rPr>
              <w:rPr>
                <w:rFonts w:ascii="Cambria Math" w:eastAsiaTheme="minorEastAsia" w:hAnsi="Cambria Math" w:cs="Arial"/>
                <w:sz w:val="24"/>
                <w:szCs w:val="24"/>
              </w:rPr>
              <m:t>Shareholder equity</m:t>
            </m:r>
          </m:den>
        </m:f>
      </m:oMath>
      <w:r w:rsidRPr="00360D1A">
        <w:rPr>
          <w:rFonts w:ascii="Arial" w:eastAsiaTheme="minorEastAsia" w:hAnsi="Arial" w:cs="Arial"/>
          <w:b/>
          <w:bCs/>
          <w:sz w:val="24"/>
          <w:szCs w:val="24"/>
        </w:rPr>
        <w:t>=</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£700,000</m:t>
            </m:r>
          </m:num>
          <m:den>
            <m:r>
              <m:rPr>
                <m:sty m:val="bi"/>
              </m:rPr>
              <w:rPr>
                <w:rFonts w:ascii="Cambria Math" w:eastAsiaTheme="minorEastAsia" w:hAnsi="Cambria Math" w:cs="Arial"/>
                <w:sz w:val="24"/>
                <w:szCs w:val="24"/>
              </w:rPr>
              <m:t>£2,200,000</m:t>
            </m:r>
          </m:den>
        </m:f>
      </m:oMath>
      <w:r w:rsidR="00F932F8" w:rsidRPr="00360D1A">
        <w:rPr>
          <w:rFonts w:ascii="Arial" w:eastAsiaTheme="minorEastAsia" w:hAnsi="Arial" w:cs="Arial"/>
          <w:b/>
          <w:bCs/>
          <w:sz w:val="24"/>
          <w:szCs w:val="24"/>
        </w:rPr>
        <w:t>=</w:t>
      </w:r>
      <w:r w:rsidR="00F932F8" w:rsidRPr="00360D1A">
        <w:rPr>
          <w:rFonts w:ascii="Arial" w:eastAsiaTheme="minorEastAsia" w:hAnsi="Arial" w:cs="Arial"/>
          <w:b/>
          <w:bCs/>
          <w:sz w:val="24"/>
          <w:szCs w:val="24"/>
        </w:rPr>
        <w:t>0.31</w:t>
      </w:r>
    </w:p>
    <w:p w14:paraId="1936A83A" w14:textId="77777777" w:rsidR="00077169" w:rsidRPr="00360D1A" w:rsidRDefault="00077169" w:rsidP="00077169">
      <w:pPr>
        <w:spacing w:line="360" w:lineRule="auto"/>
        <w:jc w:val="center"/>
        <w:rPr>
          <w:rFonts w:ascii="Arial" w:hAnsi="Arial" w:cs="Arial"/>
          <w:sz w:val="24"/>
          <w:szCs w:val="24"/>
        </w:rPr>
      </w:pPr>
    </w:p>
    <w:p w14:paraId="1CAB48CB" w14:textId="7C6DF74D" w:rsidR="00077169" w:rsidRPr="00360D1A" w:rsidRDefault="00C163C0" w:rsidP="00C163C0">
      <w:pPr>
        <w:spacing w:line="360" w:lineRule="auto"/>
        <w:jc w:val="both"/>
        <w:rPr>
          <w:rFonts w:ascii="Arial" w:hAnsi="Arial" w:cs="Arial"/>
          <w:sz w:val="24"/>
          <w:szCs w:val="24"/>
        </w:rPr>
      </w:pPr>
      <w:r w:rsidRPr="00360D1A">
        <w:rPr>
          <w:rFonts w:ascii="Arial" w:hAnsi="Arial" w:cs="Arial"/>
          <w:sz w:val="24"/>
          <w:szCs w:val="24"/>
        </w:rPr>
        <w:t>Shareholder equity= Total assets -Total liabilities =£5,450,000-£3,250,000=</w:t>
      </w:r>
      <w:r w:rsidR="00F932F8" w:rsidRPr="00360D1A">
        <w:rPr>
          <w:rFonts w:ascii="Arial" w:hAnsi="Arial" w:cs="Arial"/>
          <w:sz w:val="24"/>
          <w:szCs w:val="24"/>
        </w:rPr>
        <w:t>£2,200,000</w:t>
      </w:r>
    </w:p>
    <w:p w14:paraId="278989E6" w14:textId="5F3401B6" w:rsidR="00F932F8" w:rsidRPr="00360D1A" w:rsidRDefault="00F932F8" w:rsidP="00F932F8">
      <w:pPr>
        <w:spacing w:line="360" w:lineRule="auto"/>
        <w:jc w:val="both"/>
        <w:rPr>
          <w:rFonts w:ascii="Arial" w:hAnsi="Arial" w:cs="Arial"/>
          <w:b/>
          <w:bCs/>
          <w:sz w:val="24"/>
          <w:szCs w:val="24"/>
        </w:rPr>
      </w:pPr>
      <w:r w:rsidRPr="00360D1A">
        <w:rPr>
          <w:rFonts w:ascii="Arial" w:eastAsiaTheme="minorEastAsia" w:hAnsi="Arial" w:cs="Arial"/>
          <w:b/>
          <w:bCs/>
          <w:sz w:val="24"/>
          <w:szCs w:val="24"/>
        </w:rPr>
        <w:t>ROE(202</w:t>
      </w:r>
      <w:r w:rsidRPr="00360D1A">
        <w:rPr>
          <w:rFonts w:ascii="Arial" w:eastAsiaTheme="minorEastAsia" w:hAnsi="Arial" w:cs="Arial"/>
          <w:b/>
          <w:bCs/>
          <w:sz w:val="24"/>
          <w:szCs w:val="24"/>
        </w:rPr>
        <w:t>2</w:t>
      </w:r>
      <w:r w:rsidRPr="00360D1A">
        <w:rPr>
          <w:rFonts w:ascii="Arial" w:eastAsiaTheme="minorEastAsia" w:hAnsi="Arial" w:cs="Arial"/>
          <w:b/>
          <w:bCs/>
          <w:sz w:val="24"/>
          <w:szCs w:val="24"/>
        </w:rPr>
        <w:t>)=</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Net income</m:t>
            </m:r>
          </m:num>
          <m:den>
            <m:r>
              <m:rPr>
                <m:sty m:val="bi"/>
              </m:rPr>
              <w:rPr>
                <w:rFonts w:ascii="Cambria Math" w:eastAsiaTheme="minorEastAsia" w:hAnsi="Cambria Math" w:cs="Arial"/>
                <w:sz w:val="24"/>
                <w:szCs w:val="24"/>
              </w:rPr>
              <m:t>Shareholder equity</m:t>
            </m:r>
          </m:den>
        </m:f>
      </m:oMath>
      <w:r w:rsidRPr="00360D1A">
        <w:rPr>
          <w:rFonts w:ascii="Arial" w:eastAsiaTheme="minorEastAsia" w:hAnsi="Arial" w:cs="Arial"/>
          <w:b/>
          <w:bCs/>
          <w:sz w:val="24"/>
          <w:szCs w:val="24"/>
        </w:rPr>
        <w:t>=</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£200,000</m:t>
            </m:r>
          </m:num>
          <m:den>
            <m:r>
              <m:rPr>
                <m:sty m:val="bi"/>
              </m:rPr>
              <w:rPr>
                <w:rFonts w:ascii="Cambria Math" w:eastAsiaTheme="minorEastAsia" w:hAnsi="Cambria Math" w:cs="Arial"/>
                <w:sz w:val="24"/>
                <w:szCs w:val="24"/>
              </w:rPr>
              <m:t>£1,830,000</m:t>
            </m:r>
          </m:den>
        </m:f>
      </m:oMath>
      <w:r w:rsidRPr="00360D1A">
        <w:rPr>
          <w:rFonts w:ascii="Arial" w:eastAsiaTheme="minorEastAsia" w:hAnsi="Arial" w:cs="Arial"/>
          <w:b/>
          <w:bCs/>
          <w:sz w:val="24"/>
          <w:szCs w:val="24"/>
        </w:rPr>
        <w:t>=0.</w:t>
      </w:r>
      <w:r w:rsidRPr="00360D1A">
        <w:rPr>
          <w:rFonts w:ascii="Arial" w:eastAsiaTheme="minorEastAsia" w:hAnsi="Arial" w:cs="Arial"/>
          <w:b/>
          <w:bCs/>
          <w:sz w:val="24"/>
          <w:szCs w:val="24"/>
        </w:rPr>
        <w:t>10</w:t>
      </w:r>
    </w:p>
    <w:p w14:paraId="102819EF" w14:textId="44B6A4A6" w:rsidR="00077169" w:rsidRPr="00360D1A" w:rsidRDefault="00F932F8" w:rsidP="00F932F8">
      <w:pPr>
        <w:spacing w:line="360" w:lineRule="auto"/>
        <w:jc w:val="both"/>
        <w:rPr>
          <w:rFonts w:ascii="Arial" w:hAnsi="Arial" w:cs="Arial"/>
          <w:sz w:val="24"/>
          <w:szCs w:val="24"/>
        </w:rPr>
      </w:pPr>
      <w:r w:rsidRPr="00360D1A">
        <w:rPr>
          <w:rFonts w:ascii="Arial" w:hAnsi="Arial" w:cs="Arial"/>
          <w:sz w:val="24"/>
          <w:szCs w:val="24"/>
        </w:rPr>
        <w:t>Shareholder equity= Total assets -Total liabilities =£5,</w:t>
      </w:r>
      <w:r w:rsidRPr="00360D1A">
        <w:rPr>
          <w:rFonts w:ascii="Arial" w:hAnsi="Arial" w:cs="Arial"/>
          <w:sz w:val="24"/>
          <w:szCs w:val="24"/>
        </w:rPr>
        <w:t>10</w:t>
      </w:r>
      <w:r w:rsidRPr="00360D1A">
        <w:rPr>
          <w:rFonts w:ascii="Arial" w:hAnsi="Arial" w:cs="Arial"/>
          <w:sz w:val="24"/>
          <w:szCs w:val="24"/>
        </w:rPr>
        <w:t>0,000-£3,2</w:t>
      </w:r>
      <w:r w:rsidRPr="00360D1A">
        <w:rPr>
          <w:rFonts w:ascii="Arial" w:hAnsi="Arial" w:cs="Arial"/>
          <w:sz w:val="24"/>
          <w:szCs w:val="24"/>
        </w:rPr>
        <w:t>7</w:t>
      </w:r>
      <w:r w:rsidRPr="00360D1A">
        <w:rPr>
          <w:rFonts w:ascii="Arial" w:hAnsi="Arial" w:cs="Arial"/>
          <w:sz w:val="24"/>
          <w:szCs w:val="24"/>
        </w:rPr>
        <w:t>0,000=£</w:t>
      </w:r>
      <w:r w:rsidRPr="00360D1A">
        <w:rPr>
          <w:rFonts w:ascii="Arial" w:hAnsi="Arial" w:cs="Arial"/>
          <w:sz w:val="24"/>
          <w:szCs w:val="24"/>
        </w:rPr>
        <w:t>1,830,000</w:t>
      </w:r>
    </w:p>
    <w:p w14:paraId="0E713AD3" w14:textId="51CB2E0E" w:rsidR="00F932F8" w:rsidRPr="00360D1A" w:rsidRDefault="00F932F8" w:rsidP="00F932F8">
      <w:pPr>
        <w:spacing w:line="360" w:lineRule="auto"/>
        <w:jc w:val="both"/>
        <w:rPr>
          <w:rFonts w:ascii="Arial" w:hAnsi="Arial" w:cs="Arial"/>
          <w:b/>
          <w:bCs/>
          <w:sz w:val="24"/>
          <w:szCs w:val="24"/>
        </w:rPr>
      </w:pPr>
      <w:r w:rsidRPr="00360D1A">
        <w:rPr>
          <w:rFonts w:ascii="Arial" w:eastAsiaTheme="minorEastAsia" w:hAnsi="Arial" w:cs="Arial"/>
          <w:b/>
          <w:bCs/>
          <w:sz w:val="24"/>
          <w:szCs w:val="24"/>
        </w:rPr>
        <w:t>ROE(202</w:t>
      </w:r>
      <w:r w:rsidRPr="00360D1A">
        <w:rPr>
          <w:rFonts w:ascii="Arial" w:eastAsiaTheme="minorEastAsia" w:hAnsi="Arial" w:cs="Arial"/>
          <w:b/>
          <w:bCs/>
          <w:sz w:val="24"/>
          <w:szCs w:val="24"/>
        </w:rPr>
        <w:t>3</w:t>
      </w:r>
      <w:r w:rsidRPr="00360D1A">
        <w:rPr>
          <w:rFonts w:ascii="Arial" w:eastAsiaTheme="minorEastAsia" w:hAnsi="Arial" w:cs="Arial"/>
          <w:b/>
          <w:bCs/>
          <w:sz w:val="24"/>
          <w:szCs w:val="24"/>
        </w:rPr>
        <w:t>)=</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Net income</m:t>
            </m:r>
          </m:num>
          <m:den>
            <m:r>
              <m:rPr>
                <m:sty m:val="bi"/>
              </m:rPr>
              <w:rPr>
                <w:rFonts w:ascii="Cambria Math" w:eastAsiaTheme="minorEastAsia" w:hAnsi="Cambria Math" w:cs="Arial"/>
                <w:sz w:val="24"/>
                <w:szCs w:val="24"/>
              </w:rPr>
              <m:t>Shareholder equity</m:t>
            </m:r>
          </m:den>
        </m:f>
      </m:oMath>
      <w:r w:rsidRPr="00360D1A">
        <w:rPr>
          <w:rFonts w:ascii="Arial" w:eastAsiaTheme="minorEastAsia" w:hAnsi="Arial" w:cs="Arial"/>
          <w:b/>
          <w:bCs/>
          <w:sz w:val="24"/>
          <w:szCs w:val="24"/>
        </w:rPr>
        <w:t>=</w:t>
      </w:r>
      <m:oMath>
        <m:f>
          <m:fPr>
            <m:ctrlPr>
              <w:rPr>
                <w:rFonts w:ascii="Cambria Math" w:eastAsiaTheme="minorEastAsia" w:hAnsi="Cambria Math" w:cs="Arial"/>
                <w:b/>
                <w:bCs/>
                <w:i/>
                <w:sz w:val="24"/>
                <w:szCs w:val="24"/>
              </w:rPr>
            </m:ctrlPr>
          </m:fPr>
          <m:num>
            <m:r>
              <m:rPr>
                <m:sty m:val="bi"/>
              </m:rPr>
              <w:rPr>
                <w:rFonts w:ascii="Cambria Math" w:eastAsiaTheme="minorEastAsia" w:hAnsi="Cambria Math" w:cs="Arial"/>
                <w:sz w:val="24"/>
                <w:szCs w:val="24"/>
              </w:rPr>
              <m:t>£</m:t>
            </m:r>
            <m:r>
              <m:rPr>
                <m:sty m:val="bi"/>
              </m:rPr>
              <w:rPr>
                <w:rFonts w:ascii="Cambria Math" w:eastAsiaTheme="minorEastAsia" w:hAnsi="Cambria Math" w:cs="Arial"/>
                <w:sz w:val="24"/>
                <w:szCs w:val="24"/>
              </w:rPr>
              <m:t>(5</m:t>
            </m:r>
            <m:r>
              <m:rPr>
                <m:sty m:val="bi"/>
              </m:rPr>
              <w:rPr>
                <w:rFonts w:ascii="Cambria Math" w:eastAsiaTheme="minorEastAsia" w:hAnsi="Cambria Math" w:cs="Arial"/>
                <w:sz w:val="24"/>
                <w:szCs w:val="24"/>
              </w:rPr>
              <m:t>00,000</m:t>
            </m:r>
            <m:r>
              <m:rPr>
                <m:sty m:val="bi"/>
              </m:rPr>
              <w:rPr>
                <w:rFonts w:ascii="Cambria Math" w:eastAsiaTheme="minorEastAsia" w:hAnsi="Cambria Math" w:cs="Arial"/>
                <w:sz w:val="24"/>
                <w:szCs w:val="24"/>
              </w:rPr>
              <m:t>)</m:t>
            </m:r>
          </m:num>
          <m:den>
            <m:r>
              <m:rPr>
                <m:sty m:val="bi"/>
              </m:rPr>
              <w:rPr>
                <w:rFonts w:ascii="Cambria Math" w:eastAsiaTheme="minorEastAsia" w:hAnsi="Cambria Math" w:cs="Arial"/>
                <w:sz w:val="24"/>
                <w:szCs w:val="24"/>
              </w:rPr>
              <m:t>£1,</m:t>
            </m:r>
            <m:r>
              <m:rPr>
                <m:sty m:val="bi"/>
              </m:rPr>
              <w:rPr>
                <w:rFonts w:ascii="Cambria Math" w:eastAsiaTheme="minorEastAsia" w:hAnsi="Cambria Math" w:cs="Arial"/>
                <w:sz w:val="24"/>
                <w:szCs w:val="24"/>
              </w:rPr>
              <m:t>38</m:t>
            </m:r>
            <m:r>
              <m:rPr>
                <m:sty m:val="bi"/>
              </m:rPr>
              <w:rPr>
                <w:rFonts w:ascii="Cambria Math" w:eastAsiaTheme="minorEastAsia" w:hAnsi="Cambria Math" w:cs="Arial"/>
                <w:sz w:val="24"/>
                <w:szCs w:val="24"/>
              </w:rPr>
              <m:t>0,000</m:t>
            </m:r>
          </m:den>
        </m:f>
      </m:oMath>
      <w:r w:rsidRPr="00360D1A">
        <w:rPr>
          <w:rFonts w:ascii="Arial" w:eastAsiaTheme="minorEastAsia" w:hAnsi="Arial" w:cs="Arial"/>
          <w:b/>
          <w:bCs/>
          <w:sz w:val="24"/>
          <w:szCs w:val="24"/>
        </w:rPr>
        <w:t>=</w:t>
      </w:r>
      <w:r w:rsidR="00EC13D0" w:rsidRPr="00360D1A">
        <w:rPr>
          <w:rFonts w:ascii="Arial" w:eastAsiaTheme="minorEastAsia" w:hAnsi="Arial" w:cs="Arial"/>
          <w:b/>
          <w:bCs/>
          <w:sz w:val="24"/>
          <w:szCs w:val="24"/>
        </w:rPr>
        <w:t>(0.36)</w:t>
      </w:r>
    </w:p>
    <w:p w14:paraId="28EA6F25" w14:textId="0420782B" w:rsidR="00F932F8" w:rsidRPr="00360D1A" w:rsidRDefault="00F932F8" w:rsidP="00F932F8">
      <w:pPr>
        <w:spacing w:line="360" w:lineRule="auto"/>
        <w:jc w:val="both"/>
        <w:rPr>
          <w:rFonts w:ascii="Arial" w:hAnsi="Arial" w:cs="Arial"/>
          <w:sz w:val="24"/>
          <w:szCs w:val="24"/>
        </w:rPr>
      </w:pPr>
      <w:r w:rsidRPr="00360D1A">
        <w:rPr>
          <w:rFonts w:ascii="Arial" w:hAnsi="Arial" w:cs="Arial"/>
          <w:sz w:val="24"/>
          <w:szCs w:val="24"/>
        </w:rPr>
        <w:t>Shareholder equity= Total assets -Total liabilities =£</w:t>
      </w:r>
      <w:r w:rsidR="00EC13D0" w:rsidRPr="00360D1A">
        <w:rPr>
          <w:rFonts w:ascii="Arial" w:hAnsi="Arial" w:cs="Arial"/>
          <w:sz w:val="24"/>
          <w:szCs w:val="24"/>
        </w:rPr>
        <w:t>4</w:t>
      </w:r>
      <w:r w:rsidRPr="00360D1A">
        <w:rPr>
          <w:rFonts w:ascii="Arial" w:hAnsi="Arial" w:cs="Arial"/>
          <w:sz w:val="24"/>
          <w:szCs w:val="24"/>
        </w:rPr>
        <w:t>,</w:t>
      </w:r>
      <w:r w:rsidR="00EC13D0" w:rsidRPr="00360D1A">
        <w:rPr>
          <w:rFonts w:ascii="Arial" w:hAnsi="Arial" w:cs="Arial"/>
          <w:sz w:val="24"/>
          <w:szCs w:val="24"/>
        </w:rPr>
        <w:t>68</w:t>
      </w:r>
      <w:r w:rsidRPr="00360D1A">
        <w:rPr>
          <w:rFonts w:ascii="Arial" w:hAnsi="Arial" w:cs="Arial"/>
          <w:sz w:val="24"/>
          <w:szCs w:val="24"/>
        </w:rPr>
        <w:t>0,000-£3,</w:t>
      </w:r>
      <w:r w:rsidR="00EC13D0" w:rsidRPr="00360D1A">
        <w:rPr>
          <w:rFonts w:ascii="Arial" w:hAnsi="Arial" w:cs="Arial"/>
          <w:sz w:val="24"/>
          <w:szCs w:val="24"/>
        </w:rPr>
        <w:t>30</w:t>
      </w:r>
      <w:r w:rsidRPr="00360D1A">
        <w:rPr>
          <w:rFonts w:ascii="Arial" w:hAnsi="Arial" w:cs="Arial"/>
          <w:sz w:val="24"/>
          <w:szCs w:val="24"/>
        </w:rPr>
        <w:t>0,000=£1,</w:t>
      </w:r>
      <w:r w:rsidR="00EC13D0" w:rsidRPr="00360D1A">
        <w:rPr>
          <w:rFonts w:ascii="Arial" w:hAnsi="Arial" w:cs="Arial"/>
          <w:sz w:val="24"/>
          <w:szCs w:val="24"/>
        </w:rPr>
        <w:t>38</w:t>
      </w:r>
      <w:r w:rsidRPr="00360D1A">
        <w:rPr>
          <w:rFonts w:ascii="Arial" w:hAnsi="Arial" w:cs="Arial"/>
          <w:sz w:val="24"/>
          <w:szCs w:val="24"/>
        </w:rPr>
        <w:t>0,000</w:t>
      </w:r>
    </w:p>
    <w:p w14:paraId="1F387C8B" w14:textId="77777777" w:rsidR="00077169" w:rsidRPr="00360D1A" w:rsidRDefault="00077169" w:rsidP="00077169">
      <w:pPr>
        <w:spacing w:line="360" w:lineRule="auto"/>
        <w:jc w:val="center"/>
        <w:rPr>
          <w:rFonts w:ascii="Arial" w:hAnsi="Arial" w:cs="Arial"/>
          <w:sz w:val="24"/>
          <w:szCs w:val="24"/>
        </w:rPr>
      </w:pPr>
    </w:p>
    <w:p w14:paraId="30574F31" w14:textId="77777777" w:rsidR="00077169" w:rsidRPr="00360D1A" w:rsidRDefault="00077169" w:rsidP="00077169">
      <w:pPr>
        <w:spacing w:line="360" w:lineRule="auto"/>
        <w:jc w:val="center"/>
        <w:rPr>
          <w:rFonts w:ascii="Arial" w:hAnsi="Arial" w:cs="Arial"/>
          <w:sz w:val="24"/>
          <w:szCs w:val="24"/>
        </w:rPr>
      </w:pPr>
    </w:p>
    <w:p w14:paraId="4AD8024D" w14:textId="77777777" w:rsidR="00077169" w:rsidRPr="00360D1A" w:rsidRDefault="00077169" w:rsidP="00077169">
      <w:pPr>
        <w:spacing w:line="360" w:lineRule="auto"/>
        <w:jc w:val="center"/>
        <w:rPr>
          <w:rFonts w:ascii="Arial" w:hAnsi="Arial" w:cs="Arial"/>
          <w:sz w:val="24"/>
          <w:szCs w:val="24"/>
        </w:rPr>
      </w:pPr>
    </w:p>
    <w:p w14:paraId="4FB8E49C" w14:textId="77777777" w:rsidR="00077169" w:rsidRPr="00360D1A" w:rsidRDefault="00077169" w:rsidP="00077169">
      <w:pPr>
        <w:spacing w:line="360" w:lineRule="auto"/>
        <w:jc w:val="center"/>
        <w:rPr>
          <w:rFonts w:ascii="Arial" w:hAnsi="Arial" w:cs="Arial"/>
          <w:sz w:val="24"/>
          <w:szCs w:val="24"/>
        </w:rPr>
      </w:pPr>
    </w:p>
    <w:p w14:paraId="0CBAC563" w14:textId="77777777" w:rsidR="00077169" w:rsidRPr="00360D1A" w:rsidRDefault="00077169" w:rsidP="00077169">
      <w:pPr>
        <w:spacing w:line="360" w:lineRule="auto"/>
        <w:jc w:val="center"/>
        <w:rPr>
          <w:rFonts w:ascii="Arial" w:hAnsi="Arial" w:cs="Arial"/>
          <w:sz w:val="24"/>
          <w:szCs w:val="24"/>
        </w:rPr>
      </w:pPr>
    </w:p>
    <w:p w14:paraId="6631593C" w14:textId="77777777" w:rsidR="00077169" w:rsidRPr="00360D1A" w:rsidRDefault="00077169" w:rsidP="00077169">
      <w:pPr>
        <w:spacing w:line="360" w:lineRule="auto"/>
        <w:jc w:val="center"/>
        <w:rPr>
          <w:rFonts w:ascii="Arial" w:hAnsi="Arial" w:cs="Arial"/>
          <w:sz w:val="24"/>
          <w:szCs w:val="24"/>
        </w:rPr>
      </w:pPr>
    </w:p>
    <w:p w14:paraId="43DC6A97" w14:textId="77777777" w:rsidR="00077169" w:rsidRPr="00360D1A" w:rsidRDefault="00077169" w:rsidP="00077169">
      <w:pPr>
        <w:spacing w:line="360" w:lineRule="auto"/>
        <w:jc w:val="center"/>
        <w:rPr>
          <w:rFonts w:ascii="Arial" w:hAnsi="Arial" w:cs="Arial"/>
          <w:sz w:val="24"/>
          <w:szCs w:val="24"/>
        </w:rPr>
      </w:pPr>
    </w:p>
    <w:p w14:paraId="5612EC55" w14:textId="77777777" w:rsidR="00077169" w:rsidRPr="00360D1A" w:rsidRDefault="00077169" w:rsidP="00077169">
      <w:pPr>
        <w:spacing w:line="360" w:lineRule="auto"/>
        <w:jc w:val="center"/>
        <w:rPr>
          <w:rFonts w:ascii="Arial" w:hAnsi="Arial" w:cs="Arial"/>
          <w:sz w:val="24"/>
          <w:szCs w:val="24"/>
        </w:rPr>
      </w:pPr>
    </w:p>
    <w:p w14:paraId="6136A9DC" w14:textId="77777777" w:rsidR="00077169" w:rsidRPr="00360D1A" w:rsidRDefault="00077169" w:rsidP="00077169">
      <w:pPr>
        <w:spacing w:line="360" w:lineRule="auto"/>
        <w:jc w:val="center"/>
        <w:rPr>
          <w:rFonts w:ascii="Arial" w:hAnsi="Arial" w:cs="Arial"/>
          <w:sz w:val="24"/>
          <w:szCs w:val="24"/>
        </w:rPr>
      </w:pPr>
    </w:p>
    <w:p w14:paraId="0E36E07F" w14:textId="77777777" w:rsidR="00077169" w:rsidRPr="00360D1A" w:rsidRDefault="00077169" w:rsidP="00077169">
      <w:pPr>
        <w:spacing w:line="360" w:lineRule="auto"/>
        <w:jc w:val="center"/>
        <w:rPr>
          <w:rFonts w:ascii="Arial" w:hAnsi="Arial" w:cs="Arial"/>
          <w:sz w:val="24"/>
          <w:szCs w:val="24"/>
        </w:rPr>
      </w:pPr>
    </w:p>
    <w:p w14:paraId="79C611FA" w14:textId="77777777" w:rsidR="00077169" w:rsidRPr="00360D1A" w:rsidRDefault="00077169" w:rsidP="00077169">
      <w:pPr>
        <w:spacing w:line="360" w:lineRule="auto"/>
        <w:jc w:val="center"/>
        <w:rPr>
          <w:rFonts w:ascii="Arial" w:hAnsi="Arial" w:cs="Arial"/>
          <w:sz w:val="24"/>
          <w:szCs w:val="24"/>
        </w:rPr>
      </w:pPr>
    </w:p>
    <w:p w14:paraId="7FC70FCD" w14:textId="77777777" w:rsidR="00077169" w:rsidRPr="00360D1A" w:rsidRDefault="00077169" w:rsidP="00077169">
      <w:pPr>
        <w:spacing w:line="360" w:lineRule="auto"/>
        <w:jc w:val="center"/>
        <w:rPr>
          <w:rFonts w:ascii="Arial" w:hAnsi="Arial" w:cs="Arial"/>
          <w:sz w:val="24"/>
          <w:szCs w:val="24"/>
        </w:rPr>
      </w:pPr>
    </w:p>
    <w:p w14:paraId="73F82386" w14:textId="77777777" w:rsidR="00077169" w:rsidRDefault="00077169" w:rsidP="00077169">
      <w:pPr>
        <w:spacing w:line="360" w:lineRule="auto"/>
        <w:jc w:val="center"/>
        <w:rPr>
          <w:rFonts w:ascii="Arial" w:hAnsi="Arial" w:cs="Arial"/>
          <w:sz w:val="24"/>
          <w:szCs w:val="24"/>
        </w:rPr>
      </w:pPr>
    </w:p>
    <w:p w14:paraId="385D36E3" w14:textId="77777777" w:rsidR="00077169" w:rsidRDefault="00077169" w:rsidP="00077169">
      <w:pPr>
        <w:spacing w:line="360" w:lineRule="auto"/>
        <w:jc w:val="center"/>
        <w:rPr>
          <w:rFonts w:ascii="Arial" w:hAnsi="Arial" w:cs="Arial"/>
          <w:sz w:val="24"/>
          <w:szCs w:val="24"/>
        </w:rPr>
      </w:pPr>
    </w:p>
    <w:p w14:paraId="4982CC24" w14:textId="77777777" w:rsidR="00077169" w:rsidRPr="00077169" w:rsidRDefault="00077169" w:rsidP="00077169">
      <w:pPr>
        <w:spacing w:line="360" w:lineRule="auto"/>
        <w:jc w:val="center"/>
        <w:rPr>
          <w:rFonts w:ascii="Arial" w:hAnsi="Arial" w:cs="Arial"/>
          <w:sz w:val="24"/>
          <w:szCs w:val="24"/>
        </w:rPr>
      </w:pPr>
    </w:p>
    <w:p w14:paraId="7ABE0017" w14:textId="77777777" w:rsidR="00B151A8" w:rsidRDefault="00B151A8"/>
    <w:sectPr w:rsidR="00B151A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8A667C" w14:textId="77777777" w:rsidR="000A5843" w:rsidRDefault="000A5843" w:rsidP="00077169">
      <w:pPr>
        <w:spacing w:after="0" w:line="240" w:lineRule="auto"/>
      </w:pPr>
      <w:r>
        <w:separator/>
      </w:r>
    </w:p>
  </w:endnote>
  <w:endnote w:type="continuationSeparator" w:id="0">
    <w:p w14:paraId="7184520B" w14:textId="77777777" w:rsidR="000A5843" w:rsidRDefault="000A5843" w:rsidP="00077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107277"/>
      <w:docPartObj>
        <w:docPartGallery w:val="Page Numbers (Bottom of Page)"/>
        <w:docPartUnique/>
      </w:docPartObj>
    </w:sdtPr>
    <w:sdtEndPr>
      <w:rPr>
        <w:noProof/>
      </w:rPr>
    </w:sdtEndPr>
    <w:sdtContent>
      <w:p w14:paraId="6812611F" w14:textId="327BCA29" w:rsidR="00077169" w:rsidRDefault="000771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CAEB1D" w14:textId="77777777" w:rsidR="00077169" w:rsidRDefault="00077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5B8D4D" w14:textId="77777777" w:rsidR="000A5843" w:rsidRDefault="000A5843" w:rsidP="00077169">
      <w:pPr>
        <w:spacing w:after="0" w:line="240" w:lineRule="auto"/>
      </w:pPr>
      <w:r>
        <w:separator/>
      </w:r>
    </w:p>
  </w:footnote>
  <w:footnote w:type="continuationSeparator" w:id="0">
    <w:p w14:paraId="2DD95984" w14:textId="77777777" w:rsidR="000A5843" w:rsidRDefault="000A5843" w:rsidP="00077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EA14FD"/>
    <w:multiLevelType w:val="hybridMultilevel"/>
    <w:tmpl w:val="E41EE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3070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169"/>
    <w:rsid w:val="00077169"/>
    <w:rsid w:val="000A5843"/>
    <w:rsid w:val="00177333"/>
    <w:rsid w:val="00344F66"/>
    <w:rsid w:val="00360D1A"/>
    <w:rsid w:val="004A14C6"/>
    <w:rsid w:val="006822E1"/>
    <w:rsid w:val="006E5FAE"/>
    <w:rsid w:val="007877C7"/>
    <w:rsid w:val="007B0CC3"/>
    <w:rsid w:val="00803CBF"/>
    <w:rsid w:val="009809FD"/>
    <w:rsid w:val="00B151A8"/>
    <w:rsid w:val="00C163C0"/>
    <w:rsid w:val="00C47DB5"/>
    <w:rsid w:val="00C82D1F"/>
    <w:rsid w:val="00C95FE3"/>
    <w:rsid w:val="00E338B8"/>
    <w:rsid w:val="00EC13D0"/>
    <w:rsid w:val="00ED0163"/>
    <w:rsid w:val="00F50C64"/>
    <w:rsid w:val="00F60FBD"/>
    <w:rsid w:val="00F93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13C93"/>
  <w15:chartTrackingRefBased/>
  <w15:docId w15:val="{41E2E7BB-129D-43B5-9D5E-F805FF37F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169"/>
    <w:pPr>
      <w:spacing w:line="256" w:lineRule="auto"/>
    </w:pPr>
  </w:style>
  <w:style w:type="paragraph" w:styleId="Heading1">
    <w:name w:val="heading 1"/>
    <w:basedOn w:val="Normal"/>
    <w:next w:val="Normal"/>
    <w:link w:val="Heading1Char"/>
    <w:uiPriority w:val="9"/>
    <w:qFormat/>
    <w:rsid w:val="007B0CC3"/>
    <w:pPr>
      <w:keepNext/>
      <w:keepLines/>
      <w:spacing w:before="240" w:after="0" w:line="259"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077169"/>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169"/>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169"/>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169"/>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169"/>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169"/>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169"/>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169"/>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0771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1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1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1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1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1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1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169"/>
    <w:rPr>
      <w:rFonts w:eastAsiaTheme="majorEastAsia" w:cstheme="majorBidi"/>
      <w:color w:val="272727" w:themeColor="text1" w:themeTint="D8"/>
    </w:rPr>
  </w:style>
  <w:style w:type="paragraph" w:styleId="Title">
    <w:name w:val="Title"/>
    <w:basedOn w:val="Normal"/>
    <w:next w:val="Normal"/>
    <w:link w:val="TitleChar"/>
    <w:uiPriority w:val="10"/>
    <w:qFormat/>
    <w:rsid w:val="000771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1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169"/>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1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169"/>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077169"/>
    <w:rPr>
      <w:i/>
      <w:iCs/>
      <w:color w:val="404040" w:themeColor="text1" w:themeTint="BF"/>
    </w:rPr>
  </w:style>
  <w:style w:type="paragraph" w:styleId="ListParagraph">
    <w:name w:val="List Paragraph"/>
    <w:basedOn w:val="Normal"/>
    <w:uiPriority w:val="34"/>
    <w:qFormat/>
    <w:rsid w:val="00077169"/>
    <w:pPr>
      <w:spacing w:line="259" w:lineRule="auto"/>
      <w:ind w:left="720"/>
      <w:contextualSpacing/>
    </w:pPr>
  </w:style>
  <w:style w:type="character" w:styleId="IntenseEmphasis">
    <w:name w:val="Intense Emphasis"/>
    <w:basedOn w:val="DefaultParagraphFont"/>
    <w:uiPriority w:val="21"/>
    <w:qFormat/>
    <w:rsid w:val="00077169"/>
    <w:rPr>
      <w:i/>
      <w:iCs/>
      <w:color w:val="0F4761" w:themeColor="accent1" w:themeShade="BF"/>
    </w:rPr>
  </w:style>
  <w:style w:type="paragraph" w:styleId="IntenseQuote">
    <w:name w:val="Intense Quote"/>
    <w:basedOn w:val="Normal"/>
    <w:next w:val="Normal"/>
    <w:link w:val="IntenseQuoteChar"/>
    <w:uiPriority w:val="30"/>
    <w:qFormat/>
    <w:rsid w:val="00077169"/>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7169"/>
    <w:rPr>
      <w:i/>
      <w:iCs/>
      <w:color w:val="0F4761" w:themeColor="accent1" w:themeShade="BF"/>
    </w:rPr>
  </w:style>
  <w:style w:type="character" w:styleId="IntenseReference">
    <w:name w:val="Intense Reference"/>
    <w:basedOn w:val="DefaultParagraphFont"/>
    <w:uiPriority w:val="32"/>
    <w:qFormat/>
    <w:rsid w:val="00077169"/>
    <w:rPr>
      <w:b/>
      <w:bCs/>
      <w:smallCaps/>
      <w:color w:val="0F4761" w:themeColor="accent1" w:themeShade="BF"/>
      <w:spacing w:val="5"/>
    </w:rPr>
  </w:style>
  <w:style w:type="paragraph" w:styleId="Header">
    <w:name w:val="header"/>
    <w:basedOn w:val="Normal"/>
    <w:link w:val="HeaderChar"/>
    <w:uiPriority w:val="99"/>
    <w:unhideWhenUsed/>
    <w:rsid w:val="00077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169"/>
  </w:style>
  <w:style w:type="paragraph" w:styleId="Footer">
    <w:name w:val="footer"/>
    <w:basedOn w:val="Normal"/>
    <w:link w:val="FooterChar"/>
    <w:uiPriority w:val="99"/>
    <w:unhideWhenUsed/>
    <w:rsid w:val="00077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169"/>
  </w:style>
  <w:style w:type="character" w:styleId="PlaceholderText">
    <w:name w:val="Placeholder Text"/>
    <w:basedOn w:val="DefaultParagraphFont"/>
    <w:uiPriority w:val="99"/>
    <w:semiHidden/>
    <w:rsid w:val="00C47DB5"/>
    <w:rPr>
      <w:color w:val="666666"/>
    </w:rPr>
  </w:style>
  <w:style w:type="paragraph" w:styleId="NormalWeb">
    <w:name w:val="Normal (Web)"/>
    <w:basedOn w:val="Normal"/>
    <w:uiPriority w:val="99"/>
    <w:unhideWhenUsed/>
    <w:rsid w:val="009809F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809FD"/>
    <w:rPr>
      <w:color w:val="467886" w:themeColor="hyperlink"/>
      <w:u w:val="single"/>
    </w:rPr>
  </w:style>
  <w:style w:type="character" w:styleId="UnresolvedMention">
    <w:name w:val="Unresolved Mention"/>
    <w:basedOn w:val="DefaultParagraphFont"/>
    <w:uiPriority w:val="99"/>
    <w:semiHidden/>
    <w:unhideWhenUsed/>
    <w:rsid w:val="009809FD"/>
    <w:rPr>
      <w:color w:val="605E5C"/>
      <w:shd w:val="clear" w:color="auto" w:fill="E1DFDD"/>
    </w:rPr>
  </w:style>
  <w:style w:type="paragraph" w:styleId="TOCHeading">
    <w:name w:val="TOC Heading"/>
    <w:basedOn w:val="Heading1"/>
    <w:next w:val="Normal"/>
    <w:uiPriority w:val="39"/>
    <w:unhideWhenUsed/>
    <w:qFormat/>
    <w:rsid w:val="00360D1A"/>
    <w:pPr>
      <w:outlineLvl w:val="9"/>
    </w:pPr>
    <w:rPr>
      <w:kern w:val="0"/>
      <w:lang w:val="en-US"/>
      <w14:ligatures w14:val="none"/>
    </w:rPr>
  </w:style>
  <w:style w:type="paragraph" w:styleId="TOC1">
    <w:name w:val="toc 1"/>
    <w:basedOn w:val="Normal"/>
    <w:next w:val="Normal"/>
    <w:autoRedefine/>
    <w:uiPriority w:val="39"/>
    <w:unhideWhenUsed/>
    <w:rsid w:val="00360D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492051">
      <w:bodyDiv w:val="1"/>
      <w:marLeft w:val="0"/>
      <w:marRight w:val="0"/>
      <w:marTop w:val="0"/>
      <w:marBottom w:val="0"/>
      <w:divBdr>
        <w:top w:val="none" w:sz="0" w:space="0" w:color="auto"/>
        <w:left w:val="none" w:sz="0" w:space="0" w:color="auto"/>
        <w:bottom w:val="none" w:sz="0" w:space="0" w:color="auto"/>
        <w:right w:val="none" w:sz="0" w:space="0" w:color="auto"/>
      </w:divBdr>
    </w:div>
    <w:div w:id="418840767">
      <w:bodyDiv w:val="1"/>
      <w:marLeft w:val="0"/>
      <w:marRight w:val="0"/>
      <w:marTop w:val="0"/>
      <w:marBottom w:val="0"/>
      <w:divBdr>
        <w:top w:val="none" w:sz="0" w:space="0" w:color="auto"/>
        <w:left w:val="none" w:sz="0" w:space="0" w:color="auto"/>
        <w:bottom w:val="none" w:sz="0" w:space="0" w:color="auto"/>
        <w:right w:val="none" w:sz="0" w:space="0" w:color="auto"/>
      </w:divBdr>
    </w:div>
    <w:div w:id="504782999">
      <w:bodyDiv w:val="1"/>
      <w:marLeft w:val="0"/>
      <w:marRight w:val="0"/>
      <w:marTop w:val="0"/>
      <w:marBottom w:val="0"/>
      <w:divBdr>
        <w:top w:val="none" w:sz="0" w:space="0" w:color="auto"/>
        <w:left w:val="none" w:sz="0" w:space="0" w:color="auto"/>
        <w:bottom w:val="none" w:sz="0" w:space="0" w:color="auto"/>
        <w:right w:val="none" w:sz="0" w:space="0" w:color="auto"/>
      </w:divBdr>
    </w:div>
    <w:div w:id="636834978">
      <w:bodyDiv w:val="1"/>
      <w:marLeft w:val="0"/>
      <w:marRight w:val="0"/>
      <w:marTop w:val="0"/>
      <w:marBottom w:val="0"/>
      <w:divBdr>
        <w:top w:val="none" w:sz="0" w:space="0" w:color="auto"/>
        <w:left w:val="none" w:sz="0" w:space="0" w:color="auto"/>
        <w:bottom w:val="none" w:sz="0" w:space="0" w:color="auto"/>
        <w:right w:val="none" w:sz="0" w:space="0" w:color="auto"/>
      </w:divBdr>
    </w:div>
    <w:div w:id="691303713">
      <w:bodyDiv w:val="1"/>
      <w:marLeft w:val="0"/>
      <w:marRight w:val="0"/>
      <w:marTop w:val="0"/>
      <w:marBottom w:val="0"/>
      <w:divBdr>
        <w:top w:val="none" w:sz="0" w:space="0" w:color="auto"/>
        <w:left w:val="none" w:sz="0" w:space="0" w:color="auto"/>
        <w:bottom w:val="none" w:sz="0" w:space="0" w:color="auto"/>
        <w:right w:val="none" w:sz="0" w:space="0" w:color="auto"/>
      </w:divBdr>
    </w:div>
    <w:div w:id="807823309">
      <w:bodyDiv w:val="1"/>
      <w:marLeft w:val="0"/>
      <w:marRight w:val="0"/>
      <w:marTop w:val="0"/>
      <w:marBottom w:val="0"/>
      <w:divBdr>
        <w:top w:val="none" w:sz="0" w:space="0" w:color="auto"/>
        <w:left w:val="none" w:sz="0" w:space="0" w:color="auto"/>
        <w:bottom w:val="none" w:sz="0" w:space="0" w:color="auto"/>
        <w:right w:val="none" w:sz="0" w:space="0" w:color="auto"/>
      </w:divBdr>
    </w:div>
    <w:div w:id="940453775">
      <w:bodyDiv w:val="1"/>
      <w:marLeft w:val="0"/>
      <w:marRight w:val="0"/>
      <w:marTop w:val="0"/>
      <w:marBottom w:val="0"/>
      <w:divBdr>
        <w:top w:val="none" w:sz="0" w:space="0" w:color="auto"/>
        <w:left w:val="none" w:sz="0" w:space="0" w:color="auto"/>
        <w:bottom w:val="none" w:sz="0" w:space="0" w:color="auto"/>
        <w:right w:val="none" w:sz="0" w:space="0" w:color="auto"/>
      </w:divBdr>
    </w:div>
    <w:div w:id="970669373">
      <w:bodyDiv w:val="1"/>
      <w:marLeft w:val="0"/>
      <w:marRight w:val="0"/>
      <w:marTop w:val="0"/>
      <w:marBottom w:val="0"/>
      <w:divBdr>
        <w:top w:val="none" w:sz="0" w:space="0" w:color="auto"/>
        <w:left w:val="none" w:sz="0" w:space="0" w:color="auto"/>
        <w:bottom w:val="none" w:sz="0" w:space="0" w:color="auto"/>
        <w:right w:val="none" w:sz="0" w:space="0" w:color="auto"/>
      </w:divBdr>
    </w:div>
    <w:div w:id="1133407515">
      <w:bodyDiv w:val="1"/>
      <w:marLeft w:val="0"/>
      <w:marRight w:val="0"/>
      <w:marTop w:val="0"/>
      <w:marBottom w:val="0"/>
      <w:divBdr>
        <w:top w:val="none" w:sz="0" w:space="0" w:color="auto"/>
        <w:left w:val="none" w:sz="0" w:space="0" w:color="auto"/>
        <w:bottom w:val="none" w:sz="0" w:space="0" w:color="auto"/>
        <w:right w:val="none" w:sz="0" w:space="0" w:color="auto"/>
      </w:divBdr>
    </w:div>
    <w:div w:id="1239822477">
      <w:bodyDiv w:val="1"/>
      <w:marLeft w:val="0"/>
      <w:marRight w:val="0"/>
      <w:marTop w:val="0"/>
      <w:marBottom w:val="0"/>
      <w:divBdr>
        <w:top w:val="none" w:sz="0" w:space="0" w:color="auto"/>
        <w:left w:val="none" w:sz="0" w:space="0" w:color="auto"/>
        <w:bottom w:val="none" w:sz="0" w:space="0" w:color="auto"/>
        <w:right w:val="none" w:sz="0" w:space="0" w:color="auto"/>
      </w:divBdr>
    </w:div>
    <w:div w:id="1313561519">
      <w:bodyDiv w:val="1"/>
      <w:marLeft w:val="0"/>
      <w:marRight w:val="0"/>
      <w:marTop w:val="0"/>
      <w:marBottom w:val="0"/>
      <w:divBdr>
        <w:top w:val="none" w:sz="0" w:space="0" w:color="auto"/>
        <w:left w:val="none" w:sz="0" w:space="0" w:color="auto"/>
        <w:bottom w:val="none" w:sz="0" w:space="0" w:color="auto"/>
        <w:right w:val="none" w:sz="0" w:space="0" w:color="auto"/>
      </w:divBdr>
    </w:div>
    <w:div w:id="1317801749">
      <w:bodyDiv w:val="1"/>
      <w:marLeft w:val="0"/>
      <w:marRight w:val="0"/>
      <w:marTop w:val="0"/>
      <w:marBottom w:val="0"/>
      <w:divBdr>
        <w:top w:val="none" w:sz="0" w:space="0" w:color="auto"/>
        <w:left w:val="none" w:sz="0" w:space="0" w:color="auto"/>
        <w:bottom w:val="none" w:sz="0" w:space="0" w:color="auto"/>
        <w:right w:val="none" w:sz="0" w:space="0" w:color="auto"/>
      </w:divBdr>
    </w:div>
    <w:div w:id="1407997075">
      <w:bodyDiv w:val="1"/>
      <w:marLeft w:val="0"/>
      <w:marRight w:val="0"/>
      <w:marTop w:val="0"/>
      <w:marBottom w:val="0"/>
      <w:divBdr>
        <w:top w:val="none" w:sz="0" w:space="0" w:color="auto"/>
        <w:left w:val="none" w:sz="0" w:space="0" w:color="auto"/>
        <w:bottom w:val="none" w:sz="0" w:space="0" w:color="auto"/>
        <w:right w:val="none" w:sz="0" w:space="0" w:color="auto"/>
      </w:divBdr>
    </w:div>
    <w:div w:id="1454792570">
      <w:bodyDiv w:val="1"/>
      <w:marLeft w:val="0"/>
      <w:marRight w:val="0"/>
      <w:marTop w:val="0"/>
      <w:marBottom w:val="0"/>
      <w:divBdr>
        <w:top w:val="none" w:sz="0" w:space="0" w:color="auto"/>
        <w:left w:val="none" w:sz="0" w:space="0" w:color="auto"/>
        <w:bottom w:val="none" w:sz="0" w:space="0" w:color="auto"/>
        <w:right w:val="none" w:sz="0" w:space="0" w:color="auto"/>
      </w:divBdr>
    </w:div>
    <w:div w:id="1572157751">
      <w:bodyDiv w:val="1"/>
      <w:marLeft w:val="0"/>
      <w:marRight w:val="0"/>
      <w:marTop w:val="0"/>
      <w:marBottom w:val="0"/>
      <w:divBdr>
        <w:top w:val="none" w:sz="0" w:space="0" w:color="auto"/>
        <w:left w:val="none" w:sz="0" w:space="0" w:color="auto"/>
        <w:bottom w:val="none" w:sz="0" w:space="0" w:color="auto"/>
        <w:right w:val="none" w:sz="0" w:space="0" w:color="auto"/>
      </w:divBdr>
    </w:div>
    <w:div w:id="1640762074">
      <w:bodyDiv w:val="1"/>
      <w:marLeft w:val="0"/>
      <w:marRight w:val="0"/>
      <w:marTop w:val="0"/>
      <w:marBottom w:val="0"/>
      <w:divBdr>
        <w:top w:val="none" w:sz="0" w:space="0" w:color="auto"/>
        <w:left w:val="none" w:sz="0" w:space="0" w:color="auto"/>
        <w:bottom w:val="none" w:sz="0" w:space="0" w:color="auto"/>
        <w:right w:val="none" w:sz="0" w:space="0" w:color="auto"/>
      </w:divBdr>
    </w:div>
    <w:div w:id="1711759458">
      <w:bodyDiv w:val="1"/>
      <w:marLeft w:val="0"/>
      <w:marRight w:val="0"/>
      <w:marTop w:val="0"/>
      <w:marBottom w:val="0"/>
      <w:divBdr>
        <w:top w:val="none" w:sz="0" w:space="0" w:color="auto"/>
        <w:left w:val="none" w:sz="0" w:space="0" w:color="auto"/>
        <w:bottom w:val="none" w:sz="0" w:space="0" w:color="auto"/>
        <w:right w:val="none" w:sz="0" w:space="0" w:color="auto"/>
      </w:divBdr>
    </w:div>
    <w:div w:id="1887523596">
      <w:bodyDiv w:val="1"/>
      <w:marLeft w:val="0"/>
      <w:marRight w:val="0"/>
      <w:marTop w:val="0"/>
      <w:marBottom w:val="0"/>
      <w:divBdr>
        <w:top w:val="none" w:sz="0" w:space="0" w:color="auto"/>
        <w:left w:val="none" w:sz="0" w:space="0" w:color="auto"/>
        <w:bottom w:val="none" w:sz="0" w:space="0" w:color="auto"/>
        <w:right w:val="none" w:sz="0" w:space="0" w:color="auto"/>
      </w:divBdr>
    </w:div>
    <w:div w:id="1994722903">
      <w:bodyDiv w:val="1"/>
      <w:marLeft w:val="0"/>
      <w:marRight w:val="0"/>
      <w:marTop w:val="0"/>
      <w:marBottom w:val="0"/>
      <w:divBdr>
        <w:top w:val="none" w:sz="0" w:space="0" w:color="auto"/>
        <w:left w:val="none" w:sz="0" w:space="0" w:color="auto"/>
        <w:bottom w:val="none" w:sz="0" w:space="0" w:color="auto"/>
        <w:right w:val="none" w:sz="0" w:space="0" w:color="auto"/>
      </w:divBdr>
    </w:div>
    <w:div w:id="2014449689">
      <w:bodyDiv w:val="1"/>
      <w:marLeft w:val="0"/>
      <w:marRight w:val="0"/>
      <w:marTop w:val="0"/>
      <w:marBottom w:val="0"/>
      <w:divBdr>
        <w:top w:val="none" w:sz="0" w:space="0" w:color="auto"/>
        <w:left w:val="none" w:sz="0" w:space="0" w:color="auto"/>
        <w:bottom w:val="none" w:sz="0" w:space="0" w:color="auto"/>
        <w:right w:val="none" w:sz="0" w:space="0" w:color="auto"/>
      </w:divBdr>
    </w:div>
    <w:div w:id="211327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reports/addressing-skills-labour-shortages-post-brexit_tcm18-102313.pdf" TargetMode="External"/><Relationship Id="rId13" Type="http://schemas.openxmlformats.org/officeDocument/2006/relationships/hyperlink" Target="https://www.ons.gov.uk/businessindustryandtrade/tourismindust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ooks.google.co.uk/books?id=ybeTLfm26tMC&amp;newbks=0&amp;printsec=frontcover&amp;pg=PP4&amp;hl=en&amp;source=newbks_fb&amp;redir_esc=y#v=onepage&amp;q&amp;f=fal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so.hoasen.edu.vn/handle/123456789/12316" TargetMode="External"/><Relationship Id="rId5" Type="http://schemas.openxmlformats.org/officeDocument/2006/relationships/webSettings" Target="webSettings.xml"/><Relationship Id="rId15" Type="http://schemas.openxmlformats.org/officeDocument/2006/relationships/hyperlink" Target="https://thuvienso.hoasen.edu.vn/handle/123456789/11828" TargetMode="External"/><Relationship Id="rId10" Type="http://schemas.openxmlformats.org/officeDocument/2006/relationships/hyperlink" Target="https://www.mckinsey.com/industries/travel-logistics-and-infrastructure/our-insights/three-innovations-to-solve-hotel-staffing-shortages" TargetMode="External"/><Relationship Id="rId4" Type="http://schemas.openxmlformats.org/officeDocument/2006/relationships/settings" Target="settings.xml"/><Relationship Id="rId9" Type="http://schemas.openxmlformats.org/officeDocument/2006/relationships/hyperlink" Target="https://www.mckinsey.com/featured-insights/mckinsey-explainers/what-is-inflation" TargetMode="External"/><Relationship Id="rId14" Type="http://schemas.openxmlformats.org/officeDocument/2006/relationships/hyperlink" Target="https://www.ons.gov.uk/peoplepopulationandcommunity/leisureandtourism/articles/traveltrends/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466DB-0035-4B3C-BE54-7EC7467D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13</Pages>
  <Words>3313</Words>
  <Characters>18885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9</cp:revision>
  <dcterms:created xsi:type="dcterms:W3CDTF">2024-06-06T17:42:00Z</dcterms:created>
  <dcterms:modified xsi:type="dcterms:W3CDTF">2024-06-06T19:42:00Z</dcterms:modified>
</cp:coreProperties>
</file>