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3FB7A0" w14:textId="4AE72FF7" w:rsidR="00391347" w:rsidRPr="000E4DA4" w:rsidRDefault="00391347" w:rsidP="000F1D5B">
      <w:pPr>
        <w:rPr>
          <w:rFonts w:ascii="Arial" w:hAnsi="Arial" w:cs="Arial"/>
          <w:b/>
          <w:sz w:val="32"/>
          <w:szCs w:val="32"/>
        </w:rPr>
      </w:pPr>
      <w:bookmarkStart w:id="0" w:name="_GoBack"/>
      <w:bookmarkEnd w:id="0"/>
      <w:r w:rsidRPr="000E4DA4">
        <w:rPr>
          <w:rFonts w:ascii="Arial" w:hAnsi="Arial" w:cs="Arial"/>
          <w:b/>
          <w:sz w:val="32"/>
          <w:szCs w:val="32"/>
        </w:rPr>
        <w:t>Chapter 2</w:t>
      </w:r>
      <w:r w:rsidR="000F1D5B" w:rsidRPr="000E4DA4">
        <w:rPr>
          <w:rFonts w:ascii="Arial" w:hAnsi="Arial" w:cs="Arial"/>
          <w:b/>
          <w:sz w:val="32"/>
          <w:szCs w:val="32"/>
        </w:rPr>
        <w:t xml:space="preserve"> </w:t>
      </w:r>
      <w:r w:rsidRPr="000E4DA4">
        <w:rPr>
          <w:rFonts w:ascii="Arial" w:hAnsi="Arial" w:cs="Arial"/>
          <w:b/>
          <w:sz w:val="32"/>
          <w:szCs w:val="32"/>
        </w:rPr>
        <w:t xml:space="preserve">– </w:t>
      </w:r>
      <w:r w:rsidR="000E4DA4" w:rsidRPr="000E4DA4">
        <w:rPr>
          <w:rFonts w:ascii="Arial" w:hAnsi="Arial" w:cs="Arial"/>
          <w:b/>
          <w:sz w:val="32"/>
          <w:szCs w:val="32"/>
        </w:rPr>
        <w:t>Additional Case Study</w:t>
      </w:r>
      <w:r w:rsidRPr="000E4DA4">
        <w:rPr>
          <w:rFonts w:ascii="Arial" w:hAnsi="Arial" w:cs="Arial"/>
          <w:b/>
          <w:sz w:val="32"/>
          <w:szCs w:val="32"/>
        </w:rPr>
        <w:t xml:space="preserve"> </w:t>
      </w:r>
      <w:r w:rsidR="00545E72" w:rsidRPr="000E4DA4">
        <w:rPr>
          <w:rFonts w:ascii="Arial" w:hAnsi="Arial" w:cs="Arial"/>
          <w:b/>
          <w:sz w:val="32"/>
          <w:szCs w:val="32"/>
        </w:rPr>
        <w:t>(1)</w:t>
      </w:r>
    </w:p>
    <w:p w14:paraId="557430FE" w14:textId="77777777" w:rsidR="00BB02FD" w:rsidRPr="000E4DA4" w:rsidRDefault="00391347">
      <w:pPr>
        <w:rPr>
          <w:rFonts w:ascii="Arial" w:hAnsi="Arial" w:cs="Arial"/>
          <w:b/>
          <w:sz w:val="24"/>
          <w:szCs w:val="24"/>
        </w:rPr>
      </w:pPr>
      <w:r w:rsidRPr="000E4DA4">
        <w:rPr>
          <w:rFonts w:ascii="Arial" w:hAnsi="Arial" w:cs="Arial"/>
          <w:b/>
          <w:sz w:val="24"/>
          <w:szCs w:val="24"/>
        </w:rPr>
        <w:t>Dispute resolution and the role of the State</w:t>
      </w:r>
    </w:p>
    <w:p w14:paraId="65885F21" w14:textId="77777777" w:rsidR="00391347" w:rsidRPr="000E4DA4" w:rsidRDefault="00391347">
      <w:pPr>
        <w:rPr>
          <w:rFonts w:ascii="Arial" w:hAnsi="Arial" w:cs="Arial"/>
          <w:u w:val="single"/>
        </w:rPr>
      </w:pPr>
      <w:r w:rsidRPr="000E4DA4">
        <w:rPr>
          <w:rFonts w:ascii="Arial" w:hAnsi="Arial" w:cs="Arial"/>
          <w:u w:val="single"/>
        </w:rPr>
        <w:t>New Labour – Fairness at Work</w:t>
      </w:r>
    </w:p>
    <w:p w14:paraId="3BB6738B" w14:textId="77777777" w:rsidR="00967CCB" w:rsidRPr="000E4DA4" w:rsidRDefault="00391347">
      <w:pPr>
        <w:rPr>
          <w:rFonts w:ascii="Arial" w:hAnsi="Arial" w:cs="Arial"/>
        </w:rPr>
      </w:pPr>
      <w:r w:rsidRPr="000E4DA4">
        <w:rPr>
          <w:rFonts w:ascii="Arial" w:hAnsi="Arial" w:cs="Arial"/>
        </w:rPr>
        <w:t>The Labour government</w:t>
      </w:r>
      <w:r w:rsidR="00967CCB" w:rsidRPr="000E4DA4">
        <w:rPr>
          <w:rFonts w:ascii="Arial" w:hAnsi="Arial" w:cs="Arial"/>
        </w:rPr>
        <w:t>, elec</w:t>
      </w:r>
      <w:r w:rsidRPr="000E4DA4">
        <w:rPr>
          <w:rFonts w:ascii="Arial" w:hAnsi="Arial" w:cs="Arial"/>
        </w:rPr>
        <w:t>t</w:t>
      </w:r>
      <w:r w:rsidR="00967CCB" w:rsidRPr="000E4DA4">
        <w:rPr>
          <w:rFonts w:ascii="Arial" w:hAnsi="Arial" w:cs="Arial"/>
        </w:rPr>
        <w:t>e</w:t>
      </w:r>
      <w:r w:rsidRPr="000E4DA4">
        <w:rPr>
          <w:rFonts w:ascii="Arial" w:hAnsi="Arial" w:cs="Arial"/>
        </w:rPr>
        <w:t>d</w:t>
      </w:r>
      <w:r w:rsidR="00967CCB" w:rsidRPr="000E4DA4">
        <w:rPr>
          <w:rFonts w:ascii="Arial" w:hAnsi="Arial" w:cs="Arial"/>
        </w:rPr>
        <w:t xml:space="preserve"> in 1997 made a number of important changes to the system of dispute resolution in the UK. They introduced a right to accompaniment at disciplinary and grievance hearings in 1999, so that employees could request to be accompanied by either a work colleague or trade union representative. In 2004, they also introduced compulsory procedures that employers had to follow when dismissing staff or if their employees made a formal complaint. They also reduced the period (qualifying) that employees had to have worked for an employer before being able to claim unfair dismissal from 2 years to 12 months.</w:t>
      </w:r>
    </w:p>
    <w:p w14:paraId="617B6D51" w14:textId="77777777" w:rsidR="00391347" w:rsidRPr="000E4DA4" w:rsidRDefault="00967CCB">
      <w:pPr>
        <w:rPr>
          <w:rFonts w:ascii="Arial" w:hAnsi="Arial" w:cs="Arial"/>
          <w:u w:val="single"/>
        </w:rPr>
      </w:pPr>
      <w:r w:rsidRPr="000E4DA4">
        <w:rPr>
          <w:rFonts w:ascii="Arial" w:hAnsi="Arial" w:cs="Arial"/>
          <w:u w:val="single"/>
        </w:rPr>
        <w:t xml:space="preserve">The Coalition – Reducing the ‘Burdens’ to Business </w:t>
      </w:r>
    </w:p>
    <w:p w14:paraId="571DA3C0" w14:textId="77777777" w:rsidR="00967CCB" w:rsidRPr="000E4DA4" w:rsidRDefault="00967CCB">
      <w:pPr>
        <w:rPr>
          <w:rFonts w:ascii="Arial" w:hAnsi="Arial" w:cs="Arial"/>
        </w:rPr>
      </w:pPr>
      <w:r w:rsidRPr="000E4DA4">
        <w:rPr>
          <w:rFonts w:ascii="Arial" w:hAnsi="Arial" w:cs="Arial"/>
        </w:rPr>
        <w:t>The Coalition government, during its period office, attempted to reform the system of employment dispute resolution in order to reduce the number of employment tribunal applications. They introduced a number of measures. These included: individuals wanting to bring a claim against their employer to a tribunal had to pay up to £1200 to do so (previously it had been free); they returned the qualifying period for unfair dismissal claims to 2 years; and they introduced a system of early conciliation whereby all potential claimants had to notify the Advisory, Conciliation and Arbitration Service (Acas) and give them a chance to ‘conciliate’ before any claim could be lodged.</w:t>
      </w:r>
    </w:p>
    <w:p w14:paraId="271FE919" w14:textId="77777777" w:rsidR="00545E72" w:rsidRPr="000E4DA4" w:rsidRDefault="00545E72" w:rsidP="00545E72">
      <w:pPr>
        <w:pStyle w:val="ListParagraph"/>
        <w:numPr>
          <w:ilvl w:val="0"/>
          <w:numId w:val="2"/>
        </w:numPr>
        <w:rPr>
          <w:rFonts w:ascii="Arial" w:hAnsi="Arial" w:cs="Arial"/>
        </w:rPr>
      </w:pPr>
      <w:r w:rsidRPr="000E4DA4">
        <w:rPr>
          <w:rFonts w:ascii="Arial" w:hAnsi="Arial" w:cs="Arial"/>
        </w:rPr>
        <w:t>What do you think the two governments were trying to achieve with these reforms?</w:t>
      </w:r>
    </w:p>
    <w:p w14:paraId="0E3E3096" w14:textId="77777777" w:rsidR="00545E72" w:rsidRPr="000E4DA4" w:rsidRDefault="00545E72" w:rsidP="00545E72">
      <w:pPr>
        <w:pStyle w:val="ListParagraph"/>
        <w:numPr>
          <w:ilvl w:val="0"/>
          <w:numId w:val="2"/>
        </w:numPr>
        <w:rPr>
          <w:rFonts w:ascii="Arial" w:hAnsi="Arial" w:cs="Arial"/>
        </w:rPr>
      </w:pPr>
      <w:r w:rsidRPr="000E4DA4">
        <w:rPr>
          <w:rFonts w:ascii="Arial" w:hAnsi="Arial" w:cs="Arial"/>
        </w:rPr>
        <w:t>How did these objectives differ?</w:t>
      </w:r>
    </w:p>
    <w:p w14:paraId="02DAAF6E" w14:textId="77777777" w:rsidR="00545E72" w:rsidRPr="000E4DA4" w:rsidRDefault="00545E72" w:rsidP="00545E72">
      <w:pPr>
        <w:pStyle w:val="ListParagraph"/>
        <w:numPr>
          <w:ilvl w:val="0"/>
          <w:numId w:val="2"/>
        </w:numPr>
        <w:rPr>
          <w:rFonts w:ascii="Arial" w:hAnsi="Arial" w:cs="Arial"/>
        </w:rPr>
      </w:pPr>
      <w:r w:rsidRPr="000E4DA4">
        <w:rPr>
          <w:rFonts w:ascii="Arial" w:hAnsi="Arial" w:cs="Arial"/>
        </w:rPr>
        <w:t>What do these examples suggests about the interests of the State in employment relations? Is the State a neutral player in Employment relations</w:t>
      </w:r>
    </w:p>
    <w:p w14:paraId="2906D884" w14:textId="77777777" w:rsidR="000E4DA4" w:rsidRDefault="000E4DA4" w:rsidP="00545E72">
      <w:pPr>
        <w:rPr>
          <w:rFonts w:ascii="Arial" w:hAnsi="Arial" w:cs="Arial"/>
          <w:b/>
        </w:rPr>
      </w:pPr>
    </w:p>
    <w:p w14:paraId="1A88C6A3" w14:textId="77777777" w:rsidR="00545E72" w:rsidRPr="000E4DA4" w:rsidRDefault="00545E72" w:rsidP="00545E72">
      <w:pPr>
        <w:rPr>
          <w:rFonts w:ascii="Arial" w:hAnsi="Arial" w:cs="Arial"/>
        </w:rPr>
      </w:pPr>
      <w:r w:rsidRPr="000E4DA4">
        <w:rPr>
          <w:rFonts w:ascii="Arial" w:hAnsi="Arial" w:cs="Arial"/>
          <w:b/>
        </w:rPr>
        <w:t>Reading</w:t>
      </w:r>
      <w:r w:rsidRPr="000E4DA4">
        <w:rPr>
          <w:rFonts w:ascii="Arial" w:hAnsi="Arial" w:cs="Arial"/>
        </w:rPr>
        <w:t xml:space="preserve">: CBI (2013) </w:t>
      </w:r>
      <w:r w:rsidRPr="000E4DA4">
        <w:rPr>
          <w:rFonts w:ascii="Arial" w:hAnsi="Arial" w:cs="Arial"/>
          <w:i/>
        </w:rPr>
        <w:t>The right balance - delivering effective employment tribunals -</w:t>
      </w:r>
      <w:r w:rsidRPr="000E4DA4">
        <w:rPr>
          <w:rFonts w:ascii="Arial" w:hAnsi="Arial" w:cs="Arial"/>
        </w:rPr>
        <w:t xml:space="preserve"> </w:t>
      </w:r>
      <w:hyperlink r:id="rId7" w:history="1">
        <w:r w:rsidRPr="000E4DA4">
          <w:rPr>
            <w:rStyle w:val="Hyperlink"/>
            <w:rFonts w:ascii="Arial" w:hAnsi="Arial" w:cs="Arial"/>
          </w:rPr>
          <w:t>http://www.cbi.org.uk/media/2008906/the_right_balance_delivering_effective_employment_tribunals.pdf</w:t>
        </w:r>
      </w:hyperlink>
    </w:p>
    <w:p w14:paraId="0C390D1F" w14:textId="77777777" w:rsidR="00545E72" w:rsidRPr="000E4DA4" w:rsidRDefault="00545E72" w:rsidP="00545E72">
      <w:pPr>
        <w:rPr>
          <w:rFonts w:ascii="Arial" w:hAnsi="Arial" w:cs="Arial"/>
        </w:rPr>
      </w:pPr>
      <w:r w:rsidRPr="000E4DA4">
        <w:rPr>
          <w:rFonts w:ascii="Arial" w:hAnsi="Arial" w:cs="Arial"/>
        </w:rPr>
        <w:t xml:space="preserve">Hepple, B (2013) ‘Back to the Future: Employment Law under the Coalition Government’, </w:t>
      </w:r>
      <w:r w:rsidRPr="000E4DA4">
        <w:rPr>
          <w:rFonts w:ascii="Arial" w:hAnsi="Arial" w:cs="Arial"/>
          <w:i/>
          <w:iCs/>
        </w:rPr>
        <w:t>Industrial Law Journal</w:t>
      </w:r>
      <w:r w:rsidRPr="000E4DA4">
        <w:rPr>
          <w:rFonts w:ascii="Arial" w:hAnsi="Arial" w:cs="Arial"/>
        </w:rPr>
        <w:t>, Vol. 42, No.3: 203-223</w:t>
      </w:r>
    </w:p>
    <w:p w14:paraId="03B927B2" w14:textId="77777777" w:rsidR="00545E72" w:rsidRPr="000E4DA4" w:rsidRDefault="00545E72" w:rsidP="00545E72">
      <w:pPr>
        <w:rPr>
          <w:rFonts w:ascii="Arial" w:hAnsi="Arial" w:cs="Arial"/>
        </w:rPr>
      </w:pPr>
      <w:r w:rsidRPr="000E4DA4">
        <w:rPr>
          <w:rFonts w:ascii="Arial" w:hAnsi="Arial" w:cs="Arial"/>
        </w:rPr>
        <w:t xml:space="preserve">TUC (2012) </w:t>
      </w:r>
      <w:r w:rsidRPr="000E4DA4">
        <w:rPr>
          <w:rFonts w:ascii="Arial" w:hAnsi="Arial" w:cs="Arial"/>
          <w:i/>
        </w:rPr>
        <w:t>Priced Out: the impact of employment tribunal fees on access to justice - TUC response to Ministry of Justice consultation</w:t>
      </w:r>
      <w:r w:rsidRPr="000E4DA4">
        <w:rPr>
          <w:rFonts w:ascii="Arial" w:hAnsi="Arial" w:cs="Arial"/>
        </w:rPr>
        <w:t xml:space="preserve"> </w:t>
      </w:r>
      <w:hyperlink r:id="rId8" w:history="1">
        <w:r w:rsidRPr="000E4DA4">
          <w:rPr>
            <w:rStyle w:val="Hyperlink"/>
            <w:rFonts w:ascii="Arial" w:hAnsi="Arial" w:cs="Arial"/>
          </w:rPr>
          <w:t>https://www.tuc.org.uk/sites/default/files/tucfiles/pricedoutmojfeesconsultation.pdf</w:t>
        </w:r>
      </w:hyperlink>
    </w:p>
    <w:p w14:paraId="06ACF59B" w14:textId="77777777" w:rsidR="000E4DA4" w:rsidRDefault="000E4DA4" w:rsidP="00545E72">
      <w:pPr>
        <w:rPr>
          <w:rFonts w:ascii="Arial" w:hAnsi="Arial" w:cs="Arial"/>
          <w:b/>
        </w:rPr>
      </w:pPr>
    </w:p>
    <w:p w14:paraId="3456F0E2" w14:textId="77777777" w:rsidR="000E4DA4" w:rsidRDefault="000E4DA4" w:rsidP="00545E72">
      <w:pPr>
        <w:rPr>
          <w:rFonts w:ascii="Arial" w:hAnsi="Arial" w:cs="Arial"/>
          <w:b/>
        </w:rPr>
      </w:pPr>
    </w:p>
    <w:p w14:paraId="71348B70" w14:textId="2AF7DE56" w:rsidR="00545E72" w:rsidRDefault="00971ECD" w:rsidP="00545E72">
      <w:pPr>
        <w:rPr>
          <w:rFonts w:ascii="Arial" w:hAnsi="Arial" w:cs="Arial"/>
        </w:rPr>
      </w:pPr>
      <w:r w:rsidRPr="000E4DA4">
        <w:rPr>
          <w:rFonts w:ascii="Arial" w:hAnsi="Arial" w:cs="Arial"/>
          <w:b/>
        </w:rPr>
        <w:lastRenderedPageBreak/>
        <w:t xml:space="preserve">Key points: </w:t>
      </w:r>
      <w:r w:rsidR="004F74A4" w:rsidRPr="000E4DA4">
        <w:rPr>
          <w:rFonts w:ascii="Arial" w:hAnsi="Arial" w:cs="Arial"/>
        </w:rPr>
        <w:t>This case is designed to examine students’ perceptions of the interests of the State. Many students tend to argue that it depends on the government. This is partly reflected in these examples – the measures introduced by the Blair government were certainly more ‘employee friendly’ and part of an attempt to strengthen employment rights while the introduction of ET fees was clearly designed to reduce the burden of business. But, it could also be argued that the Labour changes were also introduced to increase the efficiency, and reduce the costs, of resolving difficult issues.</w:t>
      </w:r>
    </w:p>
    <w:p w14:paraId="6436F23C" w14:textId="77777777" w:rsidR="004F74A4" w:rsidRPr="00971ECD" w:rsidRDefault="004F74A4" w:rsidP="00545E72">
      <w:pPr>
        <w:rPr>
          <w:rFonts w:ascii="Arial" w:hAnsi="Arial" w:cs="Arial"/>
          <w:b/>
        </w:rPr>
      </w:pPr>
    </w:p>
    <w:sectPr w:rsidR="004F74A4" w:rsidRPr="00971ECD">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2D38AD" w14:textId="77777777" w:rsidR="00E331E1" w:rsidRDefault="00E331E1" w:rsidP="00F00D51">
      <w:pPr>
        <w:spacing w:after="0" w:line="240" w:lineRule="auto"/>
      </w:pPr>
      <w:r>
        <w:separator/>
      </w:r>
    </w:p>
  </w:endnote>
  <w:endnote w:type="continuationSeparator" w:id="0">
    <w:p w14:paraId="4926E6DF" w14:textId="77777777" w:rsidR="00E331E1" w:rsidRDefault="00E331E1" w:rsidP="00F00D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6DFE06" w14:textId="77777777" w:rsidR="00692DB5" w:rsidRPr="00421C1E" w:rsidRDefault="00692DB5" w:rsidP="00692DB5">
    <w:pPr>
      <w:rPr>
        <w:color w:val="7030A0"/>
        <w:sz w:val="24"/>
        <w:szCs w:val="24"/>
      </w:rPr>
    </w:pPr>
    <w:r>
      <w:rPr>
        <w:color w:val="7030A0"/>
      </w:rPr>
      <w:t xml:space="preserve">W </w:t>
    </w:r>
    <w:r w:rsidRPr="00421C1E">
      <w:rPr>
        <w:color w:val="7030A0"/>
        <w:sz w:val="24"/>
        <w:szCs w:val="24"/>
      </w:rPr>
      <w:t xml:space="preserve">cipd.co.uk               </w:t>
    </w:r>
    <w:r>
      <w:rPr>
        <w:color w:val="7030A0"/>
        <w:sz w:val="24"/>
        <w:szCs w:val="24"/>
      </w:rPr>
      <w:t xml:space="preserve">       </w:t>
    </w:r>
    <w:r w:rsidRPr="00421C1E">
      <w:rPr>
        <w:color w:val="7030A0"/>
        <w:sz w:val="24"/>
        <w:szCs w:val="24"/>
      </w:rPr>
      <w:t xml:space="preserve">                                                                                     </w:t>
    </w:r>
    <w:r>
      <w:rPr>
        <w:color w:val="7030A0"/>
        <w:sz w:val="24"/>
        <w:szCs w:val="24"/>
      </w:rPr>
      <w:t xml:space="preserve">          </w:t>
    </w:r>
    <w:r w:rsidRPr="00421C1E">
      <w:rPr>
        <w:color w:val="7030A0"/>
        <w:sz w:val="24"/>
        <w:szCs w:val="24"/>
      </w:rPr>
      <w:t>T</w:t>
    </w:r>
    <w:r>
      <w:rPr>
        <w:color w:val="7030A0"/>
        <w:sz w:val="20"/>
        <w:szCs w:val="20"/>
      </w:rPr>
      <w:t xml:space="preserve"> 020 8612 6200</w:t>
    </w:r>
  </w:p>
  <w:p w14:paraId="7FB7258F" w14:textId="77777777" w:rsidR="00692DB5" w:rsidRDefault="00692DB5">
    <w:pPr>
      <w:pStyle w:val="Footer"/>
    </w:pPr>
  </w:p>
  <w:p w14:paraId="3028E90B" w14:textId="77777777" w:rsidR="00692DB5" w:rsidRDefault="00692DB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1CD1F9" w14:textId="77777777" w:rsidR="00E331E1" w:rsidRDefault="00E331E1" w:rsidP="00F00D51">
      <w:pPr>
        <w:spacing w:after="0" w:line="240" w:lineRule="auto"/>
      </w:pPr>
      <w:r>
        <w:separator/>
      </w:r>
    </w:p>
  </w:footnote>
  <w:footnote w:type="continuationSeparator" w:id="0">
    <w:p w14:paraId="697FA1FB" w14:textId="77777777" w:rsidR="00E331E1" w:rsidRDefault="00E331E1" w:rsidP="00F00D5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3B0D9C" w14:textId="1F78A33C" w:rsidR="00F00D51" w:rsidRDefault="00F00D51">
    <w:pPr>
      <w:pStyle w:val="Header"/>
    </w:pPr>
    <w:r>
      <w:rPr>
        <w:noProof/>
        <w:lang w:eastAsia="en-GB"/>
      </w:rPr>
      <w:drawing>
        <wp:inline distT="0" distB="0" distL="0" distR="0" wp14:anchorId="1814D405" wp14:editId="72168B85">
          <wp:extent cx="1440000" cy="81920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IPD Purple logo wp_100mm_RG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40000" cy="819206"/>
                  </a:xfrm>
                  <a:prstGeom prst="rect">
                    <a:avLst/>
                  </a:prstGeom>
                </pic:spPr>
              </pic:pic>
            </a:graphicData>
          </a:graphic>
        </wp:inline>
      </w:drawing>
    </w:r>
    <w:r w:rsidR="000E4DA4">
      <w:t xml:space="preserve">                                                                     </w:t>
    </w:r>
    <w:r w:rsidR="000E4DA4" w:rsidRPr="000E4DA4">
      <w:rPr>
        <w:i/>
      </w:rPr>
      <w:t>Managing Employment Relations, 6e</w:t>
    </w:r>
  </w:p>
  <w:p w14:paraId="7085DC0E" w14:textId="77777777" w:rsidR="00F00D51" w:rsidRDefault="00F00D5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195065"/>
    <w:multiLevelType w:val="hybridMultilevel"/>
    <w:tmpl w:val="9120F4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A8220B8"/>
    <w:multiLevelType w:val="hybridMultilevel"/>
    <w:tmpl w:val="C6D0A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02FD"/>
    <w:rsid w:val="000E4DA4"/>
    <w:rsid w:val="000F1D5B"/>
    <w:rsid w:val="001129B1"/>
    <w:rsid w:val="00391347"/>
    <w:rsid w:val="003B032E"/>
    <w:rsid w:val="0048363C"/>
    <w:rsid w:val="004F74A4"/>
    <w:rsid w:val="00545E72"/>
    <w:rsid w:val="00692DB5"/>
    <w:rsid w:val="008173E0"/>
    <w:rsid w:val="00967CCB"/>
    <w:rsid w:val="00971ECD"/>
    <w:rsid w:val="00BB02FD"/>
    <w:rsid w:val="00C93B9A"/>
    <w:rsid w:val="00E2052C"/>
    <w:rsid w:val="00E331E1"/>
    <w:rsid w:val="00F00D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3443D"/>
  <w15:docId w15:val="{1CBC0876-1328-42AA-B847-CAD66B2A5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1D5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B02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02FD"/>
    <w:rPr>
      <w:rFonts w:ascii="Tahoma" w:hAnsi="Tahoma" w:cs="Tahoma"/>
      <w:sz w:val="16"/>
      <w:szCs w:val="16"/>
    </w:rPr>
  </w:style>
  <w:style w:type="paragraph" w:styleId="Header">
    <w:name w:val="header"/>
    <w:basedOn w:val="Normal"/>
    <w:link w:val="HeaderChar"/>
    <w:uiPriority w:val="99"/>
    <w:unhideWhenUsed/>
    <w:rsid w:val="00F00D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0D51"/>
  </w:style>
  <w:style w:type="paragraph" w:styleId="Footer">
    <w:name w:val="footer"/>
    <w:basedOn w:val="Normal"/>
    <w:link w:val="FooterChar"/>
    <w:uiPriority w:val="99"/>
    <w:unhideWhenUsed/>
    <w:rsid w:val="00F00D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0D51"/>
  </w:style>
  <w:style w:type="character" w:styleId="Hyperlink">
    <w:name w:val="Hyperlink"/>
    <w:basedOn w:val="DefaultParagraphFont"/>
    <w:uiPriority w:val="99"/>
    <w:unhideWhenUsed/>
    <w:rsid w:val="000F1D5B"/>
    <w:rPr>
      <w:color w:val="0000FF"/>
      <w:u w:val="single"/>
    </w:rPr>
  </w:style>
  <w:style w:type="paragraph" w:styleId="ListParagraph">
    <w:name w:val="List Paragraph"/>
    <w:basedOn w:val="Normal"/>
    <w:uiPriority w:val="34"/>
    <w:qFormat/>
    <w:rsid w:val="000F1D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uc.org.uk/sites/default/files/tucfiles/pricedoutmojfeesconsultation.pdf" TargetMode="External"/><Relationship Id="rId3" Type="http://schemas.openxmlformats.org/officeDocument/2006/relationships/settings" Target="settings.xml"/><Relationship Id="rId7" Type="http://schemas.openxmlformats.org/officeDocument/2006/relationships/hyperlink" Target="http://www.cbi.org.uk/media/2008906/the_right_balance_delivering_effective_employment_tribunals.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460</Words>
  <Characters>2622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Tosey</dc:creator>
  <cp:lastModifiedBy>Julie Potter</cp:lastModifiedBy>
  <cp:revision>2</cp:revision>
  <cp:lastPrinted>2018-01-15T15:26:00Z</cp:lastPrinted>
  <dcterms:created xsi:type="dcterms:W3CDTF">2018-01-15T15:31:00Z</dcterms:created>
  <dcterms:modified xsi:type="dcterms:W3CDTF">2018-01-15T15:31:00Z</dcterms:modified>
</cp:coreProperties>
</file>