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0F3911F5" w14:textId="16136DB9" w:rsidR="00F13F93" w:rsidRPr="00973FA4" w:rsidRDefault="00F13F93" w:rsidP="00BA05DA">
      <w:pPr>
        <w:jc w:val="both"/>
        <w:rPr>
          <w:b/>
          <w:bCs/>
          <w:color w:val="833C0B" w:themeColor="accent2" w:themeShade="80"/>
          <w:sz w:val="24"/>
          <w:szCs w:val="24"/>
        </w:rPr>
      </w:pPr>
      <w:r w:rsidRPr="00973FA4">
        <w:rPr>
          <w:b/>
          <w:bCs/>
          <w:color w:val="833C0B" w:themeColor="accent2" w:themeShade="80"/>
          <w:sz w:val="24"/>
          <w:szCs w:val="24"/>
        </w:rPr>
        <w:t>Introduction and definitions</w:t>
      </w:r>
    </w:p>
    <w:p w14:paraId="18941F8E" w14:textId="7FF447B8" w:rsidR="00F13F93" w:rsidRDefault="00160FF8" w:rsidP="00BA05DA">
      <w:pPr>
        <w:jc w:val="both"/>
        <w:rPr>
          <w:color w:val="833C0B" w:themeColor="accent2" w:themeShade="80"/>
          <w:sz w:val="24"/>
          <w:szCs w:val="24"/>
        </w:rPr>
      </w:pPr>
      <w:r>
        <w:rPr>
          <w:color w:val="833C0B" w:themeColor="accent2" w:themeShade="80"/>
          <w:sz w:val="24"/>
          <w:szCs w:val="24"/>
        </w:rPr>
        <w:t>In order to explore how Malta and Wales have developed and framed their national and cultural identi</w:t>
      </w:r>
      <w:r w:rsidR="00973FA4">
        <w:rPr>
          <w:color w:val="833C0B" w:themeColor="accent2" w:themeShade="80"/>
          <w:sz w:val="24"/>
          <w:szCs w:val="24"/>
        </w:rPr>
        <w:t>ties</w:t>
      </w:r>
      <w:r>
        <w:rPr>
          <w:color w:val="833C0B" w:themeColor="accent2" w:themeShade="80"/>
          <w:sz w:val="24"/>
          <w:szCs w:val="24"/>
        </w:rPr>
        <w:t xml:space="preserve"> through interactions with politically dominant external nations, we first need to define what is meant by those terms. </w:t>
      </w:r>
      <w:r w:rsidR="00973FA4">
        <w:rPr>
          <w:color w:val="833C0B" w:themeColor="accent2" w:themeShade="80"/>
          <w:sz w:val="24"/>
          <w:szCs w:val="24"/>
        </w:rPr>
        <w:t>While the terms national identity and cultural identity are used interchangeably in some contexts, they are arguably slightly different concepts. Equally, the framing of identities are shaped by the location o</w:t>
      </w:r>
      <w:r w:rsidR="007406F4">
        <w:rPr>
          <w:color w:val="833C0B" w:themeColor="accent2" w:themeShade="80"/>
          <w:sz w:val="24"/>
          <w:szCs w:val="24"/>
        </w:rPr>
        <w:t xml:space="preserve">f each country – it’s geography, its closeness to the nationa dominating it politically, as well as each country’s socio-political past. All of these factors shape the context and exresetion of interactions with dominant external rule and the way they interact with external international relations now. There would also appear to be differences in how Wales and Malta deal with internal applications of international </w:t>
      </w:r>
      <w:r w:rsidR="00724B30">
        <w:rPr>
          <w:color w:val="833C0B" w:themeColor="accent2" w:themeShade="80"/>
          <w:sz w:val="24"/>
          <w:szCs w:val="24"/>
        </w:rPr>
        <w:t xml:space="preserve">relations. All of these factors have led to differing </w:t>
      </w:r>
      <w:r w:rsidR="00BA05DA">
        <w:rPr>
          <w:color w:val="833C0B" w:themeColor="accent2" w:themeShade="80"/>
          <w:sz w:val="24"/>
          <w:szCs w:val="24"/>
        </w:rPr>
        <w:t>approaches in developing, sustaining, and protecting national and cultural identities, and different approaches to interacting with external cultures. Wales and Malta have been chosen as case studies as they are both small countries who have complicated legacies from external cultures, who use similar tools of identity in different ways.</w:t>
      </w:r>
    </w:p>
    <w:p w14:paraId="59706217" w14:textId="1813E19A" w:rsidR="00BA05DA" w:rsidRDefault="00BA05DA" w:rsidP="00BA05DA">
      <w:pPr>
        <w:jc w:val="both"/>
        <w:rPr>
          <w:color w:val="833C0B" w:themeColor="accent2" w:themeShade="80"/>
          <w:sz w:val="24"/>
          <w:szCs w:val="24"/>
        </w:rPr>
      </w:pPr>
      <w:r>
        <w:rPr>
          <w:color w:val="833C0B" w:themeColor="accent2" w:themeShade="80"/>
          <w:sz w:val="24"/>
          <w:szCs w:val="24"/>
        </w:rPr>
        <w:t xml:space="preserve">Both national identity and cultural identity describe defining characterists of a </w:t>
      </w:r>
      <w:r w:rsidR="00896C06">
        <w:rPr>
          <w:color w:val="833C0B" w:themeColor="accent2" w:themeShade="80"/>
          <w:sz w:val="24"/>
          <w:szCs w:val="24"/>
        </w:rPr>
        <w:t>self-defined</w:t>
      </w:r>
      <w:r>
        <w:rPr>
          <w:color w:val="833C0B" w:themeColor="accent2" w:themeShade="80"/>
          <w:sz w:val="24"/>
          <w:szCs w:val="24"/>
        </w:rPr>
        <w:t xml:space="preserve"> community or descriptive assignation of an external nation ‘othering’ or academic</w:t>
      </w:r>
      <w:r w:rsidR="007E0A2B">
        <w:rPr>
          <w:color w:val="833C0B" w:themeColor="accent2" w:themeShade="80"/>
          <w:sz w:val="24"/>
          <w:szCs w:val="24"/>
        </w:rPr>
        <w:t>. They also tend to be fluid terms, evolving with shifting perceptions of identity and nationhood. (Bhikhu Parekh 2010)</w:t>
      </w:r>
      <w:r w:rsidR="00896C06">
        <w:rPr>
          <w:color w:val="833C0B" w:themeColor="accent2" w:themeShade="80"/>
          <w:sz w:val="24"/>
          <w:szCs w:val="24"/>
        </w:rPr>
        <w:t xml:space="preserve"> They also overlap – for example, someone might describe themselves as Italian-American, Jewish cultural identity may be held simultaneously with a national identity, or someone born in Britain to a Pakistani family may feel simultaneously British and Pakistani and hold dual nationality. </w:t>
      </w:r>
      <w:r w:rsidR="007B0A54">
        <w:rPr>
          <w:color w:val="833C0B" w:themeColor="accent2" w:themeShade="80"/>
          <w:sz w:val="24"/>
          <w:szCs w:val="24"/>
        </w:rPr>
        <w:t>Identity for individuals is composiste, with multiple elements, there is no dissonance in interlaced national and cultural identieis. Or as Heisey (2011, p66) describes alternative perspectives of seeing them – “dialectal” or “interfusion identities”. Different academic define national and cultural identieis in subtly different ways to make their various arguments, and as Anderson has famously pointed out</w:t>
      </w:r>
      <w:r w:rsidR="00FF1D2B">
        <w:rPr>
          <w:color w:val="833C0B" w:themeColor="accent2" w:themeShade="80"/>
          <w:sz w:val="24"/>
          <w:szCs w:val="24"/>
        </w:rPr>
        <w:t>, such things are “imagined communities” subject to realignment to shifting ideals. Interestingly, some dictionaries refer each term to the other, while not holding definitions for it as a compound word. The OUP online reference dictionary defines cultural identity as:</w:t>
      </w:r>
    </w:p>
    <w:p w14:paraId="4DC283EF" w14:textId="3A4C45BF" w:rsidR="00FF1D2B" w:rsidRDefault="00FF1D2B" w:rsidP="00BA05DA">
      <w:pPr>
        <w:jc w:val="both"/>
        <w:rPr>
          <w:color w:val="833C0B" w:themeColor="accent2" w:themeShade="80"/>
          <w:sz w:val="24"/>
          <w:szCs w:val="24"/>
        </w:rPr>
      </w:pPr>
    </w:p>
    <w:p w14:paraId="1B1C9159" w14:textId="7B4AEA27" w:rsidR="00FF1D2B" w:rsidRDefault="008E5CA1" w:rsidP="008E5CA1">
      <w:pPr>
        <w:ind w:left="454" w:right="454"/>
        <w:jc w:val="both"/>
        <w:rPr>
          <w:color w:val="833C0B" w:themeColor="accent2" w:themeShade="80"/>
          <w:sz w:val="24"/>
          <w:szCs w:val="24"/>
        </w:rPr>
      </w:pPr>
      <w:r>
        <w:rPr>
          <w:color w:val="833C0B" w:themeColor="accent2" w:themeShade="80"/>
          <w:sz w:val="24"/>
          <w:szCs w:val="24"/>
        </w:rPr>
        <w:t>“</w:t>
      </w:r>
      <w:r w:rsidR="00FF1D2B">
        <w:rPr>
          <w:color w:val="833C0B" w:themeColor="accent2" w:themeShade="80"/>
          <w:sz w:val="24"/>
          <w:szCs w:val="24"/>
        </w:rPr>
        <w:t>The definition of a group or individuals (by themselves or others) in terms of cultural a</w:t>
      </w:r>
      <w:r>
        <w:rPr>
          <w:color w:val="833C0B" w:themeColor="accent2" w:themeShade="80"/>
          <w:sz w:val="24"/>
          <w:szCs w:val="24"/>
        </w:rPr>
        <w:t>nd</w:t>
      </w:r>
      <w:r w:rsidR="00FF1D2B">
        <w:rPr>
          <w:color w:val="833C0B" w:themeColor="accent2" w:themeShade="80"/>
          <w:sz w:val="24"/>
          <w:szCs w:val="24"/>
        </w:rPr>
        <w:t xml:space="preserve"> subcultural categories (including ethnicity, nationality, language, religion and gender)</w:t>
      </w:r>
      <w:r>
        <w:rPr>
          <w:color w:val="833C0B" w:themeColor="accent2" w:themeShade="80"/>
          <w:sz w:val="24"/>
          <w:szCs w:val="24"/>
        </w:rPr>
        <w:t>. In stereotyping, this is framed in terms of difference or otherness. See also ethnic identity; gender identity;</w:t>
      </w:r>
      <w:r w:rsidR="00FF1D2B">
        <w:rPr>
          <w:color w:val="833C0B" w:themeColor="accent2" w:themeShade="80"/>
          <w:sz w:val="24"/>
          <w:szCs w:val="24"/>
        </w:rPr>
        <w:t xml:space="preserve"> </w:t>
      </w:r>
      <w:r>
        <w:rPr>
          <w:color w:val="833C0B" w:themeColor="accent2" w:themeShade="80"/>
          <w:sz w:val="24"/>
          <w:szCs w:val="24"/>
        </w:rPr>
        <w:t>identity; lifestyle; national identity.”</w:t>
      </w:r>
    </w:p>
    <w:p w14:paraId="7E879857" w14:textId="558FBB2A" w:rsidR="00160FF8" w:rsidRDefault="00160FF8" w:rsidP="00BA05DA">
      <w:pPr>
        <w:jc w:val="both"/>
        <w:rPr>
          <w:color w:val="833C0B" w:themeColor="accent2" w:themeShade="80"/>
          <w:sz w:val="24"/>
          <w:szCs w:val="24"/>
        </w:rPr>
      </w:pPr>
    </w:p>
    <w:p w14:paraId="060C2EC6" w14:textId="720EF1A5" w:rsidR="00A8291F" w:rsidRDefault="00A8291F" w:rsidP="00BA05DA">
      <w:pPr>
        <w:jc w:val="both"/>
        <w:rPr>
          <w:color w:val="833C0B" w:themeColor="accent2" w:themeShade="80"/>
          <w:sz w:val="24"/>
          <w:szCs w:val="24"/>
        </w:rPr>
      </w:pPr>
      <w:r>
        <w:rPr>
          <w:color w:val="833C0B" w:themeColor="accent2" w:themeShade="80"/>
          <w:sz w:val="24"/>
          <w:szCs w:val="24"/>
        </w:rPr>
        <w:t>By contrast, the same site defines national identity as:</w:t>
      </w:r>
    </w:p>
    <w:p w14:paraId="425949C4" w14:textId="766FC3BC" w:rsidR="00A8291F" w:rsidRDefault="00A8291F" w:rsidP="00BA05DA">
      <w:pPr>
        <w:jc w:val="both"/>
        <w:rPr>
          <w:color w:val="833C0B" w:themeColor="accent2" w:themeShade="80"/>
          <w:sz w:val="24"/>
          <w:szCs w:val="24"/>
        </w:rPr>
      </w:pPr>
    </w:p>
    <w:p w14:paraId="38B4F3D7" w14:textId="694A5F57" w:rsidR="00A8291F" w:rsidRDefault="00A8291F" w:rsidP="0078099E">
      <w:pPr>
        <w:ind w:left="510" w:right="510"/>
        <w:jc w:val="both"/>
        <w:rPr>
          <w:color w:val="833C0B" w:themeColor="accent2" w:themeShade="80"/>
          <w:sz w:val="24"/>
          <w:szCs w:val="24"/>
        </w:rPr>
      </w:pPr>
      <w:r>
        <w:rPr>
          <w:color w:val="833C0B" w:themeColor="accent2" w:themeShade="80"/>
          <w:sz w:val="24"/>
          <w:szCs w:val="24"/>
        </w:rPr>
        <w:t xml:space="preserve">“The public image of an imagined community (Weber called it a ‘community of sentiment) projecting an illusion of unity reflected sympbolically in a flag, a national </w:t>
      </w:r>
      <w:r>
        <w:rPr>
          <w:color w:val="833C0B" w:themeColor="accent2" w:themeShade="80"/>
          <w:sz w:val="24"/>
          <w:szCs w:val="24"/>
        </w:rPr>
        <w:lastRenderedPageBreak/>
        <w:t xml:space="preserve">anthem, and distinctive rituals, and culturally represented in discourse primarily via historical mythologies and </w:t>
      </w:r>
      <w:r w:rsidR="00807D79">
        <w:rPr>
          <w:color w:val="833C0B" w:themeColor="accent2" w:themeShade="80"/>
          <w:sz w:val="24"/>
          <w:szCs w:val="24"/>
        </w:rPr>
        <w:t>popular culture canon (including iconic images) narratively and constructed and transmitted through social institutions, in particular the education syste (see also cultural literacy) and the mass media (notably in national news and int media events) Such essentialist representations seek to elicit individual identification with (and discursive rep</w:t>
      </w:r>
      <w:r w:rsidR="0078099E">
        <w:rPr>
          <w:color w:val="833C0B" w:themeColor="accent2" w:themeShade="80"/>
          <w:sz w:val="24"/>
          <w:szCs w:val="24"/>
        </w:rPr>
        <w:t>roduction of) a supposedly shared identity which claims to transcend other dimensions of identity such as class and ethnicity.”</w:t>
      </w:r>
    </w:p>
    <w:p w14:paraId="4DE7ED84" w14:textId="0E02C4FA" w:rsidR="00A8291F" w:rsidRDefault="0078099E" w:rsidP="00BA05DA">
      <w:pPr>
        <w:jc w:val="both"/>
        <w:rPr>
          <w:color w:val="833C0B" w:themeColor="accent2" w:themeShade="80"/>
          <w:sz w:val="24"/>
          <w:szCs w:val="24"/>
        </w:rPr>
      </w:pPr>
      <w:r>
        <w:rPr>
          <w:color w:val="833C0B" w:themeColor="accent2" w:themeShade="80"/>
          <w:sz w:val="24"/>
          <w:szCs w:val="24"/>
        </w:rPr>
        <w:t>Given Malta’s ambiguous position on national identity, despite being a nation state, and Wales’ identity as a nation without being a (nation) state, the OUP reference definitions seem to be apt and of most use in exploring expressions of national and cultural identities of Malta and Wales in their international interactions.</w:t>
      </w:r>
    </w:p>
    <w:p w14:paraId="451FD724" w14:textId="77777777" w:rsidR="0078099E" w:rsidRDefault="0078099E" w:rsidP="00BA05DA">
      <w:pPr>
        <w:jc w:val="both"/>
        <w:rPr>
          <w:color w:val="833C0B" w:themeColor="accent2" w:themeShade="80"/>
          <w:sz w:val="24"/>
          <w:szCs w:val="24"/>
        </w:rPr>
      </w:pPr>
    </w:p>
    <w:p w14:paraId="3570C546" w14:textId="5FD760DA" w:rsidR="00F13F93" w:rsidRDefault="00D13EA4" w:rsidP="00BA05DA">
      <w:pPr>
        <w:jc w:val="both"/>
        <w:rPr>
          <w:color w:val="833C0B" w:themeColor="accent2" w:themeShade="80"/>
          <w:sz w:val="24"/>
          <w:szCs w:val="24"/>
        </w:rPr>
      </w:pPr>
      <w:r>
        <w:rPr>
          <w:color w:val="833C0B" w:themeColor="accent2" w:themeShade="80"/>
          <w:sz w:val="24"/>
          <w:szCs w:val="24"/>
        </w:rPr>
        <w:t xml:space="preserve">In terms of identity, Malta clearly meets this definition of cultural identity. The Maltese are defined, by themselves and others by their nationality or family roots, their language and their religion. Catholicism plays a huge part in Malta’s cultural and individual identies. When we look at Malta in the light of the above definition of national identity, it becomes more problematic to divine where Malta stands. While Malta does have </w:t>
      </w:r>
      <w:r w:rsidR="00FE7390">
        <w:rPr>
          <w:color w:val="833C0B" w:themeColor="accent2" w:themeShade="80"/>
          <w:sz w:val="24"/>
          <w:szCs w:val="24"/>
        </w:rPr>
        <w:t xml:space="preserve">historical mythologies in the form of the national attachment to the Shipwreck of St Paul on Malta in the face of archaeological evidence, and there is a canon of popular culture reflected in festa, recipes using local ingredients and </w:t>
      </w:r>
      <w:r w:rsidR="00F13F93">
        <w:rPr>
          <w:color w:val="833C0B" w:themeColor="accent2" w:themeShade="80"/>
          <w:sz w:val="24"/>
          <w:szCs w:val="24"/>
        </w:rPr>
        <w:t>folk-custom</w:t>
      </w:r>
      <w:r w:rsidR="00FE7390">
        <w:rPr>
          <w:color w:val="833C0B" w:themeColor="accent2" w:themeShade="80"/>
          <w:sz w:val="24"/>
          <w:szCs w:val="24"/>
        </w:rPr>
        <w:t>, this is quite noticeably not part of the public image they prefer to project. The public image is rooted primarily in selling Malta as a global heritage destination. Where current cultural elements have been recently introduced, it is following in the footsteps of neighbouring countries and the language in the applications seems more focussed on tourism than worrying about threat to an existing cultural practice.</w:t>
      </w:r>
    </w:p>
    <w:p w14:paraId="1A244000" w14:textId="127F92CA" w:rsidR="00F13F93" w:rsidRDefault="00F13F93" w:rsidP="00BA05DA">
      <w:pPr>
        <w:jc w:val="both"/>
        <w:rPr>
          <w:color w:val="833C0B" w:themeColor="accent2" w:themeShade="80"/>
          <w:sz w:val="24"/>
          <w:szCs w:val="24"/>
        </w:rPr>
      </w:pPr>
      <w:r>
        <w:rPr>
          <w:color w:val="833C0B" w:themeColor="accent2" w:themeShade="80"/>
          <w:sz w:val="24"/>
          <w:szCs w:val="24"/>
        </w:rPr>
        <w:t>Wales, by contrast, meets both definitions, albeit some of that could be argued to be down to a vocal minority. Ethnicity, nationality, religion and language have all played key parts in the shaping and evolution of Welsh culture and cultural identity, and there can be little argument that this has been framed within and without Wales as ‘otherness’ or difference. These elements have also fed into a sense of national identity</w:t>
      </w:r>
      <w:r w:rsidR="0001637E">
        <w:rPr>
          <w:color w:val="833C0B" w:themeColor="accent2" w:themeShade="80"/>
          <w:sz w:val="24"/>
          <w:szCs w:val="24"/>
        </w:rPr>
        <w:t xml:space="preserve"> and is very much the “public image” of Wales. There are roots in historical mythologies represented in our national flag, a national anthem in Welsh</w:t>
      </w:r>
      <w:r w:rsidR="00160FF8">
        <w:rPr>
          <w:color w:val="833C0B" w:themeColor="accent2" w:themeShade="80"/>
          <w:sz w:val="24"/>
          <w:szCs w:val="24"/>
        </w:rPr>
        <w:t xml:space="preserve"> recognised by any rugby-playing nation</w:t>
      </w:r>
      <w:r w:rsidR="0001637E">
        <w:rPr>
          <w:color w:val="833C0B" w:themeColor="accent2" w:themeShade="80"/>
          <w:sz w:val="24"/>
          <w:szCs w:val="24"/>
        </w:rPr>
        <w:t>, a bilingual policy to cement and build on the use of Welsh language from government to grass roots (including national media outlets and events), and Welsh history is taught in Wales (and not in neighbouring England). There is also a strong element of political mythology in Wales, from the late 19</w:t>
      </w:r>
      <w:r w:rsidR="0001637E" w:rsidRPr="0001637E">
        <w:rPr>
          <w:color w:val="833C0B" w:themeColor="accent2" w:themeShade="80"/>
          <w:sz w:val="24"/>
          <w:szCs w:val="24"/>
          <w:vertAlign w:val="superscript"/>
        </w:rPr>
        <w:t>th</w:t>
      </w:r>
      <w:r w:rsidR="0001637E">
        <w:rPr>
          <w:color w:val="833C0B" w:themeColor="accent2" w:themeShade="80"/>
          <w:sz w:val="24"/>
          <w:szCs w:val="24"/>
        </w:rPr>
        <w:t xml:space="preserve"> century revival of interest in folk customs such as the eisteddfod and gorsedd, to the concept of the ‘once and future’ hero, and lineage from a </w:t>
      </w:r>
      <w:r w:rsidR="00D14392">
        <w:rPr>
          <w:color w:val="833C0B" w:themeColor="accent2" w:themeShade="80"/>
          <w:sz w:val="24"/>
          <w:szCs w:val="24"/>
        </w:rPr>
        <w:t xml:space="preserve">historical </w:t>
      </w:r>
      <w:r w:rsidR="0001637E">
        <w:rPr>
          <w:color w:val="833C0B" w:themeColor="accent2" w:themeShade="80"/>
          <w:sz w:val="24"/>
          <w:szCs w:val="24"/>
        </w:rPr>
        <w:t xml:space="preserve">past. While the interest in folklore was widespread </w:t>
      </w:r>
      <w:r w:rsidR="00D14392">
        <w:rPr>
          <w:color w:val="833C0B" w:themeColor="accent2" w:themeShade="80"/>
          <w:sz w:val="24"/>
          <w:szCs w:val="24"/>
        </w:rPr>
        <w:t>in Europe at this time, the application of it to the national story seems significant, when a lot of the Welsh regional folk tales seem to involve little old ladies or wily young men tricking the devil (or giants) with dogs, cheese, and the occasional loaf of bread</w:t>
      </w:r>
      <w:r w:rsidR="00160FF8">
        <w:rPr>
          <w:color w:val="833C0B" w:themeColor="accent2" w:themeShade="80"/>
          <w:sz w:val="24"/>
          <w:szCs w:val="24"/>
        </w:rPr>
        <w:t>; or tragic ballads of the unlucky.</w:t>
      </w:r>
    </w:p>
    <w:p w14:paraId="5ED5B505" w14:textId="478E6CA3" w:rsidR="00F13F93" w:rsidRDefault="00F13F93" w:rsidP="00BA05DA">
      <w:pPr>
        <w:jc w:val="both"/>
        <w:rPr>
          <w:color w:val="833C0B" w:themeColor="accent2" w:themeShade="80"/>
          <w:sz w:val="24"/>
          <w:szCs w:val="24"/>
        </w:rPr>
      </w:pPr>
    </w:p>
    <w:p w14:paraId="3DEA91AA" w14:textId="3585861E" w:rsidR="00F13F93" w:rsidRDefault="0078099E" w:rsidP="00BA05DA">
      <w:pPr>
        <w:jc w:val="both"/>
        <w:rPr>
          <w:b/>
          <w:bCs/>
          <w:color w:val="833C0B" w:themeColor="accent2" w:themeShade="80"/>
          <w:sz w:val="24"/>
          <w:szCs w:val="24"/>
        </w:rPr>
      </w:pPr>
      <w:r>
        <w:rPr>
          <w:b/>
          <w:bCs/>
          <w:color w:val="833C0B" w:themeColor="accent2" w:themeShade="80"/>
          <w:sz w:val="24"/>
          <w:szCs w:val="24"/>
        </w:rPr>
        <w:t xml:space="preserve">Historical and Geographical </w:t>
      </w:r>
      <w:r w:rsidR="00F13F93" w:rsidRPr="00973FA4">
        <w:rPr>
          <w:b/>
          <w:bCs/>
          <w:color w:val="833C0B" w:themeColor="accent2" w:themeShade="80"/>
          <w:sz w:val="24"/>
          <w:szCs w:val="24"/>
        </w:rPr>
        <w:t>Context</w:t>
      </w:r>
    </w:p>
    <w:p w14:paraId="5E770C48" w14:textId="4DB75AC6" w:rsidR="0078099E" w:rsidRPr="0078099E" w:rsidRDefault="00AB77C3" w:rsidP="00BA05DA">
      <w:pPr>
        <w:jc w:val="both"/>
        <w:rPr>
          <w:color w:val="833C0B" w:themeColor="accent2" w:themeShade="80"/>
          <w:sz w:val="24"/>
          <w:szCs w:val="24"/>
        </w:rPr>
      </w:pPr>
      <w:r>
        <w:rPr>
          <w:color w:val="833C0B" w:themeColor="accent2" w:themeShade="80"/>
          <w:sz w:val="24"/>
          <w:szCs w:val="24"/>
        </w:rPr>
        <w:t xml:space="preserve">Malta is a small collections of islands in the meditaranian, who’s administration centres on the largest island, Malta, from which the nation takes it’s name. It has a key strategic position in the meditaranean, and has been attractive to outside polities as a possession as a result. As Malta historically has had issues supporting itself independently due to the nature of quality arable land </w:t>
      </w:r>
    </w:p>
    <w:p w14:paraId="799FFC2D" w14:textId="77777777" w:rsidR="0078099E" w:rsidRPr="00973FA4" w:rsidRDefault="0078099E" w:rsidP="00BA05DA">
      <w:pPr>
        <w:jc w:val="both"/>
        <w:rPr>
          <w:b/>
          <w:bCs/>
          <w:color w:val="833C0B" w:themeColor="accent2" w:themeShade="80"/>
          <w:sz w:val="24"/>
          <w:szCs w:val="24"/>
        </w:rPr>
      </w:pPr>
    </w:p>
    <w:p w14:paraId="46510ED8" w14:textId="45A52AE5" w:rsidR="00160FF8" w:rsidRDefault="00160FF8" w:rsidP="00BA05DA">
      <w:pPr>
        <w:jc w:val="both"/>
        <w:rPr>
          <w:color w:val="833C0B" w:themeColor="accent2" w:themeShade="80"/>
          <w:sz w:val="24"/>
          <w:szCs w:val="24"/>
        </w:rPr>
      </w:pPr>
      <w:r>
        <w:rPr>
          <w:color w:val="833C0B" w:themeColor="accent2" w:themeShade="80"/>
          <w:sz w:val="24"/>
          <w:szCs w:val="24"/>
        </w:rPr>
        <w:t>Malta and it’s politically dominant external nations</w:t>
      </w:r>
    </w:p>
    <w:p w14:paraId="6C6B6C0E" w14:textId="289F3C23" w:rsidR="00160FF8" w:rsidRDefault="00973FA4" w:rsidP="00BA05DA">
      <w:pPr>
        <w:jc w:val="both"/>
        <w:rPr>
          <w:color w:val="833C0B" w:themeColor="accent2" w:themeShade="80"/>
          <w:sz w:val="24"/>
          <w:szCs w:val="24"/>
        </w:rPr>
      </w:pPr>
      <w:r>
        <w:rPr>
          <w:color w:val="833C0B" w:themeColor="accent2" w:themeShade="80"/>
          <w:sz w:val="24"/>
          <w:szCs w:val="24"/>
        </w:rPr>
        <w:t>Location/closeness</w:t>
      </w:r>
    </w:p>
    <w:p w14:paraId="7FD2DAD0" w14:textId="534A3537" w:rsidR="00973FA4" w:rsidRDefault="00973FA4" w:rsidP="00BA05DA">
      <w:pPr>
        <w:jc w:val="both"/>
        <w:rPr>
          <w:color w:val="833C0B" w:themeColor="accent2" w:themeShade="80"/>
          <w:sz w:val="24"/>
          <w:szCs w:val="24"/>
        </w:rPr>
      </w:pPr>
      <w:r>
        <w:rPr>
          <w:color w:val="833C0B" w:themeColor="accent2" w:themeShade="80"/>
          <w:sz w:val="24"/>
          <w:szCs w:val="24"/>
        </w:rPr>
        <w:t>Geography</w:t>
      </w:r>
    </w:p>
    <w:p w14:paraId="60E85DEA" w14:textId="1805EDE7" w:rsidR="00973FA4" w:rsidRDefault="00973FA4" w:rsidP="00BA05DA">
      <w:pPr>
        <w:jc w:val="both"/>
        <w:rPr>
          <w:color w:val="833C0B" w:themeColor="accent2" w:themeShade="80"/>
          <w:sz w:val="24"/>
          <w:szCs w:val="24"/>
        </w:rPr>
      </w:pPr>
      <w:r>
        <w:rPr>
          <w:color w:val="833C0B" w:themeColor="accent2" w:themeShade="80"/>
          <w:sz w:val="24"/>
          <w:szCs w:val="24"/>
        </w:rPr>
        <w:t>History</w:t>
      </w:r>
    </w:p>
    <w:p w14:paraId="36847496" w14:textId="3294A2DE" w:rsidR="00973FA4" w:rsidRDefault="00973FA4" w:rsidP="00BA05DA">
      <w:pPr>
        <w:jc w:val="both"/>
        <w:rPr>
          <w:color w:val="833C0B" w:themeColor="accent2" w:themeShade="80"/>
          <w:sz w:val="24"/>
          <w:szCs w:val="24"/>
        </w:rPr>
      </w:pPr>
      <w:r>
        <w:rPr>
          <w:color w:val="833C0B" w:themeColor="accent2" w:themeShade="80"/>
          <w:sz w:val="24"/>
          <w:szCs w:val="24"/>
        </w:rPr>
        <w:t>Culture/customs</w:t>
      </w:r>
    </w:p>
    <w:p w14:paraId="0B38E529" w14:textId="0960D754" w:rsidR="00973FA4" w:rsidRDefault="007406F4" w:rsidP="00BA05DA">
      <w:pPr>
        <w:jc w:val="both"/>
        <w:rPr>
          <w:color w:val="833C0B" w:themeColor="accent2" w:themeShade="80"/>
          <w:sz w:val="24"/>
          <w:szCs w:val="24"/>
        </w:rPr>
      </w:pPr>
      <w:r>
        <w:rPr>
          <w:color w:val="833C0B" w:themeColor="accent2" w:themeShade="80"/>
          <w:sz w:val="24"/>
          <w:szCs w:val="24"/>
        </w:rPr>
        <w:t>I</w:t>
      </w:r>
      <w:r w:rsidR="00973FA4">
        <w:rPr>
          <w:color w:val="833C0B" w:themeColor="accent2" w:themeShade="80"/>
          <w:sz w:val="24"/>
          <w:szCs w:val="24"/>
        </w:rPr>
        <w:t>nstitutions</w:t>
      </w:r>
    </w:p>
    <w:p w14:paraId="463B3967" w14:textId="08E50E28" w:rsidR="007406F4" w:rsidRDefault="007406F4" w:rsidP="00BA05DA">
      <w:pPr>
        <w:jc w:val="both"/>
        <w:rPr>
          <w:color w:val="833C0B" w:themeColor="accent2" w:themeShade="80"/>
          <w:sz w:val="24"/>
          <w:szCs w:val="24"/>
        </w:rPr>
      </w:pPr>
      <w:r>
        <w:rPr>
          <w:color w:val="833C0B" w:themeColor="accent2" w:themeShade="80"/>
          <w:sz w:val="24"/>
          <w:szCs w:val="24"/>
        </w:rPr>
        <w:t>diaspora</w:t>
      </w:r>
    </w:p>
    <w:p w14:paraId="612D8A45" w14:textId="77777777" w:rsidR="00973FA4" w:rsidRDefault="00973FA4" w:rsidP="00BA05DA">
      <w:pPr>
        <w:jc w:val="both"/>
        <w:rPr>
          <w:color w:val="833C0B" w:themeColor="accent2" w:themeShade="80"/>
          <w:sz w:val="24"/>
          <w:szCs w:val="24"/>
        </w:rPr>
      </w:pPr>
    </w:p>
    <w:p w14:paraId="2D10AFA7" w14:textId="7E38E932" w:rsidR="00160FF8" w:rsidRDefault="00160FF8" w:rsidP="00BA05DA">
      <w:pPr>
        <w:jc w:val="both"/>
        <w:rPr>
          <w:color w:val="833C0B" w:themeColor="accent2" w:themeShade="80"/>
          <w:sz w:val="24"/>
          <w:szCs w:val="24"/>
        </w:rPr>
      </w:pPr>
      <w:r>
        <w:rPr>
          <w:color w:val="833C0B" w:themeColor="accent2" w:themeShade="80"/>
          <w:sz w:val="24"/>
          <w:szCs w:val="24"/>
        </w:rPr>
        <w:t>Wales and it’s politically dominant external nation</w:t>
      </w:r>
      <w:r w:rsidR="00973FA4">
        <w:rPr>
          <w:color w:val="833C0B" w:themeColor="accent2" w:themeShade="80"/>
          <w:sz w:val="24"/>
          <w:szCs w:val="24"/>
        </w:rPr>
        <w:t>(</w:t>
      </w:r>
      <w:r>
        <w:rPr>
          <w:color w:val="833C0B" w:themeColor="accent2" w:themeShade="80"/>
          <w:sz w:val="24"/>
          <w:szCs w:val="24"/>
        </w:rPr>
        <w:t>s</w:t>
      </w:r>
      <w:r w:rsidR="00973FA4">
        <w:rPr>
          <w:color w:val="833C0B" w:themeColor="accent2" w:themeShade="80"/>
          <w:sz w:val="24"/>
          <w:szCs w:val="24"/>
        </w:rPr>
        <w:t>)</w:t>
      </w:r>
    </w:p>
    <w:p w14:paraId="685713A1" w14:textId="024EEB23" w:rsidR="00973FA4" w:rsidRDefault="00973FA4" w:rsidP="00BA05DA">
      <w:pPr>
        <w:jc w:val="both"/>
        <w:rPr>
          <w:color w:val="833C0B" w:themeColor="accent2" w:themeShade="80"/>
          <w:sz w:val="24"/>
          <w:szCs w:val="24"/>
        </w:rPr>
      </w:pPr>
      <w:r>
        <w:rPr>
          <w:color w:val="833C0B" w:themeColor="accent2" w:themeShade="80"/>
          <w:sz w:val="24"/>
          <w:szCs w:val="24"/>
        </w:rPr>
        <w:t>Location/closeness</w:t>
      </w:r>
    </w:p>
    <w:p w14:paraId="5ABDBA82" w14:textId="413F232B" w:rsidR="00973FA4" w:rsidRDefault="00973FA4" w:rsidP="00BA05DA">
      <w:pPr>
        <w:jc w:val="both"/>
        <w:rPr>
          <w:color w:val="833C0B" w:themeColor="accent2" w:themeShade="80"/>
          <w:sz w:val="24"/>
          <w:szCs w:val="24"/>
        </w:rPr>
      </w:pPr>
      <w:r>
        <w:rPr>
          <w:color w:val="833C0B" w:themeColor="accent2" w:themeShade="80"/>
          <w:sz w:val="24"/>
          <w:szCs w:val="24"/>
        </w:rPr>
        <w:t>Geography</w:t>
      </w:r>
    </w:p>
    <w:p w14:paraId="2B36B39F" w14:textId="002E773B" w:rsidR="00973FA4" w:rsidRDefault="00973FA4" w:rsidP="00BA05DA">
      <w:pPr>
        <w:jc w:val="both"/>
        <w:rPr>
          <w:color w:val="833C0B" w:themeColor="accent2" w:themeShade="80"/>
          <w:sz w:val="24"/>
          <w:szCs w:val="24"/>
        </w:rPr>
      </w:pPr>
      <w:r>
        <w:rPr>
          <w:color w:val="833C0B" w:themeColor="accent2" w:themeShade="80"/>
          <w:sz w:val="24"/>
          <w:szCs w:val="24"/>
        </w:rPr>
        <w:t>History</w:t>
      </w:r>
    </w:p>
    <w:p w14:paraId="11A0D340" w14:textId="575FB6B6" w:rsidR="00973FA4" w:rsidRDefault="00973FA4" w:rsidP="00BA05DA">
      <w:pPr>
        <w:jc w:val="both"/>
        <w:rPr>
          <w:color w:val="833C0B" w:themeColor="accent2" w:themeShade="80"/>
          <w:sz w:val="24"/>
          <w:szCs w:val="24"/>
        </w:rPr>
      </w:pPr>
      <w:r>
        <w:rPr>
          <w:color w:val="833C0B" w:themeColor="accent2" w:themeShade="80"/>
          <w:sz w:val="24"/>
          <w:szCs w:val="24"/>
        </w:rPr>
        <w:t>Culture/customs</w:t>
      </w:r>
    </w:p>
    <w:p w14:paraId="0DF154AA" w14:textId="6FFBCA5E" w:rsidR="00973FA4" w:rsidRDefault="007406F4" w:rsidP="00BA05DA">
      <w:pPr>
        <w:jc w:val="both"/>
        <w:rPr>
          <w:color w:val="833C0B" w:themeColor="accent2" w:themeShade="80"/>
          <w:sz w:val="24"/>
          <w:szCs w:val="24"/>
        </w:rPr>
      </w:pPr>
      <w:r>
        <w:rPr>
          <w:color w:val="833C0B" w:themeColor="accent2" w:themeShade="80"/>
          <w:sz w:val="24"/>
          <w:szCs w:val="24"/>
        </w:rPr>
        <w:t>I</w:t>
      </w:r>
      <w:r w:rsidR="00973FA4">
        <w:rPr>
          <w:color w:val="833C0B" w:themeColor="accent2" w:themeShade="80"/>
          <w:sz w:val="24"/>
          <w:szCs w:val="24"/>
        </w:rPr>
        <w:t>nstitutions</w:t>
      </w:r>
    </w:p>
    <w:p w14:paraId="326A100C" w14:textId="13F79BCC" w:rsidR="007406F4" w:rsidRDefault="007406F4" w:rsidP="00BA05DA">
      <w:pPr>
        <w:jc w:val="both"/>
        <w:rPr>
          <w:color w:val="833C0B" w:themeColor="accent2" w:themeShade="80"/>
          <w:sz w:val="24"/>
          <w:szCs w:val="24"/>
        </w:rPr>
      </w:pPr>
      <w:r>
        <w:rPr>
          <w:color w:val="833C0B" w:themeColor="accent2" w:themeShade="80"/>
          <w:sz w:val="24"/>
          <w:szCs w:val="24"/>
        </w:rPr>
        <w:t>diaspora</w:t>
      </w:r>
    </w:p>
    <w:p w14:paraId="417B883F" w14:textId="77777777" w:rsidR="00973FA4" w:rsidRDefault="00973FA4" w:rsidP="00BA05DA">
      <w:pPr>
        <w:jc w:val="both"/>
        <w:rPr>
          <w:color w:val="833C0B" w:themeColor="accent2" w:themeShade="80"/>
          <w:sz w:val="24"/>
          <w:szCs w:val="24"/>
        </w:rPr>
      </w:pPr>
    </w:p>
    <w:p w14:paraId="5CCEA527" w14:textId="0405D5CE" w:rsidR="00973FA4" w:rsidRDefault="00973FA4" w:rsidP="00BA05DA">
      <w:pPr>
        <w:jc w:val="both"/>
        <w:rPr>
          <w:b/>
          <w:bCs/>
          <w:color w:val="833C0B" w:themeColor="accent2" w:themeShade="80"/>
          <w:sz w:val="24"/>
          <w:szCs w:val="24"/>
        </w:rPr>
      </w:pPr>
      <w:r w:rsidRPr="00973FA4">
        <w:rPr>
          <w:b/>
          <w:bCs/>
          <w:color w:val="833C0B" w:themeColor="accent2" w:themeShade="80"/>
          <w:sz w:val="24"/>
          <w:szCs w:val="24"/>
        </w:rPr>
        <w:t>Tools of development, maintenance and protection</w:t>
      </w:r>
    </w:p>
    <w:p w14:paraId="6EE7E838" w14:textId="2C2FA424" w:rsidR="008E5CA1" w:rsidRDefault="008E5CA1" w:rsidP="00BA05DA">
      <w:pPr>
        <w:jc w:val="both"/>
        <w:rPr>
          <w:color w:val="833C0B" w:themeColor="accent2" w:themeShade="80"/>
          <w:sz w:val="24"/>
          <w:szCs w:val="24"/>
        </w:rPr>
      </w:pPr>
      <w:r>
        <w:rPr>
          <w:color w:val="833C0B" w:themeColor="accent2" w:themeShade="80"/>
          <w:sz w:val="24"/>
          <w:szCs w:val="24"/>
        </w:rPr>
        <w:t>Museums and heritage sites</w:t>
      </w:r>
    </w:p>
    <w:p w14:paraId="3F8CF880" w14:textId="2C46C1E6" w:rsidR="008E5CA1" w:rsidRDefault="008E5CA1" w:rsidP="00BA05DA">
      <w:pPr>
        <w:jc w:val="both"/>
        <w:rPr>
          <w:color w:val="833C0B" w:themeColor="accent2" w:themeShade="80"/>
          <w:sz w:val="24"/>
          <w:szCs w:val="24"/>
        </w:rPr>
      </w:pPr>
      <w:r>
        <w:rPr>
          <w:color w:val="833C0B" w:themeColor="accent2" w:themeShade="80"/>
          <w:sz w:val="24"/>
          <w:szCs w:val="24"/>
        </w:rPr>
        <w:t>Language policies</w:t>
      </w:r>
    </w:p>
    <w:p w14:paraId="318971B1" w14:textId="4EBAD465" w:rsidR="008E5CA1" w:rsidRDefault="008E5CA1" w:rsidP="00BA05DA">
      <w:pPr>
        <w:jc w:val="both"/>
        <w:rPr>
          <w:color w:val="833C0B" w:themeColor="accent2" w:themeShade="80"/>
          <w:sz w:val="24"/>
          <w:szCs w:val="24"/>
        </w:rPr>
      </w:pPr>
      <w:r>
        <w:rPr>
          <w:color w:val="833C0B" w:themeColor="accent2" w:themeShade="80"/>
          <w:sz w:val="24"/>
          <w:szCs w:val="24"/>
        </w:rPr>
        <w:t>Education policies</w:t>
      </w:r>
    </w:p>
    <w:p w14:paraId="707308D8" w14:textId="7A4194C7" w:rsidR="008E5CA1" w:rsidRDefault="008E5CA1" w:rsidP="00BA05DA">
      <w:pPr>
        <w:jc w:val="both"/>
        <w:rPr>
          <w:color w:val="833C0B" w:themeColor="accent2" w:themeShade="80"/>
          <w:sz w:val="24"/>
          <w:szCs w:val="24"/>
        </w:rPr>
      </w:pPr>
      <w:r>
        <w:rPr>
          <w:color w:val="833C0B" w:themeColor="accent2" w:themeShade="80"/>
          <w:sz w:val="24"/>
          <w:szCs w:val="24"/>
        </w:rPr>
        <w:t>Social rituals</w:t>
      </w:r>
    </w:p>
    <w:p w14:paraId="40F59692" w14:textId="5919439E" w:rsidR="008E5CA1" w:rsidRPr="008E5CA1" w:rsidRDefault="008E5CA1" w:rsidP="00BA05DA">
      <w:pPr>
        <w:jc w:val="both"/>
        <w:rPr>
          <w:color w:val="833C0B" w:themeColor="accent2" w:themeShade="80"/>
          <w:sz w:val="24"/>
          <w:szCs w:val="24"/>
        </w:rPr>
      </w:pPr>
      <w:r>
        <w:rPr>
          <w:color w:val="833C0B" w:themeColor="accent2" w:themeShade="80"/>
          <w:sz w:val="24"/>
          <w:szCs w:val="24"/>
        </w:rPr>
        <w:t>tourism</w:t>
      </w:r>
    </w:p>
    <w:p w14:paraId="008F6F06" w14:textId="3943E222" w:rsidR="008E5CA1" w:rsidRDefault="008E5CA1" w:rsidP="00BA05DA">
      <w:pPr>
        <w:jc w:val="both"/>
        <w:rPr>
          <w:b/>
          <w:bCs/>
          <w:color w:val="833C0B" w:themeColor="accent2" w:themeShade="80"/>
          <w:sz w:val="24"/>
          <w:szCs w:val="24"/>
        </w:rPr>
      </w:pPr>
    </w:p>
    <w:p w14:paraId="7C47151B" w14:textId="20717107" w:rsidR="008E5CA1" w:rsidRDefault="008E5CA1" w:rsidP="00BA05DA">
      <w:pPr>
        <w:jc w:val="both"/>
        <w:rPr>
          <w:color w:val="833C0B" w:themeColor="accent2" w:themeShade="80"/>
          <w:sz w:val="24"/>
          <w:szCs w:val="24"/>
        </w:rPr>
      </w:pPr>
      <w:r>
        <w:rPr>
          <w:b/>
          <w:bCs/>
          <w:color w:val="833C0B" w:themeColor="accent2" w:themeShade="80"/>
          <w:sz w:val="24"/>
          <w:szCs w:val="24"/>
        </w:rPr>
        <w:lastRenderedPageBreak/>
        <w:t>Conclusion</w:t>
      </w:r>
    </w:p>
    <w:p w14:paraId="3B09E2E6" w14:textId="055264BB" w:rsidR="008E5CA1" w:rsidRDefault="008E5CA1" w:rsidP="00BA05DA">
      <w:pPr>
        <w:jc w:val="both"/>
        <w:rPr>
          <w:color w:val="833C0B" w:themeColor="accent2" w:themeShade="80"/>
          <w:sz w:val="24"/>
          <w:szCs w:val="24"/>
        </w:rPr>
      </w:pPr>
    </w:p>
    <w:p w14:paraId="44EEFEE0" w14:textId="26EB9063" w:rsidR="008E5CA1" w:rsidRDefault="008E5CA1" w:rsidP="00BA05DA">
      <w:pPr>
        <w:jc w:val="both"/>
        <w:rPr>
          <w:color w:val="833C0B" w:themeColor="accent2" w:themeShade="80"/>
          <w:sz w:val="24"/>
          <w:szCs w:val="24"/>
        </w:rPr>
      </w:pPr>
      <w:r>
        <w:rPr>
          <w:color w:val="833C0B" w:themeColor="accent2" w:themeShade="80"/>
          <w:sz w:val="24"/>
          <w:szCs w:val="24"/>
        </w:rPr>
        <w:t xml:space="preserve">Malta has a strong sense of cultural heritage, but is still defining a universally visible and communicated national identity. Wales has a strong national and cultural identity, with </w:t>
      </w:r>
      <w:r w:rsidR="00E723D3">
        <w:rPr>
          <w:color w:val="833C0B" w:themeColor="accent2" w:themeShade="80"/>
          <w:sz w:val="24"/>
          <w:szCs w:val="24"/>
        </w:rPr>
        <w:t xml:space="preserve">both </w:t>
      </w:r>
      <w:r>
        <w:rPr>
          <w:color w:val="833C0B" w:themeColor="accent2" w:themeShade="80"/>
          <w:sz w:val="24"/>
          <w:szCs w:val="24"/>
        </w:rPr>
        <w:t>feeding into the other.</w:t>
      </w:r>
      <w:r w:rsidR="00E723D3">
        <w:rPr>
          <w:color w:val="833C0B" w:themeColor="accent2" w:themeShade="80"/>
          <w:sz w:val="24"/>
          <w:szCs w:val="24"/>
        </w:rPr>
        <w:t xml:space="preserve"> This has been created by the strong sense of community Malta felt with their Scilian overlords, negating the necessity to shape an opposing identity, and the lack of interest the Knights had in repressing any aspects of Maltese life, despite reorganising the administrative shape of the island(s). It was not until the French invasion started causing logistical issues for the Maltese they resisted invasion, and even then they did it by enlisting British aide and establishing new external governance rather than asserting their national independence. Once the Suez canal was built, and Malta became less strategically vital to Britain and access to her key imperial assets, it took two attempts to get Malta to declare independence, such was the lack of enthusiasm </w:t>
      </w:r>
      <w:r w:rsidR="00A5278B">
        <w:rPr>
          <w:color w:val="833C0B" w:themeColor="accent2" w:themeShade="80"/>
          <w:sz w:val="24"/>
          <w:szCs w:val="24"/>
        </w:rPr>
        <w:t xml:space="preserve">at home for the project. In some respects, due to the location, size and native resources of Malta, as described above, Malta could be said to have farmed invaders, as it now farms tourists, and interacts with the EU largely in ways that enables this and other benefits, while being fairly passive on the current world stage of the EU, adding to the lack of visibility of a national identity from an external perspective. </w:t>
      </w:r>
    </w:p>
    <w:p w14:paraId="360EDB17" w14:textId="3E277EAA" w:rsidR="00A5278B" w:rsidRDefault="00A5278B" w:rsidP="00BA05DA">
      <w:pPr>
        <w:jc w:val="both"/>
        <w:rPr>
          <w:color w:val="833C0B" w:themeColor="accent2" w:themeShade="80"/>
          <w:sz w:val="24"/>
          <w:szCs w:val="24"/>
        </w:rPr>
      </w:pPr>
      <w:r>
        <w:rPr>
          <w:color w:val="833C0B" w:themeColor="accent2" w:themeShade="80"/>
          <w:sz w:val="24"/>
          <w:szCs w:val="24"/>
        </w:rPr>
        <w:t>By contrast, Wales projects a sense of national and cultural heritage</w:t>
      </w:r>
      <w:r w:rsidR="00736415">
        <w:rPr>
          <w:color w:val="833C0B" w:themeColor="accent2" w:themeShade="80"/>
          <w:sz w:val="24"/>
          <w:szCs w:val="24"/>
        </w:rPr>
        <w:t xml:space="preserve">, held with different levels of visibility to different audiences. This diplomatic caution appears largely aimed to try and mute some of the older negative perceptions held about more radical aspects of the Welsh Nationalist Movement, in order to further a more progressive and differently insistent current approach to nationalism. This is represented in the way the Welsh Tourism Board promote Wales differently to different audiences, with UK based advertising muting the cultural distinctiveness of Wales, and stressing wonderful landscape and outdoor opportunities, </w:t>
      </w:r>
      <w:r w:rsidR="00A6326F">
        <w:rPr>
          <w:color w:val="833C0B" w:themeColor="accent2" w:themeShade="80"/>
          <w:sz w:val="24"/>
          <w:szCs w:val="24"/>
        </w:rPr>
        <w:t>and advertising to countries such as America (with known diasporic communities) and other countries outside the UK highlighting cultural experiences they will not find anywhere else. Wales also has a stronger and more diverse online presence than Malta, allowing it to share and maintain cultural facets. Organisations such as the AC-NMW, Cadw and RCAHM, as well as other groups such as archaeological groups, document and share research, sites and the usage of those sites, be they domestic or UNESCO, for home and international consumption. Malta’s online presence appears mainly to be it’s tourism organisations. There seems to be no online presence aimed at the home Maltese audience</w:t>
      </w:r>
      <w:r w:rsidR="00FC6C8D">
        <w:rPr>
          <w:color w:val="833C0B" w:themeColor="accent2" w:themeShade="80"/>
          <w:sz w:val="24"/>
          <w:szCs w:val="24"/>
        </w:rPr>
        <w:t xml:space="preserve"> providing similar information about heritage site events or exhibitions. This is possibly due to the strong local community ties in Malta, which would facilitate sharing news of events. This suggests that while Malta has no problem marketing it’s international heritage sites, it’s UNESCO sites, for outside consumption</w:t>
      </w:r>
      <w:r w:rsidR="000660E6">
        <w:rPr>
          <w:color w:val="833C0B" w:themeColor="accent2" w:themeShade="80"/>
          <w:sz w:val="24"/>
          <w:szCs w:val="24"/>
        </w:rPr>
        <w:t>, as a method of protecting it’s cultural heritage. Wales protects it’s cultural heritage by sharing it in a way it can control through national institutions to outsiders, distinguishing it from other countries. Malta uses the same technique to protect its living cultural heritage, and nascent national identity, by being selective in the heritage material it shares, preferring to appeal to others sense of shared identity, rather than allowing them into it's current cultural identity.</w:t>
      </w:r>
    </w:p>
    <w:p w14:paraId="0C3323DE" w14:textId="20F3A28A" w:rsidR="0076727B" w:rsidRDefault="0076727B" w:rsidP="00BA05DA">
      <w:pPr>
        <w:jc w:val="both"/>
        <w:rPr>
          <w:color w:val="833C0B" w:themeColor="accent2" w:themeShade="80"/>
          <w:sz w:val="24"/>
          <w:szCs w:val="24"/>
        </w:rPr>
      </w:pPr>
    </w:p>
    <w:p w14:paraId="3DAF4606" w14:textId="2C0C8919" w:rsidR="0076727B" w:rsidRDefault="0076727B" w:rsidP="00BA05DA">
      <w:pPr>
        <w:jc w:val="both"/>
        <w:rPr>
          <w:color w:val="833C0B" w:themeColor="accent2" w:themeShade="80"/>
          <w:sz w:val="24"/>
          <w:szCs w:val="24"/>
        </w:rPr>
      </w:pPr>
      <w:r>
        <w:rPr>
          <w:color w:val="833C0B" w:themeColor="accent2" w:themeShade="80"/>
          <w:sz w:val="24"/>
          <w:szCs w:val="24"/>
        </w:rPr>
        <w:lastRenderedPageBreak/>
        <w:t>Bibliography</w:t>
      </w:r>
    </w:p>
    <w:p w14:paraId="77F45D05" w14:textId="2C7B74DE" w:rsidR="00997A90" w:rsidRDefault="00997A90" w:rsidP="00BA05DA">
      <w:pPr>
        <w:jc w:val="both"/>
        <w:rPr>
          <w:color w:val="833C0B" w:themeColor="accent2" w:themeShade="80"/>
          <w:sz w:val="24"/>
          <w:szCs w:val="24"/>
        </w:rPr>
      </w:pPr>
      <w:r>
        <w:rPr>
          <w:color w:val="833C0B" w:themeColor="accent2" w:themeShade="80"/>
          <w:sz w:val="24"/>
          <w:szCs w:val="24"/>
        </w:rPr>
        <w:t>Shaping a National Identity: Malta in the European Union International Journal of Sociology 35.4, 10-27, DOI 10.2753.IJS0020-7659350401 2005 Anthony Abela</w:t>
      </w:r>
    </w:p>
    <w:p w14:paraId="5B9FA366" w14:textId="77777777" w:rsidR="0076727B" w:rsidRPr="00B949DB" w:rsidRDefault="0076727B" w:rsidP="0076727B">
      <w:pPr>
        <w:rPr>
          <w:rFonts w:cstheme="minorHAnsi"/>
          <w:color w:val="C45911" w:themeColor="accent2" w:themeShade="BF"/>
          <w:sz w:val="24"/>
          <w:szCs w:val="24"/>
        </w:rPr>
      </w:pPr>
      <w:r w:rsidRPr="0066328C">
        <w:rPr>
          <w:rFonts w:cstheme="minorHAnsi"/>
          <w:i/>
          <w:iCs/>
          <w:color w:val="C45911" w:themeColor="accent2" w:themeShade="BF"/>
          <w:sz w:val="24"/>
          <w:szCs w:val="24"/>
        </w:rPr>
        <w:t>The Convergence Process in Heritage Tourism</w:t>
      </w:r>
      <w:r w:rsidRPr="00B949DB">
        <w:rPr>
          <w:rFonts w:cstheme="minorHAnsi"/>
          <w:color w:val="C45911" w:themeColor="accent2" w:themeShade="BF"/>
          <w:sz w:val="24"/>
          <w:szCs w:val="24"/>
        </w:rPr>
        <w:t xml:space="preserve"> – Alexandres Apostolakis</w:t>
      </w:r>
    </w:p>
    <w:p w14:paraId="22ADD3C9" w14:textId="4D69B666" w:rsidR="00200FD8" w:rsidRDefault="00200FD8" w:rsidP="00B949DB">
      <w:pPr>
        <w:rPr>
          <w:rFonts w:cstheme="minorHAnsi"/>
          <w:color w:val="B30D93"/>
          <w:sz w:val="24"/>
          <w:szCs w:val="24"/>
        </w:rPr>
      </w:pPr>
      <w:r>
        <w:rPr>
          <w:rFonts w:cstheme="minorHAnsi"/>
          <w:color w:val="B30D93"/>
          <w:sz w:val="24"/>
          <w:szCs w:val="24"/>
        </w:rPr>
        <w:t xml:space="preserve">Pangs of Nascent Nationalism from the nationless state? Euro coins and undocumented migrants in Malta since 2004, </w:t>
      </w:r>
      <w:r w:rsidRPr="0066328C">
        <w:rPr>
          <w:rFonts w:cstheme="minorHAnsi"/>
          <w:i/>
          <w:iCs/>
          <w:color w:val="B30D93"/>
          <w:sz w:val="24"/>
          <w:szCs w:val="24"/>
        </w:rPr>
        <w:t>Nations and Nationalism</w:t>
      </w:r>
      <w:r>
        <w:rPr>
          <w:rFonts w:cstheme="minorHAnsi"/>
          <w:color w:val="B30D93"/>
          <w:sz w:val="24"/>
          <w:szCs w:val="24"/>
        </w:rPr>
        <w:t xml:space="preserve"> 15 (1) 2009, 148-165 Godfrey Baldacchino</w:t>
      </w:r>
    </w:p>
    <w:p w14:paraId="6B87379A" w14:textId="3D6CF2E6" w:rsidR="0066328C" w:rsidRDefault="0066328C" w:rsidP="00B949DB">
      <w:pPr>
        <w:rPr>
          <w:rFonts w:cstheme="minorHAnsi"/>
          <w:color w:val="B30D93"/>
          <w:sz w:val="24"/>
          <w:szCs w:val="24"/>
        </w:rPr>
      </w:pPr>
    </w:p>
    <w:p w14:paraId="17AF4763" w14:textId="15A28B48" w:rsidR="0066328C" w:rsidRDefault="0066328C" w:rsidP="00B949DB">
      <w:pPr>
        <w:rPr>
          <w:rFonts w:cstheme="minorHAnsi"/>
          <w:color w:val="B30D93"/>
          <w:sz w:val="24"/>
          <w:szCs w:val="24"/>
        </w:rPr>
      </w:pPr>
      <w:r>
        <w:rPr>
          <w:rFonts w:cstheme="minorHAnsi"/>
          <w:color w:val="B30D93"/>
          <w:sz w:val="24"/>
          <w:szCs w:val="24"/>
        </w:rPr>
        <w:t>A nationless state? Malta, National Identity and the EU, Godfrey Baldacchino</w:t>
      </w:r>
    </w:p>
    <w:p w14:paraId="533276C1" w14:textId="77777777" w:rsidR="00200FD8" w:rsidRDefault="00200FD8" w:rsidP="00B949DB">
      <w:pPr>
        <w:rPr>
          <w:rFonts w:cstheme="minorHAnsi"/>
          <w:color w:val="B30D93"/>
          <w:sz w:val="24"/>
          <w:szCs w:val="24"/>
        </w:rPr>
      </w:pPr>
    </w:p>
    <w:p w14:paraId="212008DD" w14:textId="01A28770" w:rsidR="00B949DB" w:rsidRPr="00B949DB" w:rsidRDefault="00B949DB" w:rsidP="00B949DB">
      <w:pPr>
        <w:rPr>
          <w:rFonts w:cstheme="minorHAnsi"/>
          <w:color w:val="B30D93"/>
          <w:sz w:val="24"/>
          <w:szCs w:val="24"/>
        </w:rPr>
      </w:pPr>
      <w:r w:rsidRPr="0066328C">
        <w:rPr>
          <w:rFonts w:cstheme="minorHAnsi"/>
          <w:i/>
          <w:iCs/>
          <w:color w:val="B30D93"/>
          <w:sz w:val="24"/>
          <w:szCs w:val="24"/>
        </w:rPr>
        <w:t>Representing the Nation: A Reader – Histories, heritage and museums</w:t>
      </w:r>
      <w:r w:rsidRPr="00B949DB">
        <w:rPr>
          <w:rFonts w:cstheme="minorHAnsi"/>
          <w:color w:val="B30D93"/>
          <w:sz w:val="24"/>
          <w:szCs w:val="24"/>
        </w:rPr>
        <w:t xml:space="preserve"> David Boswell and Jessica Evans (ed.s) 1999</w:t>
      </w:r>
    </w:p>
    <w:p w14:paraId="2CFED835" w14:textId="47B9244C" w:rsidR="0076727B" w:rsidRPr="00B949DB" w:rsidRDefault="0076727B" w:rsidP="00BA05DA">
      <w:pPr>
        <w:jc w:val="both"/>
        <w:rPr>
          <w:rFonts w:cstheme="minorHAnsi"/>
          <w:color w:val="833C0B" w:themeColor="accent2" w:themeShade="80"/>
          <w:sz w:val="24"/>
          <w:szCs w:val="24"/>
        </w:rPr>
      </w:pPr>
    </w:p>
    <w:p w14:paraId="68AEF1A7" w14:textId="5652D1C3" w:rsidR="0076727B" w:rsidRDefault="0076727B" w:rsidP="0076727B">
      <w:pPr>
        <w:rPr>
          <w:rFonts w:cstheme="minorHAnsi"/>
          <w:color w:val="C45911" w:themeColor="accent2" w:themeShade="BF"/>
          <w:sz w:val="24"/>
          <w:szCs w:val="24"/>
        </w:rPr>
      </w:pPr>
      <w:r w:rsidRPr="00B949DB">
        <w:rPr>
          <w:rFonts w:cstheme="minorHAnsi"/>
          <w:color w:val="C45911" w:themeColor="accent2" w:themeShade="BF"/>
          <w:sz w:val="24"/>
          <w:szCs w:val="24"/>
        </w:rPr>
        <w:t xml:space="preserve">Carmel Cassar,  </w:t>
      </w:r>
      <w:r w:rsidRPr="0066328C">
        <w:rPr>
          <w:rFonts w:cstheme="minorHAnsi"/>
          <w:i/>
          <w:iCs/>
          <w:color w:val="C45911" w:themeColor="accent2" w:themeShade="BF"/>
          <w:sz w:val="24"/>
          <w:szCs w:val="24"/>
        </w:rPr>
        <w:t>A Concise History of Malta</w:t>
      </w:r>
      <w:r w:rsidRPr="00B949DB">
        <w:rPr>
          <w:rFonts w:cstheme="minorHAnsi"/>
          <w:color w:val="C45911" w:themeColor="accent2" w:themeShade="BF"/>
          <w:sz w:val="24"/>
          <w:szCs w:val="24"/>
        </w:rPr>
        <w:t xml:space="preserve"> (2000)</w:t>
      </w:r>
    </w:p>
    <w:p w14:paraId="424609DF" w14:textId="13F5764C" w:rsidR="0066328C" w:rsidRDefault="0066328C" w:rsidP="0076727B">
      <w:pPr>
        <w:rPr>
          <w:rFonts w:cstheme="minorHAnsi"/>
          <w:color w:val="C45911" w:themeColor="accent2" w:themeShade="BF"/>
          <w:sz w:val="24"/>
          <w:szCs w:val="24"/>
        </w:rPr>
      </w:pPr>
    </w:p>
    <w:p w14:paraId="4AC8039F" w14:textId="048069DB" w:rsidR="0066328C" w:rsidRPr="00B949DB" w:rsidRDefault="0066328C" w:rsidP="0076727B">
      <w:pPr>
        <w:rPr>
          <w:rFonts w:cstheme="minorHAnsi"/>
          <w:color w:val="C45911" w:themeColor="accent2" w:themeShade="BF"/>
          <w:sz w:val="24"/>
          <w:szCs w:val="24"/>
        </w:rPr>
      </w:pPr>
      <w:r>
        <w:rPr>
          <w:rFonts w:cstheme="minorHAnsi"/>
          <w:color w:val="C45911" w:themeColor="accent2" w:themeShade="BF"/>
          <w:sz w:val="24"/>
          <w:szCs w:val="24"/>
        </w:rPr>
        <w:t xml:space="preserve">Malta: Language, Literacy and Identity in a Mediterranean Island Society in </w:t>
      </w:r>
      <w:r w:rsidRPr="0066328C">
        <w:rPr>
          <w:rFonts w:cstheme="minorHAnsi"/>
          <w:i/>
          <w:iCs/>
          <w:color w:val="C45911" w:themeColor="accent2" w:themeShade="BF"/>
          <w:sz w:val="24"/>
          <w:szCs w:val="24"/>
        </w:rPr>
        <w:t>National Identities</w:t>
      </w:r>
      <w:r>
        <w:rPr>
          <w:rFonts w:cstheme="minorHAnsi"/>
          <w:color w:val="C45911" w:themeColor="accent2" w:themeShade="BF"/>
          <w:sz w:val="24"/>
          <w:szCs w:val="24"/>
        </w:rPr>
        <w:t>, Vol 3, No. 3, 2001 Carmel Cassar</w:t>
      </w:r>
    </w:p>
    <w:p w14:paraId="4358F8A2" w14:textId="77777777" w:rsidR="0076727B" w:rsidRPr="00B949DB" w:rsidRDefault="0076727B" w:rsidP="0076727B">
      <w:pPr>
        <w:rPr>
          <w:rFonts w:cstheme="minorHAnsi"/>
          <w:color w:val="C45911" w:themeColor="accent2" w:themeShade="BF"/>
          <w:sz w:val="24"/>
          <w:szCs w:val="24"/>
        </w:rPr>
      </w:pPr>
      <w:r w:rsidRPr="0066328C">
        <w:rPr>
          <w:rFonts w:cstheme="minorHAnsi"/>
          <w:i/>
          <w:iCs/>
          <w:color w:val="C45911" w:themeColor="accent2" w:themeShade="BF"/>
          <w:sz w:val="24"/>
          <w:szCs w:val="24"/>
        </w:rPr>
        <w:t>Authenticity and Commoditization in Tourism</w:t>
      </w:r>
      <w:r w:rsidRPr="00B949DB">
        <w:rPr>
          <w:rFonts w:cstheme="minorHAnsi"/>
          <w:color w:val="C45911" w:themeColor="accent2" w:themeShade="BF"/>
          <w:sz w:val="24"/>
          <w:szCs w:val="24"/>
        </w:rPr>
        <w:t xml:space="preserve"> – Erik Cohen</w:t>
      </w:r>
    </w:p>
    <w:p w14:paraId="1BB05F8B" w14:textId="77777777" w:rsidR="0076727B" w:rsidRPr="00B949DB" w:rsidRDefault="0076727B" w:rsidP="0076727B">
      <w:pPr>
        <w:rPr>
          <w:rFonts w:cstheme="minorHAnsi"/>
          <w:color w:val="C45911" w:themeColor="accent2" w:themeShade="BF"/>
          <w:sz w:val="24"/>
          <w:szCs w:val="24"/>
        </w:rPr>
      </w:pPr>
    </w:p>
    <w:p w14:paraId="584E1C6E" w14:textId="77777777" w:rsidR="0076727B" w:rsidRPr="00B949DB" w:rsidRDefault="0076727B" w:rsidP="0076727B">
      <w:pPr>
        <w:rPr>
          <w:rFonts w:cstheme="minorHAnsi"/>
          <w:color w:val="C45911" w:themeColor="accent2" w:themeShade="BF"/>
          <w:sz w:val="24"/>
          <w:szCs w:val="24"/>
        </w:rPr>
      </w:pPr>
      <w:r w:rsidRPr="00B949DB">
        <w:rPr>
          <w:rFonts w:cstheme="minorHAnsi"/>
          <w:color w:val="C45911" w:themeColor="accent2" w:themeShade="BF"/>
          <w:sz w:val="24"/>
          <w:szCs w:val="24"/>
        </w:rPr>
        <w:t>Local Uniqueness in the Global Village – T.C. Chang</w:t>
      </w:r>
    </w:p>
    <w:p w14:paraId="7B660BEA" w14:textId="77777777" w:rsidR="00B949DB" w:rsidRPr="00B949DB" w:rsidRDefault="00B949DB" w:rsidP="00B949DB">
      <w:pPr>
        <w:rPr>
          <w:rFonts w:cstheme="minorHAnsi"/>
          <w:color w:val="C45911" w:themeColor="accent2" w:themeShade="BF"/>
          <w:sz w:val="24"/>
          <w:szCs w:val="24"/>
        </w:rPr>
      </w:pPr>
      <w:r w:rsidRPr="00B949DB">
        <w:rPr>
          <w:rFonts w:cstheme="minorHAnsi"/>
          <w:color w:val="C45911" w:themeColor="accent2" w:themeShade="BF"/>
          <w:sz w:val="24"/>
          <w:szCs w:val="24"/>
        </w:rPr>
        <w:t>Developing a Framework for Indicators of Authenticity: The Place and Space of Cultural and Heritage Tourism – Tazim Jamal and Steve Hill (2004)</w:t>
      </w:r>
    </w:p>
    <w:p w14:paraId="47A585FF" w14:textId="77777777" w:rsidR="0076727B" w:rsidRPr="00B949DB" w:rsidRDefault="0076727B" w:rsidP="0076727B">
      <w:pPr>
        <w:rPr>
          <w:rFonts w:cstheme="minorHAnsi"/>
          <w:color w:val="C45911" w:themeColor="accent2" w:themeShade="BF"/>
          <w:sz w:val="24"/>
          <w:szCs w:val="24"/>
        </w:rPr>
      </w:pPr>
    </w:p>
    <w:p w14:paraId="34125FE7" w14:textId="77777777" w:rsidR="0076727B" w:rsidRPr="00B949DB" w:rsidRDefault="0076727B" w:rsidP="0076727B">
      <w:pPr>
        <w:rPr>
          <w:rFonts w:cstheme="minorHAnsi"/>
          <w:color w:val="C45911" w:themeColor="accent2" w:themeShade="BF"/>
          <w:sz w:val="24"/>
          <w:szCs w:val="24"/>
        </w:rPr>
      </w:pPr>
      <w:r w:rsidRPr="00B949DB">
        <w:rPr>
          <w:rFonts w:cstheme="minorHAnsi"/>
          <w:color w:val="C45911" w:themeColor="accent2" w:themeShade="BF"/>
          <w:sz w:val="24"/>
          <w:szCs w:val="24"/>
        </w:rPr>
        <w:t>Miguel De Oliver, ‘Historical Preservation and Identity: The Alamo and the Production of a Consumer Landscape’ In Dallen J Timothy (ed.)</w:t>
      </w:r>
      <w:r w:rsidRPr="00B949DB">
        <w:rPr>
          <w:rFonts w:cstheme="minorHAnsi"/>
          <w:i/>
          <w:iCs/>
          <w:color w:val="C45911" w:themeColor="accent2" w:themeShade="BF"/>
          <w:sz w:val="24"/>
          <w:szCs w:val="24"/>
        </w:rPr>
        <w:t>The Political Nature of Cultural Heritage and Tourism: Critical Essays Vol. 3</w:t>
      </w:r>
      <w:r w:rsidRPr="00B949DB">
        <w:rPr>
          <w:rFonts w:cstheme="minorHAnsi"/>
          <w:color w:val="C45911" w:themeColor="accent2" w:themeShade="BF"/>
          <w:sz w:val="24"/>
          <w:szCs w:val="24"/>
        </w:rPr>
        <w:t xml:space="preserve"> pp125 – 147</w:t>
      </w:r>
    </w:p>
    <w:p w14:paraId="521E87DF" w14:textId="77777777" w:rsidR="00B949DB" w:rsidRPr="00B949DB" w:rsidRDefault="00B949DB" w:rsidP="00B949DB">
      <w:pPr>
        <w:rPr>
          <w:rFonts w:cstheme="minorHAnsi"/>
          <w:color w:val="C45911" w:themeColor="accent2" w:themeShade="BF"/>
          <w:sz w:val="24"/>
          <w:szCs w:val="24"/>
        </w:rPr>
      </w:pPr>
    </w:p>
    <w:p w14:paraId="784F5864" w14:textId="77777777" w:rsidR="00B949DB" w:rsidRPr="00B949DB" w:rsidRDefault="00B949DB" w:rsidP="00B949DB">
      <w:pPr>
        <w:rPr>
          <w:rFonts w:cstheme="minorHAnsi"/>
          <w:color w:val="C45911" w:themeColor="accent2" w:themeShade="BF"/>
          <w:sz w:val="24"/>
          <w:szCs w:val="24"/>
        </w:rPr>
      </w:pPr>
      <w:r w:rsidRPr="00B949DB">
        <w:rPr>
          <w:rFonts w:cstheme="minorHAnsi"/>
          <w:color w:val="C45911" w:themeColor="accent2" w:themeShade="BF"/>
          <w:sz w:val="24"/>
          <w:szCs w:val="24"/>
        </w:rPr>
        <w:t>Culture and the State: Manufacturing Traditions for Tourism – Wai-Teng Leong (1989)</w:t>
      </w:r>
    </w:p>
    <w:p w14:paraId="5A7977F5" w14:textId="77777777" w:rsidR="0076727B" w:rsidRPr="00B949DB" w:rsidRDefault="0076727B" w:rsidP="0076727B">
      <w:pPr>
        <w:rPr>
          <w:rFonts w:cstheme="minorHAnsi"/>
          <w:color w:val="C45911" w:themeColor="accent2" w:themeShade="BF"/>
          <w:sz w:val="24"/>
          <w:szCs w:val="24"/>
        </w:rPr>
      </w:pPr>
    </w:p>
    <w:p w14:paraId="00FBDEBB" w14:textId="77777777" w:rsidR="0076727B" w:rsidRPr="00B949DB" w:rsidRDefault="0076727B" w:rsidP="0076727B">
      <w:pPr>
        <w:rPr>
          <w:rFonts w:cstheme="minorHAnsi"/>
          <w:color w:val="C45911" w:themeColor="accent2" w:themeShade="BF"/>
          <w:sz w:val="24"/>
          <w:szCs w:val="24"/>
        </w:rPr>
      </w:pPr>
    </w:p>
    <w:p w14:paraId="24B2568C" w14:textId="77777777" w:rsidR="0076727B" w:rsidRPr="00B949DB" w:rsidRDefault="0076727B" w:rsidP="00BA05DA">
      <w:pPr>
        <w:jc w:val="both"/>
        <w:rPr>
          <w:rFonts w:cstheme="minorHAnsi"/>
          <w:color w:val="833C0B" w:themeColor="accent2" w:themeShade="80"/>
          <w:sz w:val="24"/>
          <w:szCs w:val="24"/>
        </w:rPr>
      </w:pPr>
    </w:p>
    <w:sectPr w:rsidR="0076727B" w:rsidRPr="00B949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EA4"/>
    <w:rsid w:val="0001637E"/>
    <w:rsid w:val="000660E6"/>
    <w:rsid w:val="00160FF8"/>
    <w:rsid w:val="00200FD8"/>
    <w:rsid w:val="0066328C"/>
    <w:rsid w:val="00724B30"/>
    <w:rsid w:val="00736415"/>
    <w:rsid w:val="007406F4"/>
    <w:rsid w:val="0076727B"/>
    <w:rsid w:val="0078099E"/>
    <w:rsid w:val="007B0A54"/>
    <w:rsid w:val="007E0A2B"/>
    <w:rsid w:val="00807D79"/>
    <w:rsid w:val="00896C06"/>
    <w:rsid w:val="008E5CA1"/>
    <w:rsid w:val="00973FA4"/>
    <w:rsid w:val="00997A90"/>
    <w:rsid w:val="00A5278B"/>
    <w:rsid w:val="00A6326F"/>
    <w:rsid w:val="00A8291F"/>
    <w:rsid w:val="00AB77C3"/>
    <w:rsid w:val="00AF0E3F"/>
    <w:rsid w:val="00B37B50"/>
    <w:rsid w:val="00B949DB"/>
    <w:rsid w:val="00BA05DA"/>
    <w:rsid w:val="00D13EA4"/>
    <w:rsid w:val="00D14392"/>
    <w:rsid w:val="00E723D3"/>
    <w:rsid w:val="00F13F93"/>
    <w:rsid w:val="00FC6C8D"/>
    <w:rsid w:val="00FE7390"/>
    <w:rsid w:val="00FF1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D23A5"/>
  <w15:chartTrackingRefBased/>
  <w15:docId w15:val="{5534EEAD-5F8F-4E9E-8612-34092E4A8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5</Pages>
  <Words>1834</Words>
  <Characters>10456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Mathias (1707558)</dc:creator>
  <cp:keywords/>
  <dc:description/>
  <cp:lastModifiedBy>Sian Mathias (1707558)</cp:lastModifiedBy>
  <cp:revision>2</cp:revision>
  <dcterms:created xsi:type="dcterms:W3CDTF">2022-05-22T19:44:00Z</dcterms:created>
  <dcterms:modified xsi:type="dcterms:W3CDTF">2022-05-22T22:50:00Z</dcterms:modified>
</cp:coreProperties>
</file>