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2F516" w14:textId="77777777" w:rsidR="005B2CA0" w:rsidRPr="005B2CA0" w:rsidRDefault="005B2CA0" w:rsidP="005B2CA0">
      <w:pPr>
        <w:rPr>
          <w:b/>
          <w:bCs/>
          <w:sz w:val="36"/>
          <w:szCs w:val="36"/>
        </w:rPr>
      </w:pPr>
      <w:r w:rsidRPr="005B2CA0">
        <w:rPr>
          <w:b/>
          <w:bCs/>
          <w:sz w:val="36"/>
          <w:szCs w:val="36"/>
        </w:rPr>
        <w:t>Review of Eben Alexander’s Article on Healing and Near-Death Experience</w:t>
      </w:r>
    </w:p>
    <w:p w14:paraId="0BD140D6" w14:textId="0EFCD9FE" w:rsidR="005B2CA0" w:rsidRDefault="005B2CA0" w:rsidP="005B2CA0">
      <w:r>
        <w:t xml:space="preserve">The article written by neurosurgeon Eben Alexander discusses the meaning of “healing” and how this concept can be understood differently in modern medicine and in spiritual perspectives. The author reflects on his personal experience as both a doctor and a patient after surviving a severe brain infection which caused a deep coma and a near-death experience (NDE). Through this experience, Alexander questions traditional scientific </w:t>
      </w:r>
      <w:r>
        <w:t>hypothesis</w:t>
      </w:r>
      <w:r>
        <w:t xml:space="preserve"> about consciousness and healing and </w:t>
      </w:r>
      <w:r>
        <w:t xml:space="preserve">advise </w:t>
      </w:r>
      <w:r>
        <w:t>that spiritual factors may play an important role in human health.</w:t>
      </w:r>
    </w:p>
    <w:p w14:paraId="75B0FE2C" w14:textId="02306722" w:rsidR="005B2CA0" w:rsidRDefault="005B2CA0" w:rsidP="005B2CA0">
      <w:r>
        <w:t>One of the key themes of the article is the difference between biomedical healing and spiritual healing. Alexander explains that in conventional medical literature, healing</w:t>
      </w:r>
      <w:r>
        <w:t xml:space="preserve"> only  usually refers to</w:t>
      </w:r>
      <w:r>
        <w:t xml:space="preserve"> physical recovery, such as the closing of wounds or recovery after surgery. However, in complementary and alternative medicine, healing is understood more broadly as emotional, psychological, and spiritual transformation. The author argues that modern healthcare often focuses more on treating disease after it appears rather than maintaining wellbeing and preventing illness. This idea introduces an important discussion about whether medicine should concentrate more on overall wellness instead of only reacting to sickness.</w:t>
      </w:r>
    </w:p>
    <w:p w14:paraId="2213D32D" w14:textId="7BCC874F" w:rsidR="005B2CA0" w:rsidRDefault="005B2CA0" w:rsidP="005B2CA0">
      <w:r>
        <w:t xml:space="preserve">A strong aspect of the article is the author’s unique perspective as a trained </w:t>
      </w:r>
      <w:r w:rsidR="00B471E3">
        <w:t xml:space="preserve">well </w:t>
      </w:r>
      <w:r>
        <w:t>neurosurgeon</w:t>
      </w:r>
      <w:r w:rsidR="00B471E3">
        <w:t xml:space="preserve"> with proven </w:t>
      </w:r>
      <w:r w:rsidR="000D0340">
        <w:t>professional</w:t>
      </w:r>
      <w:r w:rsidR="00B471E3">
        <w:t xml:space="preserve"> experience. </w:t>
      </w:r>
      <w:r>
        <w:t xml:space="preserve">Because Alexander previously believed strongly in scientific materialism, his personal transformation after illness creates an interesting contrast between professional knowledge and personal experience. His description of recovery and near-death experience encourages readers to think about the limits of scientific explanations, especially regarding consciousness. The article is </w:t>
      </w:r>
      <w:r w:rsidR="00B471E3">
        <w:t xml:space="preserve">interested and easy to understand .It </w:t>
      </w:r>
      <w:r>
        <w:t xml:space="preserve">connects medical </w:t>
      </w:r>
      <w:r w:rsidR="00B471E3">
        <w:t xml:space="preserve">topics </w:t>
      </w:r>
      <w:r>
        <w:t xml:space="preserve"> with philosophical and spiritual questions</w:t>
      </w:r>
      <w:r w:rsidR="000D0340">
        <w:t>.</w:t>
      </w:r>
    </w:p>
    <w:p w14:paraId="6D991C1E" w14:textId="0FB54852" w:rsidR="005B2CA0" w:rsidRDefault="005B2CA0" w:rsidP="005B2CA0">
      <w:r>
        <w:t xml:space="preserve">While reading this article, I was reminded of Anita Moorjani’s account of a near-death experience described in her book Dying to Be Me, which </w:t>
      </w:r>
      <w:r w:rsidR="00B471E3">
        <w:t xml:space="preserve"> I have read in past, and it also </w:t>
      </w:r>
      <w:r>
        <w:t>presents a similar narrative of serious illness followed by unexpected recovery connected with spiritual transformation. Both authors describe healing not only as physical survival but also as a deep in</w:t>
      </w:r>
      <w:r w:rsidR="00B471E3">
        <w:t xml:space="preserve">ner </w:t>
      </w:r>
      <w:r>
        <w:t xml:space="preserve">change involving fear, identity, and understanding of life. This comparison helped me see that Alexander’s experience is not presented as an isolated story, but as part of a broader group of testimonies that explore the relationship between spirituality and health. However, it also raises questions about how such personal experiences </w:t>
      </w:r>
      <w:r w:rsidR="00B471E3">
        <w:t xml:space="preserve">like this </w:t>
      </w:r>
      <w:r>
        <w:t xml:space="preserve">can be </w:t>
      </w:r>
      <w:r w:rsidR="00D07B25">
        <w:t xml:space="preserve">understood in </w:t>
      </w:r>
      <w:r>
        <w:t xml:space="preserve">academic or scientific </w:t>
      </w:r>
      <w:r w:rsidR="00D07B25">
        <w:t>perspective.</w:t>
      </w:r>
    </w:p>
    <w:p w14:paraId="25D8A2A3" w14:textId="7278C978" w:rsidR="005B2CA0" w:rsidRDefault="00D07B25" w:rsidP="005B2CA0">
      <w:r>
        <w:lastRenderedPageBreak/>
        <w:t>At the same time</w:t>
      </w:r>
      <w:r w:rsidR="005B2CA0">
        <w:t xml:space="preserve"> the article also has several weaknesses. Much of Alexander’s argument relies on personal experience rather than </w:t>
      </w:r>
      <w:r>
        <w:t>evidence-based</w:t>
      </w:r>
      <w:r w:rsidR="005B2CA0">
        <w:t xml:space="preserve"> scientific evidence. While his story is powerful, it</w:t>
      </w:r>
      <w:r>
        <w:t xml:space="preserve"> is hard to prove and may not apply to other patients.</w:t>
      </w:r>
      <w:r w:rsidR="005B2CA0">
        <w:t xml:space="preserve"> The claims that consciousness may exist </w:t>
      </w:r>
      <w:r>
        <w:t>outside</w:t>
      </w:r>
      <w:r w:rsidR="005B2CA0">
        <w:t xml:space="preserve"> the brain </w:t>
      </w:r>
      <w:r w:rsidR="00FC07AC">
        <w:t xml:space="preserve">is still </w:t>
      </w:r>
      <w:r w:rsidR="005B2CA0">
        <w:t>controversial</w:t>
      </w:r>
      <w:r w:rsidR="00FC07AC">
        <w:t>. Neurosciences</w:t>
      </w:r>
      <w:r w:rsidR="005B2CA0">
        <w:t xml:space="preserve"> are not supported by strong experimental data in the article. Additionally, the examples of miraculous healing that he presents may appear selective and do not fully consider alternative medical explanations. </w:t>
      </w:r>
      <w:r w:rsidR="00FC07AC">
        <w:t xml:space="preserve">For this reason </w:t>
      </w:r>
      <w:r w:rsidR="005B2CA0">
        <w:t xml:space="preserve">, the article </w:t>
      </w:r>
      <w:r w:rsidR="00FC07AC">
        <w:t>seems</w:t>
      </w:r>
      <w:r w:rsidR="005B2CA0">
        <w:t xml:space="preserve"> more </w:t>
      </w:r>
      <w:r w:rsidR="00FC07AC">
        <w:t>liken the author’s personal thoughts that fully academic paper.</w:t>
      </w:r>
    </w:p>
    <w:p w14:paraId="02E404E3" w14:textId="35E41DC1" w:rsidR="005B2CA0" w:rsidRDefault="005B2CA0" w:rsidP="005B2CA0">
      <w:r>
        <w:t xml:space="preserve">Despite </w:t>
      </w:r>
      <w:r w:rsidR="00FC07AC">
        <w:t xml:space="preserve">this limited evidence </w:t>
      </w:r>
      <w:r>
        <w:t xml:space="preserve">, the article is still useful for understanding how concepts of health and healing are shaped by cultural, spiritual, and personal beliefs. It </w:t>
      </w:r>
      <w:r w:rsidR="00FC07AC">
        <w:t xml:space="preserve">makes readers to think about science and spiritual </w:t>
      </w:r>
      <w:r w:rsidR="000D0340">
        <w:t>connections and</w:t>
      </w:r>
      <w:r w:rsidR="00FC07AC">
        <w:t xml:space="preserve"> understanding of holistic wellbeing</w:t>
      </w:r>
      <w:r w:rsidR="000D0340">
        <w:t>.</w:t>
      </w:r>
      <w:r w:rsidR="00FC07AC">
        <w:t xml:space="preserve"> </w:t>
      </w:r>
    </w:p>
    <w:p w14:paraId="5A5750BF" w14:textId="14109CA1" w:rsidR="005B2CA0" w:rsidRDefault="000D0340" w:rsidP="005B2CA0">
      <w:pPr>
        <w:rPr>
          <w:rFonts w:ascii="-webkit-standard" w:hAnsi="-webkit-standard"/>
          <w:color w:val="000000"/>
          <w:sz w:val="27"/>
          <w:szCs w:val="27"/>
        </w:rPr>
      </w:pPr>
      <w:r>
        <w:rPr>
          <w:color w:val="000000"/>
        </w:rPr>
        <w:t>I</w:t>
      </w:r>
      <w:r w:rsidRPr="000D0340">
        <w:rPr>
          <w:color w:val="000000"/>
        </w:rPr>
        <w:t>n conclusion, I found Alexander’s article interesting because it shows healing in a different way, not only as physical recovery. Some parts are debatable, but it made me think about the connection between spirituality and health. I understood that healing can also be emotional and spiritual, not only medical</w:t>
      </w:r>
      <w:r>
        <w:rPr>
          <w:rFonts w:ascii="-webkit-standard" w:hAnsi="-webkit-standard"/>
          <w:color w:val="000000"/>
          <w:sz w:val="27"/>
          <w:szCs w:val="27"/>
        </w:rPr>
        <w:t>.</w:t>
      </w:r>
    </w:p>
    <w:p w14:paraId="5D4C68AF" w14:textId="77777777" w:rsidR="000D0340" w:rsidRPr="00D02290" w:rsidRDefault="000D0340" w:rsidP="000D0340">
      <w:pPr>
        <w:pStyle w:val="NormalWeb"/>
        <w:rPr>
          <w:rFonts w:asciiTheme="minorHAnsi" w:hAnsiTheme="minorHAnsi"/>
          <w:color w:val="000000"/>
        </w:rPr>
      </w:pPr>
      <w:r w:rsidRPr="00D02290">
        <w:rPr>
          <w:rStyle w:val="Strong"/>
          <w:rFonts w:asciiTheme="minorHAnsi" w:eastAsiaTheme="majorEastAsia" w:hAnsiTheme="minorHAnsi"/>
          <w:color w:val="000000"/>
        </w:rPr>
        <w:t>References</w:t>
      </w:r>
    </w:p>
    <w:p w14:paraId="5758E740" w14:textId="46FEB63B" w:rsidR="000D0340" w:rsidRPr="00D02290" w:rsidRDefault="000D0340" w:rsidP="000D0340">
      <w:pPr>
        <w:pStyle w:val="NormalWeb"/>
        <w:rPr>
          <w:rFonts w:asciiTheme="minorHAnsi" w:hAnsiTheme="minorHAnsi"/>
          <w:color w:val="000000"/>
        </w:rPr>
      </w:pPr>
      <w:r w:rsidRPr="00D02290">
        <w:rPr>
          <w:rFonts w:asciiTheme="minorHAnsi" w:hAnsiTheme="minorHAnsi"/>
          <w:color w:val="000000"/>
        </w:rPr>
        <w:t>Alexander, E. (2017) ‘Extraordinary cases of miraculous healing’,</w:t>
      </w:r>
      <w:r w:rsidRPr="00D02290">
        <w:rPr>
          <w:rStyle w:val="apple-converted-space"/>
          <w:rFonts w:asciiTheme="minorHAnsi" w:eastAsiaTheme="majorEastAsia" w:hAnsiTheme="minorHAnsi"/>
          <w:color w:val="000000"/>
        </w:rPr>
        <w:t> </w:t>
      </w:r>
      <w:r w:rsidRPr="00D02290">
        <w:rPr>
          <w:rStyle w:val="Emphasis"/>
          <w:rFonts w:asciiTheme="minorHAnsi" w:eastAsiaTheme="majorEastAsia" w:hAnsiTheme="minorHAnsi"/>
          <w:color w:val="000000"/>
        </w:rPr>
        <w:t>Explore (New York, N.Y.)</w:t>
      </w:r>
      <w:r w:rsidRPr="00D02290">
        <w:rPr>
          <w:rFonts w:asciiTheme="minorHAnsi" w:hAnsiTheme="minorHAnsi"/>
          <w:color w:val="000000"/>
        </w:rPr>
        <w:t>, 13(4), pp. 257–</w:t>
      </w:r>
      <w:r w:rsidRPr="00D02290">
        <w:rPr>
          <w:rFonts w:asciiTheme="minorHAnsi" w:hAnsiTheme="minorHAnsi"/>
          <w:color w:val="000000"/>
        </w:rPr>
        <w:t>2</w:t>
      </w:r>
      <w:r w:rsidRPr="00D02290">
        <w:rPr>
          <w:rFonts w:asciiTheme="minorHAnsi" w:hAnsiTheme="minorHAnsi"/>
          <w:color w:val="000000"/>
        </w:rPr>
        <w:t>58.</w:t>
      </w:r>
    </w:p>
    <w:p w14:paraId="0E097A60" w14:textId="77777777" w:rsidR="000D0340" w:rsidRPr="000D0340" w:rsidRDefault="000D0340" w:rsidP="005B2CA0">
      <w:pPr>
        <w:rPr>
          <w:b/>
          <w:bCs/>
        </w:rPr>
      </w:pPr>
    </w:p>
    <w:sectPr w:rsidR="000D0340" w:rsidRPr="000D0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A0"/>
    <w:rsid w:val="000D0340"/>
    <w:rsid w:val="005B2CA0"/>
    <w:rsid w:val="00777ADE"/>
    <w:rsid w:val="00914AF7"/>
    <w:rsid w:val="00B471E3"/>
    <w:rsid w:val="00D02290"/>
    <w:rsid w:val="00D07B25"/>
    <w:rsid w:val="00FC0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D0B4DD"/>
  <w15:chartTrackingRefBased/>
  <w15:docId w15:val="{5ECBDFF6-F86E-E54F-853D-9DB5857B5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C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2C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C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C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C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C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C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C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C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C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2C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2C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C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C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C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C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C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CA0"/>
    <w:rPr>
      <w:rFonts w:eastAsiaTheme="majorEastAsia" w:cstheme="majorBidi"/>
      <w:color w:val="272727" w:themeColor="text1" w:themeTint="D8"/>
    </w:rPr>
  </w:style>
  <w:style w:type="paragraph" w:styleId="Title">
    <w:name w:val="Title"/>
    <w:basedOn w:val="Normal"/>
    <w:next w:val="Normal"/>
    <w:link w:val="TitleChar"/>
    <w:uiPriority w:val="10"/>
    <w:qFormat/>
    <w:rsid w:val="005B2C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C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C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C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CA0"/>
    <w:pPr>
      <w:spacing w:before="160"/>
      <w:jc w:val="center"/>
    </w:pPr>
    <w:rPr>
      <w:i/>
      <w:iCs/>
      <w:color w:val="404040" w:themeColor="text1" w:themeTint="BF"/>
    </w:rPr>
  </w:style>
  <w:style w:type="character" w:customStyle="1" w:styleId="QuoteChar">
    <w:name w:val="Quote Char"/>
    <w:basedOn w:val="DefaultParagraphFont"/>
    <w:link w:val="Quote"/>
    <w:uiPriority w:val="29"/>
    <w:rsid w:val="005B2CA0"/>
    <w:rPr>
      <w:i/>
      <w:iCs/>
      <w:color w:val="404040" w:themeColor="text1" w:themeTint="BF"/>
    </w:rPr>
  </w:style>
  <w:style w:type="paragraph" w:styleId="ListParagraph">
    <w:name w:val="List Paragraph"/>
    <w:basedOn w:val="Normal"/>
    <w:uiPriority w:val="34"/>
    <w:qFormat/>
    <w:rsid w:val="005B2CA0"/>
    <w:pPr>
      <w:ind w:left="720"/>
      <w:contextualSpacing/>
    </w:pPr>
  </w:style>
  <w:style w:type="character" w:styleId="IntenseEmphasis">
    <w:name w:val="Intense Emphasis"/>
    <w:basedOn w:val="DefaultParagraphFont"/>
    <w:uiPriority w:val="21"/>
    <w:qFormat/>
    <w:rsid w:val="005B2CA0"/>
    <w:rPr>
      <w:i/>
      <w:iCs/>
      <w:color w:val="0F4761" w:themeColor="accent1" w:themeShade="BF"/>
    </w:rPr>
  </w:style>
  <w:style w:type="paragraph" w:styleId="IntenseQuote">
    <w:name w:val="Intense Quote"/>
    <w:basedOn w:val="Normal"/>
    <w:next w:val="Normal"/>
    <w:link w:val="IntenseQuoteChar"/>
    <w:uiPriority w:val="30"/>
    <w:qFormat/>
    <w:rsid w:val="005B2C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CA0"/>
    <w:rPr>
      <w:i/>
      <w:iCs/>
      <w:color w:val="0F4761" w:themeColor="accent1" w:themeShade="BF"/>
    </w:rPr>
  </w:style>
  <w:style w:type="character" w:styleId="IntenseReference">
    <w:name w:val="Intense Reference"/>
    <w:basedOn w:val="DefaultParagraphFont"/>
    <w:uiPriority w:val="32"/>
    <w:qFormat/>
    <w:rsid w:val="005B2CA0"/>
    <w:rPr>
      <w:b/>
      <w:bCs/>
      <w:smallCaps/>
      <w:color w:val="0F4761" w:themeColor="accent1" w:themeShade="BF"/>
      <w:spacing w:val="5"/>
    </w:rPr>
  </w:style>
  <w:style w:type="paragraph" w:styleId="NormalWeb">
    <w:name w:val="Normal (Web)"/>
    <w:basedOn w:val="Normal"/>
    <w:uiPriority w:val="99"/>
    <w:semiHidden/>
    <w:unhideWhenUsed/>
    <w:rsid w:val="000D034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D0340"/>
    <w:rPr>
      <w:b/>
      <w:bCs/>
    </w:rPr>
  </w:style>
  <w:style w:type="character" w:customStyle="1" w:styleId="apple-converted-space">
    <w:name w:val="apple-converted-space"/>
    <w:basedOn w:val="DefaultParagraphFont"/>
    <w:rsid w:val="000D0340"/>
  </w:style>
  <w:style w:type="character" w:styleId="Emphasis">
    <w:name w:val="Emphasis"/>
    <w:basedOn w:val="DefaultParagraphFont"/>
    <w:uiPriority w:val="20"/>
    <w:qFormat/>
    <w:rsid w:val="000D03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Jursova (2418591)</dc:creator>
  <cp:keywords/>
  <dc:description/>
  <cp:lastModifiedBy>Lucie Jursova (2418591)</cp:lastModifiedBy>
  <cp:revision>2</cp:revision>
  <dcterms:created xsi:type="dcterms:W3CDTF">2026-03-01T10:02:00Z</dcterms:created>
  <dcterms:modified xsi:type="dcterms:W3CDTF">2026-03-01T11:02:00Z</dcterms:modified>
</cp:coreProperties>
</file>