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77065" w14:textId="06CFA2EF" w:rsidR="00D952A7" w:rsidRDefault="00610B79" w:rsidP="00D952A7">
      <w:pPr>
        <w:rPr>
          <w:b/>
          <w:bCs/>
        </w:rPr>
      </w:pPr>
      <w:r>
        <w:rPr>
          <w:b/>
          <w:bCs/>
          <w:noProof/>
        </w:rPr>
        <w:drawing>
          <wp:inline distT="0" distB="0" distL="0" distR="0" wp14:anchorId="1C10876A" wp14:editId="324D035E">
            <wp:extent cx="5654040" cy="3559215"/>
            <wp:effectExtent l="0" t="0" r="3810" b="3175"/>
            <wp:docPr id="982120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68202" cy="3568130"/>
                    </a:xfrm>
                    <a:prstGeom prst="rect">
                      <a:avLst/>
                    </a:prstGeom>
                    <a:noFill/>
                  </pic:spPr>
                </pic:pic>
              </a:graphicData>
            </a:graphic>
          </wp:inline>
        </w:drawing>
      </w:r>
    </w:p>
    <w:p w14:paraId="7B4B2CC4" w14:textId="2BB839F7" w:rsidR="00D952A7" w:rsidRPr="00D952A7" w:rsidRDefault="00D952A7" w:rsidP="00D952A7">
      <w:pPr>
        <w:rPr>
          <w:rFonts w:ascii="Arial" w:hAnsi="Arial" w:cs="Arial"/>
          <w:sz w:val="22"/>
          <w:szCs w:val="22"/>
        </w:rPr>
      </w:pPr>
      <w:r w:rsidRPr="00D952A7">
        <w:rPr>
          <w:rFonts w:ascii="Arial" w:hAnsi="Arial" w:cs="Arial"/>
          <w:b/>
          <w:bCs/>
          <w:sz w:val="22"/>
          <w:szCs w:val="22"/>
        </w:rPr>
        <w:t>Assignment Title:</w:t>
      </w:r>
      <w:r w:rsidRPr="00D952A7">
        <w:rPr>
          <w:rFonts w:ascii="Arial" w:hAnsi="Arial" w:cs="Arial"/>
          <w:sz w:val="22"/>
          <w:szCs w:val="22"/>
        </w:rPr>
        <w:br/>
        <w:t>Evaluation of Person-Centred Care and Partnership Working in Health and Social Care</w:t>
      </w:r>
    </w:p>
    <w:p w14:paraId="63845240" w14:textId="2D06F895" w:rsidR="00D952A7" w:rsidRPr="00D952A7" w:rsidRDefault="00D952A7" w:rsidP="00D952A7">
      <w:pPr>
        <w:rPr>
          <w:rFonts w:ascii="Arial" w:hAnsi="Arial" w:cs="Arial"/>
          <w:sz w:val="22"/>
          <w:szCs w:val="22"/>
        </w:rPr>
      </w:pPr>
      <w:r w:rsidRPr="00D952A7">
        <w:rPr>
          <w:rFonts w:ascii="Arial" w:hAnsi="Arial" w:cs="Arial"/>
          <w:b/>
          <w:bCs/>
          <w:sz w:val="22"/>
          <w:szCs w:val="22"/>
        </w:rPr>
        <w:t>Student Name:</w:t>
      </w:r>
      <w:r w:rsidRPr="00C53A5E">
        <w:rPr>
          <w:rFonts w:ascii="Arial" w:hAnsi="Arial" w:cs="Arial"/>
          <w:sz w:val="22"/>
          <w:szCs w:val="22"/>
        </w:rPr>
        <w:t xml:space="preserve"> Saleha sufi</w:t>
      </w:r>
    </w:p>
    <w:p w14:paraId="649B1C6C" w14:textId="51D003EC" w:rsidR="00D952A7" w:rsidRPr="00D952A7" w:rsidRDefault="00D952A7" w:rsidP="00D952A7">
      <w:pPr>
        <w:rPr>
          <w:rFonts w:ascii="Arial" w:hAnsi="Arial" w:cs="Arial"/>
          <w:sz w:val="22"/>
          <w:szCs w:val="22"/>
        </w:rPr>
      </w:pPr>
      <w:r w:rsidRPr="00D952A7">
        <w:rPr>
          <w:rFonts w:ascii="Arial" w:hAnsi="Arial" w:cs="Arial"/>
          <w:b/>
          <w:bCs/>
          <w:sz w:val="22"/>
          <w:szCs w:val="22"/>
        </w:rPr>
        <w:t>Student Number:</w:t>
      </w:r>
      <w:r w:rsidRPr="00C53A5E">
        <w:rPr>
          <w:rFonts w:ascii="Arial" w:hAnsi="Arial" w:cs="Arial"/>
          <w:sz w:val="22"/>
          <w:szCs w:val="22"/>
        </w:rPr>
        <w:t xml:space="preserve"> 2427750</w:t>
      </w:r>
    </w:p>
    <w:p w14:paraId="17EC0E88" w14:textId="55F6330D" w:rsidR="00D952A7" w:rsidRPr="00C53A5E" w:rsidRDefault="00D952A7" w:rsidP="00D952A7">
      <w:pPr>
        <w:rPr>
          <w:rFonts w:ascii="Arial" w:hAnsi="Arial" w:cs="Arial"/>
          <w:sz w:val="22"/>
          <w:szCs w:val="22"/>
        </w:rPr>
      </w:pPr>
      <w:r w:rsidRPr="00D952A7">
        <w:rPr>
          <w:rFonts w:ascii="Arial" w:hAnsi="Arial" w:cs="Arial"/>
          <w:b/>
          <w:bCs/>
          <w:sz w:val="22"/>
          <w:szCs w:val="22"/>
        </w:rPr>
        <w:t>Module Code and Title:</w:t>
      </w:r>
      <w:r w:rsidRPr="00D952A7">
        <w:rPr>
          <w:rFonts w:ascii="Arial" w:hAnsi="Arial" w:cs="Arial"/>
          <w:sz w:val="22"/>
          <w:szCs w:val="22"/>
        </w:rPr>
        <w:br/>
        <w:t>BMHP50</w:t>
      </w:r>
      <w:r w:rsidRPr="00C53A5E">
        <w:rPr>
          <w:rFonts w:ascii="Arial" w:hAnsi="Arial" w:cs="Arial"/>
          <w:sz w:val="22"/>
          <w:szCs w:val="22"/>
        </w:rPr>
        <w:t>16</w:t>
      </w:r>
      <w:r w:rsidRPr="00D952A7">
        <w:rPr>
          <w:rFonts w:ascii="Arial" w:hAnsi="Arial" w:cs="Arial"/>
          <w:sz w:val="22"/>
          <w:szCs w:val="22"/>
        </w:rPr>
        <w:t xml:space="preserve"> – </w:t>
      </w:r>
      <w:r w:rsidRPr="00C53A5E">
        <w:rPr>
          <w:rFonts w:ascii="Arial" w:hAnsi="Arial" w:cs="Arial"/>
          <w:sz w:val="22"/>
          <w:szCs w:val="22"/>
        </w:rPr>
        <w:t>Principles of health and social care</w:t>
      </w:r>
    </w:p>
    <w:p w14:paraId="48A17C8B" w14:textId="601F01E6" w:rsidR="00FC4E88" w:rsidRPr="00C53A5E" w:rsidRDefault="00D952A7" w:rsidP="00D952A7">
      <w:pPr>
        <w:rPr>
          <w:rFonts w:ascii="Arial" w:eastAsia="Arial" w:hAnsi="Arial" w:cs="Arial"/>
          <w:sz w:val="22"/>
          <w:szCs w:val="22"/>
        </w:rPr>
      </w:pPr>
      <w:r w:rsidRPr="00C53A5E">
        <w:rPr>
          <w:rFonts w:ascii="Arial" w:eastAsia="Arial" w:hAnsi="Arial" w:cs="Arial"/>
          <w:b/>
          <w:bCs/>
          <w:sz w:val="22"/>
          <w:szCs w:val="22"/>
        </w:rPr>
        <w:t>Lecturer</w:t>
      </w:r>
      <w:r w:rsidRPr="00C53A5E">
        <w:rPr>
          <w:rFonts w:ascii="Arial" w:eastAsia="Arial" w:hAnsi="Arial" w:cs="Arial"/>
          <w:b/>
          <w:bCs/>
          <w:sz w:val="22"/>
          <w:szCs w:val="22"/>
        </w:rPr>
        <w:t xml:space="preserve">: </w:t>
      </w:r>
      <w:r w:rsidRPr="00C53A5E">
        <w:rPr>
          <w:rFonts w:ascii="Arial" w:eastAsia="Arial" w:hAnsi="Arial" w:cs="Arial"/>
          <w:sz w:val="22"/>
          <w:szCs w:val="22"/>
        </w:rPr>
        <w:t>Aishat Bakre</w:t>
      </w:r>
      <w:r w:rsidR="00FC4E88" w:rsidRPr="00C53A5E">
        <w:rPr>
          <w:rFonts w:ascii="Arial" w:eastAsia="Arial" w:hAnsi="Arial" w:cs="Arial"/>
          <w:sz w:val="22"/>
          <w:szCs w:val="22"/>
        </w:rPr>
        <w:t xml:space="preserve"> </w:t>
      </w:r>
    </w:p>
    <w:p w14:paraId="2098BBBC" w14:textId="77777777" w:rsidR="00FC4E88" w:rsidRPr="00C53A5E" w:rsidRDefault="00FC4E88">
      <w:pPr>
        <w:rPr>
          <w:rFonts w:ascii="Arial" w:eastAsia="Arial" w:hAnsi="Arial" w:cs="Arial"/>
          <w:sz w:val="22"/>
          <w:szCs w:val="22"/>
        </w:rPr>
      </w:pPr>
      <w:r w:rsidRPr="00C53A5E">
        <w:rPr>
          <w:rFonts w:ascii="Arial" w:eastAsia="Arial" w:hAnsi="Arial" w:cs="Arial"/>
          <w:sz w:val="22"/>
          <w:szCs w:val="22"/>
        </w:rPr>
        <w:br w:type="page"/>
      </w:r>
    </w:p>
    <w:p w14:paraId="45296546" w14:textId="079CF6DC" w:rsidR="00D952A7" w:rsidRPr="00D952A7" w:rsidRDefault="00BD181F" w:rsidP="00BD181F">
      <w:pPr>
        <w:jc w:val="center"/>
        <w:rPr>
          <w:rFonts w:ascii="Arial" w:hAnsi="Arial" w:cs="Arial"/>
          <w:sz w:val="22"/>
          <w:szCs w:val="22"/>
        </w:rPr>
      </w:pPr>
      <w:r w:rsidRPr="00C53A5E">
        <w:rPr>
          <w:rFonts w:ascii="Arial" w:hAnsi="Arial" w:cs="Arial"/>
          <w:sz w:val="22"/>
          <w:szCs w:val="22"/>
        </w:rPr>
        <w:lastRenderedPageBreak/>
        <w:t>Contant page</w:t>
      </w:r>
    </w:p>
    <w:p w14:paraId="0D982970" w14:textId="7F6BC2D0" w:rsidR="00D55EC5" w:rsidRPr="00D55EC5" w:rsidRDefault="00274D4E" w:rsidP="00274D4E">
      <w:pPr>
        <w:ind w:left="720"/>
        <w:rPr>
          <w:rFonts w:ascii="Arial" w:hAnsi="Arial" w:cs="Arial"/>
          <w:sz w:val="22"/>
          <w:szCs w:val="22"/>
        </w:rPr>
      </w:pPr>
      <w:r w:rsidRPr="00C53A5E">
        <w:rPr>
          <w:rFonts w:ascii="Arial" w:hAnsi="Arial" w:cs="Arial"/>
          <w:sz w:val="22"/>
          <w:szCs w:val="22"/>
        </w:rPr>
        <w:t>I</w:t>
      </w:r>
      <w:r w:rsidR="00D55EC5" w:rsidRPr="00D55EC5">
        <w:rPr>
          <w:rFonts w:ascii="Arial" w:hAnsi="Arial" w:cs="Arial"/>
          <w:sz w:val="22"/>
          <w:szCs w:val="22"/>
        </w:rPr>
        <w:t xml:space="preserve">ntroduction ......................................................... </w:t>
      </w:r>
      <w:r w:rsidRPr="00C53A5E">
        <w:rPr>
          <w:rFonts w:ascii="Arial" w:hAnsi="Arial" w:cs="Arial"/>
          <w:sz w:val="22"/>
          <w:szCs w:val="22"/>
        </w:rPr>
        <w:t>3</w:t>
      </w:r>
    </w:p>
    <w:p w14:paraId="217A5CF8" w14:textId="2B00696D"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Person-Centred Care (PCC) ................................. </w:t>
      </w:r>
      <w:r w:rsidR="00274D4E" w:rsidRPr="00C53A5E">
        <w:rPr>
          <w:rFonts w:ascii="Arial" w:hAnsi="Arial" w:cs="Arial"/>
          <w:sz w:val="22"/>
          <w:szCs w:val="22"/>
        </w:rPr>
        <w:t>3</w:t>
      </w:r>
      <w:r w:rsidR="000C5489" w:rsidRPr="00C53A5E">
        <w:rPr>
          <w:rFonts w:ascii="Arial" w:hAnsi="Arial" w:cs="Arial"/>
          <w:sz w:val="22"/>
          <w:szCs w:val="22"/>
        </w:rPr>
        <w:t>-4</w:t>
      </w:r>
      <w:r w:rsidRPr="00D55EC5">
        <w:rPr>
          <w:rFonts w:ascii="Arial" w:hAnsi="Arial" w:cs="Arial"/>
          <w:sz w:val="22"/>
          <w:szCs w:val="22"/>
        </w:rPr>
        <w:t xml:space="preserve"> </w:t>
      </w:r>
    </w:p>
    <w:p w14:paraId="6E4D612B" w14:textId="4BD95EE4"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Benefits and Limitations of PCC ........................ </w:t>
      </w:r>
      <w:r w:rsidR="00E1202B" w:rsidRPr="00C53A5E">
        <w:rPr>
          <w:rFonts w:ascii="Arial" w:hAnsi="Arial" w:cs="Arial"/>
          <w:sz w:val="22"/>
          <w:szCs w:val="22"/>
        </w:rPr>
        <w:t>4-5</w:t>
      </w:r>
    </w:p>
    <w:p w14:paraId="2995AEFA" w14:textId="77777777"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Theory Supporting PCC ....................................... 5 </w:t>
      </w:r>
    </w:p>
    <w:p w14:paraId="6E666623" w14:textId="21E07CE8"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Ethics in Health and Social Care ....................... </w:t>
      </w:r>
      <w:r w:rsidR="00E1202B" w:rsidRPr="00C53A5E">
        <w:rPr>
          <w:rFonts w:ascii="Arial" w:hAnsi="Arial" w:cs="Arial"/>
          <w:sz w:val="22"/>
          <w:szCs w:val="22"/>
        </w:rPr>
        <w:t>5-</w:t>
      </w:r>
      <w:r w:rsidRPr="00D55EC5">
        <w:rPr>
          <w:rFonts w:ascii="Arial" w:hAnsi="Arial" w:cs="Arial"/>
          <w:sz w:val="22"/>
          <w:szCs w:val="22"/>
        </w:rPr>
        <w:t xml:space="preserve">6 </w:t>
      </w:r>
    </w:p>
    <w:p w14:paraId="69694B31" w14:textId="23ACBDFC"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Partnership Working (PW) .................................. </w:t>
      </w:r>
      <w:r w:rsidR="00544FA5" w:rsidRPr="00C53A5E">
        <w:rPr>
          <w:rFonts w:ascii="Arial" w:hAnsi="Arial" w:cs="Arial"/>
          <w:sz w:val="22"/>
          <w:szCs w:val="22"/>
        </w:rPr>
        <w:t>6</w:t>
      </w:r>
      <w:r w:rsidRPr="00D55EC5">
        <w:rPr>
          <w:rFonts w:ascii="Arial" w:hAnsi="Arial" w:cs="Arial"/>
          <w:sz w:val="22"/>
          <w:szCs w:val="22"/>
        </w:rPr>
        <w:t xml:space="preserve"> </w:t>
      </w:r>
    </w:p>
    <w:p w14:paraId="07768805" w14:textId="0BA97483"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Partnership Working in Practice ....................... </w:t>
      </w:r>
      <w:r w:rsidR="00544FA5" w:rsidRPr="00C53A5E">
        <w:rPr>
          <w:rFonts w:ascii="Arial" w:hAnsi="Arial" w:cs="Arial"/>
          <w:sz w:val="22"/>
          <w:szCs w:val="22"/>
        </w:rPr>
        <w:t>7</w:t>
      </w:r>
      <w:r w:rsidRPr="00D55EC5">
        <w:rPr>
          <w:rFonts w:ascii="Arial" w:hAnsi="Arial" w:cs="Arial"/>
          <w:sz w:val="22"/>
          <w:szCs w:val="22"/>
        </w:rPr>
        <w:t xml:space="preserve"> </w:t>
      </w:r>
    </w:p>
    <w:p w14:paraId="694CECE6" w14:textId="378B8C4C"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Policy and Legislation ........................................ </w:t>
      </w:r>
      <w:r w:rsidR="00544FA5" w:rsidRPr="00C53A5E">
        <w:rPr>
          <w:rFonts w:ascii="Arial" w:hAnsi="Arial" w:cs="Arial"/>
          <w:sz w:val="22"/>
          <w:szCs w:val="22"/>
        </w:rPr>
        <w:t>7-8</w:t>
      </w:r>
      <w:r w:rsidRPr="00D55EC5">
        <w:rPr>
          <w:rFonts w:ascii="Arial" w:hAnsi="Arial" w:cs="Arial"/>
          <w:sz w:val="22"/>
          <w:szCs w:val="22"/>
        </w:rPr>
        <w:t xml:space="preserve"> </w:t>
      </w:r>
    </w:p>
    <w:p w14:paraId="47291F87" w14:textId="6E400C75"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Recommendations .............................................. </w:t>
      </w:r>
      <w:r w:rsidR="00C53A5E" w:rsidRPr="00C53A5E">
        <w:rPr>
          <w:rFonts w:ascii="Arial" w:hAnsi="Arial" w:cs="Arial"/>
          <w:sz w:val="22"/>
          <w:szCs w:val="22"/>
        </w:rPr>
        <w:t>8</w:t>
      </w:r>
    </w:p>
    <w:p w14:paraId="0FAB4E12" w14:textId="0ACD60B5"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Conclusion .......................................................... </w:t>
      </w:r>
      <w:r w:rsidR="00C53A5E" w:rsidRPr="00C53A5E">
        <w:rPr>
          <w:rFonts w:ascii="Arial" w:hAnsi="Arial" w:cs="Arial"/>
          <w:sz w:val="22"/>
          <w:szCs w:val="22"/>
        </w:rPr>
        <w:t>8-9</w:t>
      </w:r>
      <w:r w:rsidRPr="00D55EC5">
        <w:rPr>
          <w:rFonts w:ascii="Arial" w:hAnsi="Arial" w:cs="Arial"/>
          <w:sz w:val="22"/>
          <w:szCs w:val="22"/>
        </w:rPr>
        <w:t xml:space="preserve"> </w:t>
      </w:r>
    </w:p>
    <w:p w14:paraId="39DEBBB7" w14:textId="20A599E7" w:rsidR="00D55EC5" w:rsidRPr="00D55EC5" w:rsidRDefault="00D55EC5" w:rsidP="00274D4E">
      <w:pPr>
        <w:ind w:left="720"/>
        <w:rPr>
          <w:rFonts w:ascii="Arial" w:hAnsi="Arial" w:cs="Arial"/>
          <w:sz w:val="22"/>
          <w:szCs w:val="22"/>
        </w:rPr>
      </w:pPr>
      <w:r w:rsidRPr="00D55EC5">
        <w:rPr>
          <w:rFonts w:ascii="Arial" w:hAnsi="Arial" w:cs="Arial"/>
          <w:sz w:val="22"/>
          <w:szCs w:val="22"/>
        </w:rPr>
        <w:t xml:space="preserve">Reference List .................................................... </w:t>
      </w:r>
      <w:r w:rsidR="00C53A5E" w:rsidRPr="00C53A5E">
        <w:rPr>
          <w:rFonts w:ascii="Arial" w:hAnsi="Arial" w:cs="Arial"/>
          <w:sz w:val="22"/>
          <w:szCs w:val="22"/>
        </w:rPr>
        <w:t>9-10</w:t>
      </w:r>
    </w:p>
    <w:p w14:paraId="2A77FF4A" w14:textId="77777777" w:rsidR="00D952A7" w:rsidRPr="00D952A7" w:rsidRDefault="00D952A7" w:rsidP="00D952A7">
      <w:pPr>
        <w:rPr>
          <w:rFonts w:ascii="Arial" w:hAnsi="Arial" w:cs="Arial"/>
          <w:sz w:val="22"/>
          <w:szCs w:val="22"/>
        </w:rPr>
      </w:pPr>
    </w:p>
    <w:p w14:paraId="5251B1CF" w14:textId="7EA84862" w:rsidR="00481DC4" w:rsidRPr="00C53A5E" w:rsidRDefault="00481DC4">
      <w:pPr>
        <w:rPr>
          <w:rFonts w:ascii="Arial" w:hAnsi="Arial" w:cs="Arial"/>
          <w:sz w:val="22"/>
          <w:szCs w:val="22"/>
        </w:rPr>
      </w:pPr>
    </w:p>
    <w:p w14:paraId="1B7D6894" w14:textId="77777777" w:rsidR="00481DC4" w:rsidRPr="00C53A5E" w:rsidRDefault="00481DC4">
      <w:pPr>
        <w:rPr>
          <w:rFonts w:ascii="Arial" w:hAnsi="Arial" w:cs="Arial"/>
          <w:sz w:val="22"/>
          <w:szCs w:val="22"/>
        </w:rPr>
      </w:pPr>
      <w:r w:rsidRPr="00C53A5E">
        <w:rPr>
          <w:rFonts w:ascii="Arial" w:hAnsi="Arial" w:cs="Arial"/>
          <w:sz w:val="22"/>
          <w:szCs w:val="22"/>
        </w:rPr>
        <w:br w:type="page"/>
      </w:r>
    </w:p>
    <w:p w14:paraId="522257C9" w14:textId="40ACB22F" w:rsidR="00481DC4" w:rsidRPr="00C53A5E" w:rsidRDefault="00481DC4">
      <w:pPr>
        <w:rPr>
          <w:rFonts w:ascii="Arial" w:hAnsi="Arial" w:cs="Arial"/>
          <w:sz w:val="22"/>
          <w:szCs w:val="22"/>
        </w:rPr>
      </w:pPr>
    </w:p>
    <w:p w14:paraId="247FBAE4"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b/>
          <w:bCs/>
          <w:sz w:val="22"/>
          <w:szCs w:val="22"/>
        </w:rPr>
        <w:t>Person-Centred Care and Partnership Working in Health and Social Care</w:t>
      </w:r>
    </w:p>
    <w:p w14:paraId="53317D44" w14:textId="63E4C7B1" w:rsidR="007734E2" w:rsidRPr="007734E2" w:rsidRDefault="007734E2" w:rsidP="00D952A7">
      <w:pPr>
        <w:spacing w:line="360" w:lineRule="auto"/>
        <w:rPr>
          <w:rFonts w:ascii="Arial" w:hAnsi="Arial" w:cs="Arial"/>
          <w:b/>
          <w:bCs/>
          <w:sz w:val="22"/>
          <w:szCs w:val="22"/>
          <w:u w:val="single"/>
        </w:rPr>
      </w:pPr>
      <w:r w:rsidRPr="007734E2">
        <w:rPr>
          <w:rFonts w:ascii="Arial" w:hAnsi="Arial" w:cs="Arial"/>
          <w:b/>
          <w:bCs/>
          <w:sz w:val="22"/>
          <w:szCs w:val="22"/>
          <w:u w:val="single"/>
        </w:rPr>
        <w:t>Introduction</w:t>
      </w:r>
    </w:p>
    <w:p w14:paraId="2C9F7BA3" w14:textId="62BF8B72"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Health and social care in the UK </w:t>
      </w:r>
      <w:r w:rsidR="001E578E" w:rsidRPr="00C53A5E">
        <w:rPr>
          <w:rFonts w:ascii="Arial" w:hAnsi="Arial" w:cs="Arial"/>
          <w:sz w:val="22"/>
          <w:szCs w:val="22"/>
        </w:rPr>
        <w:t>have</w:t>
      </w:r>
      <w:r w:rsidRPr="007734E2">
        <w:rPr>
          <w:rFonts w:ascii="Arial" w:hAnsi="Arial" w:cs="Arial"/>
          <w:sz w:val="22"/>
          <w:szCs w:val="22"/>
        </w:rPr>
        <w:t xml:space="preserve"> changed over time, moving away from a system that only focuses on treating illness to one that looks at the whole person. This includes not just physical health, but also emotional, social and psychological needs </w:t>
      </w:r>
      <w:r w:rsidRPr="007734E2">
        <w:rPr>
          <w:rFonts w:ascii="Arial" w:hAnsi="Arial" w:cs="Arial"/>
          <w:b/>
          <w:bCs/>
          <w:sz w:val="22"/>
          <w:szCs w:val="22"/>
        </w:rPr>
        <w:t>(NICE, 2021).</w:t>
      </w:r>
      <w:r w:rsidRPr="007734E2">
        <w:rPr>
          <w:rFonts w:ascii="Arial" w:hAnsi="Arial" w:cs="Arial"/>
          <w:sz w:val="22"/>
          <w:szCs w:val="22"/>
        </w:rPr>
        <w:t xml:space="preserve"> Two important approaches that support this are person-centred care (PCC) and partnership working (PW).</w:t>
      </w:r>
    </w:p>
    <w:p w14:paraId="7D56DF33"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Person-centred care means putting the individual at the centre of their care and making sure their needs, preferences and choices are respected </w:t>
      </w:r>
      <w:r w:rsidRPr="007734E2">
        <w:rPr>
          <w:rFonts w:ascii="Arial" w:hAnsi="Arial" w:cs="Arial"/>
          <w:b/>
          <w:bCs/>
          <w:sz w:val="22"/>
          <w:szCs w:val="22"/>
        </w:rPr>
        <w:t>(McCormack and McCance, 2017).</w:t>
      </w:r>
      <w:r w:rsidRPr="007734E2">
        <w:rPr>
          <w:rFonts w:ascii="Arial" w:hAnsi="Arial" w:cs="Arial"/>
          <w:sz w:val="22"/>
          <w:szCs w:val="22"/>
        </w:rPr>
        <w:t xml:space="preserve"> Partnership working means different professionals, services and even family members working together to provide the best care possible </w:t>
      </w:r>
      <w:r w:rsidRPr="007734E2">
        <w:rPr>
          <w:rFonts w:ascii="Arial" w:hAnsi="Arial" w:cs="Arial"/>
          <w:b/>
          <w:bCs/>
          <w:sz w:val="22"/>
          <w:szCs w:val="22"/>
        </w:rPr>
        <w:t>(Glasby and Dickinson, 2014).</w:t>
      </w:r>
      <w:r w:rsidRPr="007734E2">
        <w:rPr>
          <w:rFonts w:ascii="Arial" w:hAnsi="Arial" w:cs="Arial"/>
          <w:sz w:val="22"/>
          <w:szCs w:val="22"/>
        </w:rPr>
        <w:t xml:space="preserve"> These two approaches are closely linked, as good partnership working helps make person-centred care more effective.</w:t>
      </w:r>
    </w:p>
    <w:p w14:paraId="08BD9035" w14:textId="0EF4B3F5"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This report will examine how PCC and PW work together in health and social care. It will define person-centred care, discuss its benefits and limitations, and explore a theory that supports it. It will also explain key ethical principles, evaluate partnership working, and show how it works in practice within community care for older adults with complex needs. In addition, the report will look at important UK policies and </w:t>
      </w:r>
      <w:r w:rsidR="001E578E" w:rsidRPr="00C53A5E">
        <w:rPr>
          <w:rFonts w:ascii="Arial" w:hAnsi="Arial" w:cs="Arial"/>
          <w:sz w:val="22"/>
          <w:szCs w:val="22"/>
        </w:rPr>
        <w:t>laws and</w:t>
      </w:r>
      <w:r w:rsidRPr="007734E2">
        <w:rPr>
          <w:rFonts w:ascii="Arial" w:hAnsi="Arial" w:cs="Arial"/>
          <w:sz w:val="22"/>
          <w:szCs w:val="22"/>
        </w:rPr>
        <w:t xml:space="preserve"> finally give recommendations for improving PCC and partnership working in the future.</w:t>
      </w:r>
    </w:p>
    <w:p w14:paraId="6B51EB49" w14:textId="3FC64C4E" w:rsidR="007734E2" w:rsidRPr="007734E2" w:rsidRDefault="007734E2" w:rsidP="00D952A7">
      <w:pPr>
        <w:spacing w:line="360" w:lineRule="auto"/>
        <w:rPr>
          <w:rFonts w:ascii="Arial" w:hAnsi="Arial" w:cs="Arial"/>
          <w:sz w:val="22"/>
          <w:szCs w:val="22"/>
        </w:rPr>
      </w:pPr>
    </w:p>
    <w:p w14:paraId="5524185C" w14:textId="7F3DFDB7" w:rsidR="00CB4241" w:rsidRPr="00C53A5E" w:rsidRDefault="00CB4241" w:rsidP="00D952A7">
      <w:pPr>
        <w:spacing w:line="360" w:lineRule="auto"/>
        <w:rPr>
          <w:rFonts w:ascii="Arial" w:hAnsi="Arial" w:cs="Arial"/>
          <w:b/>
          <w:bCs/>
          <w:sz w:val="22"/>
          <w:szCs w:val="22"/>
          <w:u w:val="single"/>
        </w:rPr>
      </w:pPr>
      <w:r w:rsidRPr="00C53A5E">
        <w:rPr>
          <w:rFonts w:ascii="Arial" w:hAnsi="Arial" w:cs="Arial"/>
          <w:b/>
          <w:bCs/>
          <w:sz w:val="22"/>
          <w:szCs w:val="22"/>
          <w:u w:val="single"/>
        </w:rPr>
        <w:t>Person-Centred Care (PCC)</w:t>
      </w:r>
    </w:p>
    <w:p w14:paraId="64C763BA" w14:textId="77777777" w:rsidR="00CB4241" w:rsidRPr="00CB4241" w:rsidRDefault="00CB4241" w:rsidP="00D952A7">
      <w:pPr>
        <w:spacing w:line="360" w:lineRule="auto"/>
        <w:rPr>
          <w:rFonts w:ascii="Arial" w:hAnsi="Arial" w:cs="Arial"/>
          <w:sz w:val="22"/>
          <w:szCs w:val="22"/>
        </w:rPr>
      </w:pPr>
      <w:r w:rsidRPr="00CB4241">
        <w:rPr>
          <w:rFonts w:ascii="Arial" w:hAnsi="Arial" w:cs="Arial"/>
          <w:sz w:val="22"/>
          <w:szCs w:val="22"/>
        </w:rPr>
        <w:t xml:space="preserve">Person-centred care (PCC) is an approach in health and social care where the individual is treated as a unique person rather than just a patient or service user. It focuses on understanding the person’s needs, preferences, values and life experiences, and ensuring they are actively involved in decisions about their care </w:t>
      </w:r>
      <w:r w:rsidRPr="00CB4241">
        <w:rPr>
          <w:rFonts w:ascii="Arial" w:hAnsi="Arial" w:cs="Arial"/>
          <w:b/>
          <w:bCs/>
          <w:sz w:val="22"/>
          <w:szCs w:val="22"/>
        </w:rPr>
        <w:t>(NHS England, 2019)</w:t>
      </w:r>
      <w:r w:rsidRPr="00CB4241">
        <w:rPr>
          <w:rFonts w:ascii="Arial" w:hAnsi="Arial" w:cs="Arial"/>
          <w:sz w:val="22"/>
          <w:szCs w:val="22"/>
        </w:rPr>
        <w:t>. This approach recognises that each person has different priorities, and therefore care should be tailored to suit the individual rather than following a standardised method.</w:t>
      </w:r>
    </w:p>
    <w:p w14:paraId="5049BC66" w14:textId="77777777" w:rsidR="00CB4241" w:rsidRPr="00CB4241" w:rsidRDefault="00CB4241" w:rsidP="00D952A7">
      <w:pPr>
        <w:spacing w:line="360" w:lineRule="auto"/>
        <w:rPr>
          <w:rFonts w:ascii="Arial" w:hAnsi="Arial" w:cs="Arial"/>
          <w:sz w:val="22"/>
          <w:szCs w:val="22"/>
        </w:rPr>
      </w:pPr>
      <w:r w:rsidRPr="00CB4241">
        <w:rPr>
          <w:rFonts w:ascii="Arial" w:hAnsi="Arial" w:cs="Arial"/>
          <w:sz w:val="22"/>
          <w:szCs w:val="22"/>
        </w:rPr>
        <w:t xml:space="preserve">In simple terms, PCC is about listening to people, respecting their choices and supporting them in a way that fits their lifestyle. It encourages professionals to build positive relationships with service users, based on trust, empathy and communication. Instead of focusing only on medical conditions, PCC considers the whole person, including their </w:t>
      </w:r>
      <w:r w:rsidRPr="00CB4241">
        <w:rPr>
          <w:rFonts w:ascii="Arial" w:hAnsi="Arial" w:cs="Arial"/>
          <w:sz w:val="22"/>
          <w:szCs w:val="22"/>
        </w:rPr>
        <w:lastRenderedPageBreak/>
        <w:t xml:space="preserve">emotional and social wellbeing </w:t>
      </w:r>
      <w:r w:rsidRPr="00CB4241">
        <w:rPr>
          <w:rFonts w:ascii="Arial" w:hAnsi="Arial" w:cs="Arial"/>
          <w:b/>
          <w:bCs/>
          <w:sz w:val="22"/>
          <w:szCs w:val="22"/>
        </w:rPr>
        <w:t>(McCormack and McCance, 2017).</w:t>
      </w:r>
      <w:r w:rsidRPr="00CB4241">
        <w:rPr>
          <w:rFonts w:ascii="Arial" w:hAnsi="Arial" w:cs="Arial"/>
          <w:sz w:val="22"/>
          <w:szCs w:val="22"/>
        </w:rPr>
        <w:t xml:space="preserve"> This makes care more meaningful and effective.</w:t>
      </w:r>
    </w:p>
    <w:p w14:paraId="37CD6920" w14:textId="77777777" w:rsidR="00CB4241" w:rsidRPr="00CB4241" w:rsidRDefault="00CB4241" w:rsidP="00D952A7">
      <w:pPr>
        <w:spacing w:line="360" w:lineRule="auto"/>
        <w:rPr>
          <w:rFonts w:ascii="Arial" w:hAnsi="Arial" w:cs="Arial"/>
          <w:sz w:val="22"/>
          <w:szCs w:val="22"/>
        </w:rPr>
      </w:pPr>
      <w:r w:rsidRPr="00CB4241">
        <w:rPr>
          <w:rFonts w:ascii="Arial" w:hAnsi="Arial" w:cs="Arial"/>
          <w:sz w:val="22"/>
          <w:szCs w:val="22"/>
        </w:rPr>
        <w:t xml:space="preserve">The concept of PCC is strongly linked to the work of Tom Kitwood, who highlighted the importance of seeing individuals beyond their illness, particularly in dementia care. His work emphasised dignity, respect and maintaining a person’s identity </w:t>
      </w:r>
      <w:r w:rsidRPr="00CB4241">
        <w:rPr>
          <w:rFonts w:ascii="Arial" w:hAnsi="Arial" w:cs="Arial"/>
          <w:b/>
          <w:bCs/>
          <w:sz w:val="22"/>
          <w:szCs w:val="22"/>
        </w:rPr>
        <w:t>(</w:t>
      </w:r>
      <w:proofErr w:type="spellStart"/>
      <w:r w:rsidRPr="00CB4241">
        <w:rPr>
          <w:rFonts w:ascii="Arial" w:hAnsi="Arial" w:cs="Arial"/>
          <w:b/>
          <w:bCs/>
          <w:sz w:val="22"/>
          <w:szCs w:val="22"/>
        </w:rPr>
        <w:t>Kitwood</w:t>
      </w:r>
      <w:proofErr w:type="spellEnd"/>
      <w:r w:rsidRPr="00CB4241">
        <w:rPr>
          <w:rFonts w:ascii="Arial" w:hAnsi="Arial" w:cs="Arial"/>
          <w:b/>
          <w:bCs/>
          <w:sz w:val="22"/>
          <w:szCs w:val="22"/>
        </w:rPr>
        <w:t>, 1997).</w:t>
      </w:r>
      <w:r w:rsidRPr="00CB4241">
        <w:rPr>
          <w:rFonts w:ascii="Arial" w:hAnsi="Arial" w:cs="Arial"/>
          <w:sz w:val="22"/>
          <w:szCs w:val="22"/>
        </w:rPr>
        <w:t xml:space="preserve"> This has influenced modern health and social care practice significantly.</w:t>
      </w:r>
    </w:p>
    <w:p w14:paraId="5E46C2D2" w14:textId="77777777" w:rsidR="00CB4241" w:rsidRPr="00CB4241" w:rsidRDefault="00CB4241" w:rsidP="00D952A7">
      <w:pPr>
        <w:spacing w:line="360" w:lineRule="auto"/>
        <w:rPr>
          <w:rFonts w:ascii="Arial" w:hAnsi="Arial" w:cs="Arial"/>
          <w:sz w:val="22"/>
          <w:szCs w:val="22"/>
        </w:rPr>
      </w:pPr>
      <w:r w:rsidRPr="00CB4241">
        <w:rPr>
          <w:rFonts w:ascii="Arial" w:hAnsi="Arial" w:cs="Arial"/>
          <w:sz w:val="22"/>
          <w:szCs w:val="22"/>
        </w:rPr>
        <w:t xml:space="preserve">In community care for older adults, PCC is especially important. Many older individuals prefer to remain in their own homes, where they feel comfortable and independent. For example, an older person may have specific daily routines, cultural preferences or dietary needs that should be respected. By following a person-centred approach, care workers can adapt support to meet these needs, helping to maintain dignity and improve quality of life </w:t>
      </w:r>
      <w:r w:rsidRPr="00CB4241">
        <w:rPr>
          <w:rFonts w:ascii="Arial" w:hAnsi="Arial" w:cs="Arial"/>
          <w:b/>
          <w:bCs/>
          <w:sz w:val="22"/>
          <w:szCs w:val="22"/>
        </w:rPr>
        <w:t>(Brooker, 2007).</w:t>
      </w:r>
    </w:p>
    <w:p w14:paraId="716A57DF" w14:textId="5BACD618" w:rsidR="007734E2" w:rsidRPr="007734E2" w:rsidRDefault="007734E2" w:rsidP="00D952A7">
      <w:pPr>
        <w:spacing w:line="360" w:lineRule="auto"/>
        <w:rPr>
          <w:rFonts w:ascii="Arial" w:hAnsi="Arial" w:cs="Arial"/>
          <w:sz w:val="22"/>
          <w:szCs w:val="22"/>
        </w:rPr>
      </w:pPr>
    </w:p>
    <w:p w14:paraId="529C4B0B" w14:textId="751FC8A4" w:rsidR="007734E2" w:rsidRPr="007734E2" w:rsidRDefault="007734E2" w:rsidP="00D952A7">
      <w:pPr>
        <w:spacing w:line="360" w:lineRule="auto"/>
        <w:rPr>
          <w:rFonts w:ascii="Arial" w:hAnsi="Arial" w:cs="Arial"/>
          <w:b/>
          <w:bCs/>
          <w:sz w:val="22"/>
          <w:szCs w:val="22"/>
          <w:u w:val="single"/>
        </w:rPr>
      </w:pPr>
      <w:r w:rsidRPr="007734E2">
        <w:rPr>
          <w:rFonts w:ascii="Arial" w:hAnsi="Arial" w:cs="Arial"/>
          <w:b/>
          <w:bCs/>
          <w:sz w:val="22"/>
          <w:szCs w:val="22"/>
          <w:u w:val="single"/>
        </w:rPr>
        <w:t>Benefits and Limitations of PCC</w:t>
      </w:r>
    </w:p>
    <w:p w14:paraId="50F7D96F"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b/>
          <w:bCs/>
          <w:sz w:val="22"/>
          <w:szCs w:val="22"/>
        </w:rPr>
        <w:t>Benefits</w:t>
      </w:r>
    </w:p>
    <w:p w14:paraId="4F5D5B81"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Person-centred care has many advantages. Firstly, it helps individuals feel respected and valued. When people are involved in decisions about their care, they feel more in control, which can improve their confidence and wellbeing </w:t>
      </w:r>
      <w:r w:rsidRPr="007734E2">
        <w:rPr>
          <w:rFonts w:ascii="Arial" w:hAnsi="Arial" w:cs="Arial"/>
          <w:b/>
          <w:bCs/>
          <w:sz w:val="22"/>
          <w:szCs w:val="22"/>
        </w:rPr>
        <w:t>(NICE, 2021).</w:t>
      </w:r>
    </w:p>
    <w:p w14:paraId="4B8C3815"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Secondly, PCC can lead to better health outcomes. When people understand and agree with their care plan, they are more likely to follow it </w:t>
      </w:r>
      <w:r w:rsidRPr="007734E2">
        <w:rPr>
          <w:rFonts w:ascii="Arial" w:hAnsi="Arial" w:cs="Arial"/>
          <w:b/>
          <w:bCs/>
          <w:sz w:val="22"/>
          <w:szCs w:val="22"/>
        </w:rPr>
        <w:t>(Coulter, 2012).</w:t>
      </w:r>
    </w:p>
    <w:p w14:paraId="5D505DC3"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Another benefit is improved communication. PCC encourages open conversations between professionals and service users, which helps build trust </w:t>
      </w:r>
      <w:r w:rsidRPr="007734E2">
        <w:rPr>
          <w:rFonts w:ascii="Arial" w:hAnsi="Arial" w:cs="Arial"/>
          <w:b/>
          <w:bCs/>
          <w:sz w:val="22"/>
          <w:szCs w:val="22"/>
        </w:rPr>
        <w:t>(McCormack and McCance, 2017)</w:t>
      </w:r>
      <w:r w:rsidRPr="007734E2">
        <w:rPr>
          <w:rFonts w:ascii="Arial" w:hAnsi="Arial" w:cs="Arial"/>
          <w:sz w:val="22"/>
          <w:szCs w:val="22"/>
        </w:rPr>
        <w:t>.</w:t>
      </w:r>
    </w:p>
    <w:p w14:paraId="6F29DD66"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sz w:val="22"/>
          <w:szCs w:val="22"/>
        </w:rPr>
        <w:t xml:space="preserve">Finally, PCC promotes independence. In community care, this is especially important, as many older adults want to remain in their own homes for as long as possible </w:t>
      </w:r>
      <w:r w:rsidRPr="007734E2">
        <w:rPr>
          <w:rFonts w:ascii="Arial" w:hAnsi="Arial" w:cs="Arial"/>
          <w:b/>
          <w:bCs/>
          <w:sz w:val="22"/>
          <w:szCs w:val="22"/>
        </w:rPr>
        <w:t>(Age UK, 2022).</w:t>
      </w:r>
    </w:p>
    <w:p w14:paraId="341F90E9"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b/>
          <w:bCs/>
          <w:sz w:val="22"/>
          <w:szCs w:val="22"/>
        </w:rPr>
        <w:t>Limitations</w:t>
      </w:r>
    </w:p>
    <w:p w14:paraId="3A07020D" w14:textId="619D1EFC"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However, PCC is not always easy to deliver. One major challenge is lack of time. Health and social care staff are often very busy, which makes it difficult to spend enough time with </w:t>
      </w:r>
      <w:r w:rsidR="001E578E" w:rsidRPr="00C53A5E">
        <w:rPr>
          <w:rFonts w:ascii="Arial" w:hAnsi="Arial" w:cs="Arial"/>
          <w:sz w:val="22"/>
          <w:szCs w:val="22"/>
        </w:rPr>
        <w:t>everyone</w:t>
      </w:r>
      <w:r w:rsidRPr="007734E2">
        <w:rPr>
          <w:rFonts w:ascii="Arial" w:hAnsi="Arial" w:cs="Arial"/>
          <w:sz w:val="22"/>
          <w:szCs w:val="22"/>
        </w:rPr>
        <w:t xml:space="preserve"> </w:t>
      </w:r>
      <w:r w:rsidRPr="007734E2">
        <w:rPr>
          <w:rFonts w:ascii="Arial" w:hAnsi="Arial" w:cs="Arial"/>
          <w:b/>
          <w:bCs/>
          <w:sz w:val="22"/>
          <w:szCs w:val="22"/>
        </w:rPr>
        <w:t>(Glasby and Dickinson, 2014)</w:t>
      </w:r>
      <w:r w:rsidRPr="007734E2">
        <w:rPr>
          <w:rFonts w:ascii="Arial" w:hAnsi="Arial" w:cs="Arial"/>
          <w:sz w:val="22"/>
          <w:szCs w:val="22"/>
        </w:rPr>
        <w:t>.</w:t>
      </w:r>
    </w:p>
    <w:p w14:paraId="39E68A89"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Another limitation is staff shortages. When there are not enough workers, care may become more task-focused rather than person-focused </w:t>
      </w:r>
      <w:r w:rsidRPr="007734E2">
        <w:rPr>
          <w:rFonts w:ascii="Arial" w:hAnsi="Arial" w:cs="Arial"/>
          <w:b/>
          <w:bCs/>
          <w:sz w:val="22"/>
          <w:szCs w:val="22"/>
        </w:rPr>
        <w:t>(King’s Fund, 2020).</w:t>
      </w:r>
    </w:p>
    <w:p w14:paraId="5C5D6D21"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lastRenderedPageBreak/>
        <w:t xml:space="preserve">There can also be challenges when balancing choice and safety. For example, an older adult may want to live independently but may be at risk of falls. Professionals must decide how to respect their choice while also keeping them safe </w:t>
      </w:r>
      <w:r w:rsidRPr="007734E2">
        <w:rPr>
          <w:rFonts w:ascii="Arial" w:hAnsi="Arial" w:cs="Arial"/>
          <w:b/>
          <w:bCs/>
          <w:sz w:val="22"/>
          <w:szCs w:val="22"/>
        </w:rPr>
        <w:t>(Beauchamp and Childress, 2019).</w:t>
      </w:r>
    </w:p>
    <w:p w14:paraId="07307025" w14:textId="1B8EF704" w:rsidR="007734E2" w:rsidRPr="007734E2" w:rsidRDefault="007734E2" w:rsidP="00D952A7">
      <w:pPr>
        <w:spacing w:line="360" w:lineRule="auto"/>
        <w:rPr>
          <w:rFonts w:ascii="Arial" w:hAnsi="Arial" w:cs="Arial"/>
          <w:sz w:val="22"/>
          <w:szCs w:val="22"/>
        </w:rPr>
      </w:pPr>
    </w:p>
    <w:p w14:paraId="684AF728" w14:textId="4135F6FB" w:rsidR="007734E2" w:rsidRPr="007734E2" w:rsidRDefault="007734E2" w:rsidP="00D952A7">
      <w:pPr>
        <w:spacing w:line="360" w:lineRule="auto"/>
        <w:rPr>
          <w:rFonts w:ascii="Arial" w:hAnsi="Arial" w:cs="Arial"/>
          <w:b/>
          <w:bCs/>
          <w:sz w:val="22"/>
          <w:szCs w:val="22"/>
          <w:u w:val="single"/>
        </w:rPr>
      </w:pPr>
      <w:r w:rsidRPr="007734E2">
        <w:rPr>
          <w:rFonts w:ascii="Arial" w:hAnsi="Arial" w:cs="Arial"/>
          <w:b/>
          <w:bCs/>
          <w:sz w:val="22"/>
          <w:szCs w:val="22"/>
          <w:u w:val="single"/>
        </w:rPr>
        <w:t>Theory Supporting PCC</w:t>
      </w:r>
    </w:p>
    <w:p w14:paraId="1EF8B0D2"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One important theory that supports person-centred care is </w:t>
      </w:r>
      <w:r w:rsidRPr="007734E2">
        <w:rPr>
          <w:rFonts w:ascii="Arial" w:hAnsi="Arial" w:cs="Arial"/>
          <w:b/>
          <w:bCs/>
          <w:sz w:val="22"/>
          <w:szCs w:val="22"/>
        </w:rPr>
        <w:t>Carl Rogers’ humanistic theory</w:t>
      </w:r>
      <w:r w:rsidRPr="007734E2">
        <w:rPr>
          <w:rFonts w:ascii="Arial" w:hAnsi="Arial" w:cs="Arial"/>
          <w:sz w:val="22"/>
          <w:szCs w:val="22"/>
        </w:rPr>
        <w:t xml:space="preserve">. Rogers believed that every person is unique and deserves respect, understanding and empathy </w:t>
      </w:r>
      <w:r w:rsidRPr="007734E2">
        <w:rPr>
          <w:rFonts w:ascii="Arial" w:hAnsi="Arial" w:cs="Arial"/>
          <w:b/>
          <w:bCs/>
          <w:sz w:val="22"/>
          <w:szCs w:val="22"/>
        </w:rPr>
        <w:t>(Rogers, 1961).</w:t>
      </w:r>
    </w:p>
    <w:p w14:paraId="45A4225C"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sz w:val="22"/>
          <w:szCs w:val="22"/>
        </w:rPr>
        <w:t xml:space="preserve">This theory fits well with PCC because it focuses on treating individuals with dignity and seeing them as more than just their condition. It supports ideas such as active listening, empathy and building trust between professionals and service users </w:t>
      </w:r>
      <w:r w:rsidRPr="007734E2">
        <w:rPr>
          <w:rFonts w:ascii="Arial" w:hAnsi="Arial" w:cs="Arial"/>
          <w:b/>
          <w:bCs/>
          <w:sz w:val="22"/>
          <w:szCs w:val="22"/>
        </w:rPr>
        <w:t>(McCormack and McCance, 2017).</w:t>
      </w:r>
    </w:p>
    <w:p w14:paraId="44C6F47F"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In community care, this can be seen when professionals take time to understand an older person’s lifestyle, preferences and feelings. For example, a care worker might adapt support based on what makes the individual feel comfortable and safe.</w:t>
      </w:r>
    </w:p>
    <w:p w14:paraId="1F9E7425"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sz w:val="22"/>
          <w:szCs w:val="22"/>
        </w:rPr>
        <w:t xml:space="preserve">However, there are some limitations to this theory. It can be seen as idealistic because in real-life settings, staff may not always have enough time or resources to fully apply it </w:t>
      </w:r>
      <w:r w:rsidRPr="007734E2">
        <w:rPr>
          <w:rFonts w:ascii="Arial" w:hAnsi="Arial" w:cs="Arial"/>
          <w:b/>
          <w:bCs/>
          <w:sz w:val="22"/>
          <w:szCs w:val="22"/>
        </w:rPr>
        <w:t>(Glasby and Dickinson, 2014).</w:t>
      </w:r>
    </w:p>
    <w:p w14:paraId="1CDA7846" w14:textId="0EE65BDF" w:rsidR="007734E2" w:rsidRPr="007734E2" w:rsidRDefault="007734E2" w:rsidP="00D952A7">
      <w:pPr>
        <w:spacing w:line="360" w:lineRule="auto"/>
        <w:rPr>
          <w:rFonts w:ascii="Arial" w:hAnsi="Arial" w:cs="Arial"/>
          <w:sz w:val="22"/>
          <w:szCs w:val="22"/>
        </w:rPr>
      </w:pPr>
    </w:p>
    <w:p w14:paraId="0444DE30" w14:textId="1AADF6E9" w:rsidR="007734E2" w:rsidRPr="007734E2" w:rsidRDefault="007734E2" w:rsidP="00D952A7">
      <w:pPr>
        <w:spacing w:line="360" w:lineRule="auto"/>
        <w:rPr>
          <w:rFonts w:ascii="Arial" w:hAnsi="Arial" w:cs="Arial"/>
          <w:b/>
          <w:bCs/>
          <w:sz w:val="22"/>
          <w:szCs w:val="22"/>
          <w:u w:val="single"/>
        </w:rPr>
      </w:pPr>
      <w:r w:rsidRPr="007734E2">
        <w:rPr>
          <w:rFonts w:ascii="Arial" w:hAnsi="Arial" w:cs="Arial"/>
          <w:b/>
          <w:bCs/>
          <w:sz w:val="22"/>
          <w:szCs w:val="22"/>
          <w:u w:val="single"/>
        </w:rPr>
        <w:t>Ethics in Health and Social Care</w:t>
      </w:r>
    </w:p>
    <w:p w14:paraId="610C9939"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Ethics play an important role in guiding decisions in health and social care. There are four main ethical principles:</w:t>
      </w:r>
    </w:p>
    <w:p w14:paraId="3B5F0BFB" w14:textId="77777777" w:rsidR="007734E2" w:rsidRPr="007734E2" w:rsidRDefault="007734E2" w:rsidP="00D952A7">
      <w:pPr>
        <w:numPr>
          <w:ilvl w:val="0"/>
          <w:numId w:val="1"/>
        </w:numPr>
        <w:spacing w:line="360" w:lineRule="auto"/>
        <w:rPr>
          <w:rFonts w:ascii="Arial" w:hAnsi="Arial" w:cs="Arial"/>
          <w:sz w:val="22"/>
          <w:szCs w:val="22"/>
        </w:rPr>
      </w:pPr>
      <w:r w:rsidRPr="007734E2">
        <w:rPr>
          <w:rFonts w:ascii="Arial" w:hAnsi="Arial" w:cs="Arial"/>
          <w:b/>
          <w:bCs/>
          <w:sz w:val="22"/>
          <w:szCs w:val="22"/>
        </w:rPr>
        <w:t>Autonomy</w:t>
      </w:r>
      <w:r w:rsidRPr="007734E2">
        <w:rPr>
          <w:rFonts w:ascii="Arial" w:hAnsi="Arial" w:cs="Arial"/>
          <w:sz w:val="22"/>
          <w:szCs w:val="22"/>
        </w:rPr>
        <w:t xml:space="preserve"> – respecting a person’s right to make their own choices </w:t>
      </w:r>
    </w:p>
    <w:p w14:paraId="485B61B8" w14:textId="77777777" w:rsidR="007734E2" w:rsidRPr="007734E2" w:rsidRDefault="007734E2" w:rsidP="00D952A7">
      <w:pPr>
        <w:numPr>
          <w:ilvl w:val="0"/>
          <w:numId w:val="1"/>
        </w:numPr>
        <w:spacing w:line="360" w:lineRule="auto"/>
        <w:rPr>
          <w:rFonts w:ascii="Arial" w:hAnsi="Arial" w:cs="Arial"/>
          <w:sz w:val="22"/>
          <w:szCs w:val="22"/>
        </w:rPr>
      </w:pPr>
      <w:r w:rsidRPr="007734E2">
        <w:rPr>
          <w:rFonts w:ascii="Arial" w:hAnsi="Arial" w:cs="Arial"/>
          <w:b/>
          <w:bCs/>
          <w:sz w:val="22"/>
          <w:szCs w:val="22"/>
        </w:rPr>
        <w:t>Beneficence</w:t>
      </w:r>
      <w:r w:rsidRPr="007734E2">
        <w:rPr>
          <w:rFonts w:ascii="Arial" w:hAnsi="Arial" w:cs="Arial"/>
          <w:sz w:val="22"/>
          <w:szCs w:val="22"/>
        </w:rPr>
        <w:t xml:space="preserve"> – doing what is best for the individual </w:t>
      </w:r>
    </w:p>
    <w:p w14:paraId="74C098E5" w14:textId="77777777" w:rsidR="007734E2" w:rsidRPr="007734E2" w:rsidRDefault="007734E2" w:rsidP="00D952A7">
      <w:pPr>
        <w:numPr>
          <w:ilvl w:val="0"/>
          <w:numId w:val="1"/>
        </w:numPr>
        <w:spacing w:line="360" w:lineRule="auto"/>
        <w:rPr>
          <w:rFonts w:ascii="Arial" w:hAnsi="Arial" w:cs="Arial"/>
          <w:sz w:val="22"/>
          <w:szCs w:val="22"/>
        </w:rPr>
      </w:pPr>
      <w:r w:rsidRPr="007734E2">
        <w:rPr>
          <w:rFonts w:ascii="Arial" w:hAnsi="Arial" w:cs="Arial"/>
          <w:b/>
          <w:bCs/>
          <w:sz w:val="22"/>
          <w:szCs w:val="22"/>
        </w:rPr>
        <w:t>Non-maleficence</w:t>
      </w:r>
      <w:r w:rsidRPr="007734E2">
        <w:rPr>
          <w:rFonts w:ascii="Arial" w:hAnsi="Arial" w:cs="Arial"/>
          <w:sz w:val="22"/>
          <w:szCs w:val="22"/>
        </w:rPr>
        <w:t xml:space="preserve"> – avoiding harm </w:t>
      </w:r>
    </w:p>
    <w:p w14:paraId="1BB68D38" w14:textId="77777777" w:rsidR="007734E2" w:rsidRPr="007734E2" w:rsidRDefault="007734E2" w:rsidP="00D952A7">
      <w:pPr>
        <w:numPr>
          <w:ilvl w:val="0"/>
          <w:numId w:val="1"/>
        </w:numPr>
        <w:spacing w:line="360" w:lineRule="auto"/>
        <w:rPr>
          <w:rFonts w:ascii="Arial" w:hAnsi="Arial" w:cs="Arial"/>
          <w:sz w:val="22"/>
          <w:szCs w:val="22"/>
        </w:rPr>
      </w:pPr>
      <w:r w:rsidRPr="007734E2">
        <w:rPr>
          <w:rFonts w:ascii="Arial" w:hAnsi="Arial" w:cs="Arial"/>
          <w:b/>
          <w:bCs/>
          <w:sz w:val="22"/>
          <w:szCs w:val="22"/>
        </w:rPr>
        <w:t>Justice</w:t>
      </w:r>
      <w:r w:rsidRPr="007734E2">
        <w:rPr>
          <w:rFonts w:ascii="Arial" w:hAnsi="Arial" w:cs="Arial"/>
          <w:sz w:val="22"/>
          <w:szCs w:val="22"/>
        </w:rPr>
        <w:t xml:space="preserve"> – treating people fairly </w:t>
      </w:r>
      <w:r w:rsidRPr="007734E2">
        <w:rPr>
          <w:rFonts w:ascii="Arial" w:hAnsi="Arial" w:cs="Arial"/>
          <w:b/>
          <w:bCs/>
          <w:sz w:val="22"/>
          <w:szCs w:val="22"/>
        </w:rPr>
        <w:t>(Beauchamp and Childress, 2019)</w:t>
      </w:r>
      <w:r w:rsidRPr="007734E2">
        <w:rPr>
          <w:rFonts w:ascii="Arial" w:hAnsi="Arial" w:cs="Arial"/>
          <w:sz w:val="22"/>
          <w:szCs w:val="22"/>
        </w:rPr>
        <w:t xml:space="preserve"> </w:t>
      </w:r>
    </w:p>
    <w:p w14:paraId="455452EB"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These principles are closely linked to PCC and partnership working.</w:t>
      </w:r>
    </w:p>
    <w:p w14:paraId="4EFDD657"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For example, autonomy supports person-centred care because it allows individuals to have control over their care decisions. In community care, an older adult may choose how they want to receive support, even if it is not what professionals would prefer.</w:t>
      </w:r>
    </w:p>
    <w:p w14:paraId="7B14A0B1"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lastRenderedPageBreak/>
        <w:t>Beneficence and non-maleficence require professionals to act in the person’s best interests while avoiding harm. This can sometimes create ethical dilemmas.</w:t>
      </w:r>
    </w:p>
    <w:p w14:paraId="6165A561"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Justice ensures that all individuals receive fair and equal care, regardless of their background </w:t>
      </w:r>
      <w:r w:rsidRPr="007734E2">
        <w:rPr>
          <w:rFonts w:ascii="Arial" w:hAnsi="Arial" w:cs="Arial"/>
          <w:b/>
          <w:bCs/>
          <w:sz w:val="22"/>
          <w:szCs w:val="22"/>
        </w:rPr>
        <w:t>(Equality Act 2010).</w:t>
      </w:r>
    </w:p>
    <w:p w14:paraId="1386567A"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sz w:val="22"/>
          <w:szCs w:val="22"/>
        </w:rPr>
        <w:t xml:space="preserve">Ethics also play a role in partnership working. Professionals must work together respectfully and share responsibility for decisions </w:t>
      </w:r>
      <w:r w:rsidRPr="007734E2">
        <w:rPr>
          <w:rFonts w:ascii="Arial" w:hAnsi="Arial" w:cs="Arial"/>
          <w:b/>
          <w:bCs/>
          <w:sz w:val="22"/>
          <w:szCs w:val="22"/>
        </w:rPr>
        <w:t>(NMC, 2018).</w:t>
      </w:r>
    </w:p>
    <w:p w14:paraId="23B050CD" w14:textId="63BA8BDA" w:rsidR="007734E2" w:rsidRPr="007734E2" w:rsidRDefault="007734E2" w:rsidP="00D952A7">
      <w:pPr>
        <w:spacing w:line="360" w:lineRule="auto"/>
        <w:rPr>
          <w:rFonts w:ascii="Arial" w:hAnsi="Arial" w:cs="Arial"/>
          <w:sz w:val="22"/>
          <w:szCs w:val="22"/>
        </w:rPr>
      </w:pPr>
    </w:p>
    <w:p w14:paraId="788A59E8" w14:textId="1835B3E4" w:rsidR="008A31FE" w:rsidRPr="00C53A5E" w:rsidRDefault="008A31FE" w:rsidP="00D952A7">
      <w:pPr>
        <w:spacing w:line="360" w:lineRule="auto"/>
        <w:rPr>
          <w:rFonts w:ascii="Arial" w:hAnsi="Arial" w:cs="Arial"/>
          <w:b/>
          <w:bCs/>
          <w:sz w:val="22"/>
          <w:szCs w:val="22"/>
          <w:u w:val="single"/>
        </w:rPr>
      </w:pPr>
      <w:r w:rsidRPr="00C53A5E">
        <w:rPr>
          <w:rFonts w:ascii="Arial" w:hAnsi="Arial" w:cs="Arial"/>
          <w:b/>
          <w:bCs/>
          <w:sz w:val="22"/>
          <w:szCs w:val="22"/>
          <w:u w:val="single"/>
        </w:rPr>
        <w:t>Partnership Working (PW)</w:t>
      </w:r>
    </w:p>
    <w:p w14:paraId="6EA80181" w14:textId="77777777" w:rsidR="008A31FE" w:rsidRPr="008A31FE" w:rsidRDefault="008A31FE" w:rsidP="00D952A7">
      <w:pPr>
        <w:spacing w:line="360" w:lineRule="auto"/>
        <w:rPr>
          <w:rFonts w:ascii="Arial" w:hAnsi="Arial" w:cs="Arial"/>
          <w:b/>
          <w:bCs/>
          <w:sz w:val="22"/>
          <w:szCs w:val="22"/>
        </w:rPr>
      </w:pPr>
      <w:r w:rsidRPr="008A31FE">
        <w:rPr>
          <w:rFonts w:ascii="Arial" w:hAnsi="Arial" w:cs="Arial"/>
          <w:sz w:val="22"/>
          <w:szCs w:val="22"/>
        </w:rPr>
        <w:t xml:space="preserve">Partnership working (PW) refers to different professionals, organisations and individuals working together to plan and deliver care. This includes health professionals such as doctors and nurses, social care staff, support workers and sometimes family members. The aim is to provide coordinated and effective care that meets the needs of the individual </w:t>
      </w:r>
      <w:r w:rsidRPr="008A31FE">
        <w:rPr>
          <w:rFonts w:ascii="Arial" w:hAnsi="Arial" w:cs="Arial"/>
          <w:b/>
          <w:bCs/>
          <w:sz w:val="22"/>
          <w:szCs w:val="22"/>
        </w:rPr>
        <w:t>(Glasby and Dickinson, 2014).</w:t>
      </w:r>
    </w:p>
    <w:p w14:paraId="3E4EA52E" w14:textId="77777777" w:rsidR="008A31FE" w:rsidRPr="008A31FE" w:rsidRDefault="008A31FE" w:rsidP="00D952A7">
      <w:pPr>
        <w:spacing w:line="360" w:lineRule="auto"/>
        <w:rPr>
          <w:rFonts w:ascii="Arial" w:hAnsi="Arial" w:cs="Arial"/>
          <w:sz w:val="22"/>
          <w:szCs w:val="22"/>
        </w:rPr>
      </w:pPr>
      <w:r w:rsidRPr="008A31FE">
        <w:rPr>
          <w:rFonts w:ascii="Arial" w:hAnsi="Arial" w:cs="Arial"/>
          <w:sz w:val="22"/>
          <w:szCs w:val="22"/>
        </w:rPr>
        <w:t xml:space="preserve">In health and social care, partnership working is very important because many individuals, especially older adults or those with long-term conditions, have complex needs. These needs often cannot be met by one service alone, so collaboration between different professionals is necessary to ensure all aspects of care are covered </w:t>
      </w:r>
      <w:r w:rsidRPr="008A31FE">
        <w:rPr>
          <w:rFonts w:ascii="Arial" w:hAnsi="Arial" w:cs="Arial"/>
          <w:b/>
          <w:bCs/>
          <w:sz w:val="22"/>
          <w:szCs w:val="22"/>
        </w:rPr>
        <w:t>(NHS England, 2019).</w:t>
      </w:r>
    </w:p>
    <w:p w14:paraId="6A239E2A" w14:textId="77777777" w:rsidR="008A31FE" w:rsidRPr="008A31FE" w:rsidRDefault="008A31FE" w:rsidP="00D952A7">
      <w:pPr>
        <w:spacing w:line="360" w:lineRule="auto"/>
        <w:rPr>
          <w:rFonts w:ascii="Arial" w:hAnsi="Arial" w:cs="Arial"/>
          <w:b/>
          <w:bCs/>
          <w:sz w:val="22"/>
          <w:szCs w:val="22"/>
        </w:rPr>
      </w:pPr>
      <w:r w:rsidRPr="008A31FE">
        <w:rPr>
          <w:rFonts w:ascii="Arial" w:hAnsi="Arial" w:cs="Arial"/>
          <w:sz w:val="22"/>
          <w:szCs w:val="22"/>
        </w:rPr>
        <w:t xml:space="preserve">One major benefit of partnership working is better coordinated care. When professionals communicate and share information, it reduces the risk of mistakes and ensures that care is consistent. It also improves communication between services, which helps avoid duplication of work and delays in care. As a result, service users often experience better outcomes, including improved health, increased satisfaction and a higher quality of care </w:t>
      </w:r>
      <w:r w:rsidRPr="008A31FE">
        <w:rPr>
          <w:rFonts w:ascii="Arial" w:hAnsi="Arial" w:cs="Arial"/>
          <w:b/>
          <w:bCs/>
          <w:sz w:val="22"/>
          <w:szCs w:val="22"/>
        </w:rPr>
        <w:t>(King’s Fund, 2020).</w:t>
      </w:r>
    </w:p>
    <w:p w14:paraId="7377A3E5" w14:textId="77777777" w:rsidR="008A31FE" w:rsidRPr="008A31FE" w:rsidRDefault="008A31FE" w:rsidP="00D952A7">
      <w:pPr>
        <w:spacing w:line="360" w:lineRule="auto"/>
        <w:rPr>
          <w:rFonts w:ascii="Arial" w:hAnsi="Arial" w:cs="Arial"/>
          <w:b/>
          <w:bCs/>
          <w:sz w:val="22"/>
          <w:szCs w:val="22"/>
        </w:rPr>
      </w:pPr>
      <w:r w:rsidRPr="008A31FE">
        <w:rPr>
          <w:rFonts w:ascii="Arial" w:hAnsi="Arial" w:cs="Arial"/>
          <w:sz w:val="22"/>
          <w:szCs w:val="22"/>
        </w:rPr>
        <w:t xml:space="preserve">However, partnership working also has challenges. Poor communication between professionals can lead to misunderstandings or gaps in care. In some cases, different professionals may have different priorities or opinions, which can make decision-making more difficult. Time pressures and heavy workloads can also limit how effectively professionals are able to collaborate </w:t>
      </w:r>
      <w:r w:rsidRPr="008A31FE">
        <w:rPr>
          <w:rFonts w:ascii="Arial" w:hAnsi="Arial" w:cs="Arial"/>
          <w:b/>
          <w:bCs/>
          <w:sz w:val="22"/>
          <w:szCs w:val="22"/>
        </w:rPr>
        <w:t>(Glasby and Dickinson, 2014).</w:t>
      </w:r>
    </w:p>
    <w:p w14:paraId="4FD784F2" w14:textId="77777777" w:rsidR="008A31FE" w:rsidRPr="008A31FE" w:rsidRDefault="008A31FE" w:rsidP="00D952A7">
      <w:pPr>
        <w:spacing w:line="360" w:lineRule="auto"/>
        <w:rPr>
          <w:rFonts w:ascii="Arial" w:hAnsi="Arial" w:cs="Arial"/>
          <w:sz w:val="22"/>
          <w:szCs w:val="22"/>
        </w:rPr>
      </w:pPr>
      <w:r w:rsidRPr="008A31FE">
        <w:rPr>
          <w:rFonts w:ascii="Arial" w:hAnsi="Arial" w:cs="Arial"/>
          <w:sz w:val="22"/>
          <w:szCs w:val="22"/>
        </w:rPr>
        <w:t>Despite these challenges, partnership working remains essential in health and social care. It supports a more holistic approach, where all aspects of a person’s needs are considered. When done effectively, it improves both the experience and outcomes for service users, making it a key part of delivering high-quality care.</w:t>
      </w:r>
    </w:p>
    <w:p w14:paraId="56073CB6" w14:textId="1A142264" w:rsidR="007734E2" w:rsidRPr="007734E2" w:rsidRDefault="007734E2" w:rsidP="00D952A7">
      <w:pPr>
        <w:spacing w:line="360" w:lineRule="auto"/>
        <w:rPr>
          <w:rFonts w:ascii="Arial" w:hAnsi="Arial" w:cs="Arial"/>
          <w:sz w:val="22"/>
          <w:szCs w:val="22"/>
        </w:rPr>
      </w:pPr>
    </w:p>
    <w:p w14:paraId="6664C262" w14:textId="5D33EADA" w:rsidR="00F00648" w:rsidRPr="00F00648" w:rsidRDefault="007734E2" w:rsidP="00D952A7">
      <w:pPr>
        <w:spacing w:line="360" w:lineRule="auto"/>
        <w:rPr>
          <w:rFonts w:ascii="Arial" w:hAnsi="Arial" w:cs="Arial"/>
          <w:b/>
          <w:bCs/>
          <w:sz w:val="22"/>
          <w:szCs w:val="22"/>
          <w:u w:val="single"/>
        </w:rPr>
      </w:pPr>
      <w:r w:rsidRPr="007734E2">
        <w:rPr>
          <w:rFonts w:ascii="Arial" w:hAnsi="Arial" w:cs="Arial"/>
          <w:b/>
          <w:bCs/>
          <w:sz w:val="22"/>
          <w:szCs w:val="22"/>
          <w:u w:val="single"/>
        </w:rPr>
        <w:t>Partnership Working in Practice</w:t>
      </w:r>
      <w:r w:rsidR="00F00648" w:rsidRPr="00C53A5E">
        <w:rPr>
          <w:rFonts w:ascii="Arial" w:hAnsi="Arial" w:cs="Arial"/>
          <w:b/>
          <w:bCs/>
          <w:sz w:val="22"/>
          <w:szCs w:val="22"/>
          <w:u w:val="single"/>
        </w:rPr>
        <w:t xml:space="preserve"> </w:t>
      </w:r>
    </w:p>
    <w:p w14:paraId="4282102E" w14:textId="77777777" w:rsidR="00F00648" w:rsidRPr="00F00648" w:rsidRDefault="00F00648" w:rsidP="00D952A7">
      <w:pPr>
        <w:spacing w:line="360" w:lineRule="auto"/>
        <w:rPr>
          <w:rFonts w:ascii="Arial" w:hAnsi="Arial" w:cs="Arial"/>
          <w:sz w:val="22"/>
          <w:szCs w:val="22"/>
        </w:rPr>
      </w:pPr>
      <w:r w:rsidRPr="00F00648">
        <w:rPr>
          <w:rFonts w:ascii="Arial" w:hAnsi="Arial" w:cs="Arial"/>
          <w:sz w:val="22"/>
          <w:szCs w:val="22"/>
        </w:rPr>
        <w:t xml:space="preserve">In community care for older adults, partnership working is a key part of providing effective and safe support. Many older people have complex needs, which means they require help from different professionals and services rather than just one single provider. Partnership working ensures that all those involved communicate and work together to meet the individual’s needs in a coordinated way </w:t>
      </w:r>
      <w:r w:rsidRPr="00F00648">
        <w:rPr>
          <w:rFonts w:ascii="Arial" w:hAnsi="Arial" w:cs="Arial"/>
          <w:b/>
          <w:bCs/>
          <w:sz w:val="22"/>
          <w:szCs w:val="22"/>
        </w:rPr>
        <w:t>(Glasby and Dickinson, 2014).</w:t>
      </w:r>
    </w:p>
    <w:p w14:paraId="12B381BE" w14:textId="77777777" w:rsidR="00F00648" w:rsidRPr="00F00648" w:rsidRDefault="00F00648" w:rsidP="00D952A7">
      <w:pPr>
        <w:spacing w:line="360" w:lineRule="auto"/>
        <w:rPr>
          <w:rFonts w:ascii="Arial" w:hAnsi="Arial" w:cs="Arial"/>
          <w:b/>
          <w:bCs/>
          <w:sz w:val="22"/>
          <w:szCs w:val="22"/>
        </w:rPr>
      </w:pPr>
      <w:r w:rsidRPr="00F00648">
        <w:rPr>
          <w:rFonts w:ascii="Arial" w:hAnsi="Arial" w:cs="Arial"/>
          <w:sz w:val="22"/>
          <w:szCs w:val="22"/>
        </w:rPr>
        <w:t xml:space="preserve">For example, an older person living at home with conditions such as diabetes, mobility issues and early dementia may receive support from a range of professionals. A GP may be responsible for managing medical conditions and prescribing treatment, while a district nurse may carry out regular health checks and monitor ongoing issues. A social worker may assess the person’s social care needs and arrange support services, such as home care or adaptations to the home. Care workers may assist with daily tasks such as washing, dressing and meal preparation. In addition, family members often play an important role by providing emotional support and helping with decision-making </w:t>
      </w:r>
      <w:r w:rsidRPr="00F00648">
        <w:rPr>
          <w:rFonts w:ascii="Arial" w:hAnsi="Arial" w:cs="Arial"/>
          <w:b/>
          <w:bCs/>
          <w:sz w:val="22"/>
          <w:szCs w:val="22"/>
        </w:rPr>
        <w:t>(Care Act 2014).</w:t>
      </w:r>
    </w:p>
    <w:p w14:paraId="0B84FF03" w14:textId="33B4D393" w:rsidR="00F00648" w:rsidRPr="00F00648" w:rsidRDefault="00913FDE" w:rsidP="00D952A7">
      <w:pPr>
        <w:spacing w:line="360" w:lineRule="auto"/>
        <w:rPr>
          <w:rFonts w:ascii="Arial" w:hAnsi="Arial" w:cs="Arial"/>
          <w:b/>
          <w:bCs/>
          <w:sz w:val="22"/>
          <w:szCs w:val="22"/>
        </w:rPr>
      </w:pPr>
      <w:r w:rsidRPr="00C53A5E">
        <w:rPr>
          <w:rFonts w:ascii="Arial" w:hAnsi="Arial" w:cs="Arial"/>
          <w:sz w:val="22"/>
          <w:szCs w:val="22"/>
        </w:rPr>
        <w:t>All</w:t>
      </w:r>
      <w:r w:rsidR="00F00648" w:rsidRPr="00F00648">
        <w:rPr>
          <w:rFonts w:ascii="Arial" w:hAnsi="Arial" w:cs="Arial"/>
          <w:sz w:val="22"/>
          <w:szCs w:val="22"/>
        </w:rPr>
        <w:t xml:space="preserve"> these individuals work together to create and follow a care plan that is tailored to the person’s specific needs and preferences. This plan helps ensure that care is consistent and avoids duplication or gaps in support. Good communication between professionals is essential to make sure everyone is aware of any changes in the person’s condition or needs </w:t>
      </w:r>
      <w:r w:rsidR="00F00648" w:rsidRPr="00F00648">
        <w:rPr>
          <w:rFonts w:ascii="Arial" w:hAnsi="Arial" w:cs="Arial"/>
          <w:b/>
          <w:bCs/>
          <w:sz w:val="22"/>
          <w:szCs w:val="22"/>
        </w:rPr>
        <w:t>(NHS England, 2019).</w:t>
      </w:r>
    </w:p>
    <w:p w14:paraId="0837D748" w14:textId="31BB0E37" w:rsidR="00F00648" w:rsidRPr="00F00648" w:rsidRDefault="00F00648" w:rsidP="00D952A7">
      <w:pPr>
        <w:spacing w:line="360" w:lineRule="auto"/>
        <w:rPr>
          <w:rFonts w:ascii="Arial" w:hAnsi="Arial" w:cs="Arial"/>
          <w:sz w:val="22"/>
          <w:szCs w:val="22"/>
        </w:rPr>
      </w:pPr>
      <w:r w:rsidRPr="00F00648">
        <w:rPr>
          <w:rFonts w:ascii="Arial" w:hAnsi="Arial" w:cs="Arial"/>
          <w:sz w:val="22"/>
          <w:szCs w:val="22"/>
        </w:rPr>
        <w:t xml:space="preserve">Partnership working also supports person-centred care, as it allows professionals to share information and make decisions that reflect the individual’s wishes. The Health and Care Act 2022 </w:t>
      </w:r>
      <w:r w:rsidR="006607A1" w:rsidRPr="00C53A5E">
        <w:rPr>
          <w:rFonts w:ascii="Arial" w:hAnsi="Arial" w:cs="Arial"/>
          <w:sz w:val="22"/>
          <w:szCs w:val="22"/>
        </w:rPr>
        <w:t>promote</w:t>
      </w:r>
      <w:r w:rsidRPr="00F00648">
        <w:rPr>
          <w:rFonts w:ascii="Arial" w:hAnsi="Arial" w:cs="Arial"/>
          <w:sz w:val="22"/>
          <w:szCs w:val="22"/>
        </w:rPr>
        <w:t xml:space="preserve"> this joined-up approach by encouraging better integration between health and social care services. Overall, partnership working helps improve outcomes and ensures that older adults receive holistic and well-coordinated care.</w:t>
      </w:r>
    </w:p>
    <w:p w14:paraId="6EB0E31D" w14:textId="614A99AE" w:rsidR="007734E2" w:rsidRPr="007734E2" w:rsidRDefault="007734E2" w:rsidP="00D952A7">
      <w:pPr>
        <w:spacing w:line="360" w:lineRule="auto"/>
        <w:rPr>
          <w:rFonts w:ascii="Arial" w:hAnsi="Arial" w:cs="Arial"/>
          <w:sz w:val="22"/>
          <w:szCs w:val="22"/>
        </w:rPr>
      </w:pPr>
    </w:p>
    <w:p w14:paraId="7AD17BDC" w14:textId="65C9F46A" w:rsidR="007734E2" w:rsidRPr="007734E2" w:rsidRDefault="007734E2" w:rsidP="00D952A7">
      <w:pPr>
        <w:spacing w:line="360" w:lineRule="auto"/>
        <w:rPr>
          <w:rFonts w:ascii="Arial" w:hAnsi="Arial" w:cs="Arial"/>
          <w:b/>
          <w:bCs/>
          <w:sz w:val="22"/>
          <w:szCs w:val="22"/>
          <w:u w:val="single"/>
        </w:rPr>
      </w:pPr>
      <w:r w:rsidRPr="007734E2">
        <w:rPr>
          <w:rFonts w:ascii="Arial" w:hAnsi="Arial" w:cs="Arial"/>
          <w:b/>
          <w:bCs/>
          <w:sz w:val="22"/>
          <w:szCs w:val="22"/>
          <w:u w:val="single"/>
        </w:rPr>
        <w:t>Policy and Legislation</w:t>
      </w:r>
    </w:p>
    <w:p w14:paraId="518990F2"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There are several important UK laws and policies that support PCC and partnership working.</w:t>
      </w:r>
    </w:p>
    <w:p w14:paraId="258A6EA7"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The </w:t>
      </w:r>
      <w:r w:rsidRPr="007734E2">
        <w:rPr>
          <w:rFonts w:ascii="Arial" w:hAnsi="Arial" w:cs="Arial"/>
          <w:b/>
          <w:bCs/>
          <w:sz w:val="22"/>
          <w:szCs w:val="22"/>
        </w:rPr>
        <w:t>Care Act 2014</w:t>
      </w:r>
      <w:r w:rsidRPr="007734E2">
        <w:rPr>
          <w:rFonts w:ascii="Arial" w:hAnsi="Arial" w:cs="Arial"/>
          <w:sz w:val="22"/>
          <w:szCs w:val="22"/>
        </w:rPr>
        <w:t xml:space="preserve"> focuses on promoting wellbeing and personalised care.</w:t>
      </w:r>
    </w:p>
    <w:p w14:paraId="4AC3D53C" w14:textId="7BA2E62A"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The </w:t>
      </w:r>
      <w:r w:rsidRPr="007734E2">
        <w:rPr>
          <w:rFonts w:ascii="Arial" w:hAnsi="Arial" w:cs="Arial"/>
          <w:b/>
          <w:bCs/>
          <w:sz w:val="22"/>
          <w:szCs w:val="22"/>
        </w:rPr>
        <w:t>Health and Care Act 2022</w:t>
      </w:r>
      <w:r w:rsidRPr="007734E2">
        <w:rPr>
          <w:rFonts w:ascii="Arial" w:hAnsi="Arial" w:cs="Arial"/>
          <w:sz w:val="22"/>
          <w:szCs w:val="22"/>
        </w:rPr>
        <w:t xml:space="preserve"> </w:t>
      </w:r>
      <w:r w:rsidRPr="00C53A5E">
        <w:rPr>
          <w:rFonts w:ascii="Arial" w:hAnsi="Arial" w:cs="Arial"/>
          <w:sz w:val="22"/>
          <w:szCs w:val="22"/>
        </w:rPr>
        <w:t>support</w:t>
      </w:r>
      <w:r w:rsidRPr="007734E2">
        <w:rPr>
          <w:rFonts w:ascii="Arial" w:hAnsi="Arial" w:cs="Arial"/>
          <w:sz w:val="22"/>
          <w:szCs w:val="22"/>
        </w:rPr>
        <w:t xml:space="preserve"> integrated care and partnership working.</w:t>
      </w:r>
    </w:p>
    <w:p w14:paraId="55D82D19"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The </w:t>
      </w:r>
      <w:r w:rsidRPr="007734E2">
        <w:rPr>
          <w:rFonts w:ascii="Arial" w:hAnsi="Arial" w:cs="Arial"/>
          <w:b/>
          <w:bCs/>
          <w:sz w:val="22"/>
          <w:szCs w:val="22"/>
        </w:rPr>
        <w:t>Human Rights Act 1998</w:t>
      </w:r>
      <w:r w:rsidRPr="007734E2">
        <w:rPr>
          <w:rFonts w:ascii="Arial" w:hAnsi="Arial" w:cs="Arial"/>
          <w:sz w:val="22"/>
          <w:szCs w:val="22"/>
        </w:rPr>
        <w:t xml:space="preserve"> ensures dignity and respect.</w:t>
      </w:r>
    </w:p>
    <w:p w14:paraId="6146EACD" w14:textId="77777777" w:rsidR="007734E2" w:rsidRPr="007734E2" w:rsidRDefault="007734E2" w:rsidP="00D952A7">
      <w:pPr>
        <w:spacing w:line="360" w:lineRule="auto"/>
        <w:rPr>
          <w:rFonts w:ascii="Arial" w:hAnsi="Arial" w:cs="Arial"/>
          <w:sz w:val="22"/>
          <w:szCs w:val="22"/>
        </w:rPr>
      </w:pPr>
      <w:r w:rsidRPr="007734E2">
        <w:rPr>
          <w:rFonts w:ascii="Arial" w:hAnsi="Arial" w:cs="Arial"/>
          <w:sz w:val="22"/>
          <w:szCs w:val="22"/>
        </w:rPr>
        <w:t xml:space="preserve">The </w:t>
      </w:r>
      <w:r w:rsidRPr="007734E2">
        <w:rPr>
          <w:rFonts w:ascii="Arial" w:hAnsi="Arial" w:cs="Arial"/>
          <w:b/>
          <w:bCs/>
          <w:sz w:val="22"/>
          <w:szCs w:val="22"/>
        </w:rPr>
        <w:t>Equality Act 2010</w:t>
      </w:r>
      <w:r w:rsidRPr="007734E2">
        <w:rPr>
          <w:rFonts w:ascii="Arial" w:hAnsi="Arial" w:cs="Arial"/>
          <w:sz w:val="22"/>
          <w:szCs w:val="22"/>
        </w:rPr>
        <w:t xml:space="preserve"> promotes fairness and prevents discrimination.</w:t>
      </w:r>
    </w:p>
    <w:p w14:paraId="78AAA8B0" w14:textId="77777777" w:rsidR="007734E2" w:rsidRPr="007734E2" w:rsidRDefault="007734E2" w:rsidP="00D952A7">
      <w:pPr>
        <w:spacing w:line="360" w:lineRule="auto"/>
        <w:rPr>
          <w:rFonts w:ascii="Arial" w:hAnsi="Arial" w:cs="Arial"/>
          <w:b/>
          <w:bCs/>
          <w:sz w:val="22"/>
          <w:szCs w:val="22"/>
        </w:rPr>
      </w:pPr>
      <w:r w:rsidRPr="007734E2">
        <w:rPr>
          <w:rFonts w:ascii="Arial" w:hAnsi="Arial" w:cs="Arial"/>
          <w:sz w:val="22"/>
          <w:szCs w:val="22"/>
        </w:rPr>
        <w:lastRenderedPageBreak/>
        <w:t xml:space="preserve">These policies support PCC and PW, but limited funding can make them difficult to fully implement </w:t>
      </w:r>
      <w:r w:rsidRPr="007734E2">
        <w:rPr>
          <w:rFonts w:ascii="Arial" w:hAnsi="Arial" w:cs="Arial"/>
          <w:b/>
          <w:bCs/>
          <w:sz w:val="22"/>
          <w:szCs w:val="22"/>
        </w:rPr>
        <w:t>(King’s Fund, 2020).</w:t>
      </w:r>
    </w:p>
    <w:p w14:paraId="46166F8F" w14:textId="3364DEDB" w:rsidR="007734E2" w:rsidRPr="007734E2" w:rsidRDefault="007734E2" w:rsidP="00D952A7">
      <w:pPr>
        <w:spacing w:line="360" w:lineRule="auto"/>
        <w:rPr>
          <w:rFonts w:ascii="Arial" w:hAnsi="Arial" w:cs="Arial"/>
          <w:sz w:val="22"/>
          <w:szCs w:val="22"/>
        </w:rPr>
      </w:pPr>
    </w:p>
    <w:p w14:paraId="30C728C5" w14:textId="175CA55A" w:rsidR="00913FDE" w:rsidRPr="00C53A5E" w:rsidRDefault="00913FDE" w:rsidP="00D952A7">
      <w:pPr>
        <w:spacing w:line="360" w:lineRule="auto"/>
        <w:rPr>
          <w:rFonts w:ascii="Arial" w:hAnsi="Arial" w:cs="Arial"/>
          <w:b/>
          <w:bCs/>
          <w:sz w:val="22"/>
          <w:szCs w:val="22"/>
          <w:u w:val="single"/>
        </w:rPr>
      </w:pPr>
      <w:r w:rsidRPr="00C53A5E">
        <w:rPr>
          <w:rFonts w:ascii="Arial" w:hAnsi="Arial" w:cs="Arial"/>
          <w:b/>
          <w:bCs/>
          <w:sz w:val="22"/>
          <w:szCs w:val="22"/>
          <w:u w:val="single"/>
        </w:rPr>
        <w:t>Recommendations</w:t>
      </w:r>
    </w:p>
    <w:p w14:paraId="6373D32C" w14:textId="77777777" w:rsidR="00913FDE" w:rsidRPr="00913FDE" w:rsidRDefault="00913FDE" w:rsidP="00D952A7">
      <w:pPr>
        <w:spacing w:line="360" w:lineRule="auto"/>
        <w:rPr>
          <w:rFonts w:ascii="Arial" w:hAnsi="Arial" w:cs="Arial"/>
          <w:sz w:val="22"/>
          <w:szCs w:val="22"/>
        </w:rPr>
      </w:pPr>
      <w:r w:rsidRPr="00913FDE">
        <w:rPr>
          <w:rFonts w:ascii="Arial" w:hAnsi="Arial" w:cs="Arial"/>
          <w:sz w:val="22"/>
          <w:szCs w:val="22"/>
        </w:rPr>
        <w:t xml:space="preserve">There are several ways to improve person-centred care (PCC) and partnership working (PW) within health and social care in the UK. Firstly, more staff training is essential. Training can help professionals better understand how to deliver person-centred care and work effectively with other services. This includes developing communication skills, understanding individual needs and improving teamwork </w:t>
      </w:r>
      <w:r w:rsidRPr="00913FDE">
        <w:rPr>
          <w:rFonts w:ascii="Arial" w:hAnsi="Arial" w:cs="Arial"/>
          <w:b/>
          <w:bCs/>
          <w:sz w:val="22"/>
          <w:szCs w:val="22"/>
        </w:rPr>
        <w:t>(NICE, 2021).</w:t>
      </w:r>
    </w:p>
    <w:p w14:paraId="6D79355E" w14:textId="77777777" w:rsidR="00913FDE" w:rsidRPr="00913FDE" w:rsidRDefault="00913FDE" w:rsidP="00D952A7">
      <w:pPr>
        <w:spacing w:line="360" w:lineRule="auto"/>
        <w:rPr>
          <w:rFonts w:ascii="Arial" w:hAnsi="Arial" w:cs="Arial"/>
          <w:b/>
          <w:bCs/>
          <w:sz w:val="22"/>
          <w:szCs w:val="22"/>
        </w:rPr>
      </w:pPr>
      <w:r w:rsidRPr="00913FDE">
        <w:rPr>
          <w:rFonts w:ascii="Arial" w:hAnsi="Arial" w:cs="Arial"/>
          <w:sz w:val="22"/>
          <w:szCs w:val="22"/>
        </w:rPr>
        <w:t xml:space="preserve">Secondly, improving communication systems between services is very important. Poor communication is one of the main barriers to effective partnership working. Introducing clearer systems for sharing information can help reduce mistakes and ensure that all professionals involved in a person’s care are up to date. The use of digital technology, such as shared electronic health records, can support this by allowing professionals to access and update information quickly </w:t>
      </w:r>
      <w:r w:rsidRPr="00913FDE">
        <w:rPr>
          <w:rFonts w:ascii="Arial" w:hAnsi="Arial" w:cs="Arial"/>
          <w:b/>
          <w:bCs/>
          <w:sz w:val="22"/>
          <w:szCs w:val="22"/>
        </w:rPr>
        <w:t>(NHS England, 2019).</w:t>
      </w:r>
    </w:p>
    <w:p w14:paraId="5E01570D" w14:textId="77777777" w:rsidR="00913FDE" w:rsidRPr="00913FDE" w:rsidRDefault="00913FDE" w:rsidP="00D952A7">
      <w:pPr>
        <w:spacing w:line="360" w:lineRule="auto"/>
        <w:rPr>
          <w:rFonts w:ascii="Arial" w:hAnsi="Arial" w:cs="Arial"/>
          <w:sz w:val="22"/>
          <w:szCs w:val="22"/>
        </w:rPr>
      </w:pPr>
      <w:r w:rsidRPr="00913FDE">
        <w:rPr>
          <w:rFonts w:ascii="Arial" w:hAnsi="Arial" w:cs="Arial"/>
          <w:sz w:val="22"/>
          <w:szCs w:val="22"/>
        </w:rPr>
        <w:t xml:space="preserve">Another key recommendation is to increase service-user involvement. Individuals should be actively included in decisions about their care, as this strengthens person-centred care and improves satisfaction. Listening to service users also helps ensure that care plans reflect their preferences and needs </w:t>
      </w:r>
      <w:r w:rsidRPr="00913FDE">
        <w:rPr>
          <w:rFonts w:ascii="Arial" w:hAnsi="Arial" w:cs="Arial"/>
          <w:b/>
          <w:bCs/>
          <w:sz w:val="22"/>
          <w:szCs w:val="22"/>
        </w:rPr>
        <w:t>(McCormack and McCance, 2017).</w:t>
      </w:r>
    </w:p>
    <w:p w14:paraId="747569F5" w14:textId="77777777" w:rsidR="00913FDE" w:rsidRPr="00913FDE" w:rsidRDefault="00913FDE" w:rsidP="00D952A7">
      <w:pPr>
        <w:spacing w:line="360" w:lineRule="auto"/>
        <w:rPr>
          <w:rFonts w:ascii="Arial" w:hAnsi="Arial" w:cs="Arial"/>
          <w:sz w:val="22"/>
          <w:szCs w:val="22"/>
        </w:rPr>
      </w:pPr>
      <w:r w:rsidRPr="00913FDE">
        <w:rPr>
          <w:rFonts w:ascii="Arial" w:hAnsi="Arial" w:cs="Arial"/>
          <w:sz w:val="22"/>
          <w:szCs w:val="22"/>
        </w:rPr>
        <w:t xml:space="preserve">In addition, increased funding for community care services is needed. Without enough staff and resources, it is difficult to deliver high-quality care and maintain effective partnership working </w:t>
      </w:r>
      <w:r w:rsidRPr="00913FDE">
        <w:rPr>
          <w:rFonts w:ascii="Arial" w:hAnsi="Arial" w:cs="Arial"/>
          <w:b/>
          <w:bCs/>
          <w:sz w:val="22"/>
          <w:szCs w:val="22"/>
        </w:rPr>
        <w:t>(King’s Fund, 2020).</w:t>
      </w:r>
    </w:p>
    <w:p w14:paraId="576ECCD8" w14:textId="77777777" w:rsidR="00913FDE" w:rsidRPr="00913FDE" w:rsidRDefault="00913FDE" w:rsidP="00D952A7">
      <w:pPr>
        <w:spacing w:line="360" w:lineRule="auto"/>
        <w:rPr>
          <w:rFonts w:ascii="Arial" w:hAnsi="Arial" w:cs="Arial"/>
          <w:sz w:val="22"/>
          <w:szCs w:val="22"/>
        </w:rPr>
      </w:pPr>
      <w:r w:rsidRPr="00913FDE">
        <w:rPr>
          <w:rFonts w:ascii="Arial" w:hAnsi="Arial" w:cs="Arial"/>
          <w:sz w:val="22"/>
          <w:szCs w:val="22"/>
        </w:rPr>
        <w:t>However, there are barriers to implementing these recommendations. These include financial constraints, time pressures on staff and resistance to change within organisations. Despite this, addressing these areas would significantly improve the quality and effectiveness of care provided.</w:t>
      </w:r>
    </w:p>
    <w:p w14:paraId="65C29218" w14:textId="50B56996" w:rsidR="00913FDE" w:rsidRPr="00C53A5E" w:rsidRDefault="00913FDE" w:rsidP="00D952A7">
      <w:pPr>
        <w:spacing w:line="360" w:lineRule="auto"/>
        <w:rPr>
          <w:rFonts w:ascii="Arial" w:hAnsi="Arial" w:cs="Arial"/>
          <w:sz w:val="22"/>
          <w:szCs w:val="22"/>
        </w:rPr>
      </w:pPr>
    </w:p>
    <w:p w14:paraId="45BC7E0A" w14:textId="77777777" w:rsidR="006607A1" w:rsidRPr="006607A1" w:rsidRDefault="006607A1" w:rsidP="00D952A7">
      <w:pPr>
        <w:spacing w:line="360" w:lineRule="auto"/>
        <w:rPr>
          <w:rFonts w:ascii="Arial" w:hAnsi="Arial" w:cs="Arial"/>
          <w:b/>
          <w:bCs/>
          <w:sz w:val="22"/>
          <w:szCs w:val="22"/>
          <w:u w:val="single"/>
        </w:rPr>
      </w:pPr>
      <w:r w:rsidRPr="006607A1">
        <w:rPr>
          <w:rFonts w:ascii="Arial" w:hAnsi="Arial" w:cs="Arial"/>
          <w:b/>
          <w:bCs/>
          <w:sz w:val="22"/>
          <w:szCs w:val="22"/>
          <w:u w:val="single"/>
        </w:rPr>
        <w:t>Conclusion</w:t>
      </w:r>
    </w:p>
    <w:p w14:paraId="6B3C3187" w14:textId="77777777" w:rsidR="006607A1" w:rsidRPr="006607A1" w:rsidRDefault="006607A1" w:rsidP="00D952A7">
      <w:pPr>
        <w:spacing w:line="360" w:lineRule="auto"/>
        <w:rPr>
          <w:rFonts w:ascii="Arial" w:hAnsi="Arial" w:cs="Arial"/>
          <w:b/>
          <w:bCs/>
          <w:sz w:val="22"/>
          <w:szCs w:val="22"/>
        </w:rPr>
      </w:pPr>
      <w:r w:rsidRPr="006607A1">
        <w:rPr>
          <w:rFonts w:ascii="Arial" w:hAnsi="Arial" w:cs="Arial"/>
          <w:sz w:val="22"/>
          <w:szCs w:val="22"/>
        </w:rPr>
        <w:t xml:space="preserve">Person-centred care (PCC) and partnership working (PW) are essential parts of modern health and social care in the UK. Together, they help ensure that individuals receive care that is respectful, coordinated and tailored to their specific needs. PCC focuses on treating people as individuals, promoting dignity, independence and choice, while partnership </w:t>
      </w:r>
      <w:r w:rsidRPr="006607A1">
        <w:rPr>
          <w:rFonts w:ascii="Arial" w:hAnsi="Arial" w:cs="Arial"/>
          <w:sz w:val="22"/>
          <w:szCs w:val="22"/>
        </w:rPr>
        <w:lastRenderedPageBreak/>
        <w:t xml:space="preserve">working allows professionals and services to collaborate effectively to provide holistic care </w:t>
      </w:r>
      <w:r w:rsidRPr="006607A1">
        <w:rPr>
          <w:rFonts w:ascii="Arial" w:hAnsi="Arial" w:cs="Arial"/>
          <w:b/>
          <w:bCs/>
          <w:sz w:val="22"/>
          <w:szCs w:val="22"/>
        </w:rPr>
        <w:t>(McCormack and McCance, 2017; Glasby and Dickinson, 2014).</w:t>
      </w:r>
    </w:p>
    <w:p w14:paraId="7F44F775" w14:textId="77777777" w:rsidR="006607A1" w:rsidRPr="006607A1" w:rsidRDefault="006607A1" w:rsidP="00D952A7">
      <w:pPr>
        <w:spacing w:line="360" w:lineRule="auto"/>
        <w:rPr>
          <w:rFonts w:ascii="Arial" w:hAnsi="Arial" w:cs="Arial"/>
          <w:sz w:val="22"/>
          <w:szCs w:val="22"/>
        </w:rPr>
      </w:pPr>
      <w:r w:rsidRPr="006607A1">
        <w:rPr>
          <w:rFonts w:ascii="Arial" w:hAnsi="Arial" w:cs="Arial"/>
          <w:sz w:val="22"/>
          <w:szCs w:val="22"/>
        </w:rPr>
        <w:t xml:space="preserve">These approaches can lead to improved outcomes for service users, including better health, increased satisfaction and a higher quality of care. When individuals are involved in decisions about their care and supported by a team of professionals working together, they are more likely to feel valued and understood </w:t>
      </w:r>
      <w:r w:rsidRPr="006607A1">
        <w:rPr>
          <w:rFonts w:ascii="Arial" w:hAnsi="Arial" w:cs="Arial"/>
          <w:b/>
          <w:bCs/>
          <w:sz w:val="22"/>
          <w:szCs w:val="22"/>
        </w:rPr>
        <w:t>(NHS England, 2019).</w:t>
      </w:r>
      <w:r w:rsidRPr="006607A1">
        <w:rPr>
          <w:rFonts w:ascii="Arial" w:hAnsi="Arial" w:cs="Arial"/>
          <w:sz w:val="22"/>
          <w:szCs w:val="22"/>
        </w:rPr>
        <w:t xml:space="preserve"> This is particularly important in community care for older adults, where complex needs often require input from multiple services.</w:t>
      </w:r>
    </w:p>
    <w:p w14:paraId="13D6479B" w14:textId="77777777" w:rsidR="006607A1" w:rsidRPr="006607A1" w:rsidRDefault="006607A1" w:rsidP="00D952A7">
      <w:pPr>
        <w:spacing w:line="360" w:lineRule="auto"/>
        <w:rPr>
          <w:rFonts w:ascii="Arial" w:hAnsi="Arial" w:cs="Arial"/>
          <w:sz w:val="22"/>
          <w:szCs w:val="22"/>
        </w:rPr>
      </w:pPr>
      <w:r w:rsidRPr="006607A1">
        <w:rPr>
          <w:rFonts w:ascii="Arial" w:hAnsi="Arial" w:cs="Arial"/>
          <w:sz w:val="22"/>
          <w:szCs w:val="22"/>
        </w:rPr>
        <w:t xml:space="preserve">However, there are still challenges that affect the delivery of PCC and PW. Limited resources, staff shortages and time pressures can make it difficult for professionals to fully apply these approaches in practice </w:t>
      </w:r>
      <w:r w:rsidRPr="006607A1">
        <w:rPr>
          <w:rFonts w:ascii="Arial" w:hAnsi="Arial" w:cs="Arial"/>
          <w:b/>
          <w:bCs/>
          <w:sz w:val="22"/>
          <w:szCs w:val="22"/>
        </w:rPr>
        <w:t>(King’s Fund, 2020)</w:t>
      </w:r>
      <w:r w:rsidRPr="006607A1">
        <w:rPr>
          <w:rFonts w:ascii="Arial" w:hAnsi="Arial" w:cs="Arial"/>
          <w:sz w:val="22"/>
          <w:szCs w:val="22"/>
        </w:rPr>
        <w:t>. Communication issues and organisational barriers can also impact effective partnership working.</w:t>
      </w:r>
    </w:p>
    <w:p w14:paraId="1E85C1C7" w14:textId="4D960263" w:rsidR="006607A1" w:rsidRPr="006607A1" w:rsidRDefault="006607A1" w:rsidP="00D952A7">
      <w:pPr>
        <w:spacing w:line="360" w:lineRule="auto"/>
        <w:rPr>
          <w:rFonts w:ascii="Arial" w:hAnsi="Arial" w:cs="Arial"/>
          <w:sz w:val="22"/>
          <w:szCs w:val="22"/>
        </w:rPr>
      </w:pPr>
      <w:r w:rsidRPr="006607A1">
        <w:rPr>
          <w:rFonts w:ascii="Arial" w:hAnsi="Arial" w:cs="Arial"/>
          <w:sz w:val="22"/>
          <w:szCs w:val="22"/>
        </w:rPr>
        <w:t>To improve future practice, it is important to invest in staff training, strengthen communication systems and encourage greater collaboration between services. By addressing these challenges, health and social care services can continue to develop and provide high-quality, person-centred and coordinated care for individuals across the U</w:t>
      </w:r>
      <w:r w:rsidRPr="00C53A5E">
        <w:rPr>
          <w:rFonts w:ascii="Arial" w:hAnsi="Arial" w:cs="Arial"/>
          <w:sz w:val="22"/>
          <w:szCs w:val="22"/>
        </w:rPr>
        <w:t>K.</w:t>
      </w:r>
    </w:p>
    <w:p w14:paraId="2A0D2081" w14:textId="1189388A" w:rsidR="00D952A7" w:rsidRPr="00D952A7" w:rsidRDefault="00D952A7" w:rsidP="00D952A7">
      <w:pPr>
        <w:spacing w:line="360" w:lineRule="auto"/>
        <w:rPr>
          <w:rFonts w:ascii="Arial" w:hAnsi="Arial" w:cs="Arial"/>
          <w:sz w:val="22"/>
          <w:szCs w:val="22"/>
        </w:rPr>
      </w:pPr>
    </w:p>
    <w:p w14:paraId="54A4B6F3" w14:textId="77777777" w:rsidR="00D952A7" w:rsidRPr="00D952A7" w:rsidRDefault="00D952A7" w:rsidP="00D952A7">
      <w:pPr>
        <w:spacing w:line="360" w:lineRule="auto"/>
        <w:rPr>
          <w:rFonts w:ascii="Arial" w:hAnsi="Arial" w:cs="Arial"/>
          <w:b/>
          <w:bCs/>
          <w:sz w:val="22"/>
          <w:szCs w:val="22"/>
          <w:u w:val="single"/>
        </w:rPr>
      </w:pPr>
      <w:r w:rsidRPr="00D952A7">
        <w:rPr>
          <w:rFonts w:ascii="Arial" w:hAnsi="Arial" w:cs="Arial"/>
          <w:b/>
          <w:bCs/>
          <w:sz w:val="22"/>
          <w:szCs w:val="22"/>
          <w:u w:val="single"/>
        </w:rPr>
        <w:t>Reference List (UWTSD Harvard Style)</w:t>
      </w:r>
    </w:p>
    <w:p w14:paraId="4E0B6A0F"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Age UK (2022) </w:t>
      </w:r>
      <w:r w:rsidRPr="00D952A7">
        <w:rPr>
          <w:rFonts w:ascii="Arial" w:hAnsi="Arial" w:cs="Arial"/>
          <w:i/>
          <w:iCs/>
          <w:sz w:val="22"/>
          <w:szCs w:val="22"/>
        </w:rPr>
        <w:t>Later life in the United Kingdom</w:t>
      </w:r>
      <w:r w:rsidRPr="00D952A7">
        <w:rPr>
          <w:rFonts w:ascii="Arial" w:hAnsi="Arial" w:cs="Arial"/>
          <w:sz w:val="22"/>
          <w:szCs w:val="22"/>
        </w:rPr>
        <w:t>. London: Age UK.</w:t>
      </w:r>
    </w:p>
    <w:p w14:paraId="26F09CDD"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Beauchamp, T.L. and Childress, J.F. (2019) </w:t>
      </w:r>
      <w:r w:rsidRPr="00D952A7">
        <w:rPr>
          <w:rFonts w:ascii="Arial" w:hAnsi="Arial" w:cs="Arial"/>
          <w:i/>
          <w:iCs/>
          <w:sz w:val="22"/>
          <w:szCs w:val="22"/>
        </w:rPr>
        <w:t>Principles of biomedical ethics</w:t>
      </w:r>
      <w:r w:rsidRPr="00D952A7">
        <w:rPr>
          <w:rFonts w:ascii="Arial" w:hAnsi="Arial" w:cs="Arial"/>
          <w:sz w:val="22"/>
          <w:szCs w:val="22"/>
        </w:rPr>
        <w:t xml:space="preserve">. 8th </w:t>
      </w:r>
      <w:proofErr w:type="spellStart"/>
      <w:r w:rsidRPr="00D952A7">
        <w:rPr>
          <w:rFonts w:ascii="Arial" w:hAnsi="Arial" w:cs="Arial"/>
          <w:sz w:val="22"/>
          <w:szCs w:val="22"/>
        </w:rPr>
        <w:t>edn</w:t>
      </w:r>
      <w:proofErr w:type="spellEnd"/>
      <w:r w:rsidRPr="00D952A7">
        <w:rPr>
          <w:rFonts w:ascii="Arial" w:hAnsi="Arial" w:cs="Arial"/>
          <w:sz w:val="22"/>
          <w:szCs w:val="22"/>
        </w:rPr>
        <w:t>. Oxford: Oxford University Press.</w:t>
      </w:r>
    </w:p>
    <w:p w14:paraId="77BE94D6"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Brooker, D. (2007) </w:t>
      </w:r>
      <w:r w:rsidRPr="00D952A7">
        <w:rPr>
          <w:rFonts w:ascii="Arial" w:hAnsi="Arial" w:cs="Arial"/>
          <w:i/>
          <w:iCs/>
          <w:sz w:val="22"/>
          <w:szCs w:val="22"/>
        </w:rPr>
        <w:t>Person-centred dementia care: Making services better</w:t>
      </w:r>
      <w:r w:rsidRPr="00D952A7">
        <w:rPr>
          <w:rFonts w:ascii="Arial" w:hAnsi="Arial" w:cs="Arial"/>
          <w:sz w:val="22"/>
          <w:szCs w:val="22"/>
        </w:rPr>
        <w:t>. London: Jessica Kingsley Publishers.</w:t>
      </w:r>
    </w:p>
    <w:p w14:paraId="6560CBAD"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Care Act 2014. London: HMSO.</w:t>
      </w:r>
    </w:p>
    <w:p w14:paraId="4D72A874"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Coulter, A. (2012) </w:t>
      </w:r>
      <w:r w:rsidRPr="00D952A7">
        <w:rPr>
          <w:rFonts w:ascii="Arial" w:hAnsi="Arial" w:cs="Arial"/>
          <w:i/>
          <w:iCs/>
          <w:sz w:val="22"/>
          <w:szCs w:val="22"/>
        </w:rPr>
        <w:t>Engaging patients in healthcare</w:t>
      </w:r>
      <w:r w:rsidRPr="00D952A7">
        <w:rPr>
          <w:rFonts w:ascii="Arial" w:hAnsi="Arial" w:cs="Arial"/>
          <w:sz w:val="22"/>
          <w:szCs w:val="22"/>
        </w:rPr>
        <w:t>. Maidenhead: Open University Press.</w:t>
      </w:r>
    </w:p>
    <w:p w14:paraId="42B5469A"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Equality Act 2010. London: HMSO.</w:t>
      </w:r>
    </w:p>
    <w:p w14:paraId="3F626154"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Glasby, J. and Dickinson, H. (2014) </w:t>
      </w:r>
      <w:r w:rsidRPr="00D952A7">
        <w:rPr>
          <w:rFonts w:ascii="Arial" w:hAnsi="Arial" w:cs="Arial"/>
          <w:i/>
          <w:iCs/>
          <w:sz w:val="22"/>
          <w:szCs w:val="22"/>
        </w:rPr>
        <w:t>Partnership working in health and social care: What is integrated care and how can we deliver it?</w:t>
      </w:r>
      <w:r w:rsidRPr="00D952A7">
        <w:rPr>
          <w:rFonts w:ascii="Arial" w:hAnsi="Arial" w:cs="Arial"/>
          <w:sz w:val="22"/>
          <w:szCs w:val="22"/>
        </w:rPr>
        <w:t xml:space="preserve"> 2nd </w:t>
      </w:r>
      <w:proofErr w:type="spellStart"/>
      <w:r w:rsidRPr="00D952A7">
        <w:rPr>
          <w:rFonts w:ascii="Arial" w:hAnsi="Arial" w:cs="Arial"/>
          <w:sz w:val="22"/>
          <w:szCs w:val="22"/>
        </w:rPr>
        <w:t>edn</w:t>
      </w:r>
      <w:proofErr w:type="spellEnd"/>
      <w:r w:rsidRPr="00D952A7">
        <w:rPr>
          <w:rFonts w:ascii="Arial" w:hAnsi="Arial" w:cs="Arial"/>
          <w:sz w:val="22"/>
          <w:szCs w:val="22"/>
        </w:rPr>
        <w:t>. Bristol: Policy Press.</w:t>
      </w:r>
    </w:p>
    <w:p w14:paraId="3C3CB61F"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Health and Care Act 2022. London: HMSO.</w:t>
      </w:r>
    </w:p>
    <w:p w14:paraId="00239E9B"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Human Rights Act 1998. London: HMSO.</w:t>
      </w:r>
    </w:p>
    <w:p w14:paraId="71883D87"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lastRenderedPageBreak/>
        <w:t xml:space="preserve">King’s Fund (2020) </w:t>
      </w:r>
      <w:r w:rsidRPr="00D952A7">
        <w:rPr>
          <w:rFonts w:ascii="Arial" w:hAnsi="Arial" w:cs="Arial"/>
          <w:i/>
          <w:iCs/>
          <w:sz w:val="22"/>
          <w:szCs w:val="22"/>
        </w:rPr>
        <w:t>Delivering person-centred care: A guide</w:t>
      </w:r>
      <w:r w:rsidRPr="00D952A7">
        <w:rPr>
          <w:rFonts w:ascii="Arial" w:hAnsi="Arial" w:cs="Arial"/>
          <w:sz w:val="22"/>
          <w:szCs w:val="22"/>
        </w:rPr>
        <w:t>. London: The King’s Fund.</w:t>
      </w:r>
    </w:p>
    <w:p w14:paraId="12AD5E1B" w14:textId="77777777" w:rsidR="00D952A7" w:rsidRPr="00D952A7" w:rsidRDefault="00D952A7" w:rsidP="00D952A7">
      <w:pPr>
        <w:spacing w:line="360" w:lineRule="auto"/>
        <w:rPr>
          <w:rFonts w:ascii="Arial" w:hAnsi="Arial" w:cs="Arial"/>
          <w:sz w:val="22"/>
          <w:szCs w:val="22"/>
        </w:rPr>
      </w:pPr>
      <w:proofErr w:type="spellStart"/>
      <w:r w:rsidRPr="00D952A7">
        <w:rPr>
          <w:rFonts w:ascii="Arial" w:hAnsi="Arial" w:cs="Arial"/>
          <w:sz w:val="22"/>
          <w:szCs w:val="22"/>
        </w:rPr>
        <w:t>Kitwood</w:t>
      </w:r>
      <w:proofErr w:type="spellEnd"/>
      <w:r w:rsidRPr="00D952A7">
        <w:rPr>
          <w:rFonts w:ascii="Arial" w:hAnsi="Arial" w:cs="Arial"/>
          <w:sz w:val="22"/>
          <w:szCs w:val="22"/>
        </w:rPr>
        <w:t xml:space="preserve">, T. (1997) </w:t>
      </w:r>
      <w:r w:rsidRPr="00D952A7">
        <w:rPr>
          <w:rFonts w:ascii="Arial" w:hAnsi="Arial" w:cs="Arial"/>
          <w:i/>
          <w:iCs/>
          <w:sz w:val="22"/>
          <w:szCs w:val="22"/>
        </w:rPr>
        <w:t>Dementia reconsidered: The person comes first</w:t>
      </w:r>
      <w:r w:rsidRPr="00D952A7">
        <w:rPr>
          <w:rFonts w:ascii="Arial" w:hAnsi="Arial" w:cs="Arial"/>
          <w:sz w:val="22"/>
          <w:szCs w:val="22"/>
        </w:rPr>
        <w:t>. Buckingham: Open University Press.</w:t>
      </w:r>
    </w:p>
    <w:p w14:paraId="1FFFEFA0"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McCormack, B. and McCance, T. (2017) </w:t>
      </w:r>
      <w:r w:rsidRPr="00D952A7">
        <w:rPr>
          <w:rFonts w:ascii="Arial" w:hAnsi="Arial" w:cs="Arial"/>
          <w:i/>
          <w:iCs/>
          <w:sz w:val="22"/>
          <w:szCs w:val="22"/>
        </w:rPr>
        <w:t>Person-centred practice in nursing and health care: Theory and practice</w:t>
      </w:r>
      <w:r w:rsidRPr="00D952A7">
        <w:rPr>
          <w:rFonts w:ascii="Arial" w:hAnsi="Arial" w:cs="Arial"/>
          <w:sz w:val="22"/>
          <w:szCs w:val="22"/>
        </w:rPr>
        <w:t xml:space="preserve">. 2nd </w:t>
      </w:r>
      <w:proofErr w:type="spellStart"/>
      <w:r w:rsidRPr="00D952A7">
        <w:rPr>
          <w:rFonts w:ascii="Arial" w:hAnsi="Arial" w:cs="Arial"/>
          <w:sz w:val="22"/>
          <w:szCs w:val="22"/>
        </w:rPr>
        <w:t>edn</w:t>
      </w:r>
      <w:proofErr w:type="spellEnd"/>
      <w:r w:rsidRPr="00D952A7">
        <w:rPr>
          <w:rFonts w:ascii="Arial" w:hAnsi="Arial" w:cs="Arial"/>
          <w:sz w:val="22"/>
          <w:szCs w:val="22"/>
        </w:rPr>
        <w:t>. Oxford: Wiley-Blackwell.</w:t>
      </w:r>
    </w:p>
    <w:p w14:paraId="3898A158"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NHS England (2019) </w:t>
      </w:r>
      <w:r w:rsidRPr="00D952A7">
        <w:rPr>
          <w:rFonts w:ascii="Arial" w:hAnsi="Arial" w:cs="Arial"/>
          <w:i/>
          <w:iCs/>
          <w:sz w:val="22"/>
          <w:szCs w:val="22"/>
        </w:rPr>
        <w:t>The NHS Long Term Plan</w:t>
      </w:r>
      <w:r w:rsidRPr="00D952A7">
        <w:rPr>
          <w:rFonts w:ascii="Arial" w:hAnsi="Arial" w:cs="Arial"/>
          <w:sz w:val="22"/>
          <w:szCs w:val="22"/>
        </w:rPr>
        <w:t>. London: NHS England.</w:t>
      </w:r>
    </w:p>
    <w:p w14:paraId="52728D1A"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NICE (2021) </w:t>
      </w:r>
      <w:r w:rsidRPr="00D952A7">
        <w:rPr>
          <w:rFonts w:ascii="Arial" w:hAnsi="Arial" w:cs="Arial"/>
          <w:i/>
          <w:iCs/>
          <w:sz w:val="22"/>
          <w:szCs w:val="22"/>
        </w:rPr>
        <w:t>Person-centred care</w:t>
      </w:r>
      <w:r w:rsidRPr="00D952A7">
        <w:rPr>
          <w:rFonts w:ascii="Arial" w:hAnsi="Arial" w:cs="Arial"/>
          <w:sz w:val="22"/>
          <w:szCs w:val="22"/>
        </w:rPr>
        <w:t>. London: National Institute for Health and Care Excellence.</w:t>
      </w:r>
    </w:p>
    <w:p w14:paraId="0F9BFA03" w14:textId="77777777" w:rsidR="00D952A7" w:rsidRPr="00D952A7" w:rsidRDefault="00D952A7" w:rsidP="00D952A7">
      <w:pPr>
        <w:spacing w:line="360" w:lineRule="auto"/>
        <w:rPr>
          <w:rFonts w:ascii="Arial" w:hAnsi="Arial" w:cs="Arial"/>
          <w:sz w:val="22"/>
          <w:szCs w:val="22"/>
        </w:rPr>
      </w:pPr>
      <w:r w:rsidRPr="00D952A7">
        <w:rPr>
          <w:rFonts w:ascii="Arial" w:hAnsi="Arial" w:cs="Arial"/>
          <w:sz w:val="22"/>
          <w:szCs w:val="22"/>
        </w:rPr>
        <w:t xml:space="preserve">Nursing and Midwifery Council (NMC) (2018) </w:t>
      </w:r>
      <w:r w:rsidRPr="00D952A7">
        <w:rPr>
          <w:rFonts w:ascii="Arial" w:hAnsi="Arial" w:cs="Arial"/>
          <w:i/>
          <w:iCs/>
          <w:sz w:val="22"/>
          <w:szCs w:val="22"/>
        </w:rPr>
        <w:t>The code: Professional standards of practice and behaviour for nurses, midwives and nursing associates</w:t>
      </w:r>
      <w:r w:rsidRPr="00D952A7">
        <w:rPr>
          <w:rFonts w:ascii="Arial" w:hAnsi="Arial" w:cs="Arial"/>
          <w:sz w:val="22"/>
          <w:szCs w:val="22"/>
        </w:rPr>
        <w:t>. London: NMC.</w:t>
      </w:r>
    </w:p>
    <w:p w14:paraId="315927B0" w14:textId="6DF956F0" w:rsidR="00D952A7" w:rsidRPr="00D952A7" w:rsidRDefault="00D952A7" w:rsidP="00D952A7">
      <w:pPr>
        <w:spacing w:line="360" w:lineRule="auto"/>
        <w:rPr>
          <w:rFonts w:ascii="Arial" w:hAnsi="Arial" w:cs="Arial"/>
          <w:sz w:val="22"/>
          <w:szCs w:val="22"/>
        </w:rPr>
      </w:pPr>
    </w:p>
    <w:p w14:paraId="69496B77" w14:textId="77777777" w:rsidR="00995EDA" w:rsidRPr="00C53A5E" w:rsidRDefault="00995EDA">
      <w:pPr>
        <w:rPr>
          <w:rFonts w:ascii="Arial" w:hAnsi="Arial" w:cs="Arial"/>
          <w:sz w:val="22"/>
          <w:szCs w:val="22"/>
        </w:rPr>
      </w:pPr>
    </w:p>
    <w:sectPr w:rsidR="00995EDA" w:rsidRPr="00C53A5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99846" w14:textId="77777777" w:rsidR="000129DE" w:rsidRDefault="000129DE" w:rsidP="00D952A7">
      <w:pPr>
        <w:spacing w:after="0" w:line="240" w:lineRule="auto"/>
      </w:pPr>
      <w:r>
        <w:separator/>
      </w:r>
    </w:p>
  </w:endnote>
  <w:endnote w:type="continuationSeparator" w:id="0">
    <w:p w14:paraId="5D881BED" w14:textId="77777777" w:rsidR="000129DE" w:rsidRDefault="000129DE" w:rsidP="00D95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095687"/>
      <w:docPartObj>
        <w:docPartGallery w:val="Page Numbers (Bottom of Page)"/>
        <w:docPartUnique/>
      </w:docPartObj>
    </w:sdtPr>
    <w:sdtEndPr>
      <w:rPr>
        <w:noProof/>
      </w:rPr>
    </w:sdtEndPr>
    <w:sdtContent>
      <w:p w14:paraId="4F429514" w14:textId="37E83D6F" w:rsidR="00D952A7" w:rsidRDefault="00D952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660A1B" w14:textId="77777777" w:rsidR="00D952A7" w:rsidRDefault="00D95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B7E4F" w14:textId="77777777" w:rsidR="000129DE" w:rsidRDefault="000129DE" w:rsidP="00D952A7">
      <w:pPr>
        <w:spacing w:after="0" w:line="240" w:lineRule="auto"/>
      </w:pPr>
      <w:r>
        <w:separator/>
      </w:r>
    </w:p>
  </w:footnote>
  <w:footnote w:type="continuationSeparator" w:id="0">
    <w:p w14:paraId="1E120BF6" w14:textId="77777777" w:rsidR="000129DE" w:rsidRDefault="000129DE" w:rsidP="00D95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344E4"/>
    <w:multiLevelType w:val="multilevel"/>
    <w:tmpl w:val="2D2EC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61056F"/>
    <w:multiLevelType w:val="multilevel"/>
    <w:tmpl w:val="268AF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7B5C38"/>
    <w:multiLevelType w:val="multilevel"/>
    <w:tmpl w:val="2196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464388"/>
    <w:multiLevelType w:val="multilevel"/>
    <w:tmpl w:val="F7C62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BC69B0"/>
    <w:multiLevelType w:val="multilevel"/>
    <w:tmpl w:val="C7CA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D01DE2"/>
    <w:multiLevelType w:val="multilevel"/>
    <w:tmpl w:val="47E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330631">
    <w:abstractNumId w:val="1"/>
  </w:num>
  <w:num w:numId="2" w16cid:durableId="500511078">
    <w:abstractNumId w:val="4"/>
  </w:num>
  <w:num w:numId="3" w16cid:durableId="489447852">
    <w:abstractNumId w:val="3"/>
  </w:num>
  <w:num w:numId="4" w16cid:durableId="1320232025">
    <w:abstractNumId w:val="2"/>
  </w:num>
  <w:num w:numId="5" w16cid:durableId="365760789">
    <w:abstractNumId w:val="5"/>
  </w:num>
  <w:num w:numId="6" w16cid:durableId="1735348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DC4"/>
    <w:rsid w:val="000129DE"/>
    <w:rsid w:val="000C5489"/>
    <w:rsid w:val="001E578E"/>
    <w:rsid w:val="00274D4E"/>
    <w:rsid w:val="00481DC4"/>
    <w:rsid w:val="00493433"/>
    <w:rsid w:val="00544FA5"/>
    <w:rsid w:val="00610B79"/>
    <w:rsid w:val="006607A1"/>
    <w:rsid w:val="006D500A"/>
    <w:rsid w:val="006E5610"/>
    <w:rsid w:val="007734E2"/>
    <w:rsid w:val="008A30DD"/>
    <w:rsid w:val="008A31FE"/>
    <w:rsid w:val="00913FDE"/>
    <w:rsid w:val="00995EDA"/>
    <w:rsid w:val="00BD181F"/>
    <w:rsid w:val="00C53A5E"/>
    <w:rsid w:val="00CB4241"/>
    <w:rsid w:val="00D55EC5"/>
    <w:rsid w:val="00D952A7"/>
    <w:rsid w:val="00E1202B"/>
    <w:rsid w:val="00F00648"/>
    <w:rsid w:val="00FC4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96CBE"/>
  <w15:chartTrackingRefBased/>
  <w15:docId w15:val="{F539791D-DCB8-4CDB-831F-C5D016FEA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D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1D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D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D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D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D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D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D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D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D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1D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D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D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D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D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D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D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DC4"/>
    <w:rPr>
      <w:rFonts w:eastAsiaTheme="majorEastAsia" w:cstheme="majorBidi"/>
      <w:color w:val="272727" w:themeColor="text1" w:themeTint="D8"/>
    </w:rPr>
  </w:style>
  <w:style w:type="paragraph" w:styleId="Title">
    <w:name w:val="Title"/>
    <w:basedOn w:val="Normal"/>
    <w:next w:val="Normal"/>
    <w:link w:val="TitleChar"/>
    <w:uiPriority w:val="10"/>
    <w:qFormat/>
    <w:rsid w:val="00481D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D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D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D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DC4"/>
    <w:pPr>
      <w:spacing w:before="160"/>
      <w:jc w:val="center"/>
    </w:pPr>
    <w:rPr>
      <w:i/>
      <w:iCs/>
      <w:color w:val="404040" w:themeColor="text1" w:themeTint="BF"/>
    </w:rPr>
  </w:style>
  <w:style w:type="character" w:customStyle="1" w:styleId="QuoteChar">
    <w:name w:val="Quote Char"/>
    <w:basedOn w:val="DefaultParagraphFont"/>
    <w:link w:val="Quote"/>
    <w:uiPriority w:val="29"/>
    <w:rsid w:val="00481DC4"/>
    <w:rPr>
      <w:i/>
      <w:iCs/>
      <w:color w:val="404040" w:themeColor="text1" w:themeTint="BF"/>
    </w:rPr>
  </w:style>
  <w:style w:type="paragraph" w:styleId="ListParagraph">
    <w:name w:val="List Paragraph"/>
    <w:basedOn w:val="Normal"/>
    <w:uiPriority w:val="34"/>
    <w:qFormat/>
    <w:rsid w:val="00481DC4"/>
    <w:pPr>
      <w:ind w:left="720"/>
      <w:contextualSpacing/>
    </w:pPr>
  </w:style>
  <w:style w:type="character" w:styleId="IntenseEmphasis">
    <w:name w:val="Intense Emphasis"/>
    <w:basedOn w:val="DefaultParagraphFont"/>
    <w:uiPriority w:val="21"/>
    <w:qFormat/>
    <w:rsid w:val="00481DC4"/>
    <w:rPr>
      <w:i/>
      <w:iCs/>
      <w:color w:val="0F4761" w:themeColor="accent1" w:themeShade="BF"/>
    </w:rPr>
  </w:style>
  <w:style w:type="paragraph" w:styleId="IntenseQuote">
    <w:name w:val="Intense Quote"/>
    <w:basedOn w:val="Normal"/>
    <w:next w:val="Normal"/>
    <w:link w:val="IntenseQuoteChar"/>
    <w:uiPriority w:val="30"/>
    <w:qFormat/>
    <w:rsid w:val="00481D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DC4"/>
    <w:rPr>
      <w:i/>
      <w:iCs/>
      <w:color w:val="0F4761" w:themeColor="accent1" w:themeShade="BF"/>
    </w:rPr>
  </w:style>
  <w:style w:type="character" w:styleId="IntenseReference">
    <w:name w:val="Intense Reference"/>
    <w:basedOn w:val="DefaultParagraphFont"/>
    <w:uiPriority w:val="32"/>
    <w:qFormat/>
    <w:rsid w:val="00481DC4"/>
    <w:rPr>
      <w:b/>
      <w:bCs/>
      <w:smallCaps/>
      <w:color w:val="0F4761" w:themeColor="accent1" w:themeShade="BF"/>
      <w:spacing w:val="5"/>
    </w:rPr>
  </w:style>
  <w:style w:type="paragraph" w:styleId="NormalWeb">
    <w:name w:val="Normal (Web)"/>
    <w:basedOn w:val="Normal"/>
    <w:uiPriority w:val="99"/>
    <w:semiHidden/>
    <w:unhideWhenUsed/>
    <w:rsid w:val="00F00648"/>
    <w:rPr>
      <w:rFonts w:ascii="Times New Roman" w:hAnsi="Times New Roman" w:cs="Times New Roman"/>
    </w:rPr>
  </w:style>
  <w:style w:type="paragraph" w:styleId="Header">
    <w:name w:val="header"/>
    <w:basedOn w:val="Normal"/>
    <w:link w:val="HeaderChar"/>
    <w:uiPriority w:val="99"/>
    <w:unhideWhenUsed/>
    <w:rsid w:val="00D952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2A7"/>
  </w:style>
  <w:style w:type="paragraph" w:styleId="Footer">
    <w:name w:val="footer"/>
    <w:basedOn w:val="Normal"/>
    <w:link w:val="FooterChar"/>
    <w:uiPriority w:val="99"/>
    <w:unhideWhenUsed/>
    <w:rsid w:val="00D952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2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fff067580653cfe5e7692ef6651dd00">
  <xsd:schema xmlns:xsd="http://www.w3.org/2001/XMLSchema" xmlns:xs="http://www.w3.org/2001/XMLSchema" xmlns:p="http://schemas.microsoft.com/office/2006/metadata/properties" xmlns:ns3="ccfc14db-0f45-423b-b2f5-752f8f8a0ada" targetNamespace="http://schemas.microsoft.com/office/2006/metadata/properties" ma:root="true" ma:fieldsID="976b64ad843a213492d9f44ede53d85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B38E3C33-4370-48B3-B166-DA8DCB6E7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BA8D8F-9198-45BB-88CF-7E4E2813D11C}">
  <ds:schemaRefs>
    <ds:schemaRef ds:uri="http://schemas.microsoft.com/sharepoint/v3/contenttype/forms"/>
  </ds:schemaRefs>
</ds:datastoreItem>
</file>

<file path=customXml/itemProps3.xml><?xml version="1.0" encoding="utf-8"?>
<ds:datastoreItem xmlns:ds="http://schemas.openxmlformats.org/officeDocument/2006/customXml" ds:itemID="{D7F682D8-F49D-4EE5-98DB-D30EFED4BC19}">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2528</Words>
  <Characters>14414</Characters>
  <Application>Microsoft Office Word</Application>
  <DocSecurity>0</DocSecurity>
  <Lines>120</Lines>
  <Paragraphs>33</Paragraphs>
  <ScaleCrop>false</ScaleCrop>
  <Company/>
  <LinksUpToDate>false</LinksUpToDate>
  <CharactersWithSpaces>16909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saleha sufi</dc:creator>
  <cp:keywords/>
  <dc:description/>
  <cp:lastModifiedBy>Saleha Idris Sufi (2427750)</cp:lastModifiedBy>
  <cp:revision>10</cp:revision>
  <dcterms:created xsi:type="dcterms:W3CDTF">2026-03-27T11:11:00Z</dcterms:created>
  <dcterms:modified xsi:type="dcterms:W3CDTF">2026-03-27T14:29:00Z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