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AB050" w14:textId="77777777" w:rsidR="001F59FD" w:rsidRDefault="001F59FD" w:rsidP="001F59FD">
      <w:pPr>
        <w:spacing w:after="203" w:line="360" w:lineRule="auto"/>
        <w:ind w:left="140" w:firstLine="0"/>
        <w:jc w:val="center"/>
        <w:rPr>
          <w:rFonts w:asciiTheme="minorBidi" w:hAnsiTheme="minorBidi" w:cstheme="minorBidi"/>
          <w:b/>
          <w:sz w:val="40"/>
        </w:rPr>
      </w:pPr>
    </w:p>
    <w:p w14:paraId="1BF33CB1" w14:textId="77777777" w:rsidR="001F59FD" w:rsidRDefault="001F59FD" w:rsidP="001F59FD">
      <w:pPr>
        <w:spacing w:after="203" w:line="360" w:lineRule="auto"/>
        <w:ind w:left="140" w:firstLine="0"/>
        <w:jc w:val="center"/>
        <w:rPr>
          <w:rFonts w:asciiTheme="minorBidi" w:hAnsiTheme="minorBidi" w:cstheme="minorBidi"/>
          <w:b/>
          <w:sz w:val="40"/>
        </w:rPr>
      </w:pPr>
    </w:p>
    <w:p w14:paraId="15FAFFE3" w14:textId="77777777" w:rsidR="001F59FD" w:rsidRDefault="001F59FD" w:rsidP="001F59FD">
      <w:pPr>
        <w:spacing w:after="203" w:line="360" w:lineRule="auto"/>
        <w:ind w:left="140" w:firstLine="0"/>
        <w:jc w:val="center"/>
        <w:rPr>
          <w:rFonts w:asciiTheme="minorBidi" w:hAnsiTheme="minorBidi" w:cstheme="minorBidi"/>
          <w:b/>
          <w:sz w:val="40"/>
        </w:rPr>
      </w:pPr>
    </w:p>
    <w:p w14:paraId="3E68E18A" w14:textId="77777777" w:rsidR="001F59FD" w:rsidRDefault="001F59FD" w:rsidP="001F59FD">
      <w:pPr>
        <w:spacing w:after="203" w:line="360" w:lineRule="auto"/>
        <w:ind w:left="140" w:firstLine="0"/>
        <w:jc w:val="center"/>
        <w:rPr>
          <w:rFonts w:asciiTheme="minorBidi" w:hAnsiTheme="minorBidi" w:cstheme="minorBidi"/>
          <w:b/>
          <w:sz w:val="40"/>
        </w:rPr>
      </w:pPr>
    </w:p>
    <w:p w14:paraId="3BFA0BFC" w14:textId="77777777" w:rsidR="001F59FD" w:rsidRDefault="001F59FD" w:rsidP="001F59FD">
      <w:pPr>
        <w:spacing w:after="203" w:line="360" w:lineRule="auto"/>
        <w:ind w:left="140" w:firstLine="0"/>
        <w:jc w:val="center"/>
        <w:rPr>
          <w:rFonts w:asciiTheme="minorBidi" w:hAnsiTheme="minorBidi" w:cstheme="minorBidi"/>
          <w:b/>
          <w:sz w:val="40"/>
        </w:rPr>
      </w:pPr>
    </w:p>
    <w:p w14:paraId="67102A32" w14:textId="77777777" w:rsidR="001F59FD" w:rsidRDefault="001F59FD" w:rsidP="001F59FD">
      <w:pPr>
        <w:spacing w:after="203" w:line="360" w:lineRule="auto"/>
        <w:ind w:left="140" w:firstLine="0"/>
        <w:jc w:val="center"/>
        <w:rPr>
          <w:rFonts w:asciiTheme="minorBidi" w:hAnsiTheme="minorBidi" w:cstheme="minorBidi"/>
          <w:b/>
          <w:sz w:val="40"/>
        </w:rPr>
      </w:pPr>
    </w:p>
    <w:p w14:paraId="280B9757" w14:textId="77777777" w:rsidR="001F59FD" w:rsidRDefault="001F59FD" w:rsidP="001F59FD">
      <w:pPr>
        <w:spacing w:after="203" w:line="360" w:lineRule="auto"/>
        <w:ind w:left="140" w:firstLine="0"/>
        <w:jc w:val="center"/>
        <w:rPr>
          <w:rFonts w:asciiTheme="minorBidi" w:hAnsiTheme="minorBidi" w:cstheme="minorBidi"/>
          <w:b/>
          <w:sz w:val="40"/>
        </w:rPr>
      </w:pPr>
    </w:p>
    <w:p w14:paraId="3452505A" w14:textId="722F9F9F" w:rsidR="001F59FD" w:rsidRPr="001F59FD" w:rsidRDefault="001F59FD" w:rsidP="001F59FD">
      <w:pPr>
        <w:spacing w:after="203" w:line="360" w:lineRule="auto"/>
        <w:ind w:left="140" w:firstLine="0"/>
        <w:jc w:val="center"/>
        <w:rPr>
          <w:rFonts w:asciiTheme="minorBidi" w:hAnsiTheme="minorBidi" w:cstheme="minorBidi"/>
          <w:bCs/>
          <w:sz w:val="40"/>
        </w:rPr>
      </w:pPr>
      <w:r w:rsidRPr="001F59FD">
        <w:rPr>
          <w:rFonts w:asciiTheme="minorBidi" w:hAnsiTheme="minorBidi" w:cstheme="minorBidi"/>
          <w:b/>
          <w:sz w:val="40"/>
        </w:rPr>
        <w:t xml:space="preserve">Module Title: </w:t>
      </w:r>
      <w:r w:rsidRPr="001F59FD">
        <w:rPr>
          <w:rFonts w:asciiTheme="minorBidi" w:hAnsiTheme="minorBidi" w:cstheme="minorBidi"/>
          <w:bCs/>
          <w:sz w:val="40"/>
        </w:rPr>
        <w:t>Introduction to Health and Social Care</w:t>
      </w:r>
    </w:p>
    <w:p w14:paraId="087F9968" w14:textId="1B631B69" w:rsidR="001F59FD" w:rsidRPr="00314239" w:rsidRDefault="001F59FD" w:rsidP="001F59FD">
      <w:pPr>
        <w:spacing w:after="203" w:line="360" w:lineRule="auto"/>
        <w:ind w:left="140" w:firstLine="0"/>
        <w:jc w:val="center"/>
        <w:rPr>
          <w:rFonts w:asciiTheme="minorBidi" w:hAnsiTheme="minorBidi" w:cstheme="minorBidi"/>
          <w:bCs/>
          <w:sz w:val="40"/>
          <w:lang w:val="nl-NL"/>
        </w:rPr>
      </w:pPr>
      <w:r w:rsidRPr="00314239">
        <w:rPr>
          <w:rFonts w:asciiTheme="minorBidi" w:hAnsiTheme="minorBidi" w:cstheme="minorBidi"/>
          <w:b/>
          <w:sz w:val="40"/>
          <w:lang w:val="nl-NL"/>
        </w:rPr>
        <w:t xml:space="preserve">Student Name: </w:t>
      </w:r>
      <w:proofErr w:type="spellStart"/>
      <w:r w:rsidRPr="00314239">
        <w:rPr>
          <w:rFonts w:asciiTheme="minorBidi" w:hAnsiTheme="minorBidi" w:cstheme="minorBidi"/>
          <w:bCs/>
          <w:sz w:val="40"/>
          <w:lang w:val="nl-NL"/>
        </w:rPr>
        <w:t>Aqsa</w:t>
      </w:r>
      <w:proofErr w:type="spellEnd"/>
      <w:r w:rsidRPr="00314239">
        <w:rPr>
          <w:rFonts w:asciiTheme="minorBidi" w:hAnsiTheme="minorBidi" w:cstheme="minorBidi"/>
          <w:bCs/>
          <w:sz w:val="40"/>
          <w:lang w:val="nl-NL"/>
        </w:rPr>
        <w:t xml:space="preserve"> </w:t>
      </w:r>
      <w:proofErr w:type="spellStart"/>
      <w:r w:rsidRPr="00314239">
        <w:rPr>
          <w:rFonts w:asciiTheme="minorBidi" w:hAnsiTheme="minorBidi" w:cstheme="minorBidi"/>
          <w:bCs/>
          <w:sz w:val="40"/>
          <w:lang w:val="nl-NL"/>
        </w:rPr>
        <w:t>Ejaz</w:t>
      </w:r>
      <w:proofErr w:type="spellEnd"/>
    </w:p>
    <w:p w14:paraId="2E5562CE" w14:textId="77777777" w:rsidR="001F59FD" w:rsidRPr="00314239" w:rsidRDefault="001F59FD" w:rsidP="001F59FD">
      <w:pPr>
        <w:spacing w:after="203" w:line="360" w:lineRule="auto"/>
        <w:ind w:left="140" w:firstLine="0"/>
        <w:jc w:val="center"/>
        <w:rPr>
          <w:rFonts w:asciiTheme="minorBidi" w:hAnsiTheme="minorBidi" w:cstheme="minorBidi"/>
          <w:bCs/>
          <w:sz w:val="40"/>
          <w:lang w:val="nl-NL"/>
        </w:rPr>
      </w:pPr>
      <w:r w:rsidRPr="00314239">
        <w:rPr>
          <w:rFonts w:asciiTheme="minorBidi" w:hAnsiTheme="minorBidi" w:cstheme="minorBidi"/>
          <w:b/>
          <w:sz w:val="40"/>
          <w:lang w:val="nl-NL"/>
        </w:rPr>
        <w:t xml:space="preserve">Student ID: </w:t>
      </w:r>
      <w:r w:rsidRPr="00314239">
        <w:rPr>
          <w:rFonts w:asciiTheme="minorBidi" w:hAnsiTheme="minorBidi" w:cstheme="minorBidi"/>
          <w:bCs/>
          <w:sz w:val="40"/>
          <w:lang w:val="nl-NL"/>
        </w:rPr>
        <w:t>2507265</w:t>
      </w:r>
    </w:p>
    <w:p w14:paraId="2EB3411B" w14:textId="77777777" w:rsidR="001F59FD" w:rsidRPr="001F59FD" w:rsidRDefault="001F59FD" w:rsidP="001F59FD">
      <w:pPr>
        <w:spacing w:after="203" w:line="360" w:lineRule="auto"/>
        <w:ind w:left="140" w:firstLine="0"/>
        <w:jc w:val="center"/>
        <w:rPr>
          <w:rFonts w:asciiTheme="minorBidi" w:hAnsiTheme="minorBidi" w:cstheme="minorBidi"/>
          <w:bCs/>
          <w:sz w:val="40"/>
        </w:rPr>
      </w:pPr>
      <w:r w:rsidRPr="001F59FD">
        <w:rPr>
          <w:rFonts w:asciiTheme="minorBidi" w:hAnsiTheme="minorBidi" w:cstheme="minorBidi"/>
          <w:b/>
          <w:sz w:val="40"/>
        </w:rPr>
        <w:t xml:space="preserve">Assignment Title: </w:t>
      </w:r>
      <w:r w:rsidRPr="001F59FD">
        <w:rPr>
          <w:rFonts w:asciiTheme="minorBidi" w:hAnsiTheme="minorBidi" w:cstheme="minorBidi"/>
          <w:bCs/>
          <w:sz w:val="40"/>
        </w:rPr>
        <w:t>Portfolio – Task Two</w:t>
      </w:r>
    </w:p>
    <w:p w14:paraId="0D735480" w14:textId="381FC791" w:rsidR="001F59FD" w:rsidRPr="001F59FD" w:rsidRDefault="001F59FD" w:rsidP="001F59FD">
      <w:pPr>
        <w:spacing w:after="203" w:line="360" w:lineRule="auto"/>
        <w:ind w:left="140" w:firstLine="0"/>
        <w:jc w:val="center"/>
        <w:rPr>
          <w:rFonts w:asciiTheme="minorBidi" w:hAnsiTheme="minorBidi" w:cstheme="minorBidi"/>
          <w:bCs/>
          <w:sz w:val="40"/>
        </w:rPr>
      </w:pPr>
      <w:r w:rsidRPr="001F59FD">
        <w:rPr>
          <w:rFonts w:asciiTheme="minorBidi" w:hAnsiTheme="minorBidi" w:cstheme="minorBidi"/>
          <w:b/>
          <w:sz w:val="40"/>
        </w:rPr>
        <w:t xml:space="preserve">Lecturer Name: </w:t>
      </w:r>
      <w:r w:rsidRPr="001F59FD">
        <w:rPr>
          <w:rFonts w:asciiTheme="minorBidi" w:hAnsiTheme="minorBidi" w:cstheme="minorBidi"/>
          <w:bCs/>
          <w:sz w:val="40"/>
        </w:rPr>
        <w:t>Daniel Hanura</w:t>
      </w:r>
    </w:p>
    <w:p w14:paraId="69C6F284" w14:textId="2978F2E7" w:rsidR="001F59FD" w:rsidRDefault="001F59FD" w:rsidP="001F59FD">
      <w:pPr>
        <w:spacing w:after="203" w:line="360" w:lineRule="auto"/>
        <w:ind w:left="140" w:firstLine="0"/>
        <w:jc w:val="center"/>
        <w:rPr>
          <w:b/>
        </w:rPr>
      </w:pPr>
      <w:r w:rsidRPr="001F59FD">
        <w:rPr>
          <w:rFonts w:asciiTheme="minorBidi" w:hAnsiTheme="minorBidi" w:cstheme="minorBidi"/>
          <w:b/>
          <w:sz w:val="40"/>
        </w:rPr>
        <w:t xml:space="preserve">Module Code: </w:t>
      </w:r>
      <w:r w:rsidRPr="001F59FD">
        <w:rPr>
          <w:rFonts w:asciiTheme="minorBidi" w:hAnsiTheme="minorBidi" w:cstheme="minorBidi"/>
          <w:bCs/>
          <w:sz w:val="40"/>
        </w:rPr>
        <w:t>LCHS4003</w:t>
      </w:r>
      <w:r>
        <w:br w:type="page"/>
      </w:r>
    </w:p>
    <w:sdt>
      <w:sdtPr>
        <w:rPr>
          <w:rFonts w:ascii="Calibri" w:eastAsia="Calibri" w:hAnsi="Calibri" w:cs="Calibri"/>
          <w:color w:val="000000"/>
          <w:kern w:val="2"/>
          <w:sz w:val="24"/>
          <w:szCs w:val="24"/>
          <w14:ligatures w14:val="standardContextual"/>
        </w:rPr>
        <w:id w:val="-403381096"/>
        <w:docPartObj>
          <w:docPartGallery w:val="Table of Contents"/>
          <w:docPartUnique/>
        </w:docPartObj>
      </w:sdtPr>
      <w:sdtEndPr>
        <w:rPr>
          <w:b/>
          <w:bCs/>
        </w:rPr>
      </w:sdtEndPr>
      <w:sdtContent>
        <w:p w14:paraId="709B6F3F" w14:textId="0823E29D" w:rsidR="00314239" w:rsidRPr="00314239" w:rsidRDefault="00314239" w:rsidP="00314239">
          <w:pPr>
            <w:pStyle w:val="TOCHeading"/>
            <w:spacing w:line="360" w:lineRule="auto"/>
            <w:jc w:val="both"/>
            <w:rPr>
              <w:rFonts w:asciiTheme="minorBidi" w:hAnsiTheme="minorBidi" w:cstheme="minorBidi"/>
              <w:b/>
              <w:bCs/>
              <w:color w:val="auto"/>
              <w:sz w:val="28"/>
              <w:szCs w:val="28"/>
            </w:rPr>
          </w:pPr>
          <w:r w:rsidRPr="00314239">
            <w:rPr>
              <w:rFonts w:asciiTheme="minorBidi" w:hAnsiTheme="minorBidi" w:cstheme="minorBidi"/>
              <w:b/>
              <w:bCs/>
              <w:color w:val="auto"/>
              <w:sz w:val="28"/>
              <w:szCs w:val="28"/>
            </w:rPr>
            <w:t>Contents</w:t>
          </w:r>
        </w:p>
        <w:p w14:paraId="6314BB78" w14:textId="486EF871" w:rsidR="00E243F9" w:rsidRDefault="00314239">
          <w:pPr>
            <w:pStyle w:val="TOC1"/>
            <w:tabs>
              <w:tab w:val="right" w:leader="dot" w:pos="9357"/>
            </w:tabs>
            <w:rPr>
              <w:rFonts w:asciiTheme="minorHAnsi" w:eastAsiaTheme="minorEastAsia" w:hAnsiTheme="minorHAnsi" w:cstheme="minorBidi"/>
              <w:noProof/>
              <w:color w:val="auto"/>
            </w:rPr>
          </w:pPr>
          <w:r w:rsidRPr="00314239">
            <w:rPr>
              <w:rFonts w:asciiTheme="minorBidi" w:hAnsiTheme="minorBidi" w:cstheme="minorBidi"/>
              <w:b/>
              <w:bCs/>
              <w:sz w:val="22"/>
              <w:szCs w:val="22"/>
            </w:rPr>
            <w:fldChar w:fldCharType="begin"/>
          </w:r>
          <w:r w:rsidRPr="00314239">
            <w:rPr>
              <w:rFonts w:asciiTheme="minorBidi" w:hAnsiTheme="minorBidi" w:cstheme="minorBidi"/>
              <w:b/>
              <w:bCs/>
              <w:sz w:val="22"/>
              <w:szCs w:val="22"/>
            </w:rPr>
            <w:instrText xml:space="preserve"> TOC \o "1-3" \h \z \u </w:instrText>
          </w:r>
          <w:r w:rsidRPr="00314239">
            <w:rPr>
              <w:rFonts w:asciiTheme="minorBidi" w:hAnsiTheme="minorBidi" w:cstheme="minorBidi"/>
              <w:b/>
              <w:bCs/>
              <w:sz w:val="22"/>
              <w:szCs w:val="22"/>
            </w:rPr>
            <w:fldChar w:fldCharType="separate"/>
          </w:r>
          <w:hyperlink w:anchor="_Toc222997822" w:history="1">
            <w:r w:rsidR="00E243F9" w:rsidRPr="006B50A6">
              <w:rPr>
                <w:rStyle w:val="Hyperlink"/>
                <w:rFonts w:asciiTheme="minorBidi" w:hAnsiTheme="minorBidi"/>
                <w:bCs/>
                <w:noProof/>
              </w:rPr>
              <w:t>Effective Communication, Administration and Collaborative Working in Health and Social Care: A Case Study of Mr Ahmed</w:t>
            </w:r>
            <w:r w:rsidR="00E243F9">
              <w:rPr>
                <w:noProof/>
                <w:webHidden/>
              </w:rPr>
              <w:tab/>
            </w:r>
            <w:r w:rsidR="00E243F9">
              <w:rPr>
                <w:noProof/>
                <w:webHidden/>
              </w:rPr>
              <w:fldChar w:fldCharType="begin"/>
            </w:r>
            <w:r w:rsidR="00E243F9">
              <w:rPr>
                <w:noProof/>
                <w:webHidden/>
              </w:rPr>
              <w:instrText xml:space="preserve"> PAGEREF _Toc222997822 \h </w:instrText>
            </w:r>
            <w:r w:rsidR="00E243F9">
              <w:rPr>
                <w:noProof/>
                <w:webHidden/>
              </w:rPr>
            </w:r>
            <w:r w:rsidR="00E243F9">
              <w:rPr>
                <w:noProof/>
                <w:webHidden/>
              </w:rPr>
              <w:fldChar w:fldCharType="separate"/>
            </w:r>
            <w:r w:rsidR="00E243F9">
              <w:rPr>
                <w:noProof/>
                <w:webHidden/>
              </w:rPr>
              <w:t>3</w:t>
            </w:r>
            <w:r w:rsidR="00E243F9">
              <w:rPr>
                <w:noProof/>
                <w:webHidden/>
              </w:rPr>
              <w:fldChar w:fldCharType="end"/>
            </w:r>
          </w:hyperlink>
        </w:p>
        <w:p w14:paraId="2D68C688" w14:textId="36E345BD" w:rsidR="00E243F9" w:rsidRDefault="00E243F9">
          <w:pPr>
            <w:pStyle w:val="TOC3"/>
            <w:tabs>
              <w:tab w:val="right" w:leader="dot" w:pos="9357"/>
            </w:tabs>
            <w:rPr>
              <w:rFonts w:asciiTheme="minorHAnsi" w:eastAsiaTheme="minorEastAsia" w:hAnsiTheme="minorHAnsi" w:cstheme="minorBidi"/>
              <w:noProof/>
              <w:color w:val="auto"/>
            </w:rPr>
          </w:pPr>
          <w:hyperlink w:anchor="_Toc222997823" w:history="1">
            <w:r w:rsidRPr="006B50A6">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_Toc222997823 \h </w:instrText>
            </w:r>
            <w:r>
              <w:rPr>
                <w:noProof/>
                <w:webHidden/>
              </w:rPr>
            </w:r>
            <w:r>
              <w:rPr>
                <w:noProof/>
                <w:webHidden/>
              </w:rPr>
              <w:fldChar w:fldCharType="separate"/>
            </w:r>
            <w:r>
              <w:rPr>
                <w:noProof/>
                <w:webHidden/>
              </w:rPr>
              <w:t>3</w:t>
            </w:r>
            <w:r>
              <w:rPr>
                <w:noProof/>
                <w:webHidden/>
              </w:rPr>
              <w:fldChar w:fldCharType="end"/>
            </w:r>
          </w:hyperlink>
        </w:p>
        <w:p w14:paraId="27952460" w14:textId="7377E3BD" w:rsidR="00E243F9" w:rsidRDefault="00E243F9">
          <w:pPr>
            <w:pStyle w:val="TOC3"/>
            <w:tabs>
              <w:tab w:val="right" w:leader="dot" w:pos="9357"/>
            </w:tabs>
            <w:rPr>
              <w:rFonts w:asciiTheme="minorHAnsi" w:eastAsiaTheme="minorEastAsia" w:hAnsiTheme="minorHAnsi" w:cstheme="minorBidi"/>
              <w:noProof/>
              <w:color w:val="auto"/>
            </w:rPr>
          </w:pPr>
          <w:hyperlink w:anchor="_Toc222997824" w:history="1">
            <w:r w:rsidRPr="006B50A6">
              <w:rPr>
                <w:rStyle w:val="Hyperlink"/>
                <w:rFonts w:asciiTheme="minorBidi" w:hAnsiTheme="minorBidi"/>
                <w:noProof/>
              </w:rPr>
              <w:t>Effective Communication in Mr. Ahmed's Care</w:t>
            </w:r>
            <w:r>
              <w:rPr>
                <w:noProof/>
                <w:webHidden/>
              </w:rPr>
              <w:tab/>
            </w:r>
            <w:r>
              <w:rPr>
                <w:noProof/>
                <w:webHidden/>
              </w:rPr>
              <w:fldChar w:fldCharType="begin"/>
            </w:r>
            <w:r>
              <w:rPr>
                <w:noProof/>
                <w:webHidden/>
              </w:rPr>
              <w:instrText xml:space="preserve"> PAGEREF _Toc222997824 \h </w:instrText>
            </w:r>
            <w:r>
              <w:rPr>
                <w:noProof/>
                <w:webHidden/>
              </w:rPr>
            </w:r>
            <w:r>
              <w:rPr>
                <w:noProof/>
                <w:webHidden/>
              </w:rPr>
              <w:fldChar w:fldCharType="separate"/>
            </w:r>
            <w:r>
              <w:rPr>
                <w:noProof/>
                <w:webHidden/>
              </w:rPr>
              <w:t>3</w:t>
            </w:r>
            <w:r>
              <w:rPr>
                <w:noProof/>
                <w:webHidden/>
              </w:rPr>
              <w:fldChar w:fldCharType="end"/>
            </w:r>
          </w:hyperlink>
        </w:p>
        <w:p w14:paraId="1FA14FF8" w14:textId="211297B2" w:rsidR="00E243F9" w:rsidRDefault="00E243F9">
          <w:pPr>
            <w:pStyle w:val="TOC3"/>
            <w:tabs>
              <w:tab w:val="right" w:leader="dot" w:pos="9357"/>
            </w:tabs>
            <w:rPr>
              <w:rFonts w:asciiTheme="minorHAnsi" w:eastAsiaTheme="minorEastAsia" w:hAnsiTheme="minorHAnsi" w:cstheme="minorBidi"/>
              <w:noProof/>
              <w:color w:val="auto"/>
            </w:rPr>
          </w:pPr>
          <w:hyperlink w:anchor="_Toc222997825" w:history="1">
            <w:r w:rsidRPr="006B50A6">
              <w:rPr>
                <w:rStyle w:val="Hyperlink"/>
                <w:rFonts w:asciiTheme="minorBidi" w:hAnsiTheme="minorBidi"/>
                <w:noProof/>
              </w:rPr>
              <w:t>Administrative Skills and Data Protection</w:t>
            </w:r>
            <w:r>
              <w:rPr>
                <w:noProof/>
                <w:webHidden/>
              </w:rPr>
              <w:tab/>
            </w:r>
            <w:r>
              <w:rPr>
                <w:noProof/>
                <w:webHidden/>
              </w:rPr>
              <w:fldChar w:fldCharType="begin"/>
            </w:r>
            <w:r>
              <w:rPr>
                <w:noProof/>
                <w:webHidden/>
              </w:rPr>
              <w:instrText xml:space="preserve"> PAGEREF _Toc222997825 \h </w:instrText>
            </w:r>
            <w:r>
              <w:rPr>
                <w:noProof/>
                <w:webHidden/>
              </w:rPr>
            </w:r>
            <w:r>
              <w:rPr>
                <w:noProof/>
                <w:webHidden/>
              </w:rPr>
              <w:fldChar w:fldCharType="separate"/>
            </w:r>
            <w:r>
              <w:rPr>
                <w:noProof/>
                <w:webHidden/>
              </w:rPr>
              <w:t>5</w:t>
            </w:r>
            <w:r>
              <w:rPr>
                <w:noProof/>
                <w:webHidden/>
              </w:rPr>
              <w:fldChar w:fldCharType="end"/>
            </w:r>
          </w:hyperlink>
        </w:p>
        <w:p w14:paraId="0A858F73" w14:textId="2A774878" w:rsidR="00E243F9" w:rsidRDefault="00E243F9">
          <w:pPr>
            <w:pStyle w:val="TOC3"/>
            <w:tabs>
              <w:tab w:val="right" w:leader="dot" w:pos="9357"/>
            </w:tabs>
            <w:rPr>
              <w:rFonts w:asciiTheme="minorHAnsi" w:eastAsiaTheme="minorEastAsia" w:hAnsiTheme="minorHAnsi" w:cstheme="minorBidi"/>
              <w:noProof/>
              <w:color w:val="auto"/>
            </w:rPr>
          </w:pPr>
          <w:hyperlink w:anchor="_Toc222997826" w:history="1">
            <w:r w:rsidRPr="006B50A6">
              <w:rPr>
                <w:rStyle w:val="Hyperlink"/>
                <w:rFonts w:asciiTheme="minorBidi" w:hAnsiTheme="minorBidi"/>
                <w:noProof/>
              </w:rPr>
              <w:t>Multi-Agency Working</w:t>
            </w:r>
            <w:r>
              <w:rPr>
                <w:noProof/>
                <w:webHidden/>
              </w:rPr>
              <w:tab/>
            </w:r>
            <w:r>
              <w:rPr>
                <w:noProof/>
                <w:webHidden/>
              </w:rPr>
              <w:fldChar w:fldCharType="begin"/>
            </w:r>
            <w:r>
              <w:rPr>
                <w:noProof/>
                <w:webHidden/>
              </w:rPr>
              <w:instrText xml:space="preserve"> PAGEREF _Toc222997826 \h </w:instrText>
            </w:r>
            <w:r>
              <w:rPr>
                <w:noProof/>
                <w:webHidden/>
              </w:rPr>
            </w:r>
            <w:r>
              <w:rPr>
                <w:noProof/>
                <w:webHidden/>
              </w:rPr>
              <w:fldChar w:fldCharType="separate"/>
            </w:r>
            <w:r>
              <w:rPr>
                <w:noProof/>
                <w:webHidden/>
              </w:rPr>
              <w:t>6</w:t>
            </w:r>
            <w:r>
              <w:rPr>
                <w:noProof/>
                <w:webHidden/>
              </w:rPr>
              <w:fldChar w:fldCharType="end"/>
            </w:r>
          </w:hyperlink>
        </w:p>
        <w:p w14:paraId="40DCE4A7" w14:textId="2465EF0C" w:rsidR="00E243F9" w:rsidRDefault="00E243F9">
          <w:pPr>
            <w:pStyle w:val="TOC3"/>
            <w:tabs>
              <w:tab w:val="right" w:leader="dot" w:pos="9357"/>
            </w:tabs>
            <w:rPr>
              <w:rFonts w:asciiTheme="minorHAnsi" w:eastAsiaTheme="minorEastAsia" w:hAnsiTheme="minorHAnsi" w:cstheme="minorBidi"/>
              <w:noProof/>
              <w:color w:val="auto"/>
            </w:rPr>
          </w:pPr>
          <w:hyperlink w:anchor="_Toc222997827" w:history="1">
            <w:r w:rsidRPr="006B50A6">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_Toc222997827 \h </w:instrText>
            </w:r>
            <w:r>
              <w:rPr>
                <w:noProof/>
                <w:webHidden/>
              </w:rPr>
            </w:r>
            <w:r>
              <w:rPr>
                <w:noProof/>
                <w:webHidden/>
              </w:rPr>
              <w:fldChar w:fldCharType="separate"/>
            </w:r>
            <w:r>
              <w:rPr>
                <w:noProof/>
                <w:webHidden/>
              </w:rPr>
              <w:t>7</w:t>
            </w:r>
            <w:r>
              <w:rPr>
                <w:noProof/>
                <w:webHidden/>
              </w:rPr>
              <w:fldChar w:fldCharType="end"/>
            </w:r>
          </w:hyperlink>
        </w:p>
        <w:p w14:paraId="753CA525" w14:textId="3FFFA84C" w:rsidR="00E243F9" w:rsidRDefault="00E243F9">
          <w:pPr>
            <w:pStyle w:val="TOC3"/>
            <w:tabs>
              <w:tab w:val="right" w:leader="dot" w:pos="9357"/>
            </w:tabs>
            <w:rPr>
              <w:rFonts w:asciiTheme="minorHAnsi" w:eastAsiaTheme="minorEastAsia" w:hAnsiTheme="minorHAnsi" w:cstheme="minorBidi"/>
              <w:noProof/>
              <w:color w:val="auto"/>
            </w:rPr>
          </w:pPr>
          <w:hyperlink w:anchor="_Toc222997828" w:history="1">
            <w:r w:rsidRPr="006B50A6">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_Toc222997828 \h </w:instrText>
            </w:r>
            <w:r>
              <w:rPr>
                <w:noProof/>
                <w:webHidden/>
              </w:rPr>
            </w:r>
            <w:r>
              <w:rPr>
                <w:noProof/>
                <w:webHidden/>
              </w:rPr>
              <w:fldChar w:fldCharType="separate"/>
            </w:r>
            <w:r>
              <w:rPr>
                <w:noProof/>
                <w:webHidden/>
              </w:rPr>
              <w:t>8</w:t>
            </w:r>
            <w:r>
              <w:rPr>
                <w:noProof/>
                <w:webHidden/>
              </w:rPr>
              <w:fldChar w:fldCharType="end"/>
            </w:r>
          </w:hyperlink>
        </w:p>
        <w:p w14:paraId="1607C19F" w14:textId="32986B69" w:rsidR="00314239" w:rsidRDefault="00314239" w:rsidP="00314239">
          <w:pPr>
            <w:spacing w:line="360" w:lineRule="auto"/>
            <w:jc w:val="both"/>
          </w:pPr>
          <w:r w:rsidRPr="00314239">
            <w:rPr>
              <w:rFonts w:asciiTheme="minorBidi" w:hAnsiTheme="minorBidi" w:cstheme="minorBidi"/>
              <w:b/>
              <w:bCs/>
              <w:sz w:val="22"/>
              <w:szCs w:val="22"/>
            </w:rPr>
            <w:fldChar w:fldCharType="end"/>
          </w:r>
        </w:p>
      </w:sdtContent>
    </w:sdt>
    <w:p w14:paraId="24918308" w14:textId="0EAF2E2B" w:rsidR="00314239" w:rsidRPr="00314239" w:rsidRDefault="00314239" w:rsidP="00314239">
      <w:pPr>
        <w:spacing w:after="160" w:line="278" w:lineRule="auto"/>
        <w:ind w:left="0" w:firstLine="0"/>
        <w:rPr>
          <w:rFonts w:asciiTheme="minorBidi" w:hAnsiTheme="minorBidi" w:cstheme="minorBidi"/>
          <w:b/>
        </w:rPr>
      </w:pPr>
      <w:r>
        <w:rPr>
          <w:rFonts w:asciiTheme="minorBidi" w:hAnsiTheme="minorBidi" w:cstheme="minorBidi"/>
        </w:rPr>
        <w:br w:type="page"/>
      </w:r>
    </w:p>
    <w:p w14:paraId="15AC3A95" w14:textId="72E2EA56" w:rsidR="00314239" w:rsidRPr="00314239" w:rsidRDefault="00314239" w:rsidP="00314239">
      <w:pPr>
        <w:pStyle w:val="Heading1"/>
        <w:spacing w:line="360" w:lineRule="auto"/>
        <w:jc w:val="both"/>
        <w:rPr>
          <w:rFonts w:asciiTheme="minorBidi" w:hAnsiTheme="minorBidi" w:cstheme="minorBidi"/>
          <w:b w:val="0"/>
          <w:bCs/>
          <w:color w:val="auto"/>
          <w:sz w:val="22"/>
          <w:szCs w:val="22"/>
        </w:rPr>
      </w:pPr>
      <w:bookmarkStart w:id="0" w:name="_Toc222976304"/>
      <w:bookmarkStart w:id="1" w:name="_Toc222997822"/>
      <w:r w:rsidRPr="005C5C03">
        <w:rPr>
          <w:rFonts w:asciiTheme="minorBidi" w:hAnsiTheme="minorBidi" w:cstheme="minorBidi"/>
          <w:bCs/>
          <w:color w:val="auto"/>
          <w:sz w:val="22"/>
          <w:szCs w:val="22"/>
        </w:rPr>
        <w:lastRenderedPageBreak/>
        <w:t>Effective Communication, Administration and Collaborative Working in Health and Social Care: A Case Study of Mr Ahmed</w:t>
      </w:r>
      <w:bookmarkEnd w:id="0"/>
      <w:bookmarkEnd w:id="1"/>
    </w:p>
    <w:p w14:paraId="35E892BD" w14:textId="7632CB40" w:rsidR="00E568BE" w:rsidRPr="00314239" w:rsidRDefault="008D5C4B" w:rsidP="001F59FD">
      <w:pPr>
        <w:pStyle w:val="Heading3"/>
        <w:spacing w:line="360" w:lineRule="auto"/>
        <w:ind w:left="-5"/>
        <w:jc w:val="both"/>
        <w:rPr>
          <w:rFonts w:asciiTheme="minorBidi" w:hAnsiTheme="minorBidi" w:cstheme="minorBidi"/>
          <w:sz w:val="22"/>
          <w:szCs w:val="22"/>
        </w:rPr>
      </w:pPr>
      <w:bookmarkStart w:id="2" w:name="_Toc222997823"/>
      <w:r w:rsidRPr="00314239">
        <w:rPr>
          <w:rFonts w:asciiTheme="minorBidi" w:hAnsiTheme="minorBidi" w:cstheme="minorBidi"/>
          <w:sz w:val="22"/>
          <w:szCs w:val="22"/>
        </w:rPr>
        <w:t>Introduction</w:t>
      </w:r>
      <w:bookmarkEnd w:id="2"/>
      <w:r w:rsidRPr="00314239">
        <w:rPr>
          <w:rFonts w:asciiTheme="minorBidi" w:hAnsiTheme="minorBidi" w:cstheme="minorBidi"/>
          <w:sz w:val="22"/>
          <w:szCs w:val="22"/>
        </w:rPr>
        <w:t xml:space="preserve">  </w:t>
      </w:r>
    </w:p>
    <w:p w14:paraId="36523F0B" w14:textId="1AF63C67" w:rsidR="00E568BE" w:rsidRDefault="008D5C4B" w:rsidP="001F59FD">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 xml:space="preserve">Mr. Ahmed is a 68-year-old man who has recently returned home after being treated in hospital for a stroke. He lives with his wife and receives support from a </w:t>
      </w:r>
      <w:r w:rsidR="00314239" w:rsidRPr="00314239">
        <w:rPr>
          <w:rFonts w:asciiTheme="minorBidi" w:hAnsiTheme="minorBidi" w:cstheme="minorBidi"/>
          <w:sz w:val="22"/>
          <w:szCs w:val="22"/>
        </w:rPr>
        <w:t>health</w:t>
      </w:r>
      <w:r w:rsidRPr="00314239">
        <w:rPr>
          <w:rFonts w:asciiTheme="minorBidi" w:hAnsiTheme="minorBidi" w:cstheme="minorBidi"/>
          <w:sz w:val="22"/>
          <w:szCs w:val="22"/>
        </w:rPr>
        <w:t>care agency three times a day. He is also supported by a GP, a district nurse</w:t>
      </w:r>
      <w:r w:rsidR="00314239" w:rsidRPr="00314239">
        <w:rPr>
          <w:rFonts w:asciiTheme="minorBidi" w:hAnsiTheme="minorBidi" w:cstheme="minorBidi"/>
          <w:sz w:val="22"/>
          <w:szCs w:val="22"/>
        </w:rPr>
        <w:t xml:space="preserve"> </w:t>
      </w:r>
      <w:r w:rsidRPr="00314239">
        <w:rPr>
          <w:rFonts w:asciiTheme="minorBidi" w:hAnsiTheme="minorBidi" w:cstheme="minorBidi"/>
          <w:sz w:val="22"/>
          <w:szCs w:val="22"/>
        </w:rPr>
        <w:t>and a speech and language therapist. Mr. Ahmed’s first language is Bengali</w:t>
      </w:r>
      <w:r w:rsidR="00314239" w:rsidRPr="00314239">
        <w:rPr>
          <w:rFonts w:asciiTheme="minorBidi" w:hAnsiTheme="minorBidi" w:cstheme="minorBidi"/>
          <w:sz w:val="22"/>
          <w:szCs w:val="22"/>
        </w:rPr>
        <w:t xml:space="preserve"> </w:t>
      </w:r>
      <w:r w:rsidRPr="00314239">
        <w:rPr>
          <w:rFonts w:asciiTheme="minorBidi" w:hAnsiTheme="minorBidi" w:cstheme="minorBidi"/>
          <w:sz w:val="22"/>
          <w:szCs w:val="22"/>
        </w:rPr>
        <w:t xml:space="preserve">and although he understands some English, he finds complex conversations difficult. Recently, a home care visit was missed, which meant he did not receive his medication on time. This incident is now being investigated. </w:t>
      </w:r>
    </w:p>
    <w:p w14:paraId="79DEBF58" w14:textId="59336544" w:rsidR="007C480A" w:rsidRPr="00314239" w:rsidRDefault="007C480A" w:rsidP="001F59FD">
      <w:pPr>
        <w:spacing w:line="360" w:lineRule="auto"/>
        <w:ind w:left="-5" w:right="5"/>
        <w:jc w:val="both"/>
        <w:rPr>
          <w:rFonts w:asciiTheme="minorBidi" w:hAnsiTheme="minorBidi" w:cstheme="minorBidi"/>
          <w:sz w:val="22"/>
          <w:szCs w:val="22"/>
        </w:rPr>
      </w:pPr>
      <w:r>
        <w:rPr>
          <w:rFonts w:asciiTheme="minorBidi" w:hAnsiTheme="minorBidi" w:cstheme="minorBidi"/>
          <w:sz w:val="22"/>
          <w:szCs w:val="22"/>
        </w:rPr>
        <w:t>This situation highlights how vulnerable individuals can be effected by communication problems, poor organisation and lack of coordination between services. After a stroke, people often depend heavily on professionals and family members for both physical and emotional support. Therefore, care must be safe, respectable and well-managed. Health and social care workers have a duty to protect individuals from harm and ensure their wellbeing. When system</w:t>
      </w:r>
      <w:r w:rsidR="00740087">
        <w:rPr>
          <w:rFonts w:asciiTheme="minorBidi" w:hAnsiTheme="minorBidi" w:cstheme="minorBidi"/>
          <w:sz w:val="22"/>
          <w:szCs w:val="22"/>
        </w:rPr>
        <w:t>s</w:t>
      </w:r>
      <w:r>
        <w:rPr>
          <w:rFonts w:asciiTheme="minorBidi" w:hAnsiTheme="minorBidi" w:cstheme="minorBidi"/>
          <w:sz w:val="22"/>
          <w:szCs w:val="22"/>
        </w:rPr>
        <w:t xml:space="preserve"> fail, even small mistakes such as a missed visit can put a person at risk of</w:t>
      </w:r>
      <w:r w:rsidR="00A10E4C">
        <w:rPr>
          <w:rFonts w:asciiTheme="minorBidi" w:hAnsiTheme="minorBidi" w:cstheme="minorBidi"/>
          <w:sz w:val="22"/>
          <w:szCs w:val="22"/>
        </w:rPr>
        <w:t xml:space="preserve"> a</w:t>
      </w:r>
      <w:r>
        <w:rPr>
          <w:rFonts w:asciiTheme="minorBidi" w:hAnsiTheme="minorBidi" w:cstheme="minorBidi"/>
          <w:sz w:val="22"/>
          <w:szCs w:val="22"/>
        </w:rPr>
        <w:t xml:space="preserve"> fall, anxiety and loss of trust.</w:t>
      </w:r>
    </w:p>
    <w:p w14:paraId="0C494F6F" w14:textId="1339D38B" w:rsidR="00E568BE" w:rsidRPr="00314239" w:rsidRDefault="008D5C4B" w:rsidP="00851954">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 xml:space="preserve">This assignment will discuss three important areas of health and social care practice in relation to Mr. Ahmed’s case: effective communication, administrative skills including data protection and multi-agency working. </w:t>
      </w:r>
      <w:r w:rsidR="007C480A">
        <w:rPr>
          <w:rFonts w:asciiTheme="minorBidi" w:hAnsiTheme="minorBidi" w:cstheme="minorBidi"/>
          <w:sz w:val="22"/>
          <w:szCs w:val="22"/>
        </w:rPr>
        <w:t>It will explain</w:t>
      </w:r>
      <w:r w:rsidR="00851954">
        <w:rPr>
          <w:rFonts w:asciiTheme="minorBidi" w:hAnsiTheme="minorBidi" w:cstheme="minorBidi"/>
          <w:sz w:val="22"/>
          <w:szCs w:val="22"/>
        </w:rPr>
        <w:t xml:space="preserve"> why communication needs to be adapted to meet language and health needs, why accurate records and confidently are essential for safe care and why professionals must work together to provide coordinated support. </w:t>
      </w:r>
      <w:r w:rsidRPr="00314239">
        <w:rPr>
          <w:rFonts w:asciiTheme="minorBidi" w:hAnsiTheme="minorBidi" w:cstheme="minorBidi"/>
          <w:sz w:val="22"/>
          <w:szCs w:val="22"/>
        </w:rPr>
        <w:t xml:space="preserve">Relevant laws and </w:t>
      </w:r>
      <w:r w:rsidR="00314239" w:rsidRPr="00314239">
        <w:rPr>
          <w:rFonts w:asciiTheme="minorBidi" w:hAnsiTheme="minorBidi" w:cstheme="minorBidi"/>
          <w:sz w:val="22"/>
          <w:szCs w:val="22"/>
        </w:rPr>
        <w:t>policies</w:t>
      </w:r>
      <w:r w:rsidRPr="00314239">
        <w:rPr>
          <w:rFonts w:asciiTheme="minorBidi" w:hAnsiTheme="minorBidi" w:cstheme="minorBidi"/>
          <w:sz w:val="22"/>
          <w:szCs w:val="22"/>
        </w:rPr>
        <w:t xml:space="preserve"> such as the Equality Act 2010 and Data Protection Act 2018 will be applied. </w:t>
      </w:r>
    </w:p>
    <w:p w14:paraId="7378FEE8" w14:textId="77777777" w:rsidR="00E568BE" w:rsidRPr="00314239" w:rsidRDefault="008D5C4B" w:rsidP="001F59FD">
      <w:pPr>
        <w:spacing w:after="184" w:line="360" w:lineRule="auto"/>
        <w:ind w:left="0" w:firstLine="0"/>
        <w:jc w:val="both"/>
        <w:rPr>
          <w:rFonts w:asciiTheme="minorBidi" w:hAnsiTheme="minorBidi" w:cstheme="minorBidi"/>
          <w:sz w:val="22"/>
          <w:szCs w:val="22"/>
        </w:rPr>
      </w:pPr>
      <w:r w:rsidRPr="00314239">
        <w:rPr>
          <w:rFonts w:asciiTheme="minorBidi" w:hAnsiTheme="minorBidi" w:cstheme="minorBidi"/>
          <w:sz w:val="22"/>
          <w:szCs w:val="22"/>
        </w:rPr>
        <w:t xml:space="preserve"> </w:t>
      </w:r>
    </w:p>
    <w:p w14:paraId="03D80338" w14:textId="77777777" w:rsidR="00E568BE" w:rsidRPr="00314239" w:rsidRDefault="008D5C4B" w:rsidP="001F59FD">
      <w:pPr>
        <w:pStyle w:val="Heading3"/>
        <w:spacing w:line="360" w:lineRule="auto"/>
        <w:ind w:left="-5"/>
        <w:jc w:val="both"/>
        <w:rPr>
          <w:rFonts w:asciiTheme="minorBidi" w:hAnsiTheme="minorBidi" w:cstheme="minorBidi"/>
          <w:sz w:val="22"/>
          <w:szCs w:val="22"/>
        </w:rPr>
      </w:pPr>
      <w:bookmarkStart w:id="3" w:name="_Toc222997824"/>
      <w:r w:rsidRPr="00314239">
        <w:rPr>
          <w:rFonts w:asciiTheme="minorBidi" w:hAnsiTheme="minorBidi" w:cstheme="minorBidi"/>
          <w:sz w:val="22"/>
          <w:szCs w:val="22"/>
        </w:rPr>
        <w:t>Effective Communication in Mr. Ahmed's Care</w:t>
      </w:r>
      <w:bookmarkEnd w:id="3"/>
      <w:r w:rsidRPr="00314239">
        <w:rPr>
          <w:rFonts w:asciiTheme="minorBidi" w:hAnsiTheme="minorBidi" w:cstheme="minorBidi"/>
          <w:sz w:val="22"/>
          <w:szCs w:val="22"/>
        </w:rPr>
        <w:t xml:space="preserve"> </w:t>
      </w:r>
    </w:p>
    <w:p w14:paraId="0C8B4FB6" w14:textId="77777777" w:rsidR="00F95974" w:rsidRDefault="008D5C4B" w:rsidP="000E2DBC">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Effective communication is very important in health and social care. It helps ensure safety, dignity</w:t>
      </w:r>
      <w:r w:rsidR="004E733C">
        <w:rPr>
          <w:rFonts w:asciiTheme="minorBidi" w:hAnsiTheme="minorBidi" w:cstheme="minorBidi"/>
          <w:sz w:val="22"/>
          <w:szCs w:val="22"/>
        </w:rPr>
        <w:t xml:space="preserve"> </w:t>
      </w:r>
      <w:r w:rsidRPr="00314239">
        <w:rPr>
          <w:rFonts w:asciiTheme="minorBidi" w:hAnsiTheme="minorBidi" w:cstheme="minorBidi"/>
          <w:sz w:val="22"/>
          <w:szCs w:val="22"/>
        </w:rPr>
        <w:t>and person-centred</w:t>
      </w:r>
      <w:r w:rsidR="004E733C">
        <w:rPr>
          <w:rFonts w:asciiTheme="minorBidi" w:hAnsiTheme="minorBidi" w:cstheme="minorBidi"/>
          <w:sz w:val="22"/>
          <w:szCs w:val="22"/>
        </w:rPr>
        <w:t xml:space="preserve"> </w:t>
      </w:r>
      <w:r w:rsidRPr="00314239">
        <w:rPr>
          <w:rFonts w:asciiTheme="minorBidi" w:hAnsiTheme="minorBidi" w:cstheme="minorBidi"/>
          <w:sz w:val="22"/>
          <w:szCs w:val="22"/>
        </w:rPr>
        <w:t>care. After a stroke, many people experience difficulties with speech, understanding or swallowing. According to</w:t>
      </w:r>
      <w:r w:rsidR="004E733C">
        <w:rPr>
          <w:rFonts w:asciiTheme="minorBidi" w:hAnsiTheme="minorBidi" w:cstheme="minorBidi"/>
          <w:sz w:val="22"/>
          <w:szCs w:val="22"/>
        </w:rPr>
        <w:t xml:space="preserve"> NICE (2023),</w:t>
      </w:r>
      <w:r w:rsidRPr="00314239">
        <w:rPr>
          <w:rFonts w:asciiTheme="minorBidi" w:hAnsiTheme="minorBidi" w:cstheme="minorBidi"/>
          <w:sz w:val="22"/>
          <w:szCs w:val="22"/>
        </w:rPr>
        <w:t xml:space="preserve"> people recovering from stroke should receive clear communication support to meet their needs. In Mr. Ahmed’s case, communication is more complex because English is not his first language. </w:t>
      </w:r>
    </w:p>
    <w:p w14:paraId="58C3A7E4" w14:textId="77777777" w:rsidR="00001F45" w:rsidRDefault="008D5C4B" w:rsidP="00001F45">
      <w:pPr>
        <w:spacing w:line="360" w:lineRule="auto"/>
        <w:ind w:left="-5" w:right="5"/>
        <w:jc w:val="both"/>
        <w:rPr>
          <w:rFonts w:asciiTheme="minorBidi" w:hAnsiTheme="minorBidi" w:cstheme="minorBidi"/>
          <w:sz w:val="22"/>
          <w:szCs w:val="22"/>
        </w:rPr>
      </w:pPr>
      <w:r w:rsidRPr="004E733C">
        <w:rPr>
          <w:rFonts w:asciiTheme="minorBidi" w:hAnsiTheme="minorBidi" w:cstheme="minorBidi"/>
          <w:sz w:val="22"/>
          <w:szCs w:val="22"/>
        </w:rPr>
        <w:t>As Mr. Ahmed is Bengali and does not fully understand English, the care provider must make reasonable adjustments</w:t>
      </w:r>
      <w:r w:rsidR="000E2DBC">
        <w:rPr>
          <w:rFonts w:asciiTheme="minorBidi" w:hAnsiTheme="minorBidi" w:cstheme="minorBidi"/>
          <w:sz w:val="22"/>
          <w:szCs w:val="22"/>
        </w:rPr>
        <w:t xml:space="preserve"> (Equality Act 2010, s.20). This also ensures he</w:t>
      </w:r>
      <w:r w:rsidR="00F434A2">
        <w:rPr>
          <w:rFonts w:asciiTheme="minorBidi" w:hAnsiTheme="minorBidi" w:cstheme="minorBidi"/>
          <w:sz w:val="22"/>
          <w:szCs w:val="22"/>
        </w:rPr>
        <w:t xml:space="preserve"> is not disadvantaged </w:t>
      </w:r>
      <w:r w:rsidR="00F434A2">
        <w:rPr>
          <w:rFonts w:asciiTheme="minorBidi" w:hAnsiTheme="minorBidi" w:cstheme="minorBidi"/>
          <w:sz w:val="22"/>
          <w:szCs w:val="22"/>
        </w:rPr>
        <w:lastRenderedPageBreak/>
        <w:t>when accessing services</w:t>
      </w:r>
      <w:r w:rsidR="000E2DBC">
        <w:rPr>
          <w:rFonts w:asciiTheme="minorBidi" w:hAnsiTheme="minorBidi" w:cstheme="minorBidi"/>
          <w:sz w:val="22"/>
          <w:szCs w:val="22"/>
        </w:rPr>
        <w:t xml:space="preserve"> (Equality Act 2010, s.29). </w:t>
      </w:r>
      <w:r w:rsidRPr="004E733C">
        <w:rPr>
          <w:rFonts w:asciiTheme="minorBidi" w:hAnsiTheme="minorBidi" w:cstheme="minorBidi"/>
          <w:sz w:val="22"/>
          <w:szCs w:val="22"/>
        </w:rPr>
        <w:t xml:space="preserve">It is not always appropriate to rely only on family members to translate as this may lead to misunderstandings or issues with confidentiality. </w:t>
      </w:r>
    </w:p>
    <w:p w14:paraId="354D0C49" w14:textId="494AE1C2" w:rsidR="00024C47" w:rsidRDefault="00024C47" w:rsidP="00001F45">
      <w:pPr>
        <w:spacing w:line="360" w:lineRule="auto"/>
        <w:ind w:left="-5" w:right="5"/>
        <w:jc w:val="both"/>
        <w:rPr>
          <w:rFonts w:asciiTheme="minorBidi" w:hAnsiTheme="minorBidi" w:cstheme="minorBidi"/>
          <w:sz w:val="22"/>
          <w:szCs w:val="22"/>
        </w:rPr>
      </w:pPr>
      <w:r>
        <w:rPr>
          <w:rFonts w:asciiTheme="minorBidi" w:hAnsiTheme="minorBidi" w:cstheme="minorBidi"/>
          <w:sz w:val="22"/>
          <w:szCs w:val="22"/>
        </w:rPr>
        <w:t xml:space="preserve">Mr Ahmed should be involved in planning his care because services must promote individual wellbeing (Care </w:t>
      </w:r>
      <w:r w:rsidR="008D5C4B" w:rsidRPr="004E733C">
        <w:rPr>
          <w:rFonts w:asciiTheme="minorBidi" w:hAnsiTheme="minorBidi" w:cstheme="minorBidi"/>
          <w:sz w:val="22"/>
          <w:szCs w:val="22"/>
        </w:rPr>
        <w:t>Act 2014</w:t>
      </w:r>
      <w:r>
        <w:rPr>
          <w:rFonts w:asciiTheme="minorBidi" w:hAnsiTheme="minorBidi" w:cstheme="minorBidi"/>
          <w:sz w:val="22"/>
          <w:szCs w:val="22"/>
        </w:rPr>
        <w:t xml:space="preserve">, s.1). His needs should also be formally assessed to ensure appropriate support is provided at home (Care Act 2014, s.9). </w:t>
      </w:r>
    </w:p>
    <w:p w14:paraId="4EDB0E9D" w14:textId="1988EF32" w:rsidR="00E568BE" w:rsidRPr="004E733C" w:rsidRDefault="00024C47" w:rsidP="000E2DBC">
      <w:pPr>
        <w:spacing w:line="360" w:lineRule="auto"/>
        <w:jc w:val="both"/>
        <w:rPr>
          <w:rFonts w:asciiTheme="minorBidi" w:hAnsiTheme="minorBidi" w:cstheme="minorBidi"/>
          <w:sz w:val="22"/>
          <w:szCs w:val="22"/>
        </w:rPr>
      </w:pPr>
      <w:r>
        <w:rPr>
          <w:rFonts w:asciiTheme="minorBidi" w:hAnsiTheme="minorBidi" w:cstheme="minorBidi"/>
          <w:sz w:val="22"/>
          <w:szCs w:val="22"/>
        </w:rPr>
        <w:t>Professionals must not assume Mr Ahmed lacks understanding simply because he struggles with language.</w:t>
      </w:r>
      <w:r w:rsidR="008D5C4B" w:rsidRPr="004E733C">
        <w:rPr>
          <w:rFonts w:asciiTheme="minorBidi" w:hAnsiTheme="minorBidi" w:cstheme="minorBidi"/>
          <w:sz w:val="22"/>
          <w:szCs w:val="22"/>
        </w:rPr>
        <w:t xml:space="preserve"> </w:t>
      </w:r>
      <w:r w:rsidR="000E2DBC">
        <w:rPr>
          <w:rFonts w:asciiTheme="minorBidi" w:hAnsiTheme="minorBidi" w:cstheme="minorBidi"/>
          <w:sz w:val="22"/>
          <w:szCs w:val="22"/>
        </w:rPr>
        <w:t>The law states adults must be presumed to have capacity unless proven otherwise (</w:t>
      </w:r>
      <w:r w:rsidR="008D5C4B" w:rsidRPr="004E733C">
        <w:rPr>
          <w:rFonts w:asciiTheme="minorBidi" w:hAnsiTheme="minorBidi" w:cstheme="minorBidi"/>
          <w:sz w:val="22"/>
          <w:szCs w:val="22"/>
        </w:rPr>
        <w:t>Mental Capacity Act 2005</w:t>
      </w:r>
      <w:r w:rsidR="000E2DBC">
        <w:rPr>
          <w:rFonts w:asciiTheme="minorBidi" w:hAnsiTheme="minorBidi" w:cstheme="minorBidi"/>
          <w:sz w:val="22"/>
          <w:szCs w:val="22"/>
        </w:rPr>
        <w:t>, s.1). Staff should therefore explain information in simple terms to help him understand and make decisions. (Mental Capacity Act 2005, s.3). If he cannot</w:t>
      </w:r>
      <w:r w:rsidR="008D5C4B" w:rsidRPr="004E733C">
        <w:rPr>
          <w:rFonts w:asciiTheme="minorBidi" w:hAnsiTheme="minorBidi" w:cstheme="minorBidi"/>
          <w:sz w:val="22"/>
          <w:szCs w:val="22"/>
        </w:rPr>
        <w:t xml:space="preserve"> </w:t>
      </w:r>
      <w:r w:rsidR="000E2DBC">
        <w:rPr>
          <w:rFonts w:asciiTheme="minorBidi" w:hAnsiTheme="minorBidi" w:cstheme="minorBidi"/>
          <w:sz w:val="22"/>
          <w:szCs w:val="22"/>
        </w:rPr>
        <w:t>decide independently, professionals must act in his best interests (Mental Capacity Act 2005, s.4).</w:t>
      </w:r>
    </w:p>
    <w:p w14:paraId="44CC852F" w14:textId="26D0E6A0" w:rsidR="00E568BE" w:rsidRPr="004E733C" w:rsidRDefault="008D5C4B" w:rsidP="004E733C">
      <w:pPr>
        <w:spacing w:line="360" w:lineRule="auto"/>
        <w:jc w:val="both"/>
        <w:rPr>
          <w:rFonts w:asciiTheme="minorBidi" w:hAnsiTheme="minorBidi" w:cstheme="minorBidi"/>
          <w:sz w:val="22"/>
          <w:szCs w:val="22"/>
        </w:rPr>
      </w:pPr>
      <w:r w:rsidRPr="004E733C">
        <w:rPr>
          <w:rFonts w:asciiTheme="minorBidi" w:hAnsiTheme="minorBidi" w:cstheme="minorBidi"/>
          <w:sz w:val="22"/>
          <w:szCs w:val="22"/>
        </w:rPr>
        <w:t>One communication theory that can be applied is</w:t>
      </w:r>
      <w:r w:rsidR="00634E81">
        <w:rPr>
          <w:rFonts w:asciiTheme="minorBidi" w:hAnsiTheme="minorBidi" w:cstheme="minorBidi"/>
          <w:sz w:val="22"/>
          <w:szCs w:val="22"/>
        </w:rPr>
        <w:t xml:space="preserve"> Egan’s Soler model, which focuses on active listening and clear interaction between professionals and service users (Egan, 2014)</w:t>
      </w:r>
      <w:r w:rsidRPr="004E733C">
        <w:rPr>
          <w:rFonts w:asciiTheme="minorBidi" w:hAnsiTheme="minorBidi" w:cstheme="minorBidi"/>
          <w:sz w:val="22"/>
          <w:szCs w:val="22"/>
        </w:rPr>
        <w:t xml:space="preserve">. This </w:t>
      </w:r>
      <w:r w:rsidR="00634E81">
        <w:rPr>
          <w:rFonts w:asciiTheme="minorBidi" w:hAnsiTheme="minorBidi" w:cstheme="minorBidi"/>
          <w:sz w:val="22"/>
          <w:szCs w:val="22"/>
        </w:rPr>
        <w:t xml:space="preserve">approach encourages staff to face the service user, maintain appropriate eye contact and respond attentively. In Mr Ahmed’s case, misunderstanding could occur due to language barriers and stroke-related speech difficulties. Therefore, staff should speak clearly, use short sentences and check understanding using the teach-back method. </w:t>
      </w:r>
      <w:r w:rsidRPr="004E733C">
        <w:rPr>
          <w:rFonts w:asciiTheme="minorBidi" w:hAnsiTheme="minorBidi" w:cstheme="minorBidi"/>
          <w:sz w:val="22"/>
          <w:szCs w:val="22"/>
        </w:rPr>
        <w:t>For example, if a care worker explains medication instructions using complex English, Mr. Ahmed may misunderstand. To reduce noise, staff should speak clearly, use short sentences and check understanding using the “teach</w:t>
      </w:r>
      <w:r w:rsidR="004E733C">
        <w:rPr>
          <w:rFonts w:asciiTheme="minorBidi" w:hAnsiTheme="minorBidi" w:cstheme="minorBidi"/>
          <w:sz w:val="22"/>
          <w:szCs w:val="22"/>
        </w:rPr>
        <w:t>-</w:t>
      </w:r>
      <w:r w:rsidRPr="004E733C">
        <w:rPr>
          <w:rFonts w:asciiTheme="minorBidi" w:hAnsiTheme="minorBidi" w:cstheme="minorBidi"/>
          <w:sz w:val="22"/>
          <w:szCs w:val="22"/>
        </w:rPr>
        <w:t>back” method</w:t>
      </w:r>
      <w:r w:rsidR="004E733C">
        <w:rPr>
          <w:rFonts w:asciiTheme="minorBidi" w:hAnsiTheme="minorBidi" w:cstheme="minorBidi"/>
          <w:sz w:val="22"/>
          <w:szCs w:val="22"/>
        </w:rPr>
        <w:t xml:space="preserve"> </w:t>
      </w:r>
      <w:r w:rsidRPr="004E733C">
        <w:rPr>
          <w:rFonts w:asciiTheme="minorBidi" w:hAnsiTheme="minorBidi" w:cstheme="minorBidi"/>
          <w:sz w:val="22"/>
          <w:szCs w:val="22"/>
        </w:rPr>
        <w:t xml:space="preserve">where the patient repeats information in their own words. </w:t>
      </w:r>
    </w:p>
    <w:p w14:paraId="751E4858" w14:textId="249BCB1C" w:rsidR="00E568BE" w:rsidRPr="004E733C" w:rsidRDefault="008D5C4B" w:rsidP="004E733C">
      <w:pPr>
        <w:spacing w:line="360" w:lineRule="auto"/>
        <w:jc w:val="both"/>
        <w:rPr>
          <w:rFonts w:asciiTheme="minorBidi" w:hAnsiTheme="minorBidi" w:cstheme="minorBidi"/>
          <w:sz w:val="22"/>
          <w:szCs w:val="22"/>
        </w:rPr>
      </w:pPr>
      <w:r w:rsidRPr="004E733C">
        <w:rPr>
          <w:rFonts w:asciiTheme="minorBidi" w:hAnsiTheme="minorBidi" w:cstheme="minorBidi"/>
          <w:sz w:val="22"/>
          <w:szCs w:val="22"/>
        </w:rPr>
        <w:t>Non-verbal communication is also important</w:t>
      </w:r>
      <w:r w:rsidR="00851954">
        <w:rPr>
          <w:rFonts w:asciiTheme="minorBidi" w:hAnsiTheme="minorBidi" w:cstheme="minorBidi"/>
          <w:sz w:val="22"/>
          <w:szCs w:val="22"/>
        </w:rPr>
        <w:t>. S</w:t>
      </w:r>
      <w:r w:rsidRPr="004E733C">
        <w:rPr>
          <w:rFonts w:asciiTheme="minorBidi" w:hAnsiTheme="minorBidi" w:cstheme="minorBidi"/>
          <w:sz w:val="22"/>
          <w:szCs w:val="22"/>
        </w:rPr>
        <w:t xml:space="preserve">miling, </w:t>
      </w:r>
      <w:r w:rsidR="00851954">
        <w:rPr>
          <w:rFonts w:asciiTheme="minorBidi" w:hAnsiTheme="minorBidi" w:cstheme="minorBidi"/>
          <w:sz w:val="22"/>
          <w:szCs w:val="22"/>
        </w:rPr>
        <w:t xml:space="preserve">maintaining appropriate </w:t>
      </w:r>
      <w:r w:rsidRPr="004E733C">
        <w:rPr>
          <w:rFonts w:asciiTheme="minorBidi" w:hAnsiTheme="minorBidi" w:cstheme="minorBidi"/>
          <w:sz w:val="22"/>
          <w:szCs w:val="22"/>
        </w:rPr>
        <w:t xml:space="preserve">eye contact and </w:t>
      </w:r>
      <w:r w:rsidR="00851954">
        <w:rPr>
          <w:rFonts w:asciiTheme="minorBidi" w:hAnsiTheme="minorBidi" w:cstheme="minorBidi"/>
          <w:sz w:val="22"/>
          <w:szCs w:val="22"/>
        </w:rPr>
        <w:t xml:space="preserve">using </w:t>
      </w:r>
      <w:r w:rsidRPr="004E733C">
        <w:rPr>
          <w:rFonts w:asciiTheme="minorBidi" w:hAnsiTheme="minorBidi" w:cstheme="minorBidi"/>
          <w:sz w:val="22"/>
          <w:szCs w:val="22"/>
        </w:rPr>
        <w:t>calm body language can help Mr. Ahmed feel respected</w:t>
      </w:r>
      <w:r w:rsidR="00851954">
        <w:rPr>
          <w:rFonts w:asciiTheme="minorBidi" w:hAnsiTheme="minorBidi" w:cstheme="minorBidi"/>
          <w:sz w:val="22"/>
          <w:szCs w:val="22"/>
        </w:rPr>
        <w:t>, safe</w:t>
      </w:r>
      <w:r w:rsidRPr="004E733C">
        <w:rPr>
          <w:rFonts w:asciiTheme="minorBidi" w:hAnsiTheme="minorBidi" w:cstheme="minorBidi"/>
          <w:sz w:val="22"/>
          <w:szCs w:val="22"/>
        </w:rPr>
        <w:t xml:space="preserve"> and included. </w:t>
      </w:r>
      <w:r w:rsidR="00851954">
        <w:rPr>
          <w:rFonts w:asciiTheme="minorBidi" w:hAnsiTheme="minorBidi" w:cstheme="minorBidi"/>
          <w:sz w:val="22"/>
          <w:szCs w:val="22"/>
        </w:rPr>
        <w:t xml:space="preserve">Tone of voice, facial expressions and gestures can support understanding especially, when a person has difficulty with spoken language after a stroke. </w:t>
      </w:r>
      <w:r w:rsidRPr="004E733C">
        <w:rPr>
          <w:rFonts w:asciiTheme="minorBidi" w:hAnsiTheme="minorBidi" w:cstheme="minorBidi"/>
          <w:sz w:val="22"/>
          <w:szCs w:val="22"/>
        </w:rPr>
        <w:t xml:space="preserve">According to </w:t>
      </w:r>
      <w:r w:rsidR="00634E81">
        <w:rPr>
          <w:rFonts w:asciiTheme="minorBidi" w:hAnsiTheme="minorBidi" w:cstheme="minorBidi"/>
          <w:sz w:val="22"/>
          <w:szCs w:val="22"/>
        </w:rPr>
        <w:t>Argyle’s</w:t>
      </w:r>
      <w:r w:rsidRPr="004E733C">
        <w:rPr>
          <w:rFonts w:asciiTheme="minorBidi" w:hAnsiTheme="minorBidi" w:cstheme="minorBidi"/>
          <w:sz w:val="22"/>
          <w:szCs w:val="22"/>
        </w:rPr>
        <w:t xml:space="preserve"> </w:t>
      </w:r>
      <w:r w:rsidR="00F539E8">
        <w:rPr>
          <w:rFonts w:asciiTheme="minorBidi" w:hAnsiTheme="minorBidi" w:cstheme="minorBidi"/>
          <w:sz w:val="22"/>
          <w:szCs w:val="22"/>
        </w:rPr>
        <w:t>t</w:t>
      </w:r>
      <w:r w:rsidRPr="004E733C">
        <w:rPr>
          <w:rFonts w:asciiTheme="minorBidi" w:hAnsiTheme="minorBidi" w:cstheme="minorBidi"/>
          <w:sz w:val="22"/>
          <w:szCs w:val="22"/>
        </w:rPr>
        <w:t xml:space="preserve">heory of </w:t>
      </w:r>
      <w:r w:rsidR="00634E81">
        <w:rPr>
          <w:rFonts w:asciiTheme="minorBidi" w:hAnsiTheme="minorBidi" w:cstheme="minorBidi"/>
          <w:sz w:val="22"/>
          <w:szCs w:val="22"/>
        </w:rPr>
        <w:t xml:space="preserve">non-verbal communication, body language play a key role in building relationships and conveying meaning (Argyle, 1972). Therefore, if Mr Ahmed feel listened to and valued rather than rushed or ignored, he is more likely to engage in speech therapy and follow care service. </w:t>
      </w:r>
      <w:r w:rsidR="00851954">
        <w:rPr>
          <w:rFonts w:asciiTheme="minorBidi" w:hAnsiTheme="minorBidi" w:cstheme="minorBidi"/>
          <w:sz w:val="22"/>
          <w:szCs w:val="22"/>
        </w:rPr>
        <w:t xml:space="preserve">In addition, non-verbal communication can reduce anxiety and frustration that may occur when a person struggles to express themselves. For example, allowing time for response, nodding to show understanding and using reassuring posture can encourage Mr Ahmed to communicate at his own pace. </w:t>
      </w:r>
    </w:p>
    <w:p w14:paraId="4B5E9750" w14:textId="5E22E5BB" w:rsidR="00F539E8" w:rsidRDefault="008D5C4B" w:rsidP="00851954">
      <w:pPr>
        <w:spacing w:line="360" w:lineRule="auto"/>
        <w:jc w:val="both"/>
        <w:rPr>
          <w:rFonts w:asciiTheme="minorBidi" w:hAnsiTheme="minorBidi" w:cstheme="minorBidi"/>
          <w:sz w:val="22"/>
          <w:szCs w:val="22"/>
        </w:rPr>
      </w:pPr>
      <w:r w:rsidRPr="00F539E8">
        <w:rPr>
          <w:rFonts w:asciiTheme="minorBidi" w:hAnsiTheme="minorBidi" w:cstheme="minorBidi"/>
          <w:sz w:val="22"/>
          <w:szCs w:val="22"/>
        </w:rPr>
        <w:t xml:space="preserve">The missed home visit also shows why communication between professionals is important. The Care Quality Commission (CQC) requires openness and honesty under the Duty of Candour. The </w:t>
      </w:r>
      <w:r w:rsidRPr="00F539E8">
        <w:rPr>
          <w:rFonts w:asciiTheme="minorBidi" w:hAnsiTheme="minorBidi" w:cstheme="minorBidi"/>
          <w:sz w:val="22"/>
          <w:szCs w:val="22"/>
        </w:rPr>
        <w:lastRenderedPageBreak/>
        <w:t xml:space="preserve">care agency must explain what happened and what steps are being taken to prevent it happening again. </w:t>
      </w:r>
      <w:r w:rsidRPr="004E733C">
        <w:rPr>
          <w:rFonts w:asciiTheme="minorBidi" w:hAnsiTheme="minorBidi" w:cstheme="minorBidi"/>
          <w:sz w:val="22"/>
          <w:szCs w:val="22"/>
        </w:rPr>
        <w:t xml:space="preserve">Overall, effective communication ensures Mr. Ahmed understands his care, receives equal treatment and remains involved in decisions. </w:t>
      </w:r>
    </w:p>
    <w:p w14:paraId="23DF917F" w14:textId="77777777" w:rsidR="00E243F9" w:rsidRPr="004E733C" w:rsidRDefault="00E243F9" w:rsidP="00851954">
      <w:pPr>
        <w:spacing w:line="360" w:lineRule="auto"/>
        <w:jc w:val="both"/>
        <w:rPr>
          <w:rFonts w:asciiTheme="minorBidi" w:hAnsiTheme="minorBidi" w:cstheme="minorBidi"/>
          <w:sz w:val="22"/>
          <w:szCs w:val="22"/>
        </w:rPr>
      </w:pPr>
    </w:p>
    <w:p w14:paraId="4D162B0D" w14:textId="0BA8E43B" w:rsidR="00E568BE" w:rsidRPr="00314239" w:rsidRDefault="008D5C4B" w:rsidP="001F59FD">
      <w:pPr>
        <w:pStyle w:val="Heading3"/>
        <w:spacing w:line="360" w:lineRule="auto"/>
        <w:ind w:left="-5"/>
        <w:jc w:val="both"/>
        <w:rPr>
          <w:rFonts w:asciiTheme="minorBidi" w:hAnsiTheme="minorBidi" w:cstheme="minorBidi"/>
          <w:sz w:val="22"/>
          <w:szCs w:val="22"/>
        </w:rPr>
      </w:pPr>
      <w:bookmarkStart w:id="4" w:name="_Toc222997825"/>
      <w:r w:rsidRPr="00314239">
        <w:rPr>
          <w:rFonts w:asciiTheme="minorBidi" w:hAnsiTheme="minorBidi" w:cstheme="minorBidi"/>
          <w:sz w:val="22"/>
          <w:szCs w:val="22"/>
        </w:rPr>
        <w:t xml:space="preserve">Administrative </w:t>
      </w:r>
      <w:r w:rsidR="00024C47">
        <w:rPr>
          <w:rFonts w:asciiTheme="minorBidi" w:hAnsiTheme="minorBidi" w:cstheme="minorBidi"/>
          <w:sz w:val="22"/>
          <w:szCs w:val="22"/>
        </w:rPr>
        <w:t>S</w:t>
      </w:r>
      <w:r w:rsidRPr="00314239">
        <w:rPr>
          <w:rFonts w:asciiTheme="minorBidi" w:hAnsiTheme="minorBidi" w:cstheme="minorBidi"/>
          <w:sz w:val="22"/>
          <w:szCs w:val="22"/>
        </w:rPr>
        <w:t xml:space="preserve">kills and Data </w:t>
      </w:r>
      <w:r w:rsidR="00024C47">
        <w:rPr>
          <w:rFonts w:asciiTheme="minorBidi" w:hAnsiTheme="minorBidi" w:cstheme="minorBidi"/>
          <w:sz w:val="22"/>
          <w:szCs w:val="22"/>
        </w:rPr>
        <w:t>P</w:t>
      </w:r>
      <w:r w:rsidRPr="00314239">
        <w:rPr>
          <w:rFonts w:asciiTheme="minorBidi" w:hAnsiTheme="minorBidi" w:cstheme="minorBidi"/>
          <w:sz w:val="22"/>
          <w:szCs w:val="22"/>
        </w:rPr>
        <w:t>rotection</w:t>
      </w:r>
      <w:bookmarkEnd w:id="4"/>
      <w:r w:rsidRPr="00314239">
        <w:rPr>
          <w:rFonts w:asciiTheme="minorBidi" w:hAnsiTheme="minorBidi" w:cstheme="minorBidi"/>
          <w:sz w:val="22"/>
          <w:szCs w:val="22"/>
        </w:rPr>
        <w:t xml:space="preserve"> </w:t>
      </w:r>
    </w:p>
    <w:p w14:paraId="667E6D82" w14:textId="6E58DAF5" w:rsidR="00E568BE" w:rsidRPr="00314239" w:rsidRDefault="008D5C4B" w:rsidP="001F59FD">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Good administrative skills are essential in health and social care</w:t>
      </w:r>
      <w:r w:rsidR="00F539E8">
        <w:rPr>
          <w:rFonts w:asciiTheme="minorBidi" w:hAnsiTheme="minorBidi" w:cstheme="minorBidi"/>
          <w:sz w:val="22"/>
          <w:szCs w:val="22"/>
        </w:rPr>
        <w:t xml:space="preserve"> such as a</w:t>
      </w:r>
      <w:r w:rsidRPr="00314239">
        <w:rPr>
          <w:rFonts w:asciiTheme="minorBidi" w:hAnsiTheme="minorBidi" w:cstheme="minorBidi"/>
          <w:sz w:val="22"/>
          <w:szCs w:val="22"/>
        </w:rPr>
        <w:t>ccurate record keeping ensures continuity of care and protects both patients and professionals. The Nursing and Midwifery Council (2018) code states that professionals must keep clear and accurate records. In Mr. Ahmed’s case, several professionals are involved</w:t>
      </w:r>
      <w:r w:rsidR="00F539E8">
        <w:rPr>
          <w:rFonts w:asciiTheme="minorBidi" w:hAnsiTheme="minorBidi" w:cstheme="minorBidi"/>
          <w:sz w:val="22"/>
          <w:szCs w:val="22"/>
        </w:rPr>
        <w:t xml:space="preserve"> therefore,</w:t>
      </w:r>
      <w:r w:rsidRPr="00314239">
        <w:rPr>
          <w:rFonts w:asciiTheme="minorBidi" w:hAnsiTheme="minorBidi" w:cstheme="minorBidi"/>
          <w:sz w:val="22"/>
          <w:szCs w:val="22"/>
        </w:rPr>
        <w:t xml:space="preserve"> clear documentation is very important. </w:t>
      </w:r>
    </w:p>
    <w:p w14:paraId="1B3C01A0" w14:textId="74831C7E" w:rsidR="00E568BE" w:rsidRPr="00314239" w:rsidRDefault="008D5C4B" w:rsidP="001F59FD">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The missed care visit suggests possible administrative problems</w:t>
      </w:r>
      <w:r w:rsidR="00F539E8">
        <w:rPr>
          <w:rFonts w:asciiTheme="minorBidi" w:hAnsiTheme="minorBidi" w:cstheme="minorBidi"/>
          <w:sz w:val="22"/>
          <w:szCs w:val="22"/>
        </w:rPr>
        <w:t xml:space="preserve"> </w:t>
      </w:r>
      <w:r w:rsidRPr="00314239">
        <w:rPr>
          <w:rFonts w:asciiTheme="minorBidi" w:hAnsiTheme="minorBidi" w:cstheme="minorBidi"/>
          <w:sz w:val="22"/>
          <w:szCs w:val="22"/>
        </w:rPr>
        <w:t>such as</w:t>
      </w:r>
      <w:r w:rsidR="00F539E8">
        <w:rPr>
          <w:rFonts w:asciiTheme="minorBidi" w:hAnsiTheme="minorBidi" w:cstheme="minorBidi"/>
          <w:sz w:val="22"/>
          <w:szCs w:val="22"/>
        </w:rPr>
        <w:t>,</w:t>
      </w:r>
      <w:r w:rsidRPr="00314239">
        <w:rPr>
          <w:rFonts w:asciiTheme="minorBidi" w:hAnsiTheme="minorBidi" w:cstheme="minorBidi"/>
          <w:sz w:val="22"/>
          <w:szCs w:val="22"/>
        </w:rPr>
        <w:t xml:space="preserve"> poor rota planning or communication failure between staff. If visits are not scheduled properly or not recorded, medication can be delayed</w:t>
      </w:r>
      <w:r w:rsidR="00F539E8">
        <w:rPr>
          <w:rFonts w:asciiTheme="minorBidi" w:hAnsiTheme="minorBidi" w:cstheme="minorBidi"/>
          <w:sz w:val="22"/>
          <w:szCs w:val="22"/>
        </w:rPr>
        <w:t xml:space="preserve"> </w:t>
      </w:r>
      <w:r w:rsidRPr="00314239">
        <w:rPr>
          <w:rFonts w:asciiTheme="minorBidi" w:hAnsiTheme="minorBidi" w:cstheme="minorBidi"/>
          <w:sz w:val="22"/>
          <w:szCs w:val="22"/>
        </w:rPr>
        <w:t xml:space="preserve">which can be dangerous. Proper systems must be in place to ensure that all visits are logged, monitored and checked. There should also be clear </w:t>
      </w:r>
      <w:r w:rsidR="00F539E8" w:rsidRPr="00314239">
        <w:rPr>
          <w:rFonts w:asciiTheme="minorBidi" w:hAnsiTheme="minorBidi" w:cstheme="minorBidi"/>
          <w:sz w:val="22"/>
          <w:szCs w:val="22"/>
        </w:rPr>
        <w:t>procedures</w:t>
      </w:r>
      <w:r w:rsidRPr="00314239">
        <w:rPr>
          <w:rFonts w:asciiTheme="minorBidi" w:hAnsiTheme="minorBidi" w:cstheme="minorBidi"/>
          <w:sz w:val="22"/>
          <w:szCs w:val="22"/>
        </w:rPr>
        <w:t xml:space="preserve"> for reporting missed </w:t>
      </w:r>
      <w:r w:rsidR="00F539E8" w:rsidRPr="00314239">
        <w:rPr>
          <w:rFonts w:asciiTheme="minorBidi" w:hAnsiTheme="minorBidi" w:cstheme="minorBidi"/>
          <w:sz w:val="22"/>
          <w:szCs w:val="22"/>
        </w:rPr>
        <w:t>visits</w:t>
      </w:r>
      <w:r w:rsidRPr="00314239">
        <w:rPr>
          <w:rFonts w:asciiTheme="minorBidi" w:hAnsiTheme="minorBidi" w:cstheme="minorBidi"/>
          <w:sz w:val="22"/>
          <w:szCs w:val="22"/>
        </w:rPr>
        <w:t xml:space="preserve"> immediately. </w:t>
      </w:r>
    </w:p>
    <w:p w14:paraId="68171217" w14:textId="7DBB6DD7" w:rsidR="00E568BE" w:rsidRPr="00314239" w:rsidRDefault="008D5C4B" w:rsidP="001F59FD">
      <w:pPr>
        <w:spacing w:line="360" w:lineRule="auto"/>
        <w:ind w:left="-5" w:right="5"/>
        <w:jc w:val="both"/>
        <w:rPr>
          <w:rFonts w:asciiTheme="minorBidi" w:hAnsiTheme="minorBidi" w:cstheme="minorBidi"/>
          <w:sz w:val="22"/>
          <w:szCs w:val="22"/>
        </w:rPr>
      </w:pPr>
      <w:r w:rsidRPr="00F539E8">
        <w:rPr>
          <w:rFonts w:asciiTheme="minorBidi" w:hAnsiTheme="minorBidi" w:cstheme="minorBidi"/>
          <w:bCs/>
          <w:sz w:val="22"/>
          <w:szCs w:val="22"/>
        </w:rPr>
        <w:t xml:space="preserve">The </w:t>
      </w:r>
      <w:r w:rsidR="00F539E8">
        <w:rPr>
          <w:rFonts w:asciiTheme="minorBidi" w:hAnsiTheme="minorBidi" w:cstheme="minorBidi"/>
          <w:bCs/>
          <w:sz w:val="22"/>
          <w:szCs w:val="22"/>
        </w:rPr>
        <w:t>M</w:t>
      </w:r>
      <w:r w:rsidRPr="00F539E8">
        <w:rPr>
          <w:rFonts w:asciiTheme="minorBidi" w:hAnsiTheme="minorBidi" w:cstheme="minorBidi"/>
          <w:bCs/>
          <w:sz w:val="22"/>
          <w:szCs w:val="22"/>
        </w:rPr>
        <w:t>edicines Act 1968 and professional guidance require accurate medication records</w:t>
      </w:r>
      <w:r w:rsidR="00F539E8">
        <w:rPr>
          <w:rFonts w:asciiTheme="minorBidi" w:hAnsiTheme="minorBidi" w:cstheme="minorBidi"/>
          <w:bCs/>
          <w:sz w:val="22"/>
          <w:szCs w:val="22"/>
        </w:rPr>
        <w:t xml:space="preserve"> where e</w:t>
      </w:r>
      <w:r w:rsidRPr="00F539E8">
        <w:rPr>
          <w:rFonts w:asciiTheme="minorBidi" w:hAnsiTheme="minorBidi" w:cstheme="minorBidi"/>
          <w:bCs/>
          <w:sz w:val="22"/>
          <w:szCs w:val="22"/>
        </w:rPr>
        <w:t>very do</w:t>
      </w:r>
      <w:r w:rsidR="00F539E8">
        <w:rPr>
          <w:rFonts w:asciiTheme="minorBidi" w:hAnsiTheme="minorBidi" w:cstheme="minorBidi"/>
          <w:bCs/>
          <w:sz w:val="22"/>
          <w:szCs w:val="22"/>
        </w:rPr>
        <w:t>se</w:t>
      </w:r>
      <w:r w:rsidRPr="00F539E8">
        <w:rPr>
          <w:rFonts w:asciiTheme="minorBidi" w:hAnsiTheme="minorBidi" w:cstheme="minorBidi"/>
          <w:bCs/>
          <w:sz w:val="22"/>
          <w:szCs w:val="22"/>
        </w:rPr>
        <w:t xml:space="preserve"> given, refused or missed must be</w:t>
      </w:r>
      <w:r w:rsidRPr="00314239">
        <w:rPr>
          <w:rFonts w:asciiTheme="minorBidi" w:hAnsiTheme="minorBidi" w:cstheme="minorBidi"/>
          <w:sz w:val="22"/>
          <w:szCs w:val="22"/>
        </w:rPr>
        <w:t xml:space="preserve"> recorded. If Mr. Ahmed misses medication, this must be documented and the GP </w:t>
      </w:r>
      <w:r w:rsidR="00F539E8">
        <w:rPr>
          <w:rFonts w:asciiTheme="minorBidi" w:hAnsiTheme="minorBidi" w:cstheme="minorBidi"/>
          <w:sz w:val="22"/>
          <w:szCs w:val="22"/>
        </w:rPr>
        <w:t xml:space="preserve">should be </w:t>
      </w:r>
      <w:r w:rsidRPr="00314239">
        <w:rPr>
          <w:rFonts w:asciiTheme="minorBidi" w:hAnsiTheme="minorBidi" w:cstheme="minorBidi"/>
          <w:sz w:val="22"/>
          <w:szCs w:val="22"/>
        </w:rPr>
        <w:t xml:space="preserve">informed if necessary. Failure to record medication properly could lead to serious harm. </w:t>
      </w:r>
    </w:p>
    <w:p w14:paraId="3CAA886D" w14:textId="51C90FC6" w:rsidR="00E86321" w:rsidRDefault="008D5C4B" w:rsidP="00E86321">
      <w:pPr>
        <w:spacing w:line="360" w:lineRule="auto"/>
        <w:ind w:left="-5" w:right="5"/>
        <w:jc w:val="both"/>
        <w:rPr>
          <w:rFonts w:asciiTheme="minorBidi" w:hAnsiTheme="minorBidi" w:cstheme="minorBidi"/>
          <w:sz w:val="22"/>
          <w:szCs w:val="22"/>
        </w:rPr>
      </w:pPr>
      <w:r w:rsidRPr="00F539E8">
        <w:rPr>
          <w:rFonts w:asciiTheme="minorBidi" w:hAnsiTheme="minorBidi" w:cstheme="minorBidi"/>
          <w:bCs/>
          <w:sz w:val="22"/>
          <w:szCs w:val="22"/>
        </w:rPr>
        <w:t>The Data Protection Act 2018 and UK GDPR</w:t>
      </w:r>
      <w:r w:rsidRPr="00314239">
        <w:rPr>
          <w:rFonts w:asciiTheme="minorBidi" w:hAnsiTheme="minorBidi" w:cstheme="minorBidi"/>
          <w:sz w:val="22"/>
          <w:szCs w:val="22"/>
        </w:rPr>
        <w:t xml:space="preserve"> set rules about how personal information is handled. Mr. Ahmed’s health information is considered sensitive data</w:t>
      </w:r>
      <w:r w:rsidR="00F539E8">
        <w:rPr>
          <w:rFonts w:asciiTheme="minorBidi" w:hAnsiTheme="minorBidi" w:cstheme="minorBidi"/>
          <w:sz w:val="22"/>
          <w:szCs w:val="22"/>
        </w:rPr>
        <w:t xml:space="preserve"> so, i</w:t>
      </w:r>
      <w:r w:rsidRPr="00314239">
        <w:rPr>
          <w:rFonts w:asciiTheme="minorBidi" w:hAnsiTheme="minorBidi" w:cstheme="minorBidi"/>
          <w:sz w:val="22"/>
          <w:szCs w:val="22"/>
        </w:rPr>
        <w:t xml:space="preserve">t </w:t>
      </w:r>
      <w:r w:rsidR="00F539E8">
        <w:rPr>
          <w:rFonts w:asciiTheme="minorBidi" w:hAnsiTheme="minorBidi" w:cstheme="minorBidi"/>
          <w:sz w:val="22"/>
          <w:szCs w:val="22"/>
        </w:rPr>
        <w:t>should</w:t>
      </w:r>
      <w:r w:rsidRPr="00314239">
        <w:rPr>
          <w:rFonts w:asciiTheme="minorBidi" w:hAnsiTheme="minorBidi" w:cstheme="minorBidi"/>
          <w:sz w:val="22"/>
          <w:szCs w:val="22"/>
        </w:rPr>
        <w:t xml:space="preserve"> be stored securely and only shared with those who need it for his care. </w:t>
      </w:r>
      <w:r w:rsidR="00024C47">
        <w:rPr>
          <w:rFonts w:asciiTheme="minorBidi" w:hAnsiTheme="minorBidi" w:cstheme="minorBidi"/>
          <w:sz w:val="22"/>
          <w:szCs w:val="22"/>
        </w:rPr>
        <w:t xml:space="preserve">(Data Protection Act 2018, s.3). </w:t>
      </w:r>
      <w:r w:rsidRPr="00314239">
        <w:rPr>
          <w:rFonts w:asciiTheme="minorBidi" w:hAnsiTheme="minorBidi" w:cstheme="minorBidi"/>
          <w:sz w:val="22"/>
          <w:szCs w:val="22"/>
        </w:rPr>
        <w:t>For example, the GP and district nurse need access to relevant medical information but</w:t>
      </w:r>
      <w:r w:rsidR="00F539E8">
        <w:rPr>
          <w:rFonts w:asciiTheme="minorBidi" w:hAnsiTheme="minorBidi" w:cstheme="minorBidi"/>
          <w:sz w:val="22"/>
          <w:szCs w:val="22"/>
        </w:rPr>
        <w:t>,</w:t>
      </w:r>
      <w:r w:rsidRPr="00314239">
        <w:rPr>
          <w:rFonts w:asciiTheme="minorBidi" w:hAnsiTheme="minorBidi" w:cstheme="minorBidi"/>
          <w:sz w:val="22"/>
          <w:szCs w:val="22"/>
        </w:rPr>
        <w:t xml:space="preserve"> administrative staff only need access to contact details and scheduling information.</w:t>
      </w:r>
      <w:r w:rsidR="00024C47">
        <w:rPr>
          <w:rFonts w:asciiTheme="minorBidi" w:hAnsiTheme="minorBidi" w:cstheme="minorBidi"/>
          <w:sz w:val="22"/>
          <w:szCs w:val="22"/>
        </w:rPr>
        <w:t>(Data Protection Act 2018, s.35).</w:t>
      </w:r>
      <w:r w:rsidRPr="00314239">
        <w:rPr>
          <w:rFonts w:asciiTheme="minorBidi" w:hAnsiTheme="minorBidi" w:cstheme="minorBidi"/>
          <w:sz w:val="22"/>
          <w:szCs w:val="22"/>
        </w:rPr>
        <w:t xml:space="preserve"> There are key principles under data protection la</w:t>
      </w:r>
      <w:r w:rsidR="00F539E8">
        <w:rPr>
          <w:rFonts w:asciiTheme="minorBidi" w:hAnsiTheme="minorBidi" w:cstheme="minorBidi"/>
          <w:sz w:val="22"/>
          <w:szCs w:val="22"/>
        </w:rPr>
        <w:t xml:space="preserve">w which </w:t>
      </w:r>
      <w:r w:rsidRPr="00314239">
        <w:rPr>
          <w:rFonts w:asciiTheme="minorBidi" w:hAnsiTheme="minorBidi" w:cstheme="minorBidi"/>
          <w:sz w:val="22"/>
          <w:szCs w:val="22"/>
        </w:rPr>
        <w:t>include</w:t>
      </w:r>
      <w:r w:rsidR="00F539E8">
        <w:rPr>
          <w:rFonts w:asciiTheme="minorBidi" w:hAnsiTheme="minorBidi" w:cstheme="minorBidi"/>
          <w:sz w:val="22"/>
          <w:szCs w:val="22"/>
        </w:rPr>
        <w:t>s</w:t>
      </w:r>
      <w:r w:rsidRPr="00314239">
        <w:rPr>
          <w:rFonts w:asciiTheme="minorBidi" w:hAnsiTheme="minorBidi" w:cstheme="minorBidi"/>
          <w:sz w:val="22"/>
          <w:szCs w:val="22"/>
        </w:rPr>
        <w:t xml:space="preserve"> keeping data accurate, using it fairly, storing it securely and not keeping it longer than necessary. Staff must</w:t>
      </w:r>
      <w:r w:rsidR="00E86321">
        <w:rPr>
          <w:rFonts w:asciiTheme="minorBidi" w:hAnsiTheme="minorBidi" w:cstheme="minorBidi"/>
          <w:sz w:val="22"/>
          <w:szCs w:val="22"/>
        </w:rPr>
        <w:t xml:space="preserve"> also</w:t>
      </w:r>
      <w:r w:rsidRPr="00314239">
        <w:rPr>
          <w:rFonts w:asciiTheme="minorBidi" w:hAnsiTheme="minorBidi" w:cstheme="minorBidi"/>
          <w:sz w:val="22"/>
          <w:szCs w:val="22"/>
        </w:rPr>
        <w:t xml:space="preserve"> use password protection systems and lock paper files away</w:t>
      </w:r>
      <w:r w:rsidR="00E86321">
        <w:rPr>
          <w:rFonts w:asciiTheme="minorBidi" w:hAnsiTheme="minorBidi" w:cstheme="minorBidi"/>
          <w:sz w:val="22"/>
          <w:szCs w:val="22"/>
        </w:rPr>
        <w:t xml:space="preserve"> and when</w:t>
      </w:r>
      <w:r w:rsidRPr="00314239">
        <w:rPr>
          <w:rFonts w:asciiTheme="minorBidi" w:hAnsiTheme="minorBidi" w:cstheme="minorBidi"/>
          <w:sz w:val="22"/>
          <w:szCs w:val="22"/>
        </w:rPr>
        <w:t xml:space="preserve"> information is emailed, it should be encrypted</w:t>
      </w:r>
      <w:r w:rsidR="00E243F9">
        <w:rPr>
          <w:rFonts w:asciiTheme="minorBidi" w:hAnsiTheme="minorBidi" w:cstheme="minorBidi"/>
          <w:sz w:val="22"/>
          <w:szCs w:val="22"/>
        </w:rPr>
        <w:t xml:space="preserve"> (Data Protection Act 2018, Schedule 1).</w:t>
      </w:r>
    </w:p>
    <w:p w14:paraId="077C0D54" w14:textId="7B4C6423" w:rsidR="00E568BE" w:rsidRPr="00314239" w:rsidRDefault="008D5C4B" w:rsidP="00E86321">
      <w:pPr>
        <w:spacing w:line="360" w:lineRule="auto"/>
        <w:ind w:left="-15" w:right="5" w:firstLine="0"/>
        <w:jc w:val="both"/>
        <w:rPr>
          <w:rFonts w:asciiTheme="minorBidi" w:hAnsiTheme="minorBidi" w:cstheme="minorBidi"/>
          <w:sz w:val="22"/>
          <w:szCs w:val="22"/>
        </w:rPr>
      </w:pPr>
      <w:r w:rsidRPr="00314239">
        <w:rPr>
          <w:rFonts w:asciiTheme="minorBidi" w:hAnsiTheme="minorBidi" w:cstheme="minorBidi"/>
          <w:sz w:val="22"/>
          <w:szCs w:val="22"/>
        </w:rPr>
        <w:t>Mr. Ahmed also has the right to know how his information is used</w:t>
      </w:r>
      <w:r w:rsidR="00E86321">
        <w:rPr>
          <w:rFonts w:asciiTheme="minorBidi" w:hAnsiTheme="minorBidi" w:cstheme="minorBidi"/>
          <w:sz w:val="22"/>
          <w:szCs w:val="22"/>
        </w:rPr>
        <w:t xml:space="preserve">, </w:t>
      </w:r>
      <w:r w:rsidRPr="00314239">
        <w:rPr>
          <w:rFonts w:asciiTheme="minorBidi" w:hAnsiTheme="minorBidi" w:cstheme="minorBidi"/>
          <w:sz w:val="22"/>
          <w:szCs w:val="22"/>
        </w:rPr>
        <w:t>to access his records and request corrections. Providing privacy information in a language he understands</w:t>
      </w:r>
      <w:r w:rsidR="00E86321">
        <w:rPr>
          <w:rFonts w:asciiTheme="minorBidi" w:hAnsiTheme="minorBidi" w:cstheme="minorBidi"/>
          <w:sz w:val="22"/>
          <w:szCs w:val="22"/>
        </w:rPr>
        <w:t>,</w:t>
      </w:r>
      <w:r w:rsidRPr="00314239">
        <w:rPr>
          <w:rFonts w:asciiTheme="minorBidi" w:hAnsiTheme="minorBidi" w:cstheme="minorBidi"/>
          <w:sz w:val="22"/>
          <w:szCs w:val="22"/>
        </w:rPr>
        <w:t xml:space="preserve"> supports both data protection law and the Equality Act 2010. Clear documentation also supports teamwork</w:t>
      </w:r>
      <w:r w:rsidR="00E86321">
        <w:rPr>
          <w:rFonts w:asciiTheme="minorBidi" w:hAnsiTheme="minorBidi" w:cstheme="minorBidi"/>
          <w:sz w:val="22"/>
          <w:szCs w:val="22"/>
        </w:rPr>
        <w:t xml:space="preserve"> for </w:t>
      </w:r>
      <w:r w:rsidR="00E86321">
        <w:rPr>
          <w:rFonts w:asciiTheme="minorBidi" w:hAnsiTheme="minorBidi" w:cstheme="minorBidi"/>
          <w:sz w:val="22"/>
          <w:szCs w:val="22"/>
        </w:rPr>
        <w:lastRenderedPageBreak/>
        <w:t xml:space="preserve">instance, when </w:t>
      </w:r>
      <w:r w:rsidRPr="00314239">
        <w:rPr>
          <w:rFonts w:asciiTheme="minorBidi" w:hAnsiTheme="minorBidi" w:cstheme="minorBidi"/>
          <w:sz w:val="22"/>
          <w:szCs w:val="22"/>
        </w:rPr>
        <w:t>the district nurse records blood pressure readings</w:t>
      </w:r>
      <w:r w:rsidR="00E86321">
        <w:rPr>
          <w:rFonts w:asciiTheme="minorBidi" w:hAnsiTheme="minorBidi" w:cstheme="minorBidi"/>
          <w:sz w:val="22"/>
          <w:szCs w:val="22"/>
        </w:rPr>
        <w:t xml:space="preserve">, it </w:t>
      </w:r>
      <w:r w:rsidRPr="00314239">
        <w:rPr>
          <w:rFonts w:asciiTheme="minorBidi" w:hAnsiTheme="minorBidi" w:cstheme="minorBidi"/>
          <w:sz w:val="22"/>
          <w:szCs w:val="22"/>
        </w:rPr>
        <w:t>helps the GP monitor progress</w:t>
      </w:r>
      <w:r w:rsidR="00E86321">
        <w:rPr>
          <w:rFonts w:asciiTheme="minorBidi" w:hAnsiTheme="minorBidi" w:cstheme="minorBidi"/>
          <w:sz w:val="22"/>
          <w:szCs w:val="22"/>
        </w:rPr>
        <w:t xml:space="preserve"> and w</w:t>
      </w:r>
      <w:r w:rsidRPr="00314239">
        <w:rPr>
          <w:rFonts w:asciiTheme="minorBidi" w:hAnsiTheme="minorBidi" w:cstheme="minorBidi"/>
          <w:sz w:val="22"/>
          <w:szCs w:val="22"/>
        </w:rPr>
        <w:t xml:space="preserve">hen the speech therapist records communication progress, it helps care staff understand how to interact effectively. </w:t>
      </w:r>
    </w:p>
    <w:p w14:paraId="3D180038" w14:textId="3085052D" w:rsidR="00E568BE" w:rsidRDefault="008D5C4B" w:rsidP="001F59FD">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 xml:space="preserve">In summary, strong administrative systems prevent errors, protect confidentiality and improve patient safety. In Mr. Ahmed case, improved scheduling systems and accurate documentation could prevent future missed visits and medication delays. </w:t>
      </w:r>
    </w:p>
    <w:p w14:paraId="61A20B15" w14:textId="77777777" w:rsidR="00E86321" w:rsidRPr="00314239" w:rsidRDefault="00E86321" w:rsidP="001F59FD">
      <w:pPr>
        <w:spacing w:line="360" w:lineRule="auto"/>
        <w:ind w:left="-5" w:right="5"/>
        <w:jc w:val="both"/>
        <w:rPr>
          <w:rFonts w:asciiTheme="minorBidi" w:hAnsiTheme="minorBidi" w:cstheme="minorBidi"/>
          <w:sz w:val="22"/>
          <w:szCs w:val="22"/>
        </w:rPr>
      </w:pPr>
    </w:p>
    <w:p w14:paraId="5CCD40BB" w14:textId="77777777" w:rsidR="00E568BE" w:rsidRPr="00314239" w:rsidRDefault="008D5C4B" w:rsidP="001F59FD">
      <w:pPr>
        <w:pStyle w:val="Heading3"/>
        <w:spacing w:line="360" w:lineRule="auto"/>
        <w:ind w:left="-5"/>
        <w:jc w:val="both"/>
        <w:rPr>
          <w:rFonts w:asciiTheme="minorBidi" w:hAnsiTheme="minorBidi" w:cstheme="minorBidi"/>
          <w:sz w:val="22"/>
          <w:szCs w:val="22"/>
        </w:rPr>
      </w:pPr>
      <w:bookmarkStart w:id="5" w:name="_Toc222997826"/>
      <w:r w:rsidRPr="00314239">
        <w:rPr>
          <w:rFonts w:asciiTheme="minorBidi" w:hAnsiTheme="minorBidi" w:cstheme="minorBidi"/>
          <w:sz w:val="22"/>
          <w:szCs w:val="22"/>
        </w:rPr>
        <w:t>Multi-Agency Working</w:t>
      </w:r>
      <w:bookmarkEnd w:id="5"/>
      <w:r w:rsidRPr="00314239">
        <w:rPr>
          <w:rFonts w:asciiTheme="minorBidi" w:hAnsiTheme="minorBidi" w:cstheme="minorBidi"/>
          <w:sz w:val="22"/>
          <w:szCs w:val="22"/>
        </w:rPr>
        <w:t xml:space="preserve"> </w:t>
      </w:r>
    </w:p>
    <w:p w14:paraId="49391E59" w14:textId="2C3845C0" w:rsidR="00E568BE" w:rsidRPr="00314239" w:rsidRDefault="008D5C4B" w:rsidP="001F59FD">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Mr. Ahmed’s care involves several professionals working together</w:t>
      </w:r>
      <w:r w:rsidR="00E86321">
        <w:rPr>
          <w:rFonts w:asciiTheme="minorBidi" w:hAnsiTheme="minorBidi" w:cstheme="minorBidi"/>
          <w:sz w:val="22"/>
          <w:szCs w:val="22"/>
        </w:rPr>
        <w:t xml:space="preserve"> which </w:t>
      </w:r>
      <w:r w:rsidRPr="00314239">
        <w:rPr>
          <w:rFonts w:asciiTheme="minorBidi" w:hAnsiTheme="minorBidi" w:cstheme="minorBidi"/>
          <w:sz w:val="22"/>
          <w:szCs w:val="22"/>
        </w:rPr>
        <w:t xml:space="preserve">is knows as multidisciplinary or multi-agency working. Effective teamwork improves outcomes and reduces risks. The Care Act 2014 highlights the importance of cooperation between organisations to promote wellbeing. </w:t>
      </w:r>
    </w:p>
    <w:p w14:paraId="2F4E230F" w14:textId="13547003" w:rsidR="00E568BE" w:rsidRPr="00314239" w:rsidRDefault="008D5C4B" w:rsidP="001F59FD">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The GP manages Mr. Ahmed’s overall medical care and medication</w:t>
      </w:r>
      <w:r w:rsidR="00E86321">
        <w:rPr>
          <w:rFonts w:asciiTheme="minorBidi" w:hAnsiTheme="minorBidi" w:cstheme="minorBidi"/>
          <w:sz w:val="22"/>
          <w:szCs w:val="22"/>
        </w:rPr>
        <w:t>, t</w:t>
      </w:r>
      <w:r w:rsidRPr="00314239">
        <w:rPr>
          <w:rFonts w:asciiTheme="minorBidi" w:hAnsiTheme="minorBidi" w:cstheme="minorBidi"/>
          <w:sz w:val="22"/>
          <w:szCs w:val="22"/>
        </w:rPr>
        <w:t>he district nurse monitors blood pressure and wound care</w:t>
      </w:r>
      <w:r w:rsidR="00E86321">
        <w:rPr>
          <w:rFonts w:asciiTheme="minorBidi" w:hAnsiTheme="minorBidi" w:cstheme="minorBidi"/>
          <w:sz w:val="22"/>
          <w:szCs w:val="22"/>
        </w:rPr>
        <w:t>, t</w:t>
      </w:r>
      <w:r w:rsidRPr="00314239">
        <w:rPr>
          <w:rFonts w:asciiTheme="minorBidi" w:hAnsiTheme="minorBidi" w:cstheme="minorBidi"/>
          <w:sz w:val="22"/>
          <w:szCs w:val="22"/>
        </w:rPr>
        <w:t>he speech and language therapist support communication and swallowing</w:t>
      </w:r>
      <w:r w:rsidR="00E86321">
        <w:rPr>
          <w:rFonts w:asciiTheme="minorBidi" w:hAnsiTheme="minorBidi" w:cstheme="minorBidi"/>
          <w:sz w:val="22"/>
          <w:szCs w:val="22"/>
        </w:rPr>
        <w:t xml:space="preserve"> and the home</w:t>
      </w:r>
      <w:r w:rsidRPr="00314239">
        <w:rPr>
          <w:rFonts w:asciiTheme="minorBidi" w:hAnsiTheme="minorBidi" w:cstheme="minorBidi"/>
          <w:sz w:val="22"/>
          <w:szCs w:val="22"/>
        </w:rPr>
        <w:t xml:space="preserve"> care workers assist with personal care and medication administration. </w:t>
      </w:r>
      <w:r w:rsidR="00E86321">
        <w:rPr>
          <w:rFonts w:asciiTheme="minorBidi" w:hAnsiTheme="minorBidi" w:cstheme="minorBidi"/>
          <w:sz w:val="22"/>
          <w:szCs w:val="22"/>
        </w:rPr>
        <w:t>This shows that e</w:t>
      </w:r>
      <w:r w:rsidRPr="00314239">
        <w:rPr>
          <w:rFonts w:asciiTheme="minorBidi" w:hAnsiTheme="minorBidi" w:cstheme="minorBidi"/>
          <w:sz w:val="22"/>
          <w:szCs w:val="22"/>
        </w:rPr>
        <w:t xml:space="preserve">ach professional has a different role, but they must communicate regularly. </w:t>
      </w:r>
    </w:p>
    <w:p w14:paraId="1EA5969E" w14:textId="7B664BC8" w:rsidR="00E568BE" w:rsidRPr="00314239" w:rsidRDefault="008D5C4B" w:rsidP="00E86321">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One approach to affective teamwork is regular review meetings</w:t>
      </w:r>
      <w:r w:rsidR="00E86321">
        <w:rPr>
          <w:rFonts w:asciiTheme="minorBidi" w:hAnsiTheme="minorBidi" w:cstheme="minorBidi"/>
          <w:sz w:val="22"/>
          <w:szCs w:val="22"/>
        </w:rPr>
        <w:t xml:space="preserve"> because these </w:t>
      </w:r>
      <w:r w:rsidRPr="00314239">
        <w:rPr>
          <w:rFonts w:asciiTheme="minorBidi" w:hAnsiTheme="minorBidi" w:cstheme="minorBidi"/>
          <w:sz w:val="22"/>
          <w:szCs w:val="22"/>
        </w:rPr>
        <w:t>meetings allow professionals to discuss progress, share concerns and update care plans. Shared electronic records can also improve coordinatio</w:t>
      </w:r>
      <w:r w:rsidR="00E86321">
        <w:rPr>
          <w:rFonts w:asciiTheme="minorBidi" w:hAnsiTheme="minorBidi" w:cstheme="minorBidi"/>
          <w:sz w:val="22"/>
          <w:szCs w:val="22"/>
        </w:rPr>
        <w:t>n and c</w:t>
      </w:r>
      <w:r w:rsidRPr="00314239">
        <w:rPr>
          <w:rFonts w:asciiTheme="minorBidi" w:hAnsiTheme="minorBidi" w:cstheme="minorBidi"/>
          <w:sz w:val="22"/>
          <w:szCs w:val="22"/>
        </w:rPr>
        <w:t xml:space="preserve">lear leadership </w:t>
      </w:r>
      <w:r w:rsidR="00E86321">
        <w:rPr>
          <w:rFonts w:asciiTheme="minorBidi" w:hAnsiTheme="minorBidi" w:cstheme="minorBidi"/>
          <w:sz w:val="22"/>
          <w:szCs w:val="22"/>
        </w:rPr>
        <w:t>along with</w:t>
      </w:r>
      <w:r w:rsidRPr="00314239">
        <w:rPr>
          <w:rFonts w:asciiTheme="minorBidi" w:hAnsiTheme="minorBidi" w:cstheme="minorBidi"/>
          <w:sz w:val="22"/>
          <w:szCs w:val="22"/>
        </w:rPr>
        <w:t xml:space="preserve"> defined roles help prevent confusion. However, challenges can arise</w:t>
      </w:r>
      <w:r w:rsidR="00E86321">
        <w:rPr>
          <w:rFonts w:asciiTheme="minorBidi" w:hAnsiTheme="minorBidi" w:cstheme="minorBidi"/>
          <w:sz w:val="22"/>
          <w:szCs w:val="22"/>
        </w:rPr>
        <w:t xml:space="preserve"> </w:t>
      </w:r>
      <w:r w:rsidR="007C480A">
        <w:rPr>
          <w:rFonts w:asciiTheme="minorBidi" w:hAnsiTheme="minorBidi" w:cstheme="minorBidi"/>
          <w:sz w:val="22"/>
          <w:szCs w:val="22"/>
        </w:rPr>
        <w:t xml:space="preserve">like, </w:t>
      </w:r>
      <w:r w:rsidR="00E86321">
        <w:rPr>
          <w:rFonts w:asciiTheme="minorBidi" w:hAnsiTheme="minorBidi" w:cstheme="minorBidi"/>
          <w:sz w:val="22"/>
          <w:szCs w:val="22"/>
        </w:rPr>
        <w:t>d</w:t>
      </w:r>
      <w:r w:rsidRPr="00314239">
        <w:rPr>
          <w:rFonts w:asciiTheme="minorBidi" w:hAnsiTheme="minorBidi" w:cstheme="minorBidi"/>
          <w:sz w:val="22"/>
          <w:szCs w:val="22"/>
        </w:rPr>
        <w:t>ifferent organisation</w:t>
      </w:r>
      <w:r w:rsidR="00853304">
        <w:rPr>
          <w:rFonts w:asciiTheme="minorBidi" w:hAnsiTheme="minorBidi" w:cstheme="minorBidi"/>
          <w:sz w:val="22"/>
          <w:szCs w:val="22"/>
        </w:rPr>
        <w:t>s</w:t>
      </w:r>
      <w:r w:rsidRPr="00314239">
        <w:rPr>
          <w:rFonts w:asciiTheme="minorBidi" w:hAnsiTheme="minorBidi" w:cstheme="minorBidi"/>
          <w:sz w:val="22"/>
          <w:szCs w:val="22"/>
        </w:rPr>
        <w:t xml:space="preserve"> may use different systems</w:t>
      </w:r>
      <w:r w:rsidR="00853304">
        <w:rPr>
          <w:rFonts w:asciiTheme="minorBidi" w:hAnsiTheme="minorBidi" w:cstheme="minorBidi"/>
          <w:sz w:val="22"/>
          <w:szCs w:val="22"/>
        </w:rPr>
        <w:t xml:space="preserve">, </w:t>
      </w:r>
      <w:r w:rsidRPr="00314239">
        <w:rPr>
          <w:rFonts w:asciiTheme="minorBidi" w:hAnsiTheme="minorBidi" w:cstheme="minorBidi"/>
          <w:sz w:val="22"/>
          <w:szCs w:val="22"/>
        </w:rPr>
        <w:t xml:space="preserve">delays </w:t>
      </w:r>
      <w:r w:rsidR="007C480A">
        <w:rPr>
          <w:rFonts w:asciiTheme="minorBidi" w:hAnsiTheme="minorBidi" w:cstheme="minorBidi"/>
          <w:sz w:val="22"/>
          <w:szCs w:val="22"/>
        </w:rPr>
        <w:t>with</w:t>
      </w:r>
      <w:r w:rsidRPr="00314239">
        <w:rPr>
          <w:rFonts w:asciiTheme="minorBidi" w:hAnsiTheme="minorBidi" w:cstheme="minorBidi"/>
          <w:sz w:val="22"/>
          <w:szCs w:val="22"/>
        </w:rPr>
        <w:t>in communication</w:t>
      </w:r>
      <w:r w:rsidR="007C480A">
        <w:rPr>
          <w:rFonts w:asciiTheme="minorBidi" w:hAnsiTheme="minorBidi" w:cstheme="minorBidi"/>
          <w:sz w:val="22"/>
          <w:szCs w:val="22"/>
        </w:rPr>
        <w:t>,</w:t>
      </w:r>
      <w:r w:rsidRPr="00314239">
        <w:rPr>
          <w:rFonts w:asciiTheme="minorBidi" w:hAnsiTheme="minorBidi" w:cstheme="minorBidi"/>
          <w:sz w:val="22"/>
          <w:szCs w:val="22"/>
        </w:rPr>
        <w:t xml:space="preserve"> misunderstandings about responsibilities</w:t>
      </w:r>
      <w:r w:rsidR="007C480A">
        <w:rPr>
          <w:rFonts w:asciiTheme="minorBidi" w:hAnsiTheme="minorBidi" w:cstheme="minorBidi"/>
          <w:sz w:val="22"/>
          <w:szCs w:val="22"/>
        </w:rPr>
        <w:t xml:space="preserve"> or cultural </w:t>
      </w:r>
      <w:r w:rsidRPr="00314239">
        <w:rPr>
          <w:rFonts w:asciiTheme="minorBidi" w:hAnsiTheme="minorBidi" w:cstheme="minorBidi"/>
          <w:sz w:val="22"/>
          <w:szCs w:val="22"/>
        </w:rPr>
        <w:t>and language differences. For example, if a care worker notices a change in Mr. Ahmed’s speech but does not report it properly, the therapist may no</w:t>
      </w:r>
      <w:r w:rsidR="007C480A">
        <w:rPr>
          <w:rFonts w:asciiTheme="minorBidi" w:hAnsiTheme="minorBidi" w:cstheme="minorBidi"/>
          <w:sz w:val="22"/>
          <w:szCs w:val="22"/>
        </w:rPr>
        <w:t>t</w:t>
      </w:r>
      <w:r w:rsidRPr="00314239">
        <w:rPr>
          <w:rFonts w:asciiTheme="minorBidi" w:hAnsiTheme="minorBidi" w:cstheme="minorBidi"/>
          <w:sz w:val="22"/>
          <w:szCs w:val="22"/>
        </w:rPr>
        <w:t xml:space="preserve"> be aware of </w:t>
      </w:r>
      <w:r w:rsidR="007C480A">
        <w:rPr>
          <w:rFonts w:asciiTheme="minorBidi" w:hAnsiTheme="minorBidi" w:cstheme="minorBidi"/>
          <w:sz w:val="22"/>
          <w:szCs w:val="22"/>
        </w:rPr>
        <w:t xml:space="preserve">any </w:t>
      </w:r>
      <w:r w:rsidRPr="00314239">
        <w:rPr>
          <w:rFonts w:asciiTheme="minorBidi" w:hAnsiTheme="minorBidi" w:cstheme="minorBidi"/>
          <w:sz w:val="22"/>
          <w:szCs w:val="22"/>
        </w:rPr>
        <w:t xml:space="preserve">deterioration. </w:t>
      </w:r>
    </w:p>
    <w:p w14:paraId="1990D017" w14:textId="3FC40915" w:rsidR="00E568BE" w:rsidRDefault="008D5C4B" w:rsidP="007C480A">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To overcome these challenges, professionals should follow clear communication pathways, respect each other’s roles, and use standardised reporting tools. The health and care professions council (2016) standards require professionals to work collaboratively and share information appropriately. The recent missed visit should be reviewed by the whole team to identify system failures</w:t>
      </w:r>
      <w:r w:rsidR="007C480A">
        <w:rPr>
          <w:rFonts w:asciiTheme="minorBidi" w:hAnsiTheme="minorBidi" w:cstheme="minorBidi"/>
          <w:sz w:val="22"/>
          <w:szCs w:val="22"/>
        </w:rPr>
        <w:t xml:space="preserve"> because l</w:t>
      </w:r>
      <w:r w:rsidRPr="00314239">
        <w:rPr>
          <w:rFonts w:asciiTheme="minorBidi" w:hAnsiTheme="minorBidi" w:cstheme="minorBidi"/>
          <w:sz w:val="22"/>
          <w:szCs w:val="22"/>
        </w:rPr>
        <w:t xml:space="preserve">earning form incidents improves quality and safety. When teams work effectively together, Mr. Ahmed receives coordinated, person-centred care.  </w:t>
      </w:r>
    </w:p>
    <w:p w14:paraId="53F94E83" w14:textId="77777777" w:rsidR="007C480A" w:rsidRPr="00314239" w:rsidRDefault="007C480A" w:rsidP="007C480A">
      <w:pPr>
        <w:spacing w:line="360" w:lineRule="auto"/>
        <w:ind w:left="-5" w:right="5"/>
        <w:jc w:val="both"/>
        <w:rPr>
          <w:rFonts w:asciiTheme="minorBidi" w:hAnsiTheme="minorBidi" w:cstheme="minorBidi"/>
          <w:sz w:val="22"/>
          <w:szCs w:val="22"/>
        </w:rPr>
      </w:pPr>
    </w:p>
    <w:p w14:paraId="638BBFA5" w14:textId="77777777" w:rsidR="00E568BE" w:rsidRPr="00314239" w:rsidRDefault="008D5C4B" w:rsidP="001F59FD">
      <w:pPr>
        <w:pStyle w:val="Heading3"/>
        <w:spacing w:line="360" w:lineRule="auto"/>
        <w:ind w:left="-5"/>
        <w:jc w:val="both"/>
        <w:rPr>
          <w:rFonts w:asciiTheme="minorBidi" w:hAnsiTheme="minorBidi" w:cstheme="minorBidi"/>
          <w:sz w:val="22"/>
          <w:szCs w:val="22"/>
        </w:rPr>
      </w:pPr>
      <w:bookmarkStart w:id="6" w:name="_Toc222997827"/>
      <w:r w:rsidRPr="00314239">
        <w:rPr>
          <w:rFonts w:asciiTheme="minorBidi" w:hAnsiTheme="minorBidi" w:cstheme="minorBidi"/>
          <w:sz w:val="22"/>
          <w:szCs w:val="22"/>
        </w:rPr>
        <w:lastRenderedPageBreak/>
        <w:t>Conclusion</w:t>
      </w:r>
      <w:bookmarkEnd w:id="6"/>
      <w:r w:rsidRPr="00314239">
        <w:rPr>
          <w:rFonts w:asciiTheme="minorBidi" w:hAnsiTheme="minorBidi" w:cstheme="minorBidi"/>
          <w:b w:val="0"/>
          <w:sz w:val="22"/>
          <w:szCs w:val="22"/>
        </w:rPr>
        <w:t xml:space="preserve">  </w:t>
      </w:r>
    </w:p>
    <w:p w14:paraId="03440D1D" w14:textId="6B7694EB" w:rsidR="00E568BE" w:rsidRDefault="008D5C4B" w:rsidP="001F59FD">
      <w:pPr>
        <w:spacing w:line="360" w:lineRule="auto"/>
        <w:ind w:left="-5" w:right="5"/>
        <w:jc w:val="both"/>
        <w:rPr>
          <w:rFonts w:asciiTheme="minorBidi" w:hAnsiTheme="minorBidi" w:cstheme="minorBidi"/>
          <w:sz w:val="22"/>
          <w:szCs w:val="22"/>
        </w:rPr>
      </w:pPr>
      <w:r w:rsidRPr="00314239">
        <w:rPr>
          <w:rFonts w:asciiTheme="minorBidi" w:hAnsiTheme="minorBidi" w:cstheme="minorBidi"/>
          <w:sz w:val="22"/>
          <w:szCs w:val="22"/>
        </w:rPr>
        <w:t>In conclusion, Mr. Ahmed's case highlights the importance of communication, administration, and teamwork in health and social care. Effective communication supported by the Equality Act (2010) and person-centred principles ensure that Mr. Ahmed understands and participates in his care. Administrative skills, including accurate record keeping and compliance with the Data Protection Act (2018) protect confidentiality and reduce risks such as missed medication. Multi-agency working allows professionals to combine their skills to provide coordinated support. The recent missed visit shows how failures in communication or administration can impact patient safety. By improving systems, ensuring legal compliance and promoting collaboration, professionals can deliver high-quality, safe and respectful care to Mr. Ahmed.</w:t>
      </w:r>
    </w:p>
    <w:p w14:paraId="79323F1D" w14:textId="17AC2363" w:rsidR="00851954" w:rsidRDefault="00851954">
      <w:pPr>
        <w:spacing w:after="160" w:line="278" w:lineRule="auto"/>
        <w:ind w:left="0" w:firstLine="0"/>
        <w:rPr>
          <w:rFonts w:asciiTheme="minorBidi" w:hAnsiTheme="minorBidi" w:cstheme="minorBidi"/>
          <w:sz w:val="22"/>
          <w:szCs w:val="22"/>
        </w:rPr>
      </w:pPr>
      <w:r>
        <w:rPr>
          <w:rFonts w:asciiTheme="minorBidi" w:hAnsiTheme="minorBidi" w:cstheme="minorBidi"/>
          <w:sz w:val="22"/>
          <w:szCs w:val="22"/>
        </w:rPr>
        <w:br w:type="page"/>
      </w:r>
    </w:p>
    <w:p w14:paraId="41D65D83" w14:textId="09B01878" w:rsidR="00851954" w:rsidRPr="00851954" w:rsidRDefault="00851954" w:rsidP="00C019EA">
      <w:pPr>
        <w:pStyle w:val="Heading3"/>
        <w:spacing w:line="360" w:lineRule="auto"/>
        <w:jc w:val="both"/>
        <w:rPr>
          <w:rFonts w:asciiTheme="minorBidi" w:hAnsiTheme="minorBidi" w:cstheme="minorBidi"/>
          <w:sz w:val="22"/>
          <w:szCs w:val="22"/>
        </w:rPr>
      </w:pPr>
      <w:bookmarkStart w:id="7" w:name="_Toc222997828"/>
      <w:r w:rsidRPr="00851954">
        <w:rPr>
          <w:rFonts w:asciiTheme="minorBidi" w:hAnsiTheme="minorBidi" w:cstheme="minorBidi"/>
          <w:sz w:val="22"/>
          <w:szCs w:val="22"/>
        </w:rPr>
        <w:lastRenderedPageBreak/>
        <w:t>References</w:t>
      </w:r>
      <w:bookmarkEnd w:id="7"/>
    </w:p>
    <w:p w14:paraId="28B424C4" w14:textId="77777777" w:rsidR="00E243F9" w:rsidRPr="00E243F9" w:rsidRDefault="00E243F9" w:rsidP="00E243F9">
      <w:pPr>
        <w:spacing w:line="360" w:lineRule="auto"/>
        <w:ind w:left="0" w:right="5" w:firstLine="0"/>
        <w:jc w:val="both"/>
        <w:rPr>
          <w:rFonts w:asciiTheme="minorBidi" w:hAnsiTheme="minorBidi" w:cstheme="minorBidi"/>
          <w:sz w:val="22"/>
          <w:szCs w:val="22"/>
        </w:rPr>
      </w:pPr>
      <w:r w:rsidRPr="00E243F9">
        <w:rPr>
          <w:rFonts w:asciiTheme="minorBidi" w:hAnsiTheme="minorBidi" w:cstheme="minorBidi"/>
          <w:sz w:val="22"/>
          <w:szCs w:val="22"/>
        </w:rPr>
        <w:t>Care Act 2014</w:t>
      </w:r>
      <w:r>
        <w:rPr>
          <w:rFonts w:asciiTheme="minorBidi" w:hAnsiTheme="minorBidi" w:cstheme="minorBidi"/>
          <w:sz w:val="22"/>
          <w:szCs w:val="22"/>
        </w:rPr>
        <w:t>.</w:t>
      </w:r>
      <w:r w:rsidRPr="00E243F9">
        <w:rPr>
          <w:rFonts w:asciiTheme="minorBidi" w:hAnsiTheme="minorBidi" w:cstheme="minorBidi"/>
          <w:sz w:val="22"/>
          <w:szCs w:val="22"/>
        </w:rPr>
        <w:t xml:space="preserve"> (2014)</w:t>
      </w:r>
      <w:r>
        <w:rPr>
          <w:rFonts w:asciiTheme="minorBidi" w:hAnsiTheme="minorBidi" w:cstheme="minorBidi"/>
          <w:sz w:val="22"/>
          <w:szCs w:val="22"/>
        </w:rPr>
        <w:t>.</w:t>
      </w:r>
      <w:r w:rsidRPr="00E243F9">
        <w:rPr>
          <w:rFonts w:asciiTheme="minorBidi" w:hAnsiTheme="minorBidi" w:cstheme="minorBidi"/>
          <w:sz w:val="22"/>
          <w:szCs w:val="22"/>
        </w:rPr>
        <w:t xml:space="preserve"> </w:t>
      </w:r>
      <w:r w:rsidRPr="00E243F9">
        <w:rPr>
          <w:rFonts w:asciiTheme="minorBidi" w:hAnsiTheme="minorBidi" w:cstheme="minorBidi"/>
          <w:i/>
          <w:iCs/>
          <w:sz w:val="22"/>
          <w:szCs w:val="22"/>
        </w:rPr>
        <w:t>Care Act 2014, c.23.</w:t>
      </w:r>
      <w:r w:rsidRPr="00E243F9">
        <w:rPr>
          <w:rFonts w:asciiTheme="minorBidi" w:hAnsiTheme="minorBidi" w:cstheme="minorBidi"/>
          <w:sz w:val="22"/>
          <w:szCs w:val="22"/>
        </w:rPr>
        <w:t xml:space="preserve"> </w:t>
      </w:r>
      <w:r w:rsidRPr="00E243F9">
        <w:rPr>
          <w:rFonts w:asciiTheme="minorBidi" w:hAnsiTheme="minorBidi" w:cstheme="minorBidi"/>
          <w:i/>
          <w:iCs/>
          <w:sz w:val="22"/>
          <w:szCs w:val="22"/>
        </w:rPr>
        <w:t>London: The Stationery Office.</w:t>
      </w:r>
      <w:r w:rsidRPr="00E243F9">
        <w:rPr>
          <w:rFonts w:asciiTheme="minorBidi" w:hAnsiTheme="minorBidi" w:cstheme="minorBidi"/>
          <w:sz w:val="22"/>
          <w:szCs w:val="22"/>
        </w:rPr>
        <w:t xml:space="preserve"> Available at: </w:t>
      </w:r>
      <w:hyperlink r:id="rId5" w:tgtFrame="_blank" w:history="1">
        <w:r w:rsidRPr="00E243F9">
          <w:rPr>
            <w:rStyle w:val="Hyperlink"/>
            <w:rFonts w:asciiTheme="minorBidi" w:hAnsiTheme="minorBidi" w:cstheme="minorBidi"/>
            <w:sz w:val="22"/>
            <w:szCs w:val="22"/>
          </w:rPr>
          <w:t>https://www.legislation.gov.uk/ukpga/2014/23/contents</w:t>
        </w:r>
      </w:hyperlink>
      <w:r w:rsidRPr="00E243F9">
        <w:rPr>
          <w:rFonts w:asciiTheme="minorBidi" w:hAnsiTheme="minorBidi" w:cstheme="minorBidi"/>
          <w:sz w:val="22"/>
          <w:szCs w:val="22"/>
        </w:rPr>
        <w:t> (Accessed: 26 February 2026).</w:t>
      </w:r>
    </w:p>
    <w:p w14:paraId="21F348D9" w14:textId="77777777" w:rsidR="00E243F9" w:rsidRPr="00E243F9" w:rsidRDefault="00E243F9" w:rsidP="00E243F9">
      <w:pPr>
        <w:spacing w:line="360" w:lineRule="auto"/>
        <w:ind w:left="0" w:right="5" w:firstLine="0"/>
        <w:jc w:val="both"/>
        <w:rPr>
          <w:rFonts w:asciiTheme="minorBidi" w:hAnsiTheme="minorBidi" w:cstheme="minorBidi"/>
          <w:sz w:val="22"/>
          <w:szCs w:val="22"/>
        </w:rPr>
      </w:pPr>
      <w:r w:rsidRPr="00E243F9">
        <w:rPr>
          <w:rFonts w:asciiTheme="minorBidi" w:hAnsiTheme="minorBidi" w:cstheme="minorBidi"/>
          <w:sz w:val="22"/>
          <w:szCs w:val="22"/>
        </w:rPr>
        <w:t>Care Quality Commission (CQC). (2023)</w:t>
      </w:r>
      <w:r>
        <w:rPr>
          <w:rFonts w:asciiTheme="minorBidi" w:hAnsiTheme="minorBidi" w:cstheme="minorBidi"/>
          <w:sz w:val="22"/>
          <w:szCs w:val="22"/>
        </w:rPr>
        <w:t>.</w:t>
      </w:r>
      <w:r w:rsidRPr="00E243F9">
        <w:rPr>
          <w:rFonts w:asciiTheme="minorBidi" w:hAnsiTheme="minorBidi" w:cstheme="minorBidi"/>
          <w:sz w:val="22"/>
          <w:szCs w:val="22"/>
        </w:rPr>
        <w:t xml:space="preserve"> </w:t>
      </w:r>
      <w:r w:rsidRPr="00E243F9">
        <w:rPr>
          <w:rFonts w:asciiTheme="minorBidi" w:hAnsiTheme="minorBidi" w:cstheme="minorBidi"/>
          <w:i/>
          <w:iCs/>
          <w:sz w:val="22"/>
          <w:szCs w:val="22"/>
        </w:rPr>
        <w:t>Regulation 20: Duty of Candour.</w:t>
      </w:r>
      <w:r w:rsidRPr="00E243F9">
        <w:rPr>
          <w:rFonts w:asciiTheme="minorBidi" w:hAnsiTheme="minorBidi" w:cstheme="minorBidi"/>
          <w:sz w:val="22"/>
          <w:szCs w:val="22"/>
        </w:rPr>
        <w:t xml:space="preserve"> Available at: </w:t>
      </w:r>
      <w:hyperlink r:id="rId6" w:tgtFrame="_blank" w:history="1">
        <w:r w:rsidRPr="00E243F9">
          <w:rPr>
            <w:rStyle w:val="Hyperlink"/>
            <w:rFonts w:asciiTheme="minorBidi" w:hAnsiTheme="minorBidi" w:cstheme="minorBidi"/>
            <w:sz w:val="22"/>
            <w:szCs w:val="22"/>
          </w:rPr>
          <w:t>https://www.cqc.org.uk/guidance-providers/regulations-enforcement/regulation-20-duty-candour</w:t>
        </w:r>
      </w:hyperlink>
      <w:r w:rsidRPr="00E243F9">
        <w:rPr>
          <w:rFonts w:asciiTheme="minorBidi" w:hAnsiTheme="minorBidi" w:cstheme="minorBidi"/>
          <w:sz w:val="22"/>
          <w:szCs w:val="22"/>
        </w:rPr>
        <w:t> (Accessed: 26 February 2026).</w:t>
      </w:r>
    </w:p>
    <w:p w14:paraId="0D3E77EA" w14:textId="77777777" w:rsidR="00E243F9" w:rsidRPr="00E243F9" w:rsidRDefault="00E243F9" w:rsidP="00E243F9">
      <w:pPr>
        <w:spacing w:line="360" w:lineRule="auto"/>
        <w:ind w:left="0" w:right="5" w:firstLine="0"/>
        <w:jc w:val="both"/>
        <w:rPr>
          <w:rFonts w:asciiTheme="minorBidi" w:hAnsiTheme="minorBidi" w:cstheme="minorBidi"/>
          <w:sz w:val="22"/>
          <w:szCs w:val="22"/>
        </w:rPr>
      </w:pPr>
      <w:r w:rsidRPr="00E243F9">
        <w:rPr>
          <w:rFonts w:asciiTheme="minorBidi" w:hAnsiTheme="minorBidi" w:cstheme="minorBidi"/>
          <w:sz w:val="22"/>
          <w:szCs w:val="22"/>
        </w:rPr>
        <w:t>Data Protection Act 2018. (2018)</w:t>
      </w:r>
      <w:r>
        <w:rPr>
          <w:rFonts w:asciiTheme="minorBidi" w:hAnsiTheme="minorBidi" w:cstheme="minorBidi"/>
          <w:sz w:val="22"/>
          <w:szCs w:val="22"/>
        </w:rPr>
        <w:t>.</w:t>
      </w:r>
      <w:r w:rsidRPr="00E243F9">
        <w:rPr>
          <w:rFonts w:asciiTheme="minorBidi" w:hAnsiTheme="minorBidi" w:cstheme="minorBidi"/>
          <w:sz w:val="22"/>
          <w:szCs w:val="22"/>
        </w:rPr>
        <w:t xml:space="preserve"> </w:t>
      </w:r>
      <w:r w:rsidRPr="00E243F9">
        <w:rPr>
          <w:rFonts w:asciiTheme="minorBidi" w:hAnsiTheme="minorBidi" w:cstheme="minorBidi"/>
          <w:i/>
          <w:iCs/>
          <w:sz w:val="22"/>
          <w:szCs w:val="22"/>
        </w:rPr>
        <w:t>Data Protection Act 2018, c.12.</w:t>
      </w:r>
      <w:r w:rsidRPr="00E243F9">
        <w:rPr>
          <w:rFonts w:asciiTheme="minorBidi" w:hAnsiTheme="minorBidi" w:cstheme="minorBidi"/>
          <w:sz w:val="22"/>
          <w:szCs w:val="22"/>
        </w:rPr>
        <w:t xml:space="preserve"> London: The Stationery Office. Available at: </w:t>
      </w:r>
      <w:hyperlink r:id="rId7" w:tgtFrame="_blank" w:history="1">
        <w:r w:rsidRPr="00E243F9">
          <w:rPr>
            <w:rStyle w:val="Hyperlink"/>
            <w:rFonts w:asciiTheme="minorBidi" w:hAnsiTheme="minorBidi" w:cstheme="minorBidi"/>
            <w:sz w:val="22"/>
            <w:szCs w:val="22"/>
          </w:rPr>
          <w:t>https://www.legislation.gov.uk/ukpga/2018/12/contents</w:t>
        </w:r>
      </w:hyperlink>
      <w:r w:rsidRPr="00E243F9">
        <w:rPr>
          <w:rFonts w:asciiTheme="minorBidi" w:hAnsiTheme="minorBidi" w:cstheme="minorBidi"/>
          <w:sz w:val="22"/>
          <w:szCs w:val="22"/>
        </w:rPr>
        <w:t> (Accessed: 26 February 2026).</w:t>
      </w:r>
    </w:p>
    <w:p w14:paraId="308AFFA2" w14:textId="77777777" w:rsidR="00E243F9" w:rsidRPr="00E243F9" w:rsidRDefault="00E243F9" w:rsidP="00E243F9">
      <w:pPr>
        <w:spacing w:line="360" w:lineRule="auto"/>
        <w:ind w:left="0" w:right="5" w:firstLine="0"/>
        <w:jc w:val="both"/>
        <w:rPr>
          <w:rFonts w:asciiTheme="minorBidi" w:hAnsiTheme="minorBidi" w:cstheme="minorBidi"/>
          <w:sz w:val="22"/>
          <w:szCs w:val="22"/>
        </w:rPr>
      </w:pPr>
      <w:r w:rsidRPr="00E243F9">
        <w:rPr>
          <w:rFonts w:asciiTheme="minorBidi" w:hAnsiTheme="minorBidi" w:cstheme="minorBidi"/>
          <w:sz w:val="22"/>
          <w:szCs w:val="22"/>
        </w:rPr>
        <w:t>Equality Act 2010. (2010)</w:t>
      </w:r>
      <w:r>
        <w:rPr>
          <w:rFonts w:asciiTheme="minorBidi" w:hAnsiTheme="minorBidi" w:cstheme="minorBidi"/>
          <w:sz w:val="22"/>
          <w:szCs w:val="22"/>
        </w:rPr>
        <w:t>.</w:t>
      </w:r>
      <w:r w:rsidRPr="00E243F9">
        <w:rPr>
          <w:rFonts w:asciiTheme="minorBidi" w:hAnsiTheme="minorBidi" w:cstheme="minorBidi"/>
          <w:sz w:val="22"/>
          <w:szCs w:val="22"/>
        </w:rPr>
        <w:t xml:space="preserve"> </w:t>
      </w:r>
      <w:r w:rsidRPr="00E243F9">
        <w:rPr>
          <w:rFonts w:asciiTheme="minorBidi" w:hAnsiTheme="minorBidi" w:cstheme="minorBidi"/>
          <w:i/>
          <w:iCs/>
          <w:sz w:val="22"/>
          <w:szCs w:val="22"/>
        </w:rPr>
        <w:t xml:space="preserve">Equality Act 2010, c.15. </w:t>
      </w:r>
      <w:r w:rsidRPr="00E243F9">
        <w:rPr>
          <w:rFonts w:asciiTheme="minorBidi" w:hAnsiTheme="minorBidi" w:cstheme="minorBidi"/>
          <w:sz w:val="22"/>
          <w:szCs w:val="22"/>
        </w:rPr>
        <w:t>London: The Stationery Office. Available at: </w:t>
      </w:r>
      <w:hyperlink r:id="rId8" w:tgtFrame="_blank" w:history="1">
        <w:r w:rsidRPr="00E243F9">
          <w:rPr>
            <w:rStyle w:val="Hyperlink"/>
            <w:rFonts w:asciiTheme="minorBidi" w:hAnsiTheme="minorBidi" w:cstheme="minorBidi"/>
            <w:sz w:val="22"/>
            <w:szCs w:val="22"/>
          </w:rPr>
          <w:t>https://www.legislation.gov.uk/ukpga/2010/15/contents</w:t>
        </w:r>
      </w:hyperlink>
      <w:r w:rsidRPr="00E243F9">
        <w:rPr>
          <w:rFonts w:asciiTheme="minorBidi" w:hAnsiTheme="minorBidi" w:cstheme="minorBidi"/>
          <w:sz w:val="22"/>
          <w:szCs w:val="22"/>
        </w:rPr>
        <w:t> (Accessed: 26 February 2026).</w:t>
      </w:r>
    </w:p>
    <w:p w14:paraId="5F7DC975" w14:textId="77777777" w:rsidR="00E243F9" w:rsidRPr="00E243F9" w:rsidRDefault="00E243F9" w:rsidP="00E243F9">
      <w:pPr>
        <w:spacing w:line="360" w:lineRule="auto"/>
        <w:ind w:left="0" w:right="5" w:firstLine="0"/>
        <w:jc w:val="both"/>
        <w:rPr>
          <w:rFonts w:asciiTheme="minorBidi" w:hAnsiTheme="minorBidi" w:cstheme="minorBidi"/>
          <w:sz w:val="22"/>
          <w:szCs w:val="22"/>
        </w:rPr>
      </w:pPr>
      <w:r w:rsidRPr="00E243F9">
        <w:rPr>
          <w:rFonts w:asciiTheme="minorBidi" w:hAnsiTheme="minorBidi" w:cstheme="minorBidi"/>
          <w:sz w:val="22"/>
          <w:szCs w:val="22"/>
        </w:rPr>
        <w:t>Mental Capacity Act 2005. (2005)</w:t>
      </w:r>
      <w:r>
        <w:rPr>
          <w:rFonts w:asciiTheme="minorBidi" w:hAnsiTheme="minorBidi" w:cstheme="minorBidi"/>
          <w:sz w:val="22"/>
          <w:szCs w:val="22"/>
        </w:rPr>
        <w:t>.</w:t>
      </w:r>
      <w:r w:rsidRPr="00E243F9">
        <w:rPr>
          <w:rFonts w:asciiTheme="minorBidi" w:hAnsiTheme="minorBidi" w:cstheme="minorBidi"/>
          <w:sz w:val="22"/>
          <w:szCs w:val="22"/>
        </w:rPr>
        <w:t xml:space="preserve"> </w:t>
      </w:r>
      <w:r w:rsidRPr="00E243F9">
        <w:rPr>
          <w:rFonts w:asciiTheme="minorBidi" w:hAnsiTheme="minorBidi" w:cstheme="minorBidi"/>
          <w:i/>
          <w:iCs/>
          <w:sz w:val="22"/>
          <w:szCs w:val="22"/>
        </w:rPr>
        <w:t>Mental Capacity Act 2005, c.9.</w:t>
      </w:r>
      <w:r w:rsidRPr="00E243F9">
        <w:rPr>
          <w:rFonts w:asciiTheme="minorBidi" w:hAnsiTheme="minorBidi" w:cstheme="minorBidi"/>
          <w:sz w:val="22"/>
          <w:szCs w:val="22"/>
        </w:rPr>
        <w:t xml:space="preserve"> London: The Stationery Office. Available at: </w:t>
      </w:r>
      <w:hyperlink r:id="rId9" w:tgtFrame="_blank" w:history="1">
        <w:r w:rsidRPr="00E243F9">
          <w:rPr>
            <w:rStyle w:val="Hyperlink"/>
            <w:rFonts w:asciiTheme="minorBidi" w:hAnsiTheme="minorBidi" w:cstheme="minorBidi"/>
            <w:sz w:val="22"/>
            <w:szCs w:val="22"/>
          </w:rPr>
          <w:t>https://www.legislation.gov.uk/ukpga/2005/9/contents</w:t>
        </w:r>
      </w:hyperlink>
      <w:r w:rsidRPr="00E243F9">
        <w:rPr>
          <w:rFonts w:asciiTheme="minorBidi" w:hAnsiTheme="minorBidi" w:cstheme="minorBidi"/>
          <w:sz w:val="22"/>
          <w:szCs w:val="22"/>
        </w:rPr>
        <w:t> (Accessed: 26 February 2026).</w:t>
      </w:r>
    </w:p>
    <w:p w14:paraId="77A68503" w14:textId="77777777" w:rsidR="00E243F9" w:rsidRPr="00E243F9" w:rsidRDefault="00E243F9" w:rsidP="00E243F9">
      <w:pPr>
        <w:spacing w:line="360" w:lineRule="auto"/>
        <w:ind w:left="0" w:right="5" w:firstLine="0"/>
        <w:jc w:val="both"/>
        <w:rPr>
          <w:rFonts w:asciiTheme="minorBidi" w:hAnsiTheme="minorBidi" w:cstheme="minorBidi"/>
          <w:sz w:val="22"/>
          <w:szCs w:val="22"/>
        </w:rPr>
      </w:pPr>
      <w:r w:rsidRPr="00E243F9">
        <w:rPr>
          <w:rFonts w:asciiTheme="minorBidi" w:hAnsiTheme="minorBidi" w:cstheme="minorBidi"/>
          <w:sz w:val="22"/>
          <w:szCs w:val="22"/>
        </w:rPr>
        <w:t>National Institute for Health and Care Excellence (NICE). (2023</w:t>
      </w:r>
      <w:r w:rsidRPr="00E243F9">
        <w:rPr>
          <w:rFonts w:asciiTheme="minorBidi" w:hAnsiTheme="minorBidi" w:cstheme="minorBidi"/>
          <w:i/>
          <w:iCs/>
          <w:sz w:val="22"/>
          <w:szCs w:val="22"/>
        </w:rPr>
        <w:t>). Stroke rehabilitation in adults.</w:t>
      </w:r>
      <w:r w:rsidRPr="00E243F9">
        <w:rPr>
          <w:rFonts w:asciiTheme="minorBidi" w:hAnsiTheme="minorBidi" w:cstheme="minorBidi"/>
          <w:sz w:val="22"/>
          <w:szCs w:val="22"/>
        </w:rPr>
        <w:t xml:space="preserve"> Available at: </w:t>
      </w:r>
      <w:hyperlink r:id="rId10" w:tgtFrame="_blank" w:history="1">
        <w:r w:rsidRPr="00E243F9">
          <w:rPr>
            <w:rStyle w:val="Hyperlink"/>
            <w:rFonts w:asciiTheme="minorBidi" w:hAnsiTheme="minorBidi" w:cstheme="minorBidi"/>
            <w:sz w:val="22"/>
            <w:szCs w:val="22"/>
          </w:rPr>
          <w:t>https://www.nice.org.uk/guidance/ng236</w:t>
        </w:r>
      </w:hyperlink>
      <w:r w:rsidRPr="00E243F9">
        <w:rPr>
          <w:rFonts w:asciiTheme="minorBidi" w:hAnsiTheme="minorBidi" w:cstheme="minorBidi"/>
          <w:sz w:val="22"/>
          <w:szCs w:val="22"/>
        </w:rPr>
        <w:t> (Accessed: 26 February 2026).</w:t>
      </w:r>
    </w:p>
    <w:p w14:paraId="4A49B96D" w14:textId="77777777" w:rsidR="00E243F9" w:rsidRPr="00E243F9" w:rsidRDefault="00E243F9" w:rsidP="00E243F9">
      <w:pPr>
        <w:spacing w:line="360" w:lineRule="auto"/>
        <w:ind w:left="0" w:right="5" w:firstLine="0"/>
        <w:jc w:val="both"/>
        <w:rPr>
          <w:rFonts w:asciiTheme="minorBidi" w:hAnsiTheme="minorBidi" w:cstheme="minorBidi"/>
          <w:sz w:val="22"/>
          <w:szCs w:val="22"/>
        </w:rPr>
      </w:pPr>
      <w:r w:rsidRPr="00E243F9">
        <w:rPr>
          <w:rFonts w:asciiTheme="minorBidi" w:hAnsiTheme="minorBidi" w:cstheme="minorBidi"/>
          <w:sz w:val="22"/>
          <w:szCs w:val="22"/>
        </w:rPr>
        <w:t>Nursing and Midwifery Council (NMC). (2018)</w:t>
      </w:r>
      <w:r>
        <w:rPr>
          <w:rFonts w:asciiTheme="minorBidi" w:hAnsiTheme="minorBidi" w:cstheme="minorBidi"/>
          <w:sz w:val="22"/>
          <w:szCs w:val="22"/>
        </w:rPr>
        <w:t>.</w:t>
      </w:r>
      <w:r w:rsidRPr="00E243F9">
        <w:rPr>
          <w:rFonts w:asciiTheme="minorBidi" w:hAnsiTheme="minorBidi" w:cstheme="minorBidi"/>
          <w:sz w:val="22"/>
          <w:szCs w:val="22"/>
        </w:rPr>
        <w:t xml:space="preserve"> </w:t>
      </w:r>
      <w:r w:rsidRPr="00E243F9">
        <w:rPr>
          <w:rFonts w:asciiTheme="minorBidi" w:hAnsiTheme="minorBidi" w:cstheme="minorBidi"/>
          <w:i/>
          <w:iCs/>
          <w:sz w:val="22"/>
          <w:szCs w:val="22"/>
        </w:rPr>
        <w:t>The Code: Professional standards of practice and behaviour for nurses, midwives and nursing associates.</w:t>
      </w:r>
      <w:r w:rsidRPr="00E243F9">
        <w:rPr>
          <w:rFonts w:asciiTheme="minorBidi" w:hAnsiTheme="minorBidi" w:cstheme="minorBidi"/>
          <w:sz w:val="22"/>
          <w:szCs w:val="22"/>
        </w:rPr>
        <w:t xml:space="preserve"> London: NMC. Available at: </w:t>
      </w:r>
      <w:hyperlink r:id="rId11" w:tgtFrame="_blank" w:history="1">
        <w:r w:rsidRPr="00E243F9">
          <w:rPr>
            <w:rStyle w:val="Hyperlink"/>
            <w:rFonts w:asciiTheme="minorBidi" w:hAnsiTheme="minorBidi" w:cstheme="minorBidi"/>
            <w:sz w:val="22"/>
            <w:szCs w:val="22"/>
          </w:rPr>
          <w:t>https://www.nmc.org.uk/standards/code/</w:t>
        </w:r>
      </w:hyperlink>
      <w:r w:rsidRPr="00E243F9">
        <w:rPr>
          <w:rFonts w:asciiTheme="minorBidi" w:hAnsiTheme="minorBidi" w:cstheme="minorBidi"/>
          <w:sz w:val="22"/>
          <w:szCs w:val="22"/>
        </w:rPr>
        <w:t> (Accessed: 26 February 2026).</w:t>
      </w:r>
    </w:p>
    <w:p w14:paraId="6A5787B2" w14:textId="227DCFF1" w:rsidR="004B1C13" w:rsidRPr="004B1C13" w:rsidRDefault="004B1C13" w:rsidP="004B1C13">
      <w:pPr>
        <w:spacing w:line="360" w:lineRule="auto"/>
        <w:ind w:left="0" w:right="5" w:firstLine="0"/>
        <w:jc w:val="both"/>
        <w:rPr>
          <w:rFonts w:asciiTheme="minorBidi" w:hAnsiTheme="minorBidi" w:cstheme="minorBidi"/>
          <w:sz w:val="22"/>
          <w:szCs w:val="22"/>
        </w:rPr>
      </w:pPr>
      <w:r w:rsidRPr="004B1C13">
        <w:rPr>
          <w:rFonts w:asciiTheme="minorBidi" w:hAnsiTheme="minorBidi" w:cstheme="minorBidi"/>
          <w:sz w:val="22"/>
          <w:szCs w:val="22"/>
        </w:rPr>
        <w:t>Argyle, M. (1972)</w:t>
      </w:r>
      <w:r w:rsidR="00D47CFD">
        <w:rPr>
          <w:rFonts w:asciiTheme="minorBidi" w:hAnsiTheme="minorBidi" w:cstheme="minorBidi"/>
          <w:sz w:val="22"/>
          <w:szCs w:val="22"/>
        </w:rPr>
        <w:t>.</w:t>
      </w:r>
      <w:r w:rsidRPr="004B1C13">
        <w:rPr>
          <w:rFonts w:asciiTheme="minorBidi" w:hAnsiTheme="minorBidi" w:cstheme="minorBidi"/>
          <w:sz w:val="22"/>
          <w:szCs w:val="22"/>
        </w:rPr>
        <w:t xml:space="preserve"> </w:t>
      </w:r>
      <w:r w:rsidRPr="004B1C13">
        <w:rPr>
          <w:rFonts w:asciiTheme="minorBidi" w:hAnsiTheme="minorBidi" w:cstheme="minorBidi"/>
          <w:i/>
          <w:iCs/>
          <w:sz w:val="22"/>
          <w:szCs w:val="22"/>
        </w:rPr>
        <w:t>Non-verbal Communication in Human Social Interaction.</w:t>
      </w:r>
      <w:r w:rsidRPr="004B1C13">
        <w:rPr>
          <w:rFonts w:asciiTheme="minorBidi" w:hAnsiTheme="minorBidi" w:cstheme="minorBidi"/>
          <w:sz w:val="22"/>
          <w:szCs w:val="22"/>
        </w:rPr>
        <w:t xml:space="preserve"> London: Methuen.</w:t>
      </w:r>
      <w:r>
        <w:rPr>
          <w:rFonts w:asciiTheme="minorBidi" w:hAnsiTheme="minorBidi" w:cstheme="minorBidi"/>
          <w:sz w:val="22"/>
          <w:szCs w:val="22"/>
        </w:rPr>
        <w:t xml:space="preserve"> (Accessed</w:t>
      </w:r>
      <w:r w:rsidR="00D47CFD">
        <w:rPr>
          <w:rFonts w:asciiTheme="minorBidi" w:hAnsiTheme="minorBidi" w:cstheme="minorBidi"/>
          <w:sz w:val="22"/>
          <w:szCs w:val="22"/>
        </w:rPr>
        <w:t>: 27 February 2026) – Local Library</w:t>
      </w:r>
    </w:p>
    <w:p w14:paraId="3AFD9793" w14:textId="34B536B9" w:rsidR="004B1C13" w:rsidRPr="004B1C13" w:rsidRDefault="004B1C13" w:rsidP="004B1C13">
      <w:pPr>
        <w:spacing w:line="360" w:lineRule="auto"/>
        <w:ind w:left="0" w:right="5" w:firstLine="0"/>
        <w:jc w:val="both"/>
        <w:rPr>
          <w:rFonts w:asciiTheme="minorBidi" w:hAnsiTheme="minorBidi" w:cstheme="minorBidi"/>
          <w:sz w:val="22"/>
          <w:szCs w:val="22"/>
        </w:rPr>
      </w:pPr>
      <w:r w:rsidRPr="004B1C13">
        <w:rPr>
          <w:rFonts w:asciiTheme="minorBidi" w:hAnsiTheme="minorBidi" w:cstheme="minorBidi"/>
          <w:sz w:val="22"/>
          <w:szCs w:val="22"/>
        </w:rPr>
        <w:t>Egan, G. (2014)</w:t>
      </w:r>
      <w:r w:rsidR="00D47CFD">
        <w:rPr>
          <w:rFonts w:asciiTheme="minorBidi" w:hAnsiTheme="minorBidi" w:cstheme="minorBidi"/>
          <w:sz w:val="22"/>
          <w:szCs w:val="22"/>
        </w:rPr>
        <w:t>.</w:t>
      </w:r>
      <w:r w:rsidRPr="004B1C13">
        <w:rPr>
          <w:rFonts w:asciiTheme="minorBidi" w:hAnsiTheme="minorBidi" w:cstheme="minorBidi"/>
          <w:sz w:val="22"/>
          <w:szCs w:val="22"/>
        </w:rPr>
        <w:t xml:space="preserve"> </w:t>
      </w:r>
      <w:r w:rsidRPr="004B1C13">
        <w:rPr>
          <w:rFonts w:asciiTheme="minorBidi" w:hAnsiTheme="minorBidi" w:cstheme="minorBidi"/>
          <w:i/>
          <w:iCs/>
          <w:sz w:val="22"/>
          <w:szCs w:val="22"/>
        </w:rPr>
        <w:t>The Skilled Helper: A Problem-Management and Opportunity-Development Approach to Helping. 10th edn.</w:t>
      </w:r>
      <w:r w:rsidRPr="004B1C13">
        <w:rPr>
          <w:rFonts w:asciiTheme="minorBidi" w:hAnsiTheme="minorBidi" w:cstheme="minorBidi"/>
          <w:sz w:val="22"/>
          <w:szCs w:val="22"/>
        </w:rPr>
        <w:t xml:space="preserve"> Belmont: Cengage Learning.</w:t>
      </w:r>
      <w:r w:rsidR="00D47CFD">
        <w:rPr>
          <w:rFonts w:asciiTheme="minorBidi" w:hAnsiTheme="minorBidi" w:cstheme="minorBidi"/>
          <w:sz w:val="22"/>
          <w:szCs w:val="22"/>
        </w:rPr>
        <w:t xml:space="preserve"> </w:t>
      </w:r>
      <w:r w:rsidR="00D47CFD">
        <w:rPr>
          <w:rFonts w:asciiTheme="minorBidi" w:hAnsiTheme="minorBidi" w:cstheme="minorBidi"/>
          <w:sz w:val="22"/>
          <w:szCs w:val="22"/>
        </w:rPr>
        <w:t>(Accessed: 27 February 2026) – Local Library</w:t>
      </w:r>
    </w:p>
    <w:p w14:paraId="2DACA910" w14:textId="77777777" w:rsidR="004B1C13" w:rsidRPr="004B1C13" w:rsidRDefault="004B1C13" w:rsidP="004B1C13">
      <w:pPr>
        <w:spacing w:line="360" w:lineRule="auto"/>
        <w:ind w:left="0" w:right="5" w:firstLine="0"/>
        <w:jc w:val="both"/>
        <w:rPr>
          <w:rFonts w:asciiTheme="minorBidi" w:hAnsiTheme="minorBidi" w:cstheme="minorBidi"/>
          <w:sz w:val="22"/>
          <w:szCs w:val="22"/>
        </w:rPr>
      </w:pPr>
    </w:p>
    <w:p w14:paraId="0D321FCF" w14:textId="74E08D1D" w:rsidR="00C019EA" w:rsidRPr="00C019EA" w:rsidRDefault="00C019EA" w:rsidP="008D5C4B">
      <w:pPr>
        <w:spacing w:line="360" w:lineRule="auto"/>
        <w:ind w:left="0" w:right="5" w:firstLine="0"/>
        <w:jc w:val="both"/>
        <w:rPr>
          <w:rFonts w:asciiTheme="minorBidi" w:hAnsiTheme="minorBidi" w:cstheme="minorBidi"/>
          <w:sz w:val="22"/>
          <w:szCs w:val="22"/>
        </w:rPr>
      </w:pPr>
    </w:p>
    <w:sectPr w:rsidR="00C019EA" w:rsidRPr="00C019EA" w:rsidSect="001F59FD">
      <w:pgSz w:w="12240" w:h="15840"/>
      <w:pgMar w:top="1583" w:right="1441" w:bottom="1440" w:left="1432"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68BE"/>
    <w:rsid w:val="00001F45"/>
    <w:rsid w:val="00024C47"/>
    <w:rsid w:val="000E2DBC"/>
    <w:rsid w:val="001F59FD"/>
    <w:rsid w:val="00314239"/>
    <w:rsid w:val="004B1C13"/>
    <w:rsid w:val="004E733C"/>
    <w:rsid w:val="00572B3D"/>
    <w:rsid w:val="00634E81"/>
    <w:rsid w:val="00736F5D"/>
    <w:rsid w:val="00740087"/>
    <w:rsid w:val="007C480A"/>
    <w:rsid w:val="00851954"/>
    <w:rsid w:val="00853304"/>
    <w:rsid w:val="008D5C4B"/>
    <w:rsid w:val="009329CB"/>
    <w:rsid w:val="00933538"/>
    <w:rsid w:val="00973452"/>
    <w:rsid w:val="00A10E4C"/>
    <w:rsid w:val="00C019EA"/>
    <w:rsid w:val="00D47CFD"/>
    <w:rsid w:val="00E243F9"/>
    <w:rsid w:val="00E568BE"/>
    <w:rsid w:val="00E86321"/>
    <w:rsid w:val="00F434A2"/>
    <w:rsid w:val="00F539E8"/>
    <w:rsid w:val="00F959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86C4F"/>
  <w15:docId w15:val="{CC4C7693-E24D-414F-9CBD-0B58F54CB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2" w:line="279"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200" w:line="259" w:lineRule="auto"/>
      <w:ind w:left="10" w:hanging="10"/>
      <w:jc w:val="center"/>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line="259" w:lineRule="auto"/>
      <w:ind w:left="750" w:hanging="595"/>
      <w:outlineLvl w:val="1"/>
    </w:pPr>
    <w:rPr>
      <w:rFonts w:ascii="Calibri" w:eastAsia="Calibri" w:hAnsi="Calibri" w:cs="Calibri"/>
      <w:color w:val="000000"/>
      <w:sz w:val="40"/>
    </w:rPr>
  </w:style>
  <w:style w:type="paragraph" w:styleId="Heading3">
    <w:name w:val="heading 3"/>
    <w:next w:val="Normal"/>
    <w:link w:val="Heading3Char"/>
    <w:uiPriority w:val="9"/>
    <w:unhideWhenUsed/>
    <w:qFormat/>
    <w:pPr>
      <w:keepNext/>
      <w:keepLines/>
      <w:spacing w:after="186" w:line="259" w:lineRule="auto"/>
      <w:ind w:left="10" w:hanging="10"/>
      <w:outlineLvl w:val="2"/>
    </w:pPr>
    <w:rPr>
      <w:rFonts w:ascii="Calibri" w:eastAsia="Calibri" w:hAnsi="Calibri" w:cs="Calibri"/>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4"/>
    </w:rPr>
  </w:style>
  <w:style w:type="character" w:customStyle="1" w:styleId="Heading1Char">
    <w:name w:val="Heading 1 Char"/>
    <w:link w:val="Heading1"/>
    <w:rPr>
      <w:rFonts w:ascii="Calibri" w:eastAsia="Calibri" w:hAnsi="Calibri" w:cs="Calibri"/>
      <w:b/>
      <w:color w:val="000000"/>
      <w:sz w:val="40"/>
    </w:rPr>
  </w:style>
  <w:style w:type="character" w:customStyle="1" w:styleId="Heading2Char">
    <w:name w:val="Heading 2 Char"/>
    <w:link w:val="Heading2"/>
    <w:rPr>
      <w:rFonts w:ascii="Calibri" w:eastAsia="Calibri" w:hAnsi="Calibri" w:cs="Calibri"/>
      <w:color w:val="000000"/>
      <w:sz w:val="40"/>
    </w:rPr>
  </w:style>
  <w:style w:type="paragraph" w:styleId="TOCHeading">
    <w:name w:val="TOC Heading"/>
    <w:basedOn w:val="Heading1"/>
    <w:next w:val="Normal"/>
    <w:uiPriority w:val="39"/>
    <w:unhideWhenUsed/>
    <w:qFormat/>
    <w:rsid w:val="00314239"/>
    <w:pPr>
      <w:spacing w:before="240" w:after="0"/>
      <w:ind w:left="0" w:firstLine="0"/>
      <w:jc w:val="left"/>
      <w:outlineLvl w:val="9"/>
    </w:pPr>
    <w:rPr>
      <w:rFonts w:asciiTheme="majorHAnsi" w:eastAsiaTheme="majorEastAsia" w:hAnsiTheme="majorHAnsi" w:cstheme="majorBidi"/>
      <w:b w:val="0"/>
      <w:color w:val="0F4761" w:themeColor="accent1" w:themeShade="BF"/>
      <w:kern w:val="0"/>
      <w:sz w:val="32"/>
      <w:szCs w:val="32"/>
      <w14:ligatures w14:val="none"/>
    </w:rPr>
  </w:style>
  <w:style w:type="paragraph" w:styleId="TOC3">
    <w:name w:val="toc 3"/>
    <w:basedOn w:val="Normal"/>
    <w:next w:val="Normal"/>
    <w:autoRedefine/>
    <w:uiPriority w:val="39"/>
    <w:unhideWhenUsed/>
    <w:rsid w:val="00314239"/>
    <w:pPr>
      <w:spacing w:after="100"/>
      <w:ind w:left="480"/>
    </w:pPr>
  </w:style>
  <w:style w:type="character" w:styleId="Hyperlink">
    <w:name w:val="Hyperlink"/>
    <w:basedOn w:val="DefaultParagraphFont"/>
    <w:uiPriority w:val="99"/>
    <w:unhideWhenUsed/>
    <w:rsid w:val="00314239"/>
    <w:rPr>
      <w:color w:val="467886" w:themeColor="hyperlink"/>
      <w:u w:val="single"/>
    </w:rPr>
  </w:style>
  <w:style w:type="paragraph" w:styleId="TOC1">
    <w:name w:val="toc 1"/>
    <w:basedOn w:val="Normal"/>
    <w:next w:val="Normal"/>
    <w:autoRedefine/>
    <w:uiPriority w:val="39"/>
    <w:unhideWhenUsed/>
    <w:rsid w:val="00314239"/>
    <w:pPr>
      <w:spacing w:after="100"/>
      <w:ind w:left="0"/>
    </w:pPr>
  </w:style>
  <w:style w:type="character" w:styleId="UnresolvedMention">
    <w:name w:val="Unresolved Mention"/>
    <w:basedOn w:val="DefaultParagraphFont"/>
    <w:uiPriority w:val="99"/>
    <w:semiHidden/>
    <w:unhideWhenUsed/>
    <w:rsid w:val="00C019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8/12/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qc.org.uk/guidance-providers/regulations-enforcement/regulation-20-duty-candour" TargetMode="External"/><Relationship Id="rId11" Type="http://schemas.openxmlformats.org/officeDocument/2006/relationships/hyperlink" Target="https://www.nmc.org.uk/standards/code/" TargetMode="External"/><Relationship Id="rId5" Type="http://schemas.openxmlformats.org/officeDocument/2006/relationships/hyperlink" Target="https://www.legislation.gov.uk/ukpga/2014/23/contents" TargetMode="External"/><Relationship Id="rId10" Type="http://schemas.openxmlformats.org/officeDocument/2006/relationships/hyperlink" Target="https://www.nice.org.uk/guidance/ng236" TargetMode="External"/><Relationship Id="rId4" Type="http://schemas.openxmlformats.org/officeDocument/2006/relationships/webSettings" Target="webSettings.xml"/><Relationship Id="rId9" Type="http://schemas.openxmlformats.org/officeDocument/2006/relationships/hyperlink" Target="https://www.legislation.gov.uk/ukpga/200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D9411-12D6-4326-A519-55B6BE234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2006</Words>
  <Characters>12137</Characters>
  <Application>Microsoft Office Word</Application>
  <DocSecurity>0</DocSecurity>
  <Lines>198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 Ejaz (2507265)</dc:creator>
  <cp:keywords/>
  <cp:lastModifiedBy>Iqra Wajid</cp:lastModifiedBy>
  <cp:revision>12</cp:revision>
  <dcterms:created xsi:type="dcterms:W3CDTF">2026-02-26T11:48:00Z</dcterms:created>
  <dcterms:modified xsi:type="dcterms:W3CDTF">2026-02-27T14:44:00Z</dcterms:modified>
</cp:coreProperties>
</file>