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DE46C7"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12F4C291"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664EF1D6"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15ED3C5D"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0C29851D"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67DF419A"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31CBD7B8"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78AAD5FC" w14:textId="4866CC6B" w:rsidR="00232D3C" w:rsidRDefault="00232D3C" w:rsidP="00232D3C">
      <w:pPr>
        <w:autoSpaceDE w:val="0"/>
        <w:autoSpaceDN w:val="0"/>
        <w:adjustRightInd w:val="0"/>
        <w:spacing w:after="0" w:line="240" w:lineRule="auto"/>
        <w:jc w:val="center"/>
        <w:rPr>
          <w:rFonts w:ascii="Helvetica Neue" w:hAnsi="Helvetica Neue" w:cs="Helvetica Neue"/>
          <w:b/>
          <w:bCs/>
          <w:kern w:val="0"/>
          <w:sz w:val="26"/>
          <w:szCs w:val="26"/>
        </w:rPr>
      </w:pPr>
      <w:r>
        <w:rPr>
          <w:rFonts w:ascii="Helvetica Neue" w:hAnsi="Helvetica Neue" w:cs="Helvetica Neue"/>
          <w:b/>
          <w:bCs/>
          <w:kern w:val="0"/>
          <w:sz w:val="26"/>
          <w:szCs w:val="26"/>
        </w:rPr>
        <w:t>Hotel Placement</w:t>
      </w:r>
    </w:p>
    <w:p w14:paraId="2DA45363" w14:textId="66C30689" w:rsidR="00232D3C" w:rsidRDefault="00232D3C" w:rsidP="00232D3C">
      <w:pPr>
        <w:autoSpaceDE w:val="0"/>
        <w:autoSpaceDN w:val="0"/>
        <w:adjustRightInd w:val="0"/>
        <w:spacing w:after="0" w:line="240" w:lineRule="auto"/>
        <w:jc w:val="center"/>
        <w:rPr>
          <w:rFonts w:ascii="Helvetica Neue" w:hAnsi="Helvetica Neue" w:cs="Helvetica Neue"/>
          <w:b/>
          <w:bCs/>
          <w:kern w:val="0"/>
          <w:sz w:val="26"/>
          <w:szCs w:val="26"/>
        </w:rPr>
      </w:pPr>
      <w:r>
        <w:rPr>
          <w:rFonts w:ascii="Helvetica Neue" w:hAnsi="Helvetica Neue" w:cs="Helvetica Neue"/>
          <w:b/>
          <w:bCs/>
          <w:kern w:val="0"/>
          <w:sz w:val="26"/>
          <w:szCs w:val="26"/>
        </w:rPr>
        <w:t>Level 6</w:t>
      </w:r>
    </w:p>
    <w:p w14:paraId="14204CD5"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4CA13A80" w14:textId="77777777" w:rsidR="00232D3C" w:rsidRDefault="00232D3C" w:rsidP="00232D3C">
      <w:pPr>
        <w:autoSpaceDE w:val="0"/>
        <w:autoSpaceDN w:val="0"/>
        <w:adjustRightInd w:val="0"/>
        <w:spacing w:after="0" w:line="240" w:lineRule="auto"/>
        <w:jc w:val="center"/>
        <w:rPr>
          <w:rFonts w:ascii="Helvetica Neue" w:hAnsi="Helvetica Neue" w:cs="Helvetica Neue"/>
          <w:b/>
          <w:bCs/>
          <w:kern w:val="0"/>
          <w:sz w:val="26"/>
          <w:szCs w:val="26"/>
        </w:rPr>
      </w:pPr>
    </w:p>
    <w:p w14:paraId="2D3605B9" w14:textId="199E4A8A" w:rsidR="00232D3C" w:rsidRDefault="00232D3C" w:rsidP="00232D3C">
      <w:pPr>
        <w:autoSpaceDE w:val="0"/>
        <w:autoSpaceDN w:val="0"/>
        <w:adjustRightInd w:val="0"/>
        <w:spacing w:after="0" w:line="240" w:lineRule="auto"/>
        <w:jc w:val="center"/>
        <w:rPr>
          <w:rFonts w:ascii="Helvetica Neue" w:hAnsi="Helvetica Neue" w:cs="Helvetica Neue"/>
          <w:b/>
          <w:bCs/>
          <w:kern w:val="0"/>
          <w:sz w:val="26"/>
          <w:szCs w:val="26"/>
        </w:rPr>
      </w:pPr>
      <w:r>
        <w:rPr>
          <w:rFonts w:ascii="Helvetica Neue" w:hAnsi="Helvetica Neue" w:cs="Helvetica Neue"/>
          <w:b/>
          <w:bCs/>
          <w:kern w:val="0"/>
          <w:sz w:val="26"/>
          <w:szCs w:val="26"/>
        </w:rPr>
        <w:t>Mohammed Bilal Rehman</w:t>
      </w:r>
    </w:p>
    <w:p w14:paraId="6A5BBC3D" w14:textId="7E36DBE1" w:rsidR="00232D3C" w:rsidRDefault="00232D3C" w:rsidP="00232D3C">
      <w:pPr>
        <w:autoSpaceDE w:val="0"/>
        <w:autoSpaceDN w:val="0"/>
        <w:adjustRightInd w:val="0"/>
        <w:spacing w:after="0" w:line="240" w:lineRule="auto"/>
        <w:jc w:val="center"/>
        <w:rPr>
          <w:rFonts w:ascii="Helvetica Neue" w:hAnsi="Helvetica Neue" w:cs="Helvetica Neue"/>
          <w:b/>
          <w:bCs/>
          <w:kern w:val="0"/>
          <w:sz w:val="26"/>
          <w:szCs w:val="26"/>
        </w:rPr>
      </w:pPr>
      <w:r>
        <w:rPr>
          <w:rFonts w:ascii="Helvetica Neue" w:hAnsi="Helvetica Neue" w:cs="Helvetica Neue"/>
          <w:b/>
          <w:bCs/>
          <w:kern w:val="0"/>
          <w:sz w:val="26"/>
          <w:szCs w:val="26"/>
        </w:rPr>
        <w:t>2013508</w:t>
      </w:r>
    </w:p>
    <w:p w14:paraId="16A580FB" w14:textId="77777777" w:rsidR="00232D3C" w:rsidRDefault="00232D3C" w:rsidP="00232D3C">
      <w:pPr>
        <w:autoSpaceDE w:val="0"/>
        <w:autoSpaceDN w:val="0"/>
        <w:adjustRightInd w:val="0"/>
        <w:spacing w:after="0" w:line="240" w:lineRule="auto"/>
        <w:jc w:val="center"/>
        <w:rPr>
          <w:rFonts w:ascii="Helvetica Neue" w:hAnsi="Helvetica Neue" w:cs="Helvetica Neue"/>
          <w:b/>
          <w:bCs/>
          <w:kern w:val="0"/>
          <w:sz w:val="26"/>
          <w:szCs w:val="26"/>
        </w:rPr>
      </w:pPr>
    </w:p>
    <w:p w14:paraId="6BA4D63A" w14:textId="77777777" w:rsidR="00232D3C" w:rsidRDefault="00232D3C" w:rsidP="00232D3C">
      <w:pPr>
        <w:autoSpaceDE w:val="0"/>
        <w:autoSpaceDN w:val="0"/>
        <w:adjustRightInd w:val="0"/>
        <w:spacing w:after="0" w:line="240" w:lineRule="auto"/>
        <w:jc w:val="center"/>
        <w:rPr>
          <w:rFonts w:ascii="Helvetica Neue" w:hAnsi="Helvetica Neue" w:cs="Helvetica Neue"/>
          <w:b/>
          <w:bCs/>
          <w:kern w:val="0"/>
          <w:sz w:val="26"/>
          <w:szCs w:val="26"/>
        </w:rPr>
      </w:pPr>
    </w:p>
    <w:p w14:paraId="0A668514"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5C9BE34D"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3FFD5DF6"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0C3E5EEC"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667ABACA"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3BEFFC60"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3D294047"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2712E1AE"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3C228877"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2F04B29C"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0894C08A"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3B8554B4"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37C34D6B"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27CA7928"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38F6395D"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7434E7C8"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7B5E7254"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5C562D4D"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44A79D35"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51436E64"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3E0A2012"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61B3AAEC"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5987D2D7"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6F4D7056"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6858A951"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264ACC23"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1D252290"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39AC5A10"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p>
    <w:p w14:paraId="39706B1F" w14:textId="34ABB0DA"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r>
        <w:rPr>
          <w:rFonts w:ascii="Helvetica Neue" w:hAnsi="Helvetica Neue" w:cs="Helvetica Neue"/>
          <w:b/>
          <w:bCs/>
          <w:kern w:val="0"/>
          <w:sz w:val="26"/>
          <w:szCs w:val="26"/>
        </w:rPr>
        <w:t>Reflective Learning Log – Meetings &amp; Events Department, Novotel Birmingham Broad Street</w:t>
      </w:r>
    </w:p>
    <w:p w14:paraId="28CA448D" w14:textId="77777777" w:rsidR="00232D3C" w:rsidRDefault="00232D3C" w:rsidP="00232D3C">
      <w:pPr>
        <w:autoSpaceDE w:val="0"/>
        <w:autoSpaceDN w:val="0"/>
        <w:adjustRightInd w:val="0"/>
        <w:spacing w:after="0" w:line="240" w:lineRule="auto"/>
        <w:rPr>
          <w:rFonts w:ascii="Helvetica Neue" w:hAnsi="Helvetica Neue" w:cs="Helvetica Neue"/>
          <w:kern w:val="0"/>
          <w:sz w:val="26"/>
          <w:szCs w:val="26"/>
        </w:rPr>
      </w:pPr>
    </w:p>
    <w:p w14:paraId="72B4A937"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r>
        <w:rPr>
          <w:rFonts w:ascii="Helvetica Neue" w:hAnsi="Helvetica Neue" w:cs="Helvetica Neue"/>
          <w:b/>
          <w:bCs/>
          <w:kern w:val="0"/>
          <w:sz w:val="26"/>
          <w:szCs w:val="26"/>
        </w:rPr>
        <w:t>Introduction</w:t>
      </w:r>
    </w:p>
    <w:p w14:paraId="17CC9493"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During my professional placement at Novotel Birmingham Broad Street, a 4-star Accor hotel in the heart of Birmingham, I was placed in the Meetings &amp; Events Department, a crucial component of the hotel’s Guest Services operations. The property hosts a variety of corporate and social functions across its seven versatile meeting spaces, catering to up to 300 delegates, with dedicated services including AV setup, catering coordination, and event planning.</w:t>
      </w:r>
    </w:p>
    <w:p w14:paraId="1E6C8CF8"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This department plays a central role in guest satisfaction and brand reputation. It bridges multiple service areas such as Front Office, F&amp;B, and Housekeeping to deliver seamless guest experiences. During my placement, I developed three learning objectives:</w:t>
      </w:r>
    </w:p>
    <w:p w14:paraId="4568B719" w14:textId="77777777" w:rsidR="00232D3C" w:rsidRPr="007027DB" w:rsidRDefault="00232D3C" w:rsidP="00232D3C">
      <w:pPr>
        <w:numPr>
          <w:ilvl w:val="0"/>
          <w:numId w:val="1"/>
        </w:numPr>
        <w:autoSpaceDE w:val="0"/>
        <w:autoSpaceDN w:val="0"/>
        <w:adjustRightInd w:val="0"/>
        <w:spacing w:after="0" w:line="240" w:lineRule="auto"/>
        <w:ind w:left="0" w:firstLine="0"/>
        <w:rPr>
          <w:rFonts w:ascii="Helvetica Neue" w:hAnsi="Helvetica Neue" w:cs="Helvetica Neue"/>
          <w:kern w:val="0"/>
          <w:sz w:val="26"/>
          <w:szCs w:val="26"/>
        </w:rPr>
      </w:pPr>
      <w:r w:rsidRPr="007027DB">
        <w:rPr>
          <w:rFonts w:ascii="Helvetica Neue" w:hAnsi="Helvetica Neue" w:cs="Helvetica Neue"/>
          <w:kern w:val="0"/>
          <w:sz w:val="26"/>
          <w:szCs w:val="26"/>
        </w:rPr>
        <w:t>To understand the end-to-end process of managing corporate events in a hotel environment.</w:t>
      </w:r>
    </w:p>
    <w:p w14:paraId="5D450BFA" w14:textId="77777777" w:rsidR="00232D3C" w:rsidRPr="007027DB" w:rsidRDefault="00232D3C" w:rsidP="00232D3C">
      <w:pPr>
        <w:numPr>
          <w:ilvl w:val="0"/>
          <w:numId w:val="1"/>
        </w:numPr>
        <w:autoSpaceDE w:val="0"/>
        <w:autoSpaceDN w:val="0"/>
        <w:adjustRightInd w:val="0"/>
        <w:spacing w:after="0" w:line="240" w:lineRule="auto"/>
        <w:ind w:left="0" w:firstLine="0"/>
        <w:rPr>
          <w:rFonts w:ascii="Helvetica Neue" w:hAnsi="Helvetica Neue" w:cs="Helvetica Neue"/>
          <w:kern w:val="0"/>
          <w:sz w:val="26"/>
          <w:szCs w:val="26"/>
        </w:rPr>
      </w:pPr>
      <w:r w:rsidRPr="007027DB">
        <w:rPr>
          <w:rFonts w:ascii="Helvetica Neue" w:hAnsi="Helvetica Neue" w:cs="Helvetica Neue"/>
          <w:kern w:val="0"/>
          <w:sz w:val="26"/>
          <w:szCs w:val="26"/>
        </w:rPr>
        <w:t>To evaluate the importance of teamwork, leadership, and communication in service delivery.</w:t>
      </w:r>
    </w:p>
    <w:p w14:paraId="3CE9641E" w14:textId="77777777" w:rsidR="00232D3C" w:rsidRDefault="00232D3C" w:rsidP="00232D3C">
      <w:pPr>
        <w:numPr>
          <w:ilvl w:val="0"/>
          <w:numId w:val="1"/>
        </w:numPr>
        <w:autoSpaceDE w:val="0"/>
        <w:autoSpaceDN w:val="0"/>
        <w:adjustRightInd w:val="0"/>
        <w:spacing w:after="0" w:line="240" w:lineRule="auto"/>
        <w:ind w:left="0" w:firstLine="0"/>
        <w:rPr>
          <w:rFonts w:ascii="Helvetica Neue" w:hAnsi="Helvetica Neue" w:cs="Helvetica Neue"/>
          <w:kern w:val="0"/>
          <w:sz w:val="26"/>
          <w:szCs w:val="26"/>
        </w:rPr>
      </w:pPr>
      <w:r w:rsidRPr="007027DB">
        <w:rPr>
          <w:rFonts w:ascii="Helvetica Neue" w:hAnsi="Helvetica Neue" w:cs="Helvetica Neue"/>
          <w:kern w:val="0"/>
          <w:sz w:val="26"/>
          <w:szCs w:val="26"/>
        </w:rPr>
        <w:t>To reflect on how service excellence is maintained under pressure and to assess areas for personal and departmental improvement</w:t>
      </w:r>
      <w:r>
        <w:rPr>
          <w:rFonts w:ascii="Helvetica Neue" w:hAnsi="Helvetica Neue" w:cs="Helvetica Neue"/>
          <w:kern w:val="0"/>
          <w:sz w:val="26"/>
          <w:szCs w:val="26"/>
        </w:rPr>
        <w:t>.</w:t>
      </w:r>
    </w:p>
    <w:p w14:paraId="60B294C2" w14:textId="77777777" w:rsidR="00232D3C" w:rsidRDefault="00232D3C" w:rsidP="00232D3C">
      <w:pPr>
        <w:autoSpaceDE w:val="0"/>
        <w:autoSpaceDN w:val="0"/>
        <w:adjustRightInd w:val="0"/>
        <w:spacing w:after="0" w:line="240" w:lineRule="auto"/>
        <w:rPr>
          <w:rFonts w:ascii="Helvetica Neue" w:hAnsi="Helvetica Neue" w:cs="Helvetica Neue"/>
          <w:kern w:val="0"/>
          <w:sz w:val="26"/>
          <w:szCs w:val="26"/>
        </w:rPr>
      </w:pPr>
    </w:p>
    <w:p w14:paraId="3E01C9B7"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r>
        <w:rPr>
          <w:rFonts w:ascii="Helvetica Neue" w:hAnsi="Helvetica Neue" w:cs="Helvetica Neue"/>
          <w:b/>
          <w:bCs/>
          <w:kern w:val="0"/>
          <w:sz w:val="26"/>
          <w:szCs w:val="26"/>
        </w:rPr>
        <w:t>Section 1: Role Reflection</w:t>
      </w:r>
    </w:p>
    <w:p w14:paraId="65A45941"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I undertook the role of a Guest Services Assistant (Events), supporting the Meetings &amp; Events Operations Manager. My responsibilities included assisting in room setup, liaising with catering and technical teams, greeting event organisers, and collecting feedback post-event. To structure my reflection, I have used Gibbs’ Reflective Cycle (1988), which encourages deeper learning by analysing experiences in six stages.</w:t>
      </w:r>
    </w:p>
    <w:p w14:paraId="6D010267"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Key Skills for Supervisors/Managers in Meetings &amp; Events</w:t>
      </w:r>
    </w:p>
    <w:p w14:paraId="5AC629EB"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 xml:space="preserve">The role of a manager in this department demands proficiency in leadership and delegation, especially when coordinating time-sensitive events. Supervisors must also possess excellent communication and </w:t>
      </w:r>
      <w:proofErr w:type="spellStart"/>
      <w:r w:rsidRPr="007027DB">
        <w:rPr>
          <w:rFonts w:ascii="Helvetica Neue" w:hAnsi="Helvetica Neue" w:cs="Helvetica Neue"/>
          <w:kern w:val="0"/>
          <w:sz w:val="26"/>
          <w:szCs w:val="26"/>
        </w:rPr>
        <w:t>teamworkcapabilities</w:t>
      </w:r>
      <w:proofErr w:type="spellEnd"/>
      <w:r w:rsidRPr="007027DB">
        <w:rPr>
          <w:rFonts w:ascii="Helvetica Neue" w:hAnsi="Helvetica Neue" w:cs="Helvetica Neue"/>
          <w:kern w:val="0"/>
          <w:sz w:val="26"/>
          <w:szCs w:val="26"/>
        </w:rPr>
        <w:t xml:space="preserve"> to align multiple service departments. Additionally, problem-solving and decision-making are vital when responding to last-minute changes in guest requirements (Riley, 2005).</w:t>
      </w:r>
    </w:p>
    <w:p w14:paraId="7F4309FD"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Real Examples and Skill Demonstration</w:t>
      </w:r>
    </w:p>
    <w:p w14:paraId="49E32526"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An example of effective communication and leadership occurred during a high-profile business seminar involving 120 delegates. A last-minute change in</w:t>
      </w:r>
      <w:r>
        <w:rPr>
          <w:rFonts w:ascii="Helvetica Neue" w:hAnsi="Helvetica Neue" w:cs="Helvetica Neue"/>
          <w:kern w:val="0"/>
          <w:sz w:val="26"/>
          <w:szCs w:val="26"/>
        </w:rPr>
        <w:t xml:space="preserve"> the </w:t>
      </w:r>
      <w:r w:rsidRPr="007027DB">
        <w:rPr>
          <w:rFonts w:ascii="Helvetica Neue" w:hAnsi="Helvetica Neue" w:cs="Helvetica Neue"/>
          <w:kern w:val="0"/>
          <w:sz w:val="26"/>
          <w:szCs w:val="26"/>
        </w:rPr>
        <w:lastRenderedPageBreak/>
        <w:t>seating plan created confusion. The manager calmly delegated new tasks, instructed the AV technician to rewire the setup, and clearly communicated the new plan to all staff. This showed the value of quick thinking and delegation under pressure, leading to minimal disruption.</w:t>
      </w:r>
    </w:p>
    <w:p w14:paraId="2A14EE69"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However, during a charity gala, I observed ineffective delegation. The event lead failed to assign responsibility for managing dietary requirements, resulting in guest complaints. This exposed a weakness in task clarity and pre-event briefing. It taught me the importance of pre-planning and detailed team communication.</w:t>
      </w:r>
    </w:p>
    <w:p w14:paraId="000AF030"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Personally, I found my strengths to lie in multitasking and adaptability—skills essential in dynamic guest service environments. However, I identified a need to improve my assertiveness and proactive communication, especially when collaborating with more experienced staff members.</w:t>
      </w:r>
    </w:p>
    <w:p w14:paraId="3EAD2433" w14:textId="77777777" w:rsidR="00232D3C" w:rsidRDefault="00232D3C" w:rsidP="00232D3C">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Action Plan for Professional Development</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232D3C" w14:paraId="1F876F1D" w14:textId="77777777">
        <w:tblPrEx>
          <w:tblCellMar>
            <w:top w:w="0" w:type="dxa"/>
            <w:bottom w:w="0" w:type="dxa"/>
          </w:tblCellMar>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3528C4D" w14:textId="77777777" w:rsidR="00232D3C" w:rsidRDefault="00232D3C">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Objective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0DD29EE" w14:textId="77777777" w:rsidR="00232D3C" w:rsidRDefault="00232D3C">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Action</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F9E8600" w14:textId="77777777" w:rsidR="00232D3C" w:rsidRDefault="00232D3C">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Timeline</w:t>
            </w:r>
          </w:p>
        </w:tc>
      </w:tr>
      <w:tr w:rsidR="00232D3C" w14:paraId="68AC1674" w14:textId="77777777">
        <w:tblPrEx>
          <w:tblBorders>
            <w:top w:val="none" w:sz="0" w:space="0" w:color="auto"/>
          </w:tblBorders>
          <w:tblCellMar>
            <w:top w:w="0" w:type="dxa"/>
            <w:bottom w:w="0" w:type="dxa"/>
          </w:tblCellMar>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9BE7F75"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Improve assertiveness</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C2C6FC4"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Attend hotel-organised communication workshops</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FC877E4"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Within 1 month</w:t>
            </w:r>
          </w:p>
        </w:tc>
      </w:tr>
      <w:tr w:rsidR="00232D3C" w14:paraId="77E3615A" w14:textId="77777777">
        <w:tblPrEx>
          <w:tblBorders>
            <w:top w:val="none" w:sz="0" w:space="0" w:color="auto"/>
          </w:tblBorders>
          <w:tblCellMar>
            <w:top w:w="0" w:type="dxa"/>
            <w:bottom w:w="0" w:type="dxa"/>
          </w:tblCellMar>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CE65BEC"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Enhance problem-solving</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C614946"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Shadow event manager during complex functions</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B44C26B"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Ongoing</w:t>
            </w:r>
          </w:p>
        </w:tc>
      </w:tr>
      <w:tr w:rsidR="00232D3C" w14:paraId="17F4622A" w14:textId="77777777">
        <w:tblPrEx>
          <w:tblCellMar>
            <w:top w:w="0" w:type="dxa"/>
            <w:bottom w:w="0" w:type="dxa"/>
          </w:tblCellMar>
        </w:tblPrEx>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91ABBC5"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Strengthen leadership skills</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1A25AFE"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Take lead on at least one small event setup</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C89A7BB" w14:textId="77777777" w:rsidR="00232D3C" w:rsidRDefault="00232D3C">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Next 3 months</w:t>
            </w:r>
          </w:p>
        </w:tc>
      </w:tr>
    </w:tbl>
    <w:p w14:paraId="1566A5B3" w14:textId="77777777" w:rsidR="00232D3C" w:rsidRDefault="00232D3C" w:rsidP="00232D3C">
      <w:pPr>
        <w:autoSpaceDE w:val="0"/>
        <w:autoSpaceDN w:val="0"/>
        <w:adjustRightInd w:val="0"/>
        <w:spacing w:after="0" w:line="240" w:lineRule="auto"/>
        <w:rPr>
          <w:rFonts w:ascii="Helvetica Neue" w:hAnsi="Helvetica Neue" w:cs="Helvetica Neue"/>
          <w:kern w:val="0"/>
          <w:sz w:val="26"/>
          <w:szCs w:val="26"/>
        </w:rPr>
      </w:pPr>
    </w:p>
    <w:p w14:paraId="1DEF7F99"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r>
        <w:rPr>
          <w:rFonts w:ascii="Helvetica Neue" w:hAnsi="Helvetica Neue" w:cs="Helvetica Neue"/>
          <w:b/>
          <w:bCs/>
          <w:kern w:val="0"/>
          <w:sz w:val="26"/>
          <w:szCs w:val="26"/>
        </w:rPr>
        <w:t>Section 2: Management Performance &amp; Guest Service Analysis</w:t>
      </w:r>
    </w:p>
    <w:p w14:paraId="07FED392" w14:textId="77777777" w:rsidR="00232D3C" w:rsidRDefault="00232D3C" w:rsidP="00232D3C">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Management Styles and Staff Motivation</w:t>
      </w:r>
    </w:p>
    <w:p w14:paraId="56074A59"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 xml:space="preserve">The management style I most observed during my placement was democratic, where managers often sought input from staff when preparing for events. According to Lewin’s Leadership Styles (1939), democratic leadership can lead to higher motivation and creativity (Mullins, 2016). This was evident at Novotel when staff members felt involved in pre-event planning, leading to more cohesive execution. Conversely, during larger-scale events, a more </w:t>
      </w:r>
      <w:proofErr w:type="spellStart"/>
      <w:r w:rsidRPr="007027DB">
        <w:rPr>
          <w:rFonts w:ascii="Helvetica Neue" w:hAnsi="Helvetica Neue" w:cs="Helvetica Neue"/>
          <w:kern w:val="0"/>
          <w:sz w:val="26"/>
          <w:szCs w:val="26"/>
        </w:rPr>
        <w:t>authoritativeapproach</w:t>
      </w:r>
      <w:proofErr w:type="spellEnd"/>
      <w:r w:rsidRPr="007027DB">
        <w:rPr>
          <w:rFonts w:ascii="Helvetica Neue" w:hAnsi="Helvetica Neue" w:cs="Helvetica Neue"/>
          <w:kern w:val="0"/>
          <w:sz w:val="26"/>
          <w:szCs w:val="26"/>
        </w:rPr>
        <w:t xml:space="preserve"> was used to maintain control, especially under time pressure.</w:t>
      </w:r>
    </w:p>
    <w:p w14:paraId="70BC2F04"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Linking this to Management and Organisational Behaviour (Level 5), motivation theories such as Herzberg’s Two-Factor Theory apply. Recognition and team involvement (motivators) were more impactful than external factors like pay (hygiene factors), reinforcing that motivation stems from effective leadership and empowerment (Herzberg et al., 1959).</w:t>
      </w:r>
    </w:p>
    <w:p w14:paraId="7E64A1DD" w14:textId="77777777" w:rsidR="00232D3C" w:rsidRDefault="00232D3C" w:rsidP="00232D3C">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Health &amp; Safety Compliance</w:t>
      </w:r>
    </w:p>
    <w:p w14:paraId="75A28D66" w14:textId="416425AF"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lastRenderedPageBreak/>
        <w:t>Health and safety were strictly managed at Novotel, particularly in areas involving AV equipment, fire exits, and food service. All team members were trained on emergency protocols. This aligns with UK legislation under the Health and Safety at Work Act 1974, which mandates a safe working environment (HSE, 2020). During a networking event, I was tasked with ensuring cables were properly secured to prevent tripping hazards—an example of industry best practice</w:t>
      </w:r>
      <w:r w:rsidR="007027DB">
        <w:rPr>
          <w:rFonts w:ascii="Helvetica Neue" w:hAnsi="Helvetica Neue" w:cs="Helvetica Neue"/>
          <w:kern w:val="0"/>
          <w:sz w:val="26"/>
          <w:szCs w:val="26"/>
        </w:rPr>
        <w:t xml:space="preserve"> </w:t>
      </w:r>
      <w:r w:rsidRPr="007027DB">
        <w:rPr>
          <w:rFonts w:ascii="Helvetica Neue" w:hAnsi="Helvetica Neue" w:cs="Helvetica Neue"/>
          <w:kern w:val="0"/>
          <w:sz w:val="26"/>
          <w:szCs w:val="26"/>
        </w:rPr>
        <w:t>in proactive risk management.</w:t>
      </w:r>
    </w:p>
    <w:p w14:paraId="78177478" w14:textId="77777777" w:rsidR="00232D3C" w:rsidRDefault="00232D3C" w:rsidP="00232D3C">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Culture &amp; Teamwork</w:t>
      </w:r>
    </w:p>
    <w:p w14:paraId="36DC0785"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Novotel promotes an inclusive and collaborative culture, consistent with Accor’s global values of diversity and respect. This organisational culture directly influenced guest experience, as staff were encouraged to personalise service and build rapport. According to Hofstede’s Cultural Dimensions Theory, high collectivism and low power distance promote harmony and shared responsibility (Hofstede, 2011). This cultural orientation was clearly reflected in how front office, events, and catering departments worked seamlessly to meet guest expectations.</w:t>
      </w:r>
    </w:p>
    <w:p w14:paraId="321950C2"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Relating this to Personnel Resourcing &amp; Development (Level 5), cross-functional teamwork and performance feedback played a crucial role. Team briefings before and after events were regular, encouraging reflective learning and performance improvement.</w:t>
      </w:r>
    </w:p>
    <w:p w14:paraId="103BFB58" w14:textId="77777777" w:rsidR="00232D3C" w:rsidRDefault="00232D3C" w:rsidP="00232D3C">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Marketing &amp; Guest Experience</w:t>
      </w:r>
    </w:p>
    <w:p w14:paraId="682622C7"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 xml:space="preserve">Marketing of events at Novotel was aligned with the Hospitality &amp; Guest Services (Level 4) curriculum. Targeted promotions for meeting spaces were shared via email newsletters and local partnerships. Guest </w:t>
      </w:r>
      <w:proofErr w:type="gramStart"/>
      <w:r w:rsidRPr="007027DB">
        <w:rPr>
          <w:rFonts w:ascii="Helvetica Neue" w:hAnsi="Helvetica Neue" w:cs="Helvetica Neue"/>
          <w:kern w:val="0"/>
          <w:sz w:val="26"/>
          <w:szCs w:val="26"/>
        </w:rPr>
        <w:t>experience</w:t>
      </w:r>
      <w:proofErr w:type="gramEnd"/>
      <w:r w:rsidRPr="007027DB">
        <w:rPr>
          <w:rFonts w:ascii="Helvetica Neue" w:hAnsi="Helvetica Neue" w:cs="Helvetica Neue"/>
          <w:kern w:val="0"/>
          <w:sz w:val="26"/>
          <w:szCs w:val="26"/>
        </w:rPr>
        <w:t xml:space="preserve"> enhancement was central, with event coordinators ensuring branding, signage, and refreshments were tailored to client needs.</w:t>
      </w:r>
    </w:p>
    <w:p w14:paraId="1A1114E5"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 xml:space="preserve">Post-event surveys were used to gauge satisfaction, reflecting the principles of the Service-Profit Chain </w:t>
      </w:r>
      <w:proofErr w:type="gramStart"/>
      <w:r w:rsidRPr="007027DB">
        <w:rPr>
          <w:rFonts w:ascii="Helvetica Neue" w:hAnsi="Helvetica Neue" w:cs="Helvetica Neue"/>
          <w:kern w:val="0"/>
          <w:sz w:val="26"/>
          <w:szCs w:val="26"/>
        </w:rPr>
        <w:t>Model(</w:t>
      </w:r>
      <w:proofErr w:type="gramEnd"/>
      <w:r w:rsidRPr="007027DB">
        <w:rPr>
          <w:rFonts w:ascii="Helvetica Neue" w:hAnsi="Helvetica Neue" w:cs="Helvetica Neue"/>
          <w:kern w:val="0"/>
          <w:sz w:val="26"/>
          <w:szCs w:val="26"/>
        </w:rPr>
        <w:t>Heskett et al., 1994), where engaged staff lead to satisfied customers and better business outcomes. For example, the introduction of complimentary branded notebooks for delegates significantly improved survey scores related to guest appreciation.</w:t>
      </w:r>
    </w:p>
    <w:p w14:paraId="1C5B5E8C" w14:textId="77777777" w:rsidR="00232D3C" w:rsidRDefault="00232D3C" w:rsidP="00232D3C">
      <w:pPr>
        <w:autoSpaceDE w:val="0"/>
        <w:autoSpaceDN w:val="0"/>
        <w:adjustRightInd w:val="0"/>
        <w:spacing w:after="0" w:line="240" w:lineRule="auto"/>
        <w:rPr>
          <w:rFonts w:ascii="Helvetica Neue" w:hAnsi="Helvetica Neue" w:cs="Helvetica Neue"/>
          <w:kern w:val="0"/>
          <w:sz w:val="26"/>
          <w:szCs w:val="26"/>
        </w:rPr>
      </w:pPr>
    </w:p>
    <w:p w14:paraId="7846F407"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 xml:space="preserve">Section 3: </w:t>
      </w:r>
      <w:r w:rsidRPr="007027DB">
        <w:rPr>
          <w:rFonts w:ascii="Helvetica Neue" w:hAnsi="Helvetica Neue" w:cs="Helvetica Neue"/>
          <w:kern w:val="0"/>
          <w:sz w:val="26"/>
          <w:szCs w:val="26"/>
        </w:rPr>
        <w:t>Guest Service Improvement Plan</w:t>
      </w:r>
    </w:p>
    <w:p w14:paraId="550CA235"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Key Issue Identified: Delayed Event Room Turnovers</w:t>
      </w:r>
    </w:p>
    <w:p w14:paraId="60B7BA39"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One recurring issue observed was delays in resetting event rooms between bookings, especially during back-to-back events. This caused stress among staff and occasional negative guest feedback.</w:t>
      </w:r>
    </w:p>
    <w:p w14:paraId="036FF6ED" w14:textId="77777777" w:rsidR="00232D3C" w:rsidRPr="007027DB"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Justification of Issue</w:t>
      </w:r>
    </w:p>
    <w:p w14:paraId="796089E2" w14:textId="77777777" w:rsidR="00232D3C" w:rsidRDefault="00232D3C" w:rsidP="00232D3C">
      <w:pPr>
        <w:autoSpaceDE w:val="0"/>
        <w:autoSpaceDN w:val="0"/>
        <w:adjustRightInd w:val="0"/>
        <w:spacing w:after="0" w:line="240" w:lineRule="auto"/>
        <w:rPr>
          <w:rFonts w:ascii="Helvetica Neue" w:hAnsi="Helvetica Neue" w:cs="Helvetica Neue"/>
          <w:kern w:val="0"/>
          <w:sz w:val="26"/>
          <w:szCs w:val="26"/>
        </w:rPr>
      </w:pPr>
      <w:r w:rsidRPr="007027DB">
        <w:rPr>
          <w:rFonts w:ascii="Helvetica Neue" w:hAnsi="Helvetica Neue" w:cs="Helvetica Neue"/>
          <w:kern w:val="0"/>
          <w:sz w:val="26"/>
          <w:szCs w:val="26"/>
        </w:rPr>
        <w:t>According to Johnston &amp; Clark (2008), service reliability is a critical factor in guest satisfaction. Delays in setup can damage perceived service quality and reduce repeat bookings. Time compression in hospitality operations often leads</w:t>
      </w:r>
      <w:r>
        <w:rPr>
          <w:rFonts w:ascii="Helvetica Neue" w:hAnsi="Helvetica Neue" w:cs="Helvetica Neue"/>
          <w:kern w:val="0"/>
          <w:sz w:val="26"/>
          <w:szCs w:val="26"/>
        </w:rPr>
        <w:t xml:space="preserve"> </w:t>
      </w:r>
      <w:r>
        <w:rPr>
          <w:rFonts w:ascii="Helvetica Neue" w:hAnsi="Helvetica Neue" w:cs="Helvetica Neue"/>
          <w:kern w:val="0"/>
          <w:sz w:val="26"/>
          <w:szCs w:val="26"/>
        </w:rPr>
        <w:lastRenderedPageBreak/>
        <w:t>to service breakdowns if scheduling and communication aren’t efficient (Fitzsimmons &amp; Fitzsimmons, 2011).</w:t>
      </w:r>
    </w:p>
    <w:p w14:paraId="07968E41" w14:textId="77777777" w:rsidR="00232D3C" w:rsidRDefault="00232D3C" w:rsidP="00232D3C">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kern w:val="0"/>
          <w:sz w:val="26"/>
          <w:szCs w:val="26"/>
        </w:rPr>
        <w:t>Three-Step Improvement Plan</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268"/>
        <w:gridCol w:w="2160"/>
        <w:gridCol w:w="2160"/>
        <w:gridCol w:w="2160"/>
      </w:tblGrid>
      <w:tr w:rsidR="00232D3C" w14:paraId="5882FB81" w14:textId="77777777">
        <w:tblPrEx>
          <w:tblCellMar>
            <w:top w:w="0" w:type="dxa"/>
            <w:bottom w:w="0" w:type="dxa"/>
          </w:tblCellMar>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5DBFD59" w14:textId="77777777" w:rsidR="00232D3C" w:rsidRDefault="00232D3C">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Step</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3931FD7" w14:textId="77777777" w:rsidR="00232D3C" w:rsidRDefault="00232D3C">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Description</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E395325" w14:textId="77777777" w:rsidR="00232D3C" w:rsidRDefault="00232D3C">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Alignment with Best Practice</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8379CB2" w14:textId="77777777" w:rsidR="00232D3C" w:rsidRDefault="00232D3C">
            <w:pPr>
              <w:autoSpaceDE w:val="0"/>
              <w:autoSpaceDN w:val="0"/>
              <w:adjustRightInd w:val="0"/>
              <w:spacing w:after="0" w:line="240" w:lineRule="auto"/>
              <w:jc w:val="center"/>
              <w:rPr>
                <w:rFonts w:ascii="Helvetica" w:hAnsi="Helvetica" w:cs="Helvetica"/>
                <w:kern w:val="0"/>
              </w:rPr>
            </w:pPr>
            <w:r>
              <w:rPr>
                <w:rFonts w:ascii="Helvetica Neue" w:hAnsi="Helvetica Neue" w:cs="Helvetica Neue"/>
                <w:b/>
                <w:bCs/>
                <w:kern w:val="0"/>
                <w:sz w:val="26"/>
                <w:szCs w:val="26"/>
              </w:rPr>
              <w:t>Expected Outcome</w:t>
            </w:r>
          </w:p>
        </w:tc>
      </w:tr>
      <w:tr w:rsidR="00232D3C" w14:paraId="27629D1B" w14:textId="77777777">
        <w:tblPrEx>
          <w:tblBorders>
            <w:top w:val="none" w:sz="0" w:space="0" w:color="auto"/>
          </w:tblBorders>
          <w:tblCellMar>
            <w:top w:w="0" w:type="dxa"/>
            <w:bottom w:w="0" w:type="dxa"/>
          </w:tblCellMar>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3F76F76"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1. Pre-Event Setup Matrix</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67BD56A"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Develop a checklist for room setup variations to be used 24 hours in advance</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7B70B4A"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Lean Management &amp; SOP practices (Slack et al., 2020)</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438F02C"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Reduced last-minute confusion and faster turnaround</w:t>
            </w:r>
          </w:p>
        </w:tc>
      </w:tr>
      <w:tr w:rsidR="00232D3C" w14:paraId="01C2423E" w14:textId="77777777">
        <w:tblPrEx>
          <w:tblBorders>
            <w:top w:val="none" w:sz="0" w:space="0" w:color="auto"/>
          </w:tblBorders>
          <w:tblCellMar>
            <w:top w:w="0" w:type="dxa"/>
            <w:bottom w:w="0" w:type="dxa"/>
          </w:tblCellMar>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D31D57A"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2. Digital Task Scheduling</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BD7536E"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 xml:space="preserve">Use a shared app (e.g., Trello or </w:t>
            </w:r>
            <w:proofErr w:type="spellStart"/>
            <w:r>
              <w:rPr>
                <w:rFonts w:ascii="Helvetica Neue" w:hAnsi="Helvetica Neue" w:cs="Helvetica Neue"/>
                <w:kern w:val="0"/>
                <w:sz w:val="26"/>
                <w:szCs w:val="26"/>
              </w:rPr>
              <w:t>HotSOS</w:t>
            </w:r>
            <w:proofErr w:type="spellEnd"/>
            <w:r>
              <w:rPr>
                <w:rFonts w:ascii="Helvetica Neue" w:hAnsi="Helvetica Neue" w:cs="Helvetica Neue"/>
                <w:kern w:val="0"/>
                <w:sz w:val="26"/>
                <w:szCs w:val="26"/>
              </w:rPr>
              <w:t>) for task assignments and timing updates</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EA87FF3"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Reflects digital integration in modern hotels</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14150B7"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Real-time updates improve communication across departments</w:t>
            </w:r>
          </w:p>
        </w:tc>
      </w:tr>
      <w:tr w:rsidR="00232D3C" w14:paraId="26C9086E" w14:textId="77777777">
        <w:tblPrEx>
          <w:tblCellMar>
            <w:top w:w="0" w:type="dxa"/>
            <w:bottom w:w="0" w:type="dxa"/>
          </w:tblCellMar>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473FC20"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3. Cross-Departmental Team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09C0290"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Create a rotational "Rapid Response Team" for room turnovers involving F&amp;B and Housekeeping</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C1B1BDD" w14:textId="77777777" w:rsidR="00232D3C" w:rsidRDefault="00232D3C">
            <w:pPr>
              <w:autoSpaceDE w:val="0"/>
              <w:autoSpaceDN w:val="0"/>
              <w:adjustRightInd w:val="0"/>
              <w:spacing w:after="0" w:line="240" w:lineRule="auto"/>
              <w:rPr>
                <w:rFonts w:ascii="Helvetica" w:hAnsi="Helvetica" w:cs="Helvetica"/>
                <w:kern w:val="0"/>
              </w:rPr>
            </w:pPr>
            <w:r>
              <w:rPr>
                <w:rFonts w:ascii="Helvetica Neue" w:hAnsi="Helvetica Neue" w:cs="Helvetica Neue"/>
                <w:kern w:val="0"/>
                <w:sz w:val="26"/>
                <w:szCs w:val="26"/>
              </w:rPr>
              <w:t>Encourages cross-training and multi-skilling</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708C70C" w14:textId="77777777" w:rsidR="00232D3C" w:rsidRDefault="00232D3C">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Reduces workload strain and improves service reliability</w:t>
            </w:r>
          </w:p>
        </w:tc>
      </w:tr>
    </w:tbl>
    <w:p w14:paraId="09551B30" w14:textId="77777777" w:rsidR="00232D3C" w:rsidRDefault="00232D3C" w:rsidP="00232D3C">
      <w:pPr>
        <w:autoSpaceDE w:val="0"/>
        <w:autoSpaceDN w:val="0"/>
        <w:adjustRightInd w:val="0"/>
        <w:spacing w:after="0" w:line="240" w:lineRule="auto"/>
        <w:rPr>
          <w:rFonts w:ascii="Helvetica Neue" w:hAnsi="Helvetica Neue" w:cs="Helvetica Neue"/>
          <w:kern w:val="0"/>
          <w:sz w:val="26"/>
          <w:szCs w:val="26"/>
        </w:rPr>
      </w:pPr>
    </w:p>
    <w:p w14:paraId="2100AEE5"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r>
        <w:rPr>
          <w:rFonts w:ascii="Helvetica Neue" w:hAnsi="Helvetica Neue" w:cs="Helvetica Neue"/>
          <w:b/>
          <w:bCs/>
          <w:kern w:val="0"/>
          <w:sz w:val="26"/>
          <w:szCs w:val="26"/>
        </w:rPr>
        <w:t>Conclusion</w:t>
      </w:r>
    </w:p>
    <w:p w14:paraId="32425258" w14:textId="77777777" w:rsidR="00232D3C" w:rsidRDefault="00232D3C" w:rsidP="00232D3C">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kern w:val="0"/>
          <w:sz w:val="26"/>
          <w:szCs w:val="26"/>
        </w:rPr>
        <w:t>My placement at Novotel Birmingham Broad Street was an invaluable learning experience. I achieved my three learning objectives by gaining practical insight into event operations, observing effective management and communication strategies, and evaluating service gaps with critical analysis. The use of reflective models and theoretical links helped me contextualise my learning and identify areas for growth, such as assertiveness and leadership. Overall, the experience has solidified my interest in pursuing a career in hotel operations and guest service management.</w:t>
      </w:r>
    </w:p>
    <w:p w14:paraId="355DDAED" w14:textId="77777777" w:rsidR="00232D3C" w:rsidRDefault="00232D3C" w:rsidP="00232D3C">
      <w:pPr>
        <w:autoSpaceDE w:val="0"/>
        <w:autoSpaceDN w:val="0"/>
        <w:adjustRightInd w:val="0"/>
        <w:spacing w:after="0" w:line="240" w:lineRule="auto"/>
        <w:rPr>
          <w:rFonts w:ascii="Helvetica Neue" w:hAnsi="Helvetica Neue" w:cs="Helvetica Neue"/>
          <w:kern w:val="0"/>
          <w:sz w:val="26"/>
          <w:szCs w:val="26"/>
        </w:rPr>
      </w:pPr>
    </w:p>
    <w:p w14:paraId="6CA49195" w14:textId="77777777" w:rsidR="00232D3C" w:rsidRDefault="00232D3C" w:rsidP="00232D3C">
      <w:pPr>
        <w:autoSpaceDE w:val="0"/>
        <w:autoSpaceDN w:val="0"/>
        <w:adjustRightInd w:val="0"/>
        <w:spacing w:after="0" w:line="240" w:lineRule="auto"/>
        <w:rPr>
          <w:rFonts w:ascii="Helvetica Neue" w:hAnsi="Helvetica Neue" w:cs="Helvetica Neue"/>
          <w:b/>
          <w:bCs/>
          <w:kern w:val="0"/>
          <w:sz w:val="26"/>
          <w:szCs w:val="26"/>
        </w:rPr>
      </w:pPr>
      <w:r>
        <w:rPr>
          <w:rFonts w:ascii="Helvetica Neue" w:hAnsi="Helvetica Neue" w:cs="Helvetica Neue"/>
          <w:b/>
          <w:bCs/>
          <w:kern w:val="0"/>
          <w:sz w:val="26"/>
          <w:szCs w:val="26"/>
        </w:rPr>
        <w:t>References (Harvard Style)</w:t>
      </w:r>
    </w:p>
    <w:p w14:paraId="0071F905" w14:textId="77777777" w:rsidR="00232D3C" w:rsidRDefault="00232D3C" w:rsidP="00232D3C">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 xml:space="preserve">Baum, T. (2006). </w:t>
      </w:r>
      <w:r>
        <w:rPr>
          <w:rFonts w:ascii="Helvetica Neue" w:hAnsi="Helvetica Neue" w:cs="Helvetica Neue"/>
          <w:i/>
          <w:iCs/>
          <w:kern w:val="0"/>
          <w:sz w:val="26"/>
          <w:szCs w:val="26"/>
        </w:rPr>
        <w:t>Human Resource Management for Tourism, Hospitality and Leisure: An International Perspective</w:t>
      </w:r>
      <w:r>
        <w:rPr>
          <w:rFonts w:ascii="Helvetica Neue" w:hAnsi="Helvetica Neue" w:cs="Helvetica Neue"/>
          <w:kern w:val="0"/>
          <w:sz w:val="26"/>
          <w:szCs w:val="26"/>
        </w:rPr>
        <w:t>. Thomson Learning.</w:t>
      </w:r>
    </w:p>
    <w:p w14:paraId="2F6AD9E8" w14:textId="77777777" w:rsidR="00232D3C" w:rsidRDefault="00232D3C" w:rsidP="00232D3C">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lastRenderedPageBreak/>
        <w:t xml:space="preserve">Fitzsimmons, J.A. and Fitzsimmons, M.J. (2011). </w:t>
      </w:r>
      <w:r>
        <w:rPr>
          <w:rFonts w:ascii="Helvetica Neue" w:hAnsi="Helvetica Neue" w:cs="Helvetica Neue"/>
          <w:i/>
          <w:iCs/>
          <w:kern w:val="0"/>
          <w:sz w:val="26"/>
          <w:szCs w:val="26"/>
        </w:rPr>
        <w:t>Service Management: Operations, Strategy, Information Technology</w:t>
      </w:r>
      <w:r>
        <w:rPr>
          <w:rFonts w:ascii="Helvetica Neue" w:hAnsi="Helvetica Neue" w:cs="Helvetica Neue"/>
          <w:kern w:val="0"/>
          <w:sz w:val="26"/>
          <w:szCs w:val="26"/>
        </w:rPr>
        <w:t>. 7th ed. McGraw-Hill.</w:t>
      </w:r>
    </w:p>
    <w:p w14:paraId="31366FC0" w14:textId="77777777" w:rsidR="00232D3C" w:rsidRDefault="00232D3C" w:rsidP="00232D3C">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 xml:space="preserve">Gibbs, G. (1988). </w:t>
      </w:r>
      <w:r>
        <w:rPr>
          <w:rFonts w:ascii="Helvetica Neue" w:hAnsi="Helvetica Neue" w:cs="Helvetica Neue"/>
          <w:i/>
          <w:iCs/>
          <w:kern w:val="0"/>
          <w:sz w:val="26"/>
          <w:szCs w:val="26"/>
        </w:rPr>
        <w:t>Learning by Doing: A Guide to Teaching and Learning Methods</w:t>
      </w:r>
      <w:r>
        <w:rPr>
          <w:rFonts w:ascii="Helvetica Neue" w:hAnsi="Helvetica Neue" w:cs="Helvetica Neue"/>
          <w:kern w:val="0"/>
          <w:sz w:val="26"/>
          <w:szCs w:val="26"/>
        </w:rPr>
        <w:t>. Oxford Polytechnic.</w:t>
      </w:r>
    </w:p>
    <w:p w14:paraId="1069EF42" w14:textId="77777777" w:rsidR="00232D3C" w:rsidRDefault="00232D3C" w:rsidP="00232D3C">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 xml:space="preserve">Herzberg, F., </w:t>
      </w:r>
      <w:proofErr w:type="spellStart"/>
      <w:r>
        <w:rPr>
          <w:rFonts w:ascii="Helvetica Neue" w:hAnsi="Helvetica Neue" w:cs="Helvetica Neue"/>
          <w:kern w:val="0"/>
          <w:sz w:val="26"/>
          <w:szCs w:val="26"/>
        </w:rPr>
        <w:t>Mausner</w:t>
      </w:r>
      <w:proofErr w:type="spellEnd"/>
      <w:r>
        <w:rPr>
          <w:rFonts w:ascii="Helvetica Neue" w:hAnsi="Helvetica Neue" w:cs="Helvetica Neue"/>
          <w:kern w:val="0"/>
          <w:sz w:val="26"/>
          <w:szCs w:val="26"/>
        </w:rPr>
        <w:t xml:space="preserve">, B. and Snyderman, B. (1959). </w:t>
      </w:r>
      <w:r>
        <w:rPr>
          <w:rFonts w:ascii="Helvetica Neue" w:hAnsi="Helvetica Neue" w:cs="Helvetica Neue"/>
          <w:i/>
          <w:iCs/>
          <w:kern w:val="0"/>
          <w:sz w:val="26"/>
          <w:szCs w:val="26"/>
        </w:rPr>
        <w:t>The Motivation to Work</w:t>
      </w:r>
      <w:r>
        <w:rPr>
          <w:rFonts w:ascii="Helvetica Neue" w:hAnsi="Helvetica Neue" w:cs="Helvetica Neue"/>
          <w:kern w:val="0"/>
          <w:sz w:val="26"/>
          <w:szCs w:val="26"/>
        </w:rPr>
        <w:t>. 2nd ed. John Wiley.</w:t>
      </w:r>
    </w:p>
    <w:p w14:paraId="4B0C7248" w14:textId="77777777" w:rsidR="00232D3C" w:rsidRDefault="00232D3C" w:rsidP="00232D3C">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 xml:space="preserve">Hofstede, G. (2011). </w:t>
      </w:r>
      <w:proofErr w:type="spellStart"/>
      <w:r>
        <w:rPr>
          <w:rFonts w:ascii="Helvetica Neue" w:hAnsi="Helvetica Neue" w:cs="Helvetica Neue"/>
          <w:i/>
          <w:iCs/>
          <w:kern w:val="0"/>
          <w:sz w:val="26"/>
          <w:szCs w:val="26"/>
        </w:rPr>
        <w:t>Dimensionalizing</w:t>
      </w:r>
      <w:proofErr w:type="spellEnd"/>
      <w:r>
        <w:rPr>
          <w:rFonts w:ascii="Helvetica Neue" w:hAnsi="Helvetica Neue" w:cs="Helvetica Neue"/>
          <w:i/>
          <w:iCs/>
          <w:kern w:val="0"/>
          <w:sz w:val="26"/>
          <w:szCs w:val="26"/>
        </w:rPr>
        <w:t xml:space="preserve"> Cultures: The Hofstede Model in Context</w:t>
      </w:r>
      <w:r>
        <w:rPr>
          <w:rFonts w:ascii="Helvetica Neue" w:hAnsi="Helvetica Neue" w:cs="Helvetica Neue"/>
          <w:kern w:val="0"/>
          <w:sz w:val="26"/>
          <w:szCs w:val="26"/>
        </w:rPr>
        <w:t xml:space="preserve">. </w:t>
      </w:r>
      <w:r>
        <w:rPr>
          <w:rFonts w:ascii="Helvetica Neue" w:hAnsi="Helvetica Neue" w:cs="Helvetica Neue"/>
          <w:i/>
          <w:iCs/>
          <w:kern w:val="0"/>
          <w:sz w:val="26"/>
          <w:szCs w:val="26"/>
        </w:rPr>
        <w:t>Online Readings in Psychology and Culture</w:t>
      </w:r>
      <w:r>
        <w:rPr>
          <w:rFonts w:ascii="Helvetica Neue" w:hAnsi="Helvetica Neue" w:cs="Helvetica Neue"/>
          <w:kern w:val="0"/>
          <w:sz w:val="26"/>
          <w:szCs w:val="26"/>
        </w:rPr>
        <w:t>, 2(1).</w:t>
      </w:r>
    </w:p>
    <w:p w14:paraId="3789184C" w14:textId="77777777" w:rsidR="00232D3C" w:rsidRDefault="00232D3C" w:rsidP="00232D3C">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 xml:space="preserve">HSE. (2020). </w:t>
      </w:r>
      <w:r>
        <w:rPr>
          <w:rFonts w:ascii="Helvetica Neue" w:hAnsi="Helvetica Neue" w:cs="Helvetica Neue"/>
          <w:i/>
          <w:iCs/>
          <w:kern w:val="0"/>
          <w:sz w:val="26"/>
          <w:szCs w:val="26"/>
        </w:rPr>
        <w:t>Health and Safety at Work Act 1974</w:t>
      </w:r>
      <w:r>
        <w:rPr>
          <w:rFonts w:ascii="Helvetica Neue" w:hAnsi="Helvetica Neue" w:cs="Helvetica Neue"/>
          <w:kern w:val="0"/>
          <w:sz w:val="26"/>
          <w:szCs w:val="26"/>
        </w:rPr>
        <w:t xml:space="preserve">. [online] Available at: </w:t>
      </w:r>
      <w:hyperlink r:id="rId5" w:history="1">
        <w:r>
          <w:rPr>
            <w:rFonts w:ascii="Helvetica Neue" w:hAnsi="Helvetica Neue" w:cs="Helvetica Neue"/>
            <w:kern w:val="0"/>
            <w:sz w:val="26"/>
            <w:szCs w:val="26"/>
            <w:u w:val="single"/>
          </w:rPr>
          <w:t>https://www.hse.gov.uk</w:t>
        </w:r>
      </w:hyperlink>
      <w:r>
        <w:rPr>
          <w:rFonts w:ascii="Helvetica Neue" w:hAnsi="Helvetica Neue" w:cs="Helvetica Neue"/>
          <w:kern w:val="0"/>
          <w:sz w:val="26"/>
          <w:szCs w:val="26"/>
        </w:rPr>
        <w:t xml:space="preserve"> [Accessed 10 Jun 2025].</w:t>
      </w:r>
    </w:p>
    <w:p w14:paraId="2175FF91" w14:textId="77777777" w:rsidR="00232D3C" w:rsidRDefault="00232D3C" w:rsidP="00232D3C">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 xml:space="preserve">Heskett, J., Jones, T., </w:t>
      </w:r>
      <w:proofErr w:type="spellStart"/>
      <w:r>
        <w:rPr>
          <w:rFonts w:ascii="Helvetica Neue" w:hAnsi="Helvetica Neue" w:cs="Helvetica Neue"/>
          <w:kern w:val="0"/>
          <w:sz w:val="26"/>
          <w:szCs w:val="26"/>
        </w:rPr>
        <w:t>Loveman</w:t>
      </w:r>
      <w:proofErr w:type="spellEnd"/>
      <w:r>
        <w:rPr>
          <w:rFonts w:ascii="Helvetica Neue" w:hAnsi="Helvetica Neue" w:cs="Helvetica Neue"/>
          <w:kern w:val="0"/>
          <w:sz w:val="26"/>
          <w:szCs w:val="26"/>
        </w:rPr>
        <w:t xml:space="preserve">, G., Sasser, W. and Schlesinger, L. (1994). </w:t>
      </w:r>
      <w:r>
        <w:rPr>
          <w:rFonts w:ascii="Helvetica Neue" w:hAnsi="Helvetica Neue" w:cs="Helvetica Neue"/>
          <w:i/>
          <w:iCs/>
          <w:kern w:val="0"/>
          <w:sz w:val="26"/>
          <w:szCs w:val="26"/>
        </w:rPr>
        <w:t>Putting the Service-Profit Chain to Work</w:t>
      </w:r>
      <w:r>
        <w:rPr>
          <w:rFonts w:ascii="Helvetica Neue" w:hAnsi="Helvetica Neue" w:cs="Helvetica Neue"/>
          <w:kern w:val="0"/>
          <w:sz w:val="26"/>
          <w:szCs w:val="26"/>
        </w:rPr>
        <w:t xml:space="preserve">. </w:t>
      </w:r>
      <w:r>
        <w:rPr>
          <w:rFonts w:ascii="Helvetica Neue" w:hAnsi="Helvetica Neue" w:cs="Helvetica Neue"/>
          <w:i/>
          <w:iCs/>
          <w:kern w:val="0"/>
          <w:sz w:val="26"/>
          <w:szCs w:val="26"/>
        </w:rPr>
        <w:t>Harvard Business Review</w:t>
      </w:r>
      <w:r>
        <w:rPr>
          <w:rFonts w:ascii="Helvetica Neue" w:hAnsi="Helvetica Neue" w:cs="Helvetica Neue"/>
          <w:kern w:val="0"/>
          <w:sz w:val="26"/>
          <w:szCs w:val="26"/>
        </w:rPr>
        <w:t>.</w:t>
      </w:r>
    </w:p>
    <w:p w14:paraId="46DA1CFD" w14:textId="77777777" w:rsidR="00232D3C" w:rsidRDefault="00232D3C" w:rsidP="00232D3C">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 xml:space="preserve">Johnston, R. and Clark, G. (2008). </w:t>
      </w:r>
      <w:r>
        <w:rPr>
          <w:rFonts w:ascii="Helvetica Neue" w:hAnsi="Helvetica Neue" w:cs="Helvetica Neue"/>
          <w:i/>
          <w:iCs/>
          <w:kern w:val="0"/>
          <w:sz w:val="26"/>
          <w:szCs w:val="26"/>
        </w:rPr>
        <w:t>Service Operations Management</w:t>
      </w:r>
      <w:r>
        <w:rPr>
          <w:rFonts w:ascii="Helvetica Neue" w:hAnsi="Helvetica Neue" w:cs="Helvetica Neue"/>
          <w:kern w:val="0"/>
          <w:sz w:val="26"/>
          <w:szCs w:val="26"/>
        </w:rPr>
        <w:t>. Pearson Education.</w:t>
      </w:r>
    </w:p>
    <w:p w14:paraId="38970268" w14:textId="77777777" w:rsidR="00232D3C" w:rsidRDefault="00232D3C" w:rsidP="00232D3C">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 xml:space="preserve">Jones, P. (2002). </w:t>
      </w:r>
      <w:r>
        <w:rPr>
          <w:rFonts w:ascii="Helvetica Neue" w:hAnsi="Helvetica Neue" w:cs="Helvetica Neue"/>
          <w:i/>
          <w:iCs/>
          <w:kern w:val="0"/>
          <w:sz w:val="26"/>
          <w:szCs w:val="26"/>
        </w:rPr>
        <w:t>Introduction to Hospitality Operations</w:t>
      </w:r>
      <w:r>
        <w:rPr>
          <w:rFonts w:ascii="Helvetica Neue" w:hAnsi="Helvetica Neue" w:cs="Helvetica Neue"/>
          <w:kern w:val="0"/>
          <w:sz w:val="26"/>
          <w:szCs w:val="26"/>
        </w:rPr>
        <w:t>. Cengage Learning.</w:t>
      </w:r>
    </w:p>
    <w:p w14:paraId="14442A39" w14:textId="77777777" w:rsidR="00232D3C" w:rsidRDefault="00232D3C" w:rsidP="00232D3C">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 xml:space="preserve">Lewin, K. (1939). </w:t>
      </w:r>
      <w:r>
        <w:rPr>
          <w:rFonts w:ascii="Helvetica Neue" w:hAnsi="Helvetica Neue" w:cs="Helvetica Neue"/>
          <w:i/>
          <w:iCs/>
          <w:kern w:val="0"/>
          <w:sz w:val="26"/>
          <w:szCs w:val="26"/>
        </w:rPr>
        <w:t xml:space="preserve">Patterns of Aggressive </w:t>
      </w:r>
      <w:proofErr w:type="spellStart"/>
      <w:r>
        <w:rPr>
          <w:rFonts w:ascii="Helvetica Neue" w:hAnsi="Helvetica Neue" w:cs="Helvetica Neue"/>
          <w:i/>
          <w:iCs/>
          <w:kern w:val="0"/>
          <w:sz w:val="26"/>
          <w:szCs w:val="26"/>
        </w:rPr>
        <w:t>Behavior</w:t>
      </w:r>
      <w:proofErr w:type="spellEnd"/>
      <w:r>
        <w:rPr>
          <w:rFonts w:ascii="Helvetica Neue" w:hAnsi="Helvetica Neue" w:cs="Helvetica Neue"/>
          <w:i/>
          <w:iCs/>
          <w:kern w:val="0"/>
          <w:sz w:val="26"/>
          <w:szCs w:val="26"/>
        </w:rPr>
        <w:t xml:space="preserve"> in Experimentally Created Social Climates</w:t>
      </w:r>
      <w:r>
        <w:rPr>
          <w:rFonts w:ascii="Helvetica Neue" w:hAnsi="Helvetica Neue" w:cs="Helvetica Neue"/>
          <w:kern w:val="0"/>
          <w:sz w:val="26"/>
          <w:szCs w:val="26"/>
        </w:rPr>
        <w:t xml:space="preserve">. </w:t>
      </w:r>
      <w:r>
        <w:rPr>
          <w:rFonts w:ascii="Helvetica Neue" w:hAnsi="Helvetica Neue" w:cs="Helvetica Neue"/>
          <w:i/>
          <w:iCs/>
          <w:kern w:val="0"/>
          <w:sz w:val="26"/>
          <w:szCs w:val="26"/>
        </w:rPr>
        <w:t>Journal of Social Psychology</w:t>
      </w:r>
      <w:r>
        <w:rPr>
          <w:rFonts w:ascii="Helvetica Neue" w:hAnsi="Helvetica Neue" w:cs="Helvetica Neue"/>
          <w:kern w:val="0"/>
          <w:sz w:val="26"/>
          <w:szCs w:val="26"/>
        </w:rPr>
        <w:t>, 10(2).</w:t>
      </w:r>
    </w:p>
    <w:p w14:paraId="16148967" w14:textId="77777777" w:rsidR="00232D3C" w:rsidRDefault="00232D3C" w:rsidP="00232D3C">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 xml:space="preserve">Mullins, L.J. (2016). </w:t>
      </w:r>
      <w:r>
        <w:rPr>
          <w:rFonts w:ascii="Helvetica Neue" w:hAnsi="Helvetica Neue" w:cs="Helvetica Neue"/>
          <w:i/>
          <w:iCs/>
          <w:kern w:val="0"/>
          <w:sz w:val="26"/>
          <w:szCs w:val="26"/>
        </w:rPr>
        <w:t>Management and Organisational Behaviour</w:t>
      </w:r>
      <w:r>
        <w:rPr>
          <w:rFonts w:ascii="Helvetica Neue" w:hAnsi="Helvetica Neue" w:cs="Helvetica Neue"/>
          <w:kern w:val="0"/>
          <w:sz w:val="26"/>
          <w:szCs w:val="26"/>
        </w:rPr>
        <w:t>. 11th ed. Pearson.</w:t>
      </w:r>
    </w:p>
    <w:p w14:paraId="2CE7ECD7" w14:textId="77777777" w:rsidR="00232D3C" w:rsidRDefault="00232D3C" w:rsidP="00232D3C">
      <w:pPr>
        <w:numPr>
          <w:ilvl w:val="0"/>
          <w:numId w:val="2"/>
        </w:numPr>
        <w:autoSpaceDE w:val="0"/>
        <w:autoSpaceDN w:val="0"/>
        <w:adjustRightInd w:val="0"/>
        <w:spacing w:after="0" w:line="240" w:lineRule="auto"/>
        <w:ind w:left="0" w:firstLine="0"/>
        <w:rPr>
          <w:rFonts w:ascii="Helvetica Neue" w:hAnsi="Helvetica Neue" w:cs="Helvetica Neue"/>
          <w:kern w:val="0"/>
          <w:sz w:val="26"/>
          <w:szCs w:val="26"/>
        </w:rPr>
      </w:pPr>
      <w:r>
        <w:rPr>
          <w:rFonts w:ascii="Helvetica Neue" w:hAnsi="Helvetica Neue" w:cs="Helvetica Neue"/>
          <w:kern w:val="0"/>
          <w:sz w:val="26"/>
          <w:szCs w:val="26"/>
        </w:rPr>
        <w:t xml:space="preserve">Slack, N., Brandon-Jones, A. and Johnston, R. (2020). </w:t>
      </w:r>
      <w:r>
        <w:rPr>
          <w:rFonts w:ascii="Helvetica Neue" w:hAnsi="Helvetica Neue" w:cs="Helvetica Neue"/>
          <w:i/>
          <w:iCs/>
          <w:kern w:val="0"/>
          <w:sz w:val="26"/>
          <w:szCs w:val="26"/>
        </w:rPr>
        <w:t>Operations Management</w:t>
      </w:r>
      <w:r>
        <w:rPr>
          <w:rFonts w:ascii="Helvetica Neue" w:hAnsi="Helvetica Neue" w:cs="Helvetica Neue"/>
          <w:kern w:val="0"/>
          <w:sz w:val="26"/>
          <w:szCs w:val="26"/>
        </w:rPr>
        <w:t>. 9th ed. Pearson.</w:t>
      </w:r>
    </w:p>
    <w:p w14:paraId="3110E3C8" w14:textId="77777777" w:rsidR="00232D3C" w:rsidRDefault="00232D3C"/>
    <w:sectPr w:rsidR="00232D3C" w:rsidSect="00232D3C">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439642858">
    <w:abstractNumId w:val="0"/>
  </w:num>
  <w:num w:numId="2" w16cid:durableId="11032605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D3C"/>
    <w:rsid w:val="00232D3C"/>
    <w:rsid w:val="0028427B"/>
    <w:rsid w:val="003F6758"/>
    <w:rsid w:val="007027DB"/>
    <w:rsid w:val="00F65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CDA8C4"/>
  <w15:chartTrackingRefBased/>
  <w15:docId w15:val="{9D13062C-4724-7146-AA3C-8181BC1A2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2D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2D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2D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2D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2D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2D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2D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2D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2D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D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2D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2D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2D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2D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2D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2D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2D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2D3C"/>
    <w:rPr>
      <w:rFonts w:eastAsiaTheme="majorEastAsia" w:cstheme="majorBidi"/>
      <w:color w:val="272727" w:themeColor="text1" w:themeTint="D8"/>
    </w:rPr>
  </w:style>
  <w:style w:type="paragraph" w:styleId="Title">
    <w:name w:val="Title"/>
    <w:basedOn w:val="Normal"/>
    <w:next w:val="Normal"/>
    <w:link w:val="TitleChar"/>
    <w:uiPriority w:val="10"/>
    <w:qFormat/>
    <w:rsid w:val="00232D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2D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2D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2D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2D3C"/>
    <w:pPr>
      <w:spacing w:before="160"/>
      <w:jc w:val="center"/>
    </w:pPr>
    <w:rPr>
      <w:i/>
      <w:iCs/>
      <w:color w:val="404040" w:themeColor="text1" w:themeTint="BF"/>
    </w:rPr>
  </w:style>
  <w:style w:type="character" w:customStyle="1" w:styleId="QuoteChar">
    <w:name w:val="Quote Char"/>
    <w:basedOn w:val="DefaultParagraphFont"/>
    <w:link w:val="Quote"/>
    <w:uiPriority w:val="29"/>
    <w:rsid w:val="00232D3C"/>
    <w:rPr>
      <w:i/>
      <w:iCs/>
      <w:color w:val="404040" w:themeColor="text1" w:themeTint="BF"/>
    </w:rPr>
  </w:style>
  <w:style w:type="paragraph" w:styleId="ListParagraph">
    <w:name w:val="List Paragraph"/>
    <w:basedOn w:val="Normal"/>
    <w:uiPriority w:val="34"/>
    <w:qFormat/>
    <w:rsid w:val="00232D3C"/>
    <w:pPr>
      <w:ind w:left="720"/>
      <w:contextualSpacing/>
    </w:pPr>
  </w:style>
  <w:style w:type="character" w:styleId="IntenseEmphasis">
    <w:name w:val="Intense Emphasis"/>
    <w:basedOn w:val="DefaultParagraphFont"/>
    <w:uiPriority w:val="21"/>
    <w:qFormat/>
    <w:rsid w:val="00232D3C"/>
    <w:rPr>
      <w:i/>
      <w:iCs/>
      <w:color w:val="0F4761" w:themeColor="accent1" w:themeShade="BF"/>
    </w:rPr>
  </w:style>
  <w:style w:type="paragraph" w:styleId="IntenseQuote">
    <w:name w:val="Intense Quote"/>
    <w:basedOn w:val="Normal"/>
    <w:next w:val="Normal"/>
    <w:link w:val="IntenseQuoteChar"/>
    <w:uiPriority w:val="30"/>
    <w:qFormat/>
    <w:rsid w:val="00232D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2D3C"/>
    <w:rPr>
      <w:i/>
      <w:iCs/>
      <w:color w:val="0F4761" w:themeColor="accent1" w:themeShade="BF"/>
    </w:rPr>
  </w:style>
  <w:style w:type="character" w:styleId="IntenseReference">
    <w:name w:val="Intense Reference"/>
    <w:basedOn w:val="DefaultParagraphFont"/>
    <w:uiPriority w:val="32"/>
    <w:qFormat/>
    <w:rsid w:val="00232D3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se.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TotalTime>
  <Pages>6</Pages>
  <Words>1480</Words>
  <Characters>8439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R</dc:creator>
  <cp:keywords/>
  <dc:description/>
  <cp:lastModifiedBy>M R</cp:lastModifiedBy>
  <cp:revision>2</cp:revision>
  <dcterms:created xsi:type="dcterms:W3CDTF">2025-06-16T19:55:00Z</dcterms:created>
  <dcterms:modified xsi:type="dcterms:W3CDTF">2025-06-16T20:20:00Z</dcterms:modified>
</cp:coreProperties>
</file>