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1190273"/>
        <w:docPartObj>
          <w:docPartGallery w:val="Cover Pages"/>
          <w:docPartUnique/>
        </w:docPartObj>
      </w:sdtPr>
      <w:sdtEndPr>
        <w:rPr>
          <w:rFonts w:ascii="Times New Roman" w:hAnsi="Times New Roman" w:cs="Times New Roman"/>
          <w:b/>
          <w:bCs/>
          <w:color w:val="156082" w:themeColor="accent1"/>
        </w:rPr>
      </w:sdtEndPr>
      <w:sdtContent>
        <w:p w14:paraId="71F14D6F" w14:textId="577AE878" w:rsidR="00501552" w:rsidRDefault="00501552">
          <w:r>
            <w:rPr>
              <w:noProof/>
            </w:rPr>
            <mc:AlternateContent>
              <mc:Choice Requires="wps">
                <w:drawing>
                  <wp:anchor distT="0" distB="0" distL="114300" distR="114300" simplePos="0" relativeHeight="251659264" behindDoc="0" locked="0" layoutInCell="1" allowOverlap="1" wp14:anchorId="219B6E17" wp14:editId="02786933">
                    <wp:simplePos x="0" y="0"/>
                    <wp:positionH relativeFrom="margin">
                      <wp:posOffset>-438150</wp:posOffset>
                    </wp:positionH>
                    <wp:positionV relativeFrom="page">
                      <wp:posOffset>228600</wp:posOffset>
                    </wp:positionV>
                    <wp:extent cx="6953250" cy="257175"/>
                    <wp:effectExtent l="0" t="0" r="0" b="9525"/>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953250" cy="25717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F568C0" w14:textId="0DA3647F" w:rsidR="00501552" w:rsidRDefault="0050155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9B6E17" id="Rectangle 132" o:spid="_x0000_s1026" style="position:absolute;margin-left:-34.5pt;margin-top:18pt;width:54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" fillcolor="#156082 [3204]" stroked="f" strokeweight="1.5pt">
                    <o:lock v:ext="edit" aspectratio="t"/>
                    <v:textbox inset="3.6pt,,3.6pt">
                      <w:txbxContent>
                        <w:p w14:paraId="16F568C0" w14:textId="0DA3647F" w:rsidR="00501552" w:rsidRDefault="00501552">
                          <w:pPr>
                            <w:pStyle w:val="NoSpacing"/>
                            <w:jc w:val="right"/>
                            <w:rPr>
                              <w:color w:val="FFFFFF" w:themeColor="background1"/>
                              <w:sz w:val="24"/>
                              <w:szCs w:val="24"/>
                            </w:rPr>
                          </w:pPr>
                        </w:p>
                      </w:txbxContent>
                    </v:textbox>
                    <w10:wrap anchorx="margin" anchory="page"/>
                  </v:rect>
                </w:pict>
              </mc:Fallback>
            </mc:AlternateContent>
          </w:r>
        </w:p>
        <w:p w14:paraId="29C6FFB4" w14:textId="7781CEEC" w:rsidR="00501552" w:rsidRDefault="00501552" w:rsidP="00501552">
          <w:pPr>
            <w:rPr>
              <w:rFonts w:ascii="Times New Roman" w:hAnsi="Times New Roman" w:cs="Times New Roman"/>
              <w:b/>
              <w:bCs/>
              <w:color w:val="156082" w:themeColor="accent1"/>
            </w:rPr>
          </w:pPr>
          <w:r>
            <w:rPr>
              <w:noProof/>
            </w:rPr>
            <mc:AlternateContent>
              <mc:Choice Requires="wps">
                <w:drawing>
                  <wp:anchor distT="0" distB="0" distL="182880" distR="182880" simplePos="0" relativeHeight="251660288" behindDoc="0" locked="0" layoutInCell="1" allowOverlap="1" wp14:anchorId="65A7B0C2" wp14:editId="7EEF7D2F">
                    <wp:simplePos x="0" y="0"/>
                    <wp:positionH relativeFrom="margin">
                      <wp:posOffset>19050</wp:posOffset>
                    </wp:positionH>
                    <wp:positionV relativeFrom="margin">
                      <wp:posOffset>3552190</wp:posOffset>
                    </wp:positionV>
                    <wp:extent cx="6400800" cy="1514475"/>
                    <wp:effectExtent l="0" t="0" r="0"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6400800"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22AB8" w14:textId="409EF5AF" w:rsidR="00501552" w:rsidRPr="00501552" w:rsidRDefault="00501552" w:rsidP="00501552">
                                <w:pPr>
                                  <w:pStyle w:val="NoSpacing"/>
                                  <w:spacing w:before="40" w:after="560" w:line="216" w:lineRule="auto"/>
                                  <w:jc w:val="center"/>
                                  <w:rPr>
                                    <w:color w:val="156082" w:themeColor="accent1"/>
                                    <w:sz w:val="72"/>
                                    <w:szCs w:val="72"/>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01552">
                                      <w:rPr>
                                        <w:rFonts w:ascii="Times New Roman" w:hAnsi="Times New Roman" w:cs="Times New Roman"/>
                                        <w:b/>
                                        <w:bCs/>
                                        <w:color w:val="156082" w:themeColor="accent1"/>
                                        <w:sz w:val="96"/>
                                        <w:szCs w:val="96"/>
                                      </w:rPr>
                                      <w:t>Financial Analysis of Tesco Plc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5A7B0C2" id="_x0000_t202" coordsize="21600,21600" o:spt="202" path="m,l,21600r21600,l21600,xe">
                    <v:stroke joinstyle="miter"/>
                    <v:path gradientshapeok="t" o:connecttype="rect"/>
                  </v:shapetype>
                  <v:shape id="Text Box 131" o:spid="_x0000_s1027" type="#_x0000_t202" style="position:absolute;margin-left:1.5pt;margin-top:279.7pt;width:7in;height:119.2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" filled="f" stroked="f" strokeweight=".5pt">
                    <v:textbox inset="0,0,0,0">
                      <w:txbxContent>
                        <w:p w14:paraId="71422AB8" w14:textId="409EF5AF" w:rsidR="00501552" w:rsidRPr="00501552" w:rsidRDefault="00501552" w:rsidP="00501552">
                          <w:pPr>
                            <w:pStyle w:val="NoSpacing"/>
                            <w:spacing w:before="40" w:after="560" w:line="216" w:lineRule="auto"/>
                            <w:jc w:val="center"/>
                            <w:rPr>
                              <w:color w:val="156082" w:themeColor="accent1"/>
                              <w:sz w:val="72"/>
                              <w:szCs w:val="72"/>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01552">
                                <w:rPr>
                                  <w:rFonts w:ascii="Times New Roman" w:hAnsi="Times New Roman" w:cs="Times New Roman"/>
                                  <w:b/>
                                  <w:bCs/>
                                  <w:color w:val="156082" w:themeColor="accent1"/>
                                  <w:sz w:val="96"/>
                                  <w:szCs w:val="96"/>
                                </w:rPr>
                                <w:t>Financial Analysis of Tesco Plc</w:t>
                              </w:r>
                            </w:sdtContent>
                          </w:sdt>
                        </w:p>
                      </w:txbxContent>
                    </v:textbox>
                    <w10:wrap type="square" anchorx="margin" anchory="margin"/>
                  </v:shape>
                </w:pict>
              </mc:Fallback>
            </mc:AlternateContent>
          </w:r>
          <w:r>
            <w:rPr>
              <w:rFonts w:ascii="Times New Roman" w:hAnsi="Times New Roman" w:cs="Times New Roman"/>
              <w:b/>
              <w:bCs/>
              <w:color w:val="156082" w:themeColor="accent1"/>
            </w:rPr>
            <w:br w:type="page"/>
          </w:r>
        </w:p>
      </w:sdtContent>
    </w:sdt>
    <w:p w14:paraId="7E88E08C" w14:textId="41A9CA69" w:rsidR="00EE3EDB" w:rsidRDefault="00EE3EDB" w:rsidP="00501552">
      <w:pPr>
        <w:rPr>
          <w:rFonts w:ascii="Times New Roman" w:hAnsi="Times New Roman" w:cs="Times New Roman"/>
          <w:b/>
          <w:bCs/>
          <w:color w:val="156082" w:themeColor="accent1"/>
        </w:rPr>
      </w:pPr>
      <w:r w:rsidRPr="00873BCF">
        <w:rPr>
          <w:rFonts w:ascii="Times New Roman" w:hAnsi="Times New Roman" w:cs="Times New Roman"/>
          <w:b/>
          <w:bCs/>
          <w:color w:val="156082" w:themeColor="accent1"/>
        </w:rPr>
        <w:lastRenderedPageBreak/>
        <w:t>Introduction</w:t>
      </w:r>
    </w:p>
    <w:p w14:paraId="6822A486" w14:textId="77777777" w:rsidR="00501552" w:rsidRPr="00873BCF" w:rsidRDefault="00501552" w:rsidP="00501552">
      <w:pPr>
        <w:rPr>
          <w:rFonts w:ascii="Times New Roman" w:hAnsi="Times New Roman" w:cs="Times New Roman"/>
          <w:b/>
          <w:bCs/>
          <w:color w:val="156082" w:themeColor="accent1"/>
        </w:rPr>
      </w:pPr>
    </w:p>
    <w:p w14:paraId="0927FF10" w14:textId="6EF01FAB"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Tesco PLC has been </w:t>
      </w:r>
      <w:r>
        <w:rPr>
          <w:rFonts w:ascii="Times New Roman" w:hAnsi="Times New Roman" w:cs="Times New Roman"/>
        </w:rPr>
        <w:t>chosen</w:t>
      </w:r>
      <w:r w:rsidRPr="00EE3EDB">
        <w:rPr>
          <w:rFonts w:ascii="Times New Roman" w:hAnsi="Times New Roman" w:cs="Times New Roman"/>
        </w:rPr>
        <w:t xml:space="preserve"> as the focus of this </w:t>
      </w:r>
      <w:r>
        <w:rPr>
          <w:rFonts w:ascii="Times New Roman" w:hAnsi="Times New Roman" w:cs="Times New Roman"/>
        </w:rPr>
        <w:t>report</w:t>
      </w:r>
      <w:r w:rsidRPr="00EE3EDB">
        <w:rPr>
          <w:rFonts w:ascii="Times New Roman" w:hAnsi="Times New Roman" w:cs="Times New Roman"/>
        </w:rPr>
        <w:t xml:space="preserve"> because it is one of the leading grocery chains in the UK with well-audited financial statements for different years making it easier for financial analysts to evaluate its performance. The relevance of financial ratio analysis is that it converts massive </w:t>
      </w:r>
      <w:r w:rsidRPr="00EE3EDB">
        <w:rPr>
          <w:rFonts w:ascii="Times New Roman" w:hAnsi="Times New Roman" w:cs="Times New Roman"/>
        </w:rPr>
        <w:t>amounts</w:t>
      </w:r>
      <w:r w:rsidRPr="00EE3EDB">
        <w:rPr>
          <w:rFonts w:ascii="Times New Roman" w:hAnsi="Times New Roman" w:cs="Times New Roman"/>
        </w:rPr>
        <w:t xml:space="preserve"> of accounting information into ratios that can clearly reflect profitability, liquidity, operational efficiency, and solvency of the company allowing different users of the financial statements to get the necessary information (Schroeder, Clark, and Cathey, 2022). </w:t>
      </w:r>
    </w:p>
    <w:p w14:paraId="259B1891" w14:textId="0C682FF6"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The study assumes the two financial years ended 22 February 2025 and 24 February 2024 as the key accounting periods. </w:t>
      </w:r>
      <w:r w:rsidRPr="00EE3EDB">
        <w:rPr>
          <w:rFonts w:ascii="Times New Roman" w:hAnsi="Times New Roman" w:cs="Times New Roman"/>
        </w:rPr>
        <w:t>To</w:t>
      </w:r>
      <w:r w:rsidRPr="00EE3EDB">
        <w:rPr>
          <w:rFonts w:ascii="Times New Roman" w:hAnsi="Times New Roman" w:cs="Times New Roman"/>
        </w:rPr>
        <w:t xml:space="preserve"> the comparative analysis, the calculation of liquidity and capital employed for the years must disregard any effects of the banking disposal group which was classified as held for sale at the time the bank was sold to Barclays and thus it </w:t>
      </w:r>
      <w:r w:rsidRPr="00EE3EDB">
        <w:rPr>
          <w:rFonts w:ascii="Times New Roman" w:hAnsi="Times New Roman" w:cs="Times New Roman"/>
        </w:rPr>
        <w:t>must</w:t>
      </w:r>
      <w:r w:rsidRPr="00EE3EDB">
        <w:rPr>
          <w:rFonts w:ascii="Times New Roman" w:hAnsi="Times New Roman" w:cs="Times New Roman"/>
        </w:rPr>
        <w:t xml:space="preserve"> be excluded from the calculations. </w:t>
      </w:r>
    </w:p>
    <w:p w14:paraId="4A0A325D" w14:textId="77777777" w:rsidR="00EE3EDB" w:rsidRPr="00EE3EDB" w:rsidRDefault="00EE3EDB" w:rsidP="00EE3EDB">
      <w:pPr>
        <w:spacing w:line="480" w:lineRule="auto"/>
        <w:rPr>
          <w:rFonts w:ascii="Times New Roman" w:hAnsi="Times New Roman" w:cs="Times New Roman"/>
        </w:rPr>
      </w:pPr>
    </w:p>
    <w:tbl>
      <w:tblPr>
        <w:tblStyle w:val="GridTable5Dark-Accent1"/>
        <w:tblW w:w="9438" w:type="dxa"/>
        <w:tblLook w:val="04A0" w:firstRow="1" w:lastRow="0" w:firstColumn="1" w:lastColumn="0" w:noHBand="0" w:noVBand="1"/>
      </w:tblPr>
      <w:tblGrid>
        <w:gridCol w:w="2670"/>
        <w:gridCol w:w="4276"/>
        <w:gridCol w:w="1246"/>
        <w:gridCol w:w="1246"/>
      </w:tblGrid>
      <w:tr w:rsidR="00EE3EDB" w:rsidRPr="00EE3EDB" w14:paraId="097D9ECC" w14:textId="77777777" w:rsidTr="00EE3EDB">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40C89D45" w14:textId="77777777" w:rsidR="00EE3EDB" w:rsidRPr="00873BCF" w:rsidRDefault="00EE3EDB" w:rsidP="00EE3EDB">
            <w:pPr>
              <w:jc w:val="cente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Ratio</w:t>
            </w:r>
          </w:p>
        </w:tc>
        <w:tc>
          <w:tcPr>
            <w:tcW w:w="0" w:type="auto"/>
            <w:hideMark/>
          </w:tcPr>
          <w:p w14:paraId="6B464657" w14:textId="77777777" w:rsidR="00EE3EDB" w:rsidRPr="00873BCF" w:rsidRDefault="00EE3EDB" w:rsidP="00EE3ED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Formula</w:t>
            </w:r>
          </w:p>
        </w:tc>
        <w:tc>
          <w:tcPr>
            <w:tcW w:w="0" w:type="auto"/>
            <w:hideMark/>
          </w:tcPr>
          <w:p w14:paraId="0205757D" w14:textId="77777777" w:rsidR="00EE3EDB" w:rsidRPr="00873BCF" w:rsidRDefault="00EE3EDB" w:rsidP="00EE3EDB">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2025</w:t>
            </w:r>
          </w:p>
        </w:tc>
        <w:tc>
          <w:tcPr>
            <w:tcW w:w="0" w:type="auto"/>
            <w:hideMark/>
          </w:tcPr>
          <w:p w14:paraId="2678F5E2" w14:textId="77777777" w:rsidR="00EE3EDB" w:rsidRPr="00873BCF" w:rsidRDefault="00EE3EDB" w:rsidP="00EE3EDB">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2024</w:t>
            </w:r>
          </w:p>
        </w:tc>
      </w:tr>
      <w:tr w:rsidR="00EE3EDB" w:rsidRPr="00EE3EDB" w14:paraId="1EDDF7CC" w14:textId="77777777" w:rsidTr="00EE3ED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3341AB5D"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Gross profit margin</w:t>
            </w:r>
          </w:p>
        </w:tc>
        <w:tc>
          <w:tcPr>
            <w:tcW w:w="0" w:type="auto"/>
            <w:hideMark/>
          </w:tcPr>
          <w:p w14:paraId="7957CB8D" w14:textId="4A8CAAA2" w:rsidR="00EE3EDB" w:rsidRPr="00873BCF" w:rsidRDefault="00EE3EDB" w:rsidP="00EE3E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Gross profit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revenue</w:t>
            </w:r>
          </w:p>
        </w:tc>
        <w:tc>
          <w:tcPr>
            <w:tcW w:w="0" w:type="auto"/>
            <w:hideMark/>
          </w:tcPr>
          <w:p w14:paraId="3828C5FA"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7.22%</w:t>
            </w:r>
          </w:p>
        </w:tc>
        <w:tc>
          <w:tcPr>
            <w:tcW w:w="0" w:type="auto"/>
            <w:hideMark/>
          </w:tcPr>
          <w:p w14:paraId="0F3FD513"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7.11%</w:t>
            </w:r>
          </w:p>
        </w:tc>
      </w:tr>
      <w:tr w:rsidR="00EE3EDB" w:rsidRPr="00EE3EDB" w14:paraId="339847CD" w14:textId="77777777" w:rsidTr="00EE3EDB">
        <w:trPr>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447801EF"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Operating profit margin</w:t>
            </w:r>
          </w:p>
        </w:tc>
        <w:tc>
          <w:tcPr>
            <w:tcW w:w="0" w:type="auto"/>
            <w:hideMark/>
          </w:tcPr>
          <w:p w14:paraId="4AEF09D6" w14:textId="217025D6" w:rsidR="00EE3EDB" w:rsidRPr="00873BCF" w:rsidRDefault="00EE3EDB" w:rsidP="00EE3E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Operating profit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revenue</w:t>
            </w:r>
          </w:p>
        </w:tc>
        <w:tc>
          <w:tcPr>
            <w:tcW w:w="0" w:type="auto"/>
            <w:hideMark/>
          </w:tcPr>
          <w:p w14:paraId="4F5932AE"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3.88%</w:t>
            </w:r>
          </w:p>
        </w:tc>
        <w:tc>
          <w:tcPr>
            <w:tcW w:w="0" w:type="auto"/>
            <w:hideMark/>
          </w:tcPr>
          <w:p w14:paraId="2BFA122E"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4.14%</w:t>
            </w:r>
          </w:p>
        </w:tc>
      </w:tr>
      <w:tr w:rsidR="00EE3EDB" w:rsidRPr="00EE3EDB" w14:paraId="2DBC785E" w14:textId="77777777" w:rsidTr="00EE3ED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74075C2F"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Net profit margin</w:t>
            </w:r>
          </w:p>
        </w:tc>
        <w:tc>
          <w:tcPr>
            <w:tcW w:w="0" w:type="auto"/>
            <w:hideMark/>
          </w:tcPr>
          <w:p w14:paraId="596879AC" w14:textId="301E4B95" w:rsidR="00EE3EDB" w:rsidRPr="00873BCF" w:rsidRDefault="00EE3EDB" w:rsidP="00EE3E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Continuing profit after tax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revenue</w:t>
            </w:r>
          </w:p>
        </w:tc>
        <w:tc>
          <w:tcPr>
            <w:tcW w:w="0" w:type="auto"/>
            <w:hideMark/>
          </w:tcPr>
          <w:p w14:paraId="1810AC67"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2.29%</w:t>
            </w:r>
          </w:p>
        </w:tc>
        <w:tc>
          <w:tcPr>
            <w:tcW w:w="0" w:type="auto"/>
            <w:hideMark/>
          </w:tcPr>
          <w:p w14:paraId="52B2BAFE"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2.59%</w:t>
            </w:r>
          </w:p>
        </w:tc>
      </w:tr>
      <w:tr w:rsidR="00EE3EDB" w:rsidRPr="00EE3EDB" w14:paraId="34BD169B" w14:textId="77777777" w:rsidTr="00EE3EDB">
        <w:trPr>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32627CAD"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Current ratio</w:t>
            </w:r>
          </w:p>
        </w:tc>
        <w:tc>
          <w:tcPr>
            <w:tcW w:w="0" w:type="auto"/>
            <w:hideMark/>
          </w:tcPr>
          <w:p w14:paraId="0755BA1D" w14:textId="458AE8E9" w:rsidR="00EE3EDB" w:rsidRPr="00873BCF" w:rsidRDefault="00EE3EDB" w:rsidP="00EE3E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Current assets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current liabilities</w:t>
            </w:r>
          </w:p>
        </w:tc>
        <w:tc>
          <w:tcPr>
            <w:tcW w:w="0" w:type="auto"/>
            <w:hideMark/>
          </w:tcPr>
          <w:p w14:paraId="7ED1A606"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0.64:1</w:t>
            </w:r>
          </w:p>
        </w:tc>
        <w:tc>
          <w:tcPr>
            <w:tcW w:w="0" w:type="auto"/>
            <w:hideMark/>
          </w:tcPr>
          <w:p w14:paraId="4BDB3CEC"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0.66:1</w:t>
            </w:r>
          </w:p>
        </w:tc>
      </w:tr>
      <w:tr w:rsidR="00EE3EDB" w:rsidRPr="00EE3EDB" w14:paraId="15589A55" w14:textId="77777777" w:rsidTr="00EE3EDB">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0" w:type="auto"/>
            <w:hideMark/>
          </w:tcPr>
          <w:p w14:paraId="55190F39"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Quick ratio</w:t>
            </w:r>
          </w:p>
        </w:tc>
        <w:tc>
          <w:tcPr>
            <w:tcW w:w="0" w:type="auto"/>
            <w:hideMark/>
          </w:tcPr>
          <w:p w14:paraId="3D69F285" w14:textId="50D00F64" w:rsidR="00EE3EDB" w:rsidRPr="00873BCF" w:rsidRDefault="00EE3EDB" w:rsidP="00EE3E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(Current assets − inventory)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current liabilities</w:t>
            </w:r>
          </w:p>
        </w:tc>
        <w:tc>
          <w:tcPr>
            <w:tcW w:w="0" w:type="auto"/>
            <w:hideMark/>
          </w:tcPr>
          <w:p w14:paraId="2489B8FA"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0.44:1</w:t>
            </w:r>
          </w:p>
        </w:tc>
        <w:tc>
          <w:tcPr>
            <w:tcW w:w="0" w:type="auto"/>
            <w:hideMark/>
          </w:tcPr>
          <w:p w14:paraId="528A0E6F"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0.46:1</w:t>
            </w:r>
          </w:p>
        </w:tc>
      </w:tr>
      <w:tr w:rsidR="00EE3EDB" w:rsidRPr="00EE3EDB" w14:paraId="053B12FE" w14:textId="77777777" w:rsidTr="00EE3EDB">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032578D6"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Inventory days</w:t>
            </w:r>
          </w:p>
        </w:tc>
        <w:tc>
          <w:tcPr>
            <w:tcW w:w="0" w:type="auto"/>
            <w:hideMark/>
          </w:tcPr>
          <w:p w14:paraId="4F9967EF" w14:textId="5859A626" w:rsidR="00EE3EDB" w:rsidRPr="00873BCF" w:rsidRDefault="00EE3EDB" w:rsidP="00EE3E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Average inventory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cost of sales × 365</w:t>
            </w:r>
          </w:p>
        </w:tc>
        <w:tc>
          <w:tcPr>
            <w:tcW w:w="0" w:type="auto"/>
            <w:hideMark/>
          </w:tcPr>
          <w:p w14:paraId="4B350C86"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15.36 days</w:t>
            </w:r>
          </w:p>
        </w:tc>
        <w:tc>
          <w:tcPr>
            <w:tcW w:w="0" w:type="auto"/>
            <w:hideMark/>
          </w:tcPr>
          <w:p w14:paraId="4D2E5336"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14.94 days</w:t>
            </w:r>
          </w:p>
        </w:tc>
      </w:tr>
      <w:tr w:rsidR="00EE3EDB" w:rsidRPr="00EE3EDB" w14:paraId="4A647127" w14:textId="77777777" w:rsidTr="00EE3EDB">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0" w:type="auto"/>
            <w:hideMark/>
          </w:tcPr>
          <w:p w14:paraId="46543B9E"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lastRenderedPageBreak/>
              <w:t>Return on capital employed</w:t>
            </w:r>
          </w:p>
        </w:tc>
        <w:tc>
          <w:tcPr>
            <w:tcW w:w="0" w:type="auto"/>
            <w:hideMark/>
          </w:tcPr>
          <w:p w14:paraId="287FEFB8" w14:textId="1D12F6F9" w:rsidR="00EE3EDB" w:rsidRPr="00873BCF" w:rsidRDefault="00EE3EDB" w:rsidP="00EE3E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Operating profit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capital employed</w:t>
            </w:r>
          </w:p>
        </w:tc>
        <w:tc>
          <w:tcPr>
            <w:tcW w:w="0" w:type="auto"/>
            <w:hideMark/>
          </w:tcPr>
          <w:p w14:paraId="4F1C3F15"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10.84%</w:t>
            </w:r>
          </w:p>
        </w:tc>
        <w:tc>
          <w:tcPr>
            <w:tcW w:w="0" w:type="auto"/>
            <w:hideMark/>
          </w:tcPr>
          <w:p w14:paraId="09ACEF49"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10.89%</w:t>
            </w:r>
          </w:p>
        </w:tc>
      </w:tr>
      <w:tr w:rsidR="00EE3EDB" w:rsidRPr="00EE3EDB" w14:paraId="14EB0061" w14:textId="77777777" w:rsidTr="00EE3EDB">
        <w:trPr>
          <w:trHeight w:val="728"/>
        </w:trPr>
        <w:tc>
          <w:tcPr>
            <w:cnfStyle w:val="001000000000" w:firstRow="0" w:lastRow="0" w:firstColumn="1" w:lastColumn="0" w:oddVBand="0" w:evenVBand="0" w:oddHBand="0" w:evenHBand="0" w:firstRowFirstColumn="0" w:firstRowLastColumn="0" w:lastRowFirstColumn="0" w:lastRowLastColumn="0"/>
            <w:tcW w:w="0" w:type="auto"/>
            <w:hideMark/>
          </w:tcPr>
          <w:p w14:paraId="0A55B066"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Return on equity</w:t>
            </w:r>
          </w:p>
        </w:tc>
        <w:tc>
          <w:tcPr>
            <w:tcW w:w="0" w:type="auto"/>
            <w:hideMark/>
          </w:tcPr>
          <w:p w14:paraId="145CFA9F" w14:textId="48995C1E" w:rsidR="00EE3EDB" w:rsidRPr="00873BCF" w:rsidRDefault="00EE3EDB" w:rsidP="00EE3E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Continuing profit after tax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average equity</w:t>
            </w:r>
          </w:p>
        </w:tc>
        <w:tc>
          <w:tcPr>
            <w:tcW w:w="0" w:type="auto"/>
            <w:hideMark/>
          </w:tcPr>
          <w:p w14:paraId="4E0756C4"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13.75%</w:t>
            </w:r>
          </w:p>
        </w:tc>
        <w:tc>
          <w:tcPr>
            <w:tcW w:w="0" w:type="auto"/>
            <w:hideMark/>
          </w:tcPr>
          <w:p w14:paraId="0A986F1A"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14.77%</w:t>
            </w:r>
          </w:p>
        </w:tc>
      </w:tr>
      <w:tr w:rsidR="00EE3EDB" w:rsidRPr="00EE3EDB" w14:paraId="3B91E7D2" w14:textId="77777777" w:rsidTr="00EE3ED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167A4B1A"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Debt-to-equity</w:t>
            </w:r>
          </w:p>
        </w:tc>
        <w:tc>
          <w:tcPr>
            <w:tcW w:w="0" w:type="auto"/>
            <w:hideMark/>
          </w:tcPr>
          <w:p w14:paraId="6C9FF152" w14:textId="5FEFA2EF" w:rsidR="00EE3EDB" w:rsidRPr="00873BCF" w:rsidRDefault="00EE3EDB" w:rsidP="00EE3E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(Borrowings + lease liabilities)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equity</w:t>
            </w:r>
          </w:p>
        </w:tc>
        <w:tc>
          <w:tcPr>
            <w:tcW w:w="0" w:type="auto"/>
            <w:hideMark/>
          </w:tcPr>
          <w:p w14:paraId="4EF9BE90"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125.76%</w:t>
            </w:r>
          </w:p>
        </w:tc>
        <w:tc>
          <w:tcPr>
            <w:tcW w:w="0" w:type="auto"/>
            <w:hideMark/>
          </w:tcPr>
          <w:p w14:paraId="5E108A2E" w14:textId="77777777" w:rsidR="00EE3EDB" w:rsidRPr="00873BCF" w:rsidRDefault="00EE3EDB" w:rsidP="00EE3ED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127.23%</w:t>
            </w:r>
          </w:p>
        </w:tc>
      </w:tr>
      <w:tr w:rsidR="00EE3EDB" w:rsidRPr="00EE3EDB" w14:paraId="7FE5BD76" w14:textId="77777777" w:rsidTr="00EE3EDB">
        <w:trPr>
          <w:trHeight w:val="503"/>
        </w:trPr>
        <w:tc>
          <w:tcPr>
            <w:cnfStyle w:val="001000000000" w:firstRow="0" w:lastRow="0" w:firstColumn="1" w:lastColumn="0" w:oddVBand="0" w:evenVBand="0" w:oddHBand="0" w:evenHBand="0" w:firstRowFirstColumn="0" w:firstRowLastColumn="0" w:lastRowFirstColumn="0" w:lastRowLastColumn="0"/>
            <w:tcW w:w="0" w:type="auto"/>
            <w:hideMark/>
          </w:tcPr>
          <w:p w14:paraId="67772659" w14:textId="77777777" w:rsidR="00EE3EDB" w:rsidRPr="00873BCF" w:rsidRDefault="00EE3EDB" w:rsidP="00EE3EDB">
            <w:pPr>
              <w:rPr>
                <w:rFonts w:ascii="Times New Roman" w:eastAsia="Times New Roman" w:hAnsi="Times New Roman" w:cs="Times New Roman"/>
                <w:kern w:val="0"/>
                <w14:ligatures w14:val="none"/>
              </w:rPr>
            </w:pPr>
            <w:r w:rsidRPr="00873BCF">
              <w:rPr>
                <w:rFonts w:ascii="Times New Roman" w:eastAsia="Times New Roman" w:hAnsi="Times New Roman" w:cs="Times New Roman"/>
                <w:kern w:val="0"/>
                <w14:ligatures w14:val="none"/>
              </w:rPr>
              <w:t>Interest cover</w:t>
            </w:r>
          </w:p>
        </w:tc>
        <w:tc>
          <w:tcPr>
            <w:tcW w:w="0" w:type="auto"/>
            <w:hideMark/>
          </w:tcPr>
          <w:p w14:paraId="610713F9" w14:textId="55650AAA" w:rsidR="00EE3EDB" w:rsidRPr="00873BCF" w:rsidRDefault="00EE3EDB" w:rsidP="00EE3E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 xml:space="preserve">Operating profit </w:t>
            </w:r>
            <w:r w:rsidRPr="00873BCF">
              <w:rPr>
                <w:rFonts w:ascii="Times New Roman" w:eastAsia="Times New Roman" w:hAnsi="Times New Roman" w:cs="Times New Roman"/>
                <w:b/>
                <w:bCs/>
                <w:kern w:val="0"/>
                <w14:ligatures w14:val="none"/>
              </w:rPr>
              <w:t>/</w:t>
            </w:r>
            <w:r w:rsidRPr="00873BCF">
              <w:rPr>
                <w:rFonts w:ascii="Times New Roman" w:eastAsia="Times New Roman" w:hAnsi="Times New Roman" w:cs="Times New Roman"/>
                <w:b/>
                <w:bCs/>
                <w:kern w:val="0"/>
                <w14:ligatures w14:val="none"/>
              </w:rPr>
              <w:t xml:space="preserve"> net finance cost</w:t>
            </w:r>
          </w:p>
        </w:tc>
        <w:tc>
          <w:tcPr>
            <w:tcW w:w="0" w:type="auto"/>
            <w:hideMark/>
          </w:tcPr>
          <w:p w14:paraId="67962A05"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5.51 times</w:t>
            </w:r>
          </w:p>
        </w:tc>
        <w:tc>
          <w:tcPr>
            <w:tcW w:w="0" w:type="auto"/>
            <w:hideMark/>
          </w:tcPr>
          <w:p w14:paraId="06D6F79C" w14:textId="77777777" w:rsidR="00EE3EDB" w:rsidRPr="00873BCF" w:rsidRDefault="00EE3EDB" w:rsidP="00EE3ED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14:ligatures w14:val="none"/>
              </w:rPr>
            </w:pPr>
            <w:r w:rsidRPr="00873BCF">
              <w:rPr>
                <w:rFonts w:ascii="Times New Roman" w:eastAsia="Times New Roman" w:hAnsi="Times New Roman" w:cs="Times New Roman"/>
                <w:b/>
                <w:bCs/>
                <w:kern w:val="0"/>
                <w14:ligatures w14:val="none"/>
              </w:rPr>
              <w:t>5.24 times</w:t>
            </w:r>
          </w:p>
        </w:tc>
      </w:tr>
    </w:tbl>
    <w:p w14:paraId="398F4249" w14:textId="77777777" w:rsidR="001329A5" w:rsidRDefault="001329A5" w:rsidP="00EE3EDB">
      <w:pPr>
        <w:spacing w:line="480" w:lineRule="auto"/>
        <w:rPr>
          <w:rFonts w:ascii="Times New Roman" w:hAnsi="Times New Roman" w:cs="Times New Roman"/>
        </w:rPr>
      </w:pPr>
    </w:p>
    <w:p w14:paraId="59FCE2CA" w14:textId="3F311F80" w:rsidR="00EE3EDB" w:rsidRDefault="001329A5" w:rsidP="001329A5">
      <w:pPr>
        <w:pStyle w:val="ListParagraph"/>
        <w:numPr>
          <w:ilvl w:val="0"/>
          <w:numId w:val="1"/>
        </w:num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Gross profit margin</w:t>
      </w:r>
    </w:p>
    <w:p w14:paraId="65975F51" w14:textId="5276EB2F" w:rsidR="001329A5" w:rsidRDefault="001329A5" w:rsidP="001329A5">
      <w:p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Formula:</w:t>
      </w:r>
      <w:r>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Gross profit margin</w:t>
      </w:r>
      <w:r>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w:t>
      </w:r>
      <w:r>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Revenue</w:t>
      </w:r>
      <w:r>
        <w:rPr>
          <w:rFonts w:ascii="Times New Roman" w:hAnsi="Times New Roman" w:cs="Times New Roman"/>
          <w:b/>
          <w:bCs/>
          <w:color w:val="156082" w:themeColor="accent1"/>
        </w:rPr>
        <w:t xml:space="preserve"> / </w:t>
      </w:r>
      <w:r w:rsidRPr="001329A5">
        <w:rPr>
          <w:rFonts w:ascii="Times New Roman" w:hAnsi="Times New Roman" w:cs="Times New Roman"/>
          <w:b/>
          <w:bCs/>
          <w:color w:val="156082" w:themeColor="accent1"/>
        </w:rPr>
        <w:t>Gross profit</w:t>
      </w:r>
      <w:r>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w:t>
      </w:r>
      <w:r>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100</w:t>
      </w:r>
    </w:p>
    <w:p w14:paraId="784DCCDF" w14:textId="7DD16833" w:rsidR="001329A5" w:rsidRPr="00873BCF" w:rsidRDefault="001329A5" w:rsidP="001329A5">
      <w:pPr>
        <w:spacing w:line="480" w:lineRule="auto"/>
        <w:rPr>
          <w:rFonts w:ascii="Times New Roman" w:hAnsi="Times New Roman" w:cs="Times New Roman"/>
          <w:color w:val="000000" w:themeColor="text1"/>
        </w:rPr>
      </w:pPr>
      <w:r w:rsidRPr="00873BCF">
        <w:rPr>
          <w:rFonts w:ascii="Times New Roman" w:hAnsi="Times New Roman" w:cs="Times New Roman"/>
          <w:color w:val="000000" w:themeColor="text1"/>
        </w:rPr>
        <w:t>2025:</w:t>
      </w:r>
      <w:r w:rsidRPr="00873BCF">
        <w:rPr>
          <w:rFonts w:ascii="Times New Roman" w:hAnsi="Times New Roman" w:cs="Times New Roman"/>
          <w:color w:val="000000" w:themeColor="text1"/>
        </w:rPr>
        <w:t xml:space="preserve"> </w:t>
      </w:r>
      <w:r w:rsidRPr="00873BCF">
        <w:rPr>
          <w:rFonts w:ascii="Times New Roman" w:hAnsi="Times New Roman" w:cs="Times New Roman"/>
          <w:color w:val="000000" w:themeColor="text1"/>
        </w:rPr>
        <w:t>£69,916m</w:t>
      </w:r>
      <w:r w:rsidRPr="00873BCF">
        <w:rPr>
          <w:rFonts w:ascii="Times New Roman" w:hAnsi="Times New Roman" w:cs="Times New Roman"/>
          <w:color w:val="000000" w:themeColor="text1"/>
        </w:rPr>
        <w:t xml:space="preserve"> / </w:t>
      </w:r>
      <w:r w:rsidRPr="00873BCF">
        <w:rPr>
          <w:rFonts w:ascii="Times New Roman" w:hAnsi="Times New Roman" w:cs="Times New Roman"/>
          <w:color w:val="000000" w:themeColor="text1"/>
          <w:lang w:val="fr-FR"/>
        </w:rPr>
        <w:t>£5,051m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100</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7.22%</w:t>
      </w:r>
    </w:p>
    <w:p w14:paraId="31170AD0" w14:textId="4CB43626" w:rsidR="001329A5" w:rsidRPr="00873BCF" w:rsidRDefault="001329A5" w:rsidP="001329A5">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2024 : </w:t>
      </w:r>
      <w:r w:rsidRPr="00873BCF">
        <w:rPr>
          <w:rFonts w:ascii="Times New Roman" w:hAnsi="Times New Roman" w:cs="Times New Roman"/>
          <w:color w:val="000000" w:themeColor="text1"/>
          <w:lang w:val="fr-FR"/>
        </w:rPr>
        <w:t>£68,187m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£4,849m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100</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7.11%</w:t>
      </w:r>
    </w:p>
    <w:p w14:paraId="637D21C2" w14:textId="05E325BC" w:rsidR="001329A5" w:rsidRPr="00873BCF" w:rsidRDefault="001329A5" w:rsidP="001329A5">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Change : </w:t>
      </w:r>
      <w:r w:rsidRPr="00873BCF">
        <w:rPr>
          <w:rFonts w:ascii="Times New Roman" w:hAnsi="Times New Roman" w:cs="Times New Roman"/>
          <w:color w:val="000000" w:themeColor="text1"/>
          <w:lang w:val="fr-FR"/>
        </w:rPr>
        <w:t>7.22%</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7.11%</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+0.11 percentage points</w:t>
      </w:r>
    </w:p>
    <w:p w14:paraId="365DE58E" w14:textId="0E0C7CFD" w:rsidR="001329A5" w:rsidRPr="00B32B4B" w:rsidRDefault="001329A5" w:rsidP="00B32B4B">
      <w:pPr>
        <w:pStyle w:val="ListParagraph"/>
        <w:numPr>
          <w:ilvl w:val="0"/>
          <w:numId w:val="1"/>
        </w:numPr>
        <w:spacing w:line="480" w:lineRule="auto"/>
        <w:rPr>
          <w:rFonts w:ascii="Times New Roman" w:hAnsi="Times New Roman" w:cs="Times New Roman"/>
          <w:b/>
          <w:bCs/>
          <w:color w:val="156082" w:themeColor="accent1"/>
        </w:rPr>
      </w:pPr>
      <w:r w:rsidRPr="00B32B4B">
        <w:rPr>
          <w:rFonts w:ascii="Times New Roman" w:hAnsi="Times New Roman" w:cs="Times New Roman"/>
          <w:b/>
          <w:bCs/>
          <w:color w:val="156082" w:themeColor="accent1"/>
        </w:rPr>
        <w:t>Operating profit margin</w:t>
      </w:r>
    </w:p>
    <w:p w14:paraId="5D355F46" w14:textId="15B818C0" w:rsidR="001329A5" w:rsidRPr="00B32B4B" w:rsidRDefault="001329A5" w:rsidP="001329A5">
      <w:p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Formula:</w:t>
      </w:r>
      <w:r w:rsidR="00B32B4B">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Operating profit margin</w:t>
      </w:r>
      <w:r w:rsidR="00B32B4B">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w:t>
      </w:r>
      <w:r w:rsidR="00B32B4B">
        <w:rPr>
          <w:rFonts w:ascii="Times New Roman" w:hAnsi="Times New Roman" w:cs="Times New Roman"/>
          <w:b/>
          <w:bCs/>
          <w:color w:val="156082" w:themeColor="accent1"/>
        </w:rPr>
        <w:t xml:space="preserve"> </w:t>
      </w:r>
      <w:r w:rsidRPr="001329A5">
        <w:rPr>
          <w:rFonts w:ascii="Times New Roman" w:hAnsi="Times New Roman" w:cs="Times New Roman"/>
          <w:b/>
          <w:bCs/>
          <w:color w:val="156082" w:themeColor="accent1"/>
        </w:rPr>
        <w:t>Revenue</w:t>
      </w:r>
      <w:r w:rsidR="00B32B4B">
        <w:rPr>
          <w:rFonts w:ascii="Times New Roman" w:hAnsi="Times New Roman" w:cs="Times New Roman"/>
          <w:b/>
          <w:bCs/>
          <w:color w:val="156082" w:themeColor="accent1"/>
        </w:rPr>
        <w:t xml:space="preserve"> / </w:t>
      </w:r>
      <w:r w:rsidRPr="001329A5">
        <w:rPr>
          <w:rFonts w:ascii="Times New Roman" w:hAnsi="Times New Roman" w:cs="Times New Roman"/>
          <w:b/>
          <w:bCs/>
          <w:color w:val="156082" w:themeColor="accent1"/>
        </w:rPr>
        <w:t>Operating profit</w:t>
      </w:r>
      <w:r w:rsidR="00B32B4B">
        <w:rPr>
          <w:rFonts w:ascii="Times New Roman" w:hAnsi="Times New Roman" w:cs="Times New Roman"/>
          <w:b/>
          <w:bCs/>
          <w:color w:val="156082" w:themeColor="accent1"/>
        </w:rPr>
        <w:t xml:space="preserve"> </w:t>
      </w:r>
      <w:r w:rsidRPr="00B32B4B">
        <w:rPr>
          <w:rFonts w:ascii="Times New Roman" w:hAnsi="Times New Roman" w:cs="Times New Roman"/>
          <w:b/>
          <w:bCs/>
          <w:color w:val="156082" w:themeColor="accent1"/>
        </w:rPr>
        <w:t>×</w:t>
      </w:r>
      <w:r w:rsidR="00B32B4B" w:rsidRPr="00B32B4B">
        <w:rPr>
          <w:rFonts w:ascii="Times New Roman" w:hAnsi="Times New Roman" w:cs="Times New Roman"/>
          <w:b/>
          <w:bCs/>
          <w:color w:val="156082" w:themeColor="accent1"/>
        </w:rPr>
        <w:t xml:space="preserve"> </w:t>
      </w:r>
      <w:r w:rsidRPr="00B32B4B">
        <w:rPr>
          <w:rFonts w:ascii="Times New Roman" w:hAnsi="Times New Roman" w:cs="Times New Roman"/>
          <w:b/>
          <w:bCs/>
          <w:color w:val="156082" w:themeColor="accent1"/>
        </w:rPr>
        <w:t>100</w:t>
      </w:r>
    </w:p>
    <w:p w14:paraId="5B30E4FF" w14:textId="7B365EB0" w:rsidR="001329A5" w:rsidRPr="00873BCF" w:rsidRDefault="00B32B4B" w:rsidP="001329A5">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2025 : </w:t>
      </w:r>
      <w:r w:rsidR="001329A5" w:rsidRPr="00873BCF">
        <w:rPr>
          <w:rFonts w:ascii="Times New Roman" w:hAnsi="Times New Roman" w:cs="Times New Roman"/>
          <w:color w:val="000000" w:themeColor="text1"/>
          <w:lang w:val="fr-FR"/>
        </w:rPr>
        <w:t>£69,916m</w:t>
      </w:r>
      <w:r w:rsidR="001329A5" w:rsidRPr="00873BCF">
        <w:rPr>
          <w:rFonts w:ascii="Times New Roman" w:hAnsi="Times New Roman" w:cs="Times New Roman"/>
          <w:color w:val="000000" w:themeColor="text1"/>
          <w:lang w:val="fr-FR"/>
        </w:rPr>
        <w:t xml:space="preserve"> / </w:t>
      </w:r>
      <w:r w:rsidR="001329A5" w:rsidRPr="00873BCF">
        <w:rPr>
          <w:rFonts w:ascii="Times New Roman" w:hAnsi="Times New Roman" w:cs="Times New Roman"/>
          <w:color w:val="000000" w:themeColor="text1"/>
          <w:lang w:val="fr-FR"/>
        </w:rPr>
        <w:t>£2,711m</w:t>
      </w:r>
      <w:r w:rsidR="001329A5" w:rsidRPr="00873BCF">
        <w:rPr>
          <w:rFonts w:ascii="Times New Roman" w:hAnsi="Times New Roman" w:cs="Times New Roman"/>
          <w:color w:val="000000" w:themeColor="text1"/>
          <w:lang w:val="fr-FR"/>
        </w:rPr>
        <w:t xml:space="preserve"> </w:t>
      </w:r>
      <w:r w:rsidR="001329A5" w:rsidRPr="00873BCF">
        <w:rPr>
          <w:rFonts w:ascii="Times New Roman" w:hAnsi="Times New Roman" w:cs="Times New Roman"/>
          <w:color w:val="000000" w:themeColor="text1"/>
          <w:lang w:val="fr-FR"/>
        </w:rPr>
        <w:t>×</w:t>
      </w:r>
      <w:r w:rsidR="001329A5" w:rsidRPr="00873BCF">
        <w:rPr>
          <w:rFonts w:ascii="Times New Roman" w:hAnsi="Times New Roman" w:cs="Times New Roman"/>
          <w:color w:val="000000" w:themeColor="text1"/>
          <w:lang w:val="fr-FR"/>
        </w:rPr>
        <w:t xml:space="preserve"> </w:t>
      </w:r>
      <w:r w:rsidR="001329A5" w:rsidRPr="00873BCF">
        <w:rPr>
          <w:rFonts w:ascii="Times New Roman" w:hAnsi="Times New Roman" w:cs="Times New Roman"/>
          <w:color w:val="000000" w:themeColor="text1"/>
          <w:lang w:val="fr-FR"/>
        </w:rPr>
        <w:t>100</w:t>
      </w:r>
      <w:r w:rsidR="001329A5" w:rsidRPr="00873BCF">
        <w:rPr>
          <w:rFonts w:ascii="Times New Roman" w:hAnsi="Times New Roman" w:cs="Times New Roman"/>
          <w:color w:val="000000" w:themeColor="text1"/>
          <w:lang w:val="fr-FR"/>
        </w:rPr>
        <w:t xml:space="preserve"> </w:t>
      </w:r>
      <w:r w:rsidR="001329A5" w:rsidRPr="00873BCF">
        <w:rPr>
          <w:rFonts w:ascii="Times New Roman" w:hAnsi="Times New Roman" w:cs="Times New Roman"/>
          <w:color w:val="000000" w:themeColor="text1"/>
          <w:lang w:val="fr-FR"/>
        </w:rPr>
        <w:t>=</w:t>
      </w:r>
      <w:r w:rsidR="001329A5" w:rsidRPr="00873BCF">
        <w:rPr>
          <w:rFonts w:ascii="Times New Roman" w:hAnsi="Times New Roman" w:cs="Times New Roman"/>
          <w:color w:val="000000" w:themeColor="text1"/>
          <w:lang w:val="fr-FR"/>
        </w:rPr>
        <w:t xml:space="preserve"> </w:t>
      </w:r>
      <w:r w:rsidR="001329A5" w:rsidRPr="00873BCF">
        <w:rPr>
          <w:rFonts w:ascii="Times New Roman" w:hAnsi="Times New Roman" w:cs="Times New Roman"/>
          <w:color w:val="000000" w:themeColor="text1"/>
          <w:lang w:val="fr-FR"/>
        </w:rPr>
        <w:t>3.88%</w:t>
      </w:r>
    </w:p>
    <w:p w14:paraId="4936DC26" w14:textId="465DBEC0" w:rsidR="001329A5" w:rsidRPr="00873BCF" w:rsidRDefault="001329A5" w:rsidP="001329A5">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2024 : </w:t>
      </w:r>
      <w:r w:rsidRPr="00873BCF">
        <w:rPr>
          <w:rFonts w:ascii="Times New Roman" w:hAnsi="Times New Roman" w:cs="Times New Roman"/>
          <w:color w:val="000000" w:themeColor="text1"/>
          <w:lang w:val="fr-FR"/>
        </w:rPr>
        <w:t>£68,187m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£2,821m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100</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4.14%</w:t>
      </w:r>
    </w:p>
    <w:p w14:paraId="43B7E9D8" w14:textId="6FAC00A5" w:rsidR="001329A5" w:rsidRPr="00873BCF" w:rsidRDefault="001329A5" w:rsidP="001329A5">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Change :  </w:t>
      </w:r>
      <w:r w:rsidRPr="00873BCF">
        <w:rPr>
          <w:rFonts w:ascii="Times New Roman" w:hAnsi="Times New Roman" w:cs="Times New Roman"/>
          <w:color w:val="000000" w:themeColor="text1"/>
          <w:lang w:val="fr-FR"/>
        </w:rPr>
        <w:t>3.88%</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4.14%</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B32B4B"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−0.26 percentage points</w:t>
      </w:r>
    </w:p>
    <w:p w14:paraId="14461B48" w14:textId="0B2760C4" w:rsidR="00B32B4B" w:rsidRPr="00B32B4B" w:rsidRDefault="00B32B4B" w:rsidP="00B32B4B">
      <w:pPr>
        <w:pStyle w:val="ListParagraph"/>
        <w:numPr>
          <w:ilvl w:val="0"/>
          <w:numId w:val="1"/>
        </w:numPr>
        <w:spacing w:line="480" w:lineRule="auto"/>
        <w:rPr>
          <w:rFonts w:ascii="Times New Roman" w:hAnsi="Times New Roman" w:cs="Times New Roman"/>
          <w:b/>
          <w:bCs/>
          <w:color w:val="156082" w:themeColor="accent1"/>
        </w:rPr>
      </w:pPr>
      <w:r w:rsidRPr="00B32B4B">
        <w:rPr>
          <w:rFonts w:ascii="Times New Roman" w:hAnsi="Times New Roman" w:cs="Times New Roman"/>
          <w:b/>
          <w:bCs/>
          <w:color w:val="156082" w:themeColor="accent1"/>
        </w:rPr>
        <w:t>Net profit margin</w:t>
      </w:r>
    </w:p>
    <w:p w14:paraId="3A754527" w14:textId="0E89BA86" w:rsidR="00B32B4B" w:rsidRPr="00B32B4B" w:rsidRDefault="00B32B4B" w:rsidP="00B32B4B">
      <w:pPr>
        <w:spacing w:line="480" w:lineRule="auto"/>
        <w:rPr>
          <w:rFonts w:ascii="Times New Roman" w:hAnsi="Times New Roman" w:cs="Times New Roman"/>
          <w:b/>
          <w:bCs/>
          <w:color w:val="156082" w:themeColor="accent1"/>
          <w:lang w:val="fr-FR"/>
        </w:rPr>
      </w:pPr>
      <w:r w:rsidRPr="00B32B4B">
        <w:rPr>
          <w:rFonts w:ascii="Times New Roman" w:hAnsi="Times New Roman" w:cs="Times New Roman"/>
          <w:b/>
          <w:bCs/>
          <w:color w:val="156082" w:themeColor="accent1"/>
          <w:lang w:val="fr-FR"/>
        </w:rPr>
        <w:t>Formula :</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Net profit margin</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Revenue</w:t>
      </w:r>
      <w:r>
        <w:rPr>
          <w:rFonts w:ascii="Times New Roman" w:hAnsi="Times New Roman" w:cs="Times New Roman"/>
          <w:b/>
          <w:bCs/>
          <w:color w:val="156082" w:themeColor="accent1"/>
          <w:lang w:val="fr-FR"/>
        </w:rPr>
        <w:t xml:space="preserve"> / </w:t>
      </w:r>
      <w:r w:rsidRPr="00B32B4B">
        <w:rPr>
          <w:rFonts w:ascii="Times New Roman" w:hAnsi="Times New Roman" w:cs="Times New Roman"/>
          <w:b/>
          <w:bCs/>
          <w:color w:val="156082" w:themeColor="accent1"/>
          <w:lang w:val="fr-FR"/>
        </w:rPr>
        <w:t>Profit after tax</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100</w:t>
      </w:r>
    </w:p>
    <w:p w14:paraId="102E858B" w14:textId="77777777"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2025 : </w:t>
      </w:r>
      <w:r w:rsidRPr="00873BCF">
        <w:rPr>
          <w:rFonts w:ascii="Times New Roman" w:hAnsi="Times New Roman" w:cs="Times New Roman"/>
          <w:color w:val="000000" w:themeColor="text1"/>
          <w:lang w:val="fr-FR"/>
        </w:rPr>
        <w:t>£69,916m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£1,604m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100</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2.29%</w:t>
      </w:r>
    </w:p>
    <w:p w14:paraId="6115C41F" w14:textId="742049DB"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2024 : </w:t>
      </w:r>
      <w:r w:rsidRPr="00873BCF">
        <w:rPr>
          <w:rFonts w:ascii="Times New Roman" w:hAnsi="Times New Roman" w:cs="Times New Roman"/>
          <w:color w:val="000000" w:themeColor="text1"/>
          <w:lang w:val="fr-FR"/>
        </w:rPr>
        <w:t>£68,187m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£1,764m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100</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2.59%</w:t>
      </w:r>
    </w:p>
    <w:p w14:paraId="3AE2159A" w14:textId="7D0E8655"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lastRenderedPageBreak/>
        <w:t xml:space="preserve">Change : </w:t>
      </w:r>
      <w:r w:rsidRPr="00873BCF">
        <w:rPr>
          <w:rFonts w:ascii="Times New Roman" w:hAnsi="Times New Roman" w:cs="Times New Roman"/>
          <w:color w:val="000000" w:themeColor="text1"/>
          <w:lang w:val="fr-FR"/>
        </w:rPr>
        <w:t>2.29%</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2.59%</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−0.30 percentage points</w:t>
      </w:r>
    </w:p>
    <w:p w14:paraId="48455308" w14:textId="1E0B5DFA" w:rsidR="00B32B4B" w:rsidRPr="00B32B4B" w:rsidRDefault="00B32B4B" w:rsidP="00B32B4B">
      <w:pPr>
        <w:pStyle w:val="ListParagraph"/>
        <w:numPr>
          <w:ilvl w:val="0"/>
          <w:numId w:val="1"/>
        </w:numPr>
        <w:spacing w:line="480" w:lineRule="auto"/>
        <w:rPr>
          <w:rFonts w:ascii="Times New Roman" w:hAnsi="Times New Roman" w:cs="Times New Roman"/>
          <w:b/>
          <w:bCs/>
          <w:color w:val="156082" w:themeColor="accent1"/>
          <w:lang w:val="fr-FR"/>
        </w:rPr>
      </w:pPr>
      <w:r w:rsidRPr="00B32B4B">
        <w:rPr>
          <w:rFonts w:ascii="Times New Roman" w:hAnsi="Times New Roman" w:cs="Times New Roman"/>
          <w:b/>
          <w:bCs/>
          <w:color w:val="156082" w:themeColor="accent1"/>
          <w:lang w:val="fr-FR"/>
        </w:rPr>
        <w:t>Current ratio</w:t>
      </w:r>
    </w:p>
    <w:p w14:paraId="5167FC47" w14:textId="4B6619CC" w:rsidR="00B32B4B" w:rsidRPr="00B32B4B" w:rsidRDefault="00B32B4B" w:rsidP="00B32B4B">
      <w:pPr>
        <w:spacing w:line="480" w:lineRule="auto"/>
        <w:rPr>
          <w:rFonts w:ascii="Times New Roman" w:hAnsi="Times New Roman" w:cs="Times New Roman"/>
          <w:b/>
          <w:bCs/>
          <w:color w:val="156082" w:themeColor="accent1"/>
          <w:lang w:val="fr-FR"/>
        </w:rPr>
      </w:pPr>
      <w:r w:rsidRPr="00B32B4B">
        <w:rPr>
          <w:rFonts w:ascii="Times New Roman" w:hAnsi="Times New Roman" w:cs="Times New Roman"/>
          <w:b/>
          <w:bCs/>
          <w:color w:val="156082" w:themeColor="accent1"/>
          <w:lang w:val="fr-FR"/>
        </w:rPr>
        <w:t>Formula :</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Current ratio</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Current liabilities</w:t>
      </w:r>
      <w:r>
        <w:rPr>
          <w:rFonts w:ascii="Times New Roman" w:hAnsi="Times New Roman" w:cs="Times New Roman"/>
          <w:b/>
          <w:bCs/>
          <w:color w:val="156082" w:themeColor="accent1"/>
          <w:lang w:val="fr-FR"/>
        </w:rPr>
        <w:t xml:space="preserve"> / </w:t>
      </w:r>
      <w:r w:rsidRPr="00B32B4B">
        <w:rPr>
          <w:rFonts w:ascii="Times New Roman" w:hAnsi="Times New Roman" w:cs="Times New Roman"/>
          <w:b/>
          <w:bCs/>
          <w:color w:val="156082" w:themeColor="accent1"/>
          <w:lang w:val="fr-FR"/>
        </w:rPr>
        <w:t>Current assets</w:t>
      </w:r>
    </w:p>
    <w:p w14:paraId="725A98CB" w14:textId="50AB71C9"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2025 : </w:t>
      </w:r>
      <w:r w:rsidRPr="00873BCF">
        <w:rPr>
          <w:rFonts w:ascii="Times New Roman" w:hAnsi="Times New Roman" w:cs="Times New Roman"/>
          <w:color w:val="000000" w:themeColor="text1"/>
          <w:lang w:val="fr-FR"/>
        </w:rPr>
        <w:t>£13,820m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£8,806m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0.64:1</w:t>
      </w:r>
    </w:p>
    <w:p w14:paraId="004A8B20" w14:textId="6AB09771"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2024 : </w:t>
      </w:r>
      <w:r w:rsidRPr="00873BCF">
        <w:rPr>
          <w:rFonts w:ascii="Times New Roman" w:hAnsi="Times New Roman" w:cs="Times New Roman"/>
          <w:color w:val="000000" w:themeColor="text1"/>
          <w:lang w:val="fr-FR"/>
        </w:rPr>
        <w:t>£13,350m</w:t>
      </w:r>
      <w:r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£8,823m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w:t>
      </w:r>
      <w:r w:rsidRPr="00873BCF">
        <w:rPr>
          <w:rFonts w:ascii="Times New Roman" w:hAnsi="Times New Roman" w:cs="Times New Roman"/>
          <w:color w:val="000000" w:themeColor="text1"/>
          <w:lang w:val="fr-FR"/>
        </w:rPr>
        <w:t>66 :</w:t>
      </w:r>
      <w:r w:rsidRPr="00873BCF">
        <w:rPr>
          <w:rFonts w:ascii="Times New Roman" w:hAnsi="Times New Roman" w:cs="Times New Roman"/>
          <w:color w:val="000000" w:themeColor="text1"/>
          <w:lang w:val="fr-FR"/>
        </w:rPr>
        <w:t>1</w:t>
      </w:r>
    </w:p>
    <w:p w14:paraId="2A176794" w14:textId="76FEC774" w:rsidR="00B32B4B" w:rsidRPr="00873BCF" w:rsidRDefault="00B32B4B" w:rsidP="00B32B4B">
      <w:pPr>
        <w:spacing w:line="480" w:lineRule="auto"/>
        <w:rPr>
          <w:rFonts w:ascii="Times New Roman" w:hAnsi="Times New Roman" w:cs="Times New Roman"/>
          <w:color w:val="000000" w:themeColor="text1"/>
        </w:rPr>
      </w:pPr>
      <w:r w:rsidRPr="00873BCF">
        <w:rPr>
          <w:rFonts w:ascii="Times New Roman" w:hAnsi="Times New Roman" w:cs="Times New Roman"/>
          <w:color w:val="000000" w:themeColor="text1"/>
        </w:rPr>
        <w:t xml:space="preserve">Change: </w:t>
      </w:r>
      <w:r w:rsidRPr="00873BCF">
        <w:rPr>
          <w:rFonts w:ascii="Times New Roman" w:hAnsi="Times New Roman" w:cs="Times New Roman"/>
          <w:color w:val="000000" w:themeColor="text1"/>
        </w:rPr>
        <w:t>0.64</w:t>
      </w:r>
      <w:r w:rsidR="00873BCF" w:rsidRPr="00873BCF">
        <w:rPr>
          <w:rFonts w:ascii="Times New Roman" w:hAnsi="Times New Roman" w:cs="Times New Roman"/>
          <w:color w:val="000000" w:themeColor="text1"/>
        </w:rPr>
        <w:t xml:space="preserve"> </w:t>
      </w:r>
      <w:r w:rsidRPr="00873BCF">
        <w:rPr>
          <w:rFonts w:ascii="Times New Roman" w:hAnsi="Times New Roman" w:cs="Times New Roman"/>
          <w:color w:val="000000" w:themeColor="text1"/>
        </w:rPr>
        <w:t>−</w:t>
      </w:r>
      <w:r w:rsidR="00873BCF" w:rsidRPr="00873BCF">
        <w:rPr>
          <w:rFonts w:ascii="Times New Roman" w:hAnsi="Times New Roman" w:cs="Times New Roman"/>
          <w:color w:val="000000" w:themeColor="text1"/>
        </w:rPr>
        <w:t xml:space="preserve"> </w:t>
      </w:r>
      <w:r w:rsidRPr="00873BCF">
        <w:rPr>
          <w:rFonts w:ascii="Times New Roman" w:hAnsi="Times New Roman" w:cs="Times New Roman"/>
          <w:color w:val="000000" w:themeColor="text1"/>
        </w:rPr>
        <w:t>0.66</w:t>
      </w:r>
      <w:r w:rsidR="00873BCF" w:rsidRPr="00873BCF">
        <w:rPr>
          <w:rFonts w:ascii="Times New Roman" w:hAnsi="Times New Roman" w:cs="Times New Roman"/>
          <w:color w:val="000000" w:themeColor="text1"/>
        </w:rPr>
        <w:t xml:space="preserve"> </w:t>
      </w:r>
      <w:r w:rsidRPr="00873BCF">
        <w:rPr>
          <w:rFonts w:ascii="Times New Roman" w:hAnsi="Times New Roman" w:cs="Times New Roman"/>
          <w:color w:val="000000" w:themeColor="text1"/>
        </w:rPr>
        <w:t>=</w:t>
      </w:r>
      <w:r w:rsidR="00873BCF" w:rsidRPr="00873BCF">
        <w:rPr>
          <w:rFonts w:ascii="Times New Roman" w:hAnsi="Times New Roman" w:cs="Times New Roman"/>
          <w:color w:val="000000" w:themeColor="text1"/>
        </w:rPr>
        <w:t xml:space="preserve"> </w:t>
      </w:r>
      <w:r w:rsidRPr="00873BCF">
        <w:rPr>
          <w:rFonts w:ascii="Times New Roman" w:hAnsi="Times New Roman" w:cs="Times New Roman"/>
          <w:color w:val="000000" w:themeColor="text1"/>
        </w:rPr>
        <w:t>−0.02</w:t>
      </w:r>
    </w:p>
    <w:p w14:paraId="52FDD86F" w14:textId="51C8E62B" w:rsidR="00B32B4B" w:rsidRPr="00B32B4B" w:rsidRDefault="00B32B4B" w:rsidP="00B32B4B">
      <w:pPr>
        <w:pStyle w:val="ListParagraph"/>
        <w:numPr>
          <w:ilvl w:val="0"/>
          <w:numId w:val="1"/>
        </w:numPr>
        <w:spacing w:line="480" w:lineRule="auto"/>
        <w:rPr>
          <w:rFonts w:ascii="Times New Roman" w:hAnsi="Times New Roman" w:cs="Times New Roman"/>
          <w:b/>
          <w:bCs/>
          <w:color w:val="156082" w:themeColor="accent1"/>
        </w:rPr>
      </w:pPr>
      <w:r w:rsidRPr="00B32B4B">
        <w:rPr>
          <w:rFonts w:ascii="Times New Roman" w:hAnsi="Times New Roman" w:cs="Times New Roman"/>
          <w:b/>
          <w:bCs/>
          <w:color w:val="156082" w:themeColor="accent1"/>
        </w:rPr>
        <w:t>Quick ratio</w:t>
      </w:r>
    </w:p>
    <w:p w14:paraId="654A0C51" w14:textId="4F6FE8D7" w:rsidR="00B32B4B" w:rsidRPr="00B32B4B" w:rsidRDefault="00B32B4B" w:rsidP="00B32B4B">
      <w:pPr>
        <w:spacing w:line="480" w:lineRule="auto"/>
        <w:rPr>
          <w:rFonts w:ascii="Times New Roman" w:hAnsi="Times New Roman" w:cs="Times New Roman"/>
          <w:b/>
          <w:bCs/>
          <w:color w:val="156082" w:themeColor="accent1"/>
          <w:lang w:val="fr-FR"/>
        </w:rPr>
      </w:pPr>
      <w:r w:rsidRPr="00B32B4B">
        <w:rPr>
          <w:rFonts w:ascii="Times New Roman" w:hAnsi="Times New Roman" w:cs="Times New Roman"/>
          <w:b/>
          <w:bCs/>
          <w:color w:val="156082" w:themeColor="accent1"/>
          <w:lang w:val="fr-FR"/>
        </w:rPr>
        <w:t>Formula :</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Quick ratio</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w:t>
      </w:r>
      <w:r>
        <w:rPr>
          <w:rFonts w:ascii="Times New Roman" w:hAnsi="Times New Roman" w:cs="Times New Roman"/>
          <w:b/>
          <w:bCs/>
          <w:color w:val="156082" w:themeColor="accent1"/>
          <w:lang w:val="fr-FR"/>
        </w:rPr>
        <w:t xml:space="preserve"> </w:t>
      </w:r>
      <w:r w:rsidRPr="00B32B4B">
        <w:rPr>
          <w:rFonts w:ascii="Times New Roman" w:hAnsi="Times New Roman" w:cs="Times New Roman"/>
          <w:b/>
          <w:bCs/>
          <w:color w:val="156082" w:themeColor="accent1"/>
          <w:lang w:val="fr-FR"/>
        </w:rPr>
        <w:t>Current liabilities</w:t>
      </w:r>
      <w:r>
        <w:rPr>
          <w:rFonts w:ascii="Times New Roman" w:hAnsi="Times New Roman" w:cs="Times New Roman"/>
          <w:b/>
          <w:bCs/>
          <w:color w:val="156082" w:themeColor="accent1"/>
          <w:lang w:val="fr-FR"/>
        </w:rPr>
        <w:t xml:space="preserve"> / </w:t>
      </w:r>
      <w:r w:rsidRPr="00B32B4B">
        <w:rPr>
          <w:rFonts w:ascii="Times New Roman" w:hAnsi="Times New Roman" w:cs="Times New Roman"/>
          <w:b/>
          <w:bCs/>
          <w:color w:val="156082" w:themeColor="accent1"/>
          <w:lang w:val="fr-FR"/>
        </w:rPr>
        <w:t>Current assets−Inventory</w:t>
      </w:r>
    </w:p>
    <w:p w14:paraId="20117FA3" w14:textId="1B2987ED"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2025 : </w:t>
      </w:r>
      <w:r w:rsidRPr="00873BCF">
        <w:rPr>
          <w:rFonts w:ascii="Times New Roman" w:hAnsi="Times New Roman" w:cs="Times New Roman"/>
          <w:color w:val="000000" w:themeColor="text1"/>
          <w:lang w:val="fr-FR"/>
        </w:rPr>
        <w:t>£13,820</w:t>
      </w:r>
      <w:r w:rsidRPr="00873BCF">
        <w:rPr>
          <w:rFonts w:ascii="Times New Roman" w:hAnsi="Times New Roman" w:cs="Times New Roman"/>
          <w:color w:val="000000" w:themeColor="text1"/>
          <w:lang w:val="fr-FR"/>
        </w:rPr>
        <w:t xml:space="preserve">m / </w:t>
      </w:r>
      <w:r w:rsidRPr="00873BCF">
        <w:rPr>
          <w:rFonts w:ascii="Times New Roman" w:hAnsi="Times New Roman" w:cs="Times New Roman"/>
          <w:color w:val="000000" w:themeColor="text1"/>
          <w:lang w:val="fr-FR"/>
        </w:rPr>
        <w:t>£8,806m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£2,768m</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£13,820m</w:t>
      </w:r>
      <w:r w:rsidR="00873BCF"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£6,038m</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0.44:1</w:t>
      </w:r>
    </w:p>
    <w:p w14:paraId="2BA5ACCA" w14:textId="2C3ABA30" w:rsidR="00B32B4B" w:rsidRPr="00873BCF" w:rsidRDefault="00873BCF"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2024 : </w:t>
      </w:r>
      <w:r w:rsidR="00B32B4B" w:rsidRPr="00873BCF">
        <w:rPr>
          <w:rFonts w:ascii="Times New Roman" w:hAnsi="Times New Roman" w:cs="Times New Roman"/>
          <w:color w:val="000000" w:themeColor="text1"/>
          <w:lang w:val="fr-FR"/>
        </w:rPr>
        <w:t>£13,350m</w:t>
      </w:r>
    </w:p>
    <w:p w14:paraId="5B0DAA79" w14:textId="0D63B046" w:rsidR="00B32B4B" w:rsidRPr="00873BCF" w:rsidRDefault="00B32B4B"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£8,823m</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£2,635m</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£13,350m</w:t>
      </w:r>
      <w:r w:rsidR="00873BCF" w:rsidRPr="00873BCF">
        <w:rPr>
          <w:rFonts w:ascii="Times New Roman" w:hAnsi="Times New Roman" w:cs="Times New Roman"/>
          <w:color w:val="000000" w:themeColor="text1"/>
          <w:lang w:val="fr-FR"/>
        </w:rPr>
        <w:t xml:space="preserve"> / </w:t>
      </w:r>
      <w:r w:rsidRPr="00873BCF">
        <w:rPr>
          <w:rFonts w:ascii="Times New Roman" w:hAnsi="Times New Roman" w:cs="Times New Roman"/>
          <w:color w:val="000000" w:themeColor="text1"/>
          <w:lang w:val="fr-FR"/>
        </w:rPr>
        <w:t>£6,188m</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w:t>
      </w:r>
      <w:r w:rsidR="00873BCF" w:rsidRPr="00873BCF">
        <w:rPr>
          <w:rFonts w:ascii="Times New Roman" w:hAnsi="Times New Roman" w:cs="Times New Roman"/>
          <w:color w:val="000000" w:themeColor="text1"/>
          <w:lang w:val="fr-FR"/>
        </w:rPr>
        <w:t xml:space="preserve"> </w:t>
      </w:r>
      <w:r w:rsidRPr="00873BCF">
        <w:rPr>
          <w:rFonts w:ascii="Times New Roman" w:hAnsi="Times New Roman" w:cs="Times New Roman"/>
          <w:color w:val="000000" w:themeColor="text1"/>
          <w:lang w:val="fr-FR"/>
        </w:rPr>
        <w:t>0.</w:t>
      </w:r>
      <w:r w:rsidR="00873BCF" w:rsidRPr="00873BCF">
        <w:rPr>
          <w:rFonts w:ascii="Times New Roman" w:hAnsi="Times New Roman" w:cs="Times New Roman"/>
          <w:color w:val="000000" w:themeColor="text1"/>
          <w:lang w:val="fr-FR"/>
        </w:rPr>
        <w:t>46 :</w:t>
      </w:r>
      <w:r w:rsidRPr="00873BCF">
        <w:rPr>
          <w:rFonts w:ascii="Times New Roman" w:hAnsi="Times New Roman" w:cs="Times New Roman"/>
          <w:color w:val="000000" w:themeColor="text1"/>
          <w:lang w:val="fr-FR"/>
        </w:rPr>
        <w:t>1</w:t>
      </w:r>
    </w:p>
    <w:p w14:paraId="2707D497" w14:textId="0C9F2B0C" w:rsidR="00B32B4B" w:rsidRPr="00873BCF" w:rsidRDefault="00873BCF" w:rsidP="00B32B4B">
      <w:pPr>
        <w:spacing w:line="480" w:lineRule="auto"/>
        <w:rPr>
          <w:rFonts w:ascii="Times New Roman" w:hAnsi="Times New Roman" w:cs="Times New Roman"/>
          <w:color w:val="000000" w:themeColor="text1"/>
          <w:lang w:val="fr-FR"/>
        </w:rPr>
      </w:pPr>
      <w:r w:rsidRPr="00873BCF">
        <w:rPr>
          <w:rFonts w:ascii="Times New Roman" w:hAnsi="Times New Roman" w:cs="Times New Roman"/>
          <w:color w:val="000000" w:themeColor="text1"/>
          <w:lang w:val="fr-FR"/>
        </w:rPr>
        <w:t xml:space="preserve">Change : </w:t>
      </w:r>
      <w:r w:rsidR="00B32B4B" w:rsidRPr="00873BCF">
        <w:rPr>
          <w:rFonts w:ascii="Times New Roman" w:hAnsi="Times New Roman" w:cs="Times New Roman"/>
          <w:color w:val="000000" w:themeColor="text1"/>
          <w:lang w:val="fr-FR"/>
        </w:rPr>
        <w:t>0.44</w:t>
      </w:r>
      <w:r w:rsidRPr="00873BCF">
        <w:rPr>
          <w:rFonts w:ascii="Times New Roman" w:hAnsi="Times New Roman" w:cs="Times New Roman"/>
          <w:color w:val="000000" w:themeColor="text1"/>
          <w:lang w:val="fr-FR"/>
        </w:rPr>
        <w:t xml:space="preserve"> </w:t>
      </w:r>
      <w:r w:rsidR="00B32B4B"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00B32B4B" w:rsidRPr="00873BCF">
        <w:rPr>
          <w:rFonts w:ascii="Times New Roman" w:hAnsi="Times New Roman" w:cs="Times New Roman"/>
          <w:color w:val="000000" w:themeColor="text1"/>
          <w:lang w:val="fr-FR"/>
        </w:rPr>
        <w:t>0.46</w:t>
      </w:r>
      <w:r w:rsidRPr="00873BCF">
        <w:rPr>
          <w:rFonts w:ascii="Times New Roman" w:hAnsi="Times New Roman" w:cs="Times New Roman"/>
          <w:color w:val="000000" w:themeColor="text1"/>
          <w:lang w:val="fr-FR"/>
        </w:rPr>
        <w:t xml:space="preserve"> </w:t>
      </w:r>
      <w:r w:rsidR="00B32B4B" w:rsidRPr="00873BCF">
        <w:rPr>
          <w:rFonts w:ascii="Times New Roman" w:hAnsi="Times New Roman" w:cs="Times New Roman"/>
          <w:color w:val="000000" w:themeColor="text1"/>
          <w:lang w:val="fr-FR"/>
        </w:rPr>
        <w:t>=</w:t>
      </w:r>
      <w:r w:rsidRPr="00873BCF">
        <w:rPr>
          <w:rFonts w:ascii="Times New Roman" w:hAnsi="Times New Roman" w:cs="Times New Roman"/>
          <w:color w:val="000000" w:themeColor="text1"/>
          <w:lang w:val="fr-FR"/>
        </w:rPr>
        <w:t xml:space="preserve"> </w:t>
      </w:r>
      <w:r w:rsidR="00B32B4B" w:rsidRPr="00873BCF">
        <w:rPr>
          <w:rFonts w:ascii="Times New Roman" w:hAnsi="Times New Roman" w:cs="Times New Roman"/>
          <w:color w:val="000000" w:themeColor="text1"/>
          <w:lang w:val="fr-FR"/>
        </w:rPr>
        <w:t>−0.02</w:t>
      </w:r>
    </w:p>
    <w:p w14:paraId="33352B91" w14:textId="30F623A8" w:rsidR="00B32B4B" w:rsidRDefault="00873BCF" w:rsidP="001329A5">
      <w:pPr>
        <w:spacing w:line="480" w:lineRule="auto"/>
        <w:rPr>
          <w:rFonts w:ascii="Times New Roman" w:hAnsi="Times New Roman" w:cs="Times New Roman"/>
          <w:b/>
          <w:bCs/>
          <w:color w:val="156082" w:themeColor="accent1"/>
          <w:lang w:val="fr-FR"/>
        </w:rPr>
      </w:pPr>
      <w:r>
        <w:rPr>
          <w:rFonts w:ascii="Times New Roman" w:hAnsi="Times New Roman" w:cs="Times New Roman"/>
          <w:b/>
          <w:bCs/>
          <w:color w:val="156082" w:themeColor="accent1"/>
          <w:lang w:val="fr-FR"/>
        </w:rPr>
        <w:t>Interpretation</w:t>
      </w:r>
    </w:p>
    <w:p w14:paraId="5595334D" w14:textId="2CE0FCEE"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All calculations were </w:t>
      </w:r>
      <w:r w:rsidRPr="00EE3EDB">
        <w:rPr>
          <w:rFonts w:ascii="Times New Roman" w:hAnsi="Times New Roman" w:cs="Times New Roman"/>
        </w:rPr>
        <w:t>made,</w:t>
      </w:r>
      <w:r w:rsidRPr="00EE3EDB">
        <w:rPr>
          <w:rFonts w:ascii="Times New Roman" w:hAnsi="Times New Roman" w:cs="Times New Roman"/>
        </w:rPr>
        <w:t xml:space="preserve"> assuming the revenue of Tesco PLC for 2025 to be £69,916 million, with gross profits being £5,051 million, the operating profit equating to £2,711 million and continuing profits to £1,604 </w:t>
      </w:r>
      <w:r w:rsidRPr="00EE3EDB">
        <w:rPr>
          <w:rFonts w:ascii="Times New Roman" w:hAnsi="Times New Roman" w:cs="Times New Roman"/>
        </w:rPr>
        <w:t>million. The</w:t>
      </w:r>
      <w:r w:rsidRPr="00EE3EDB">
        <w:rPr>
          <w:rFonts w:ascii="Times New Roman" w:hAnsi="Times New Roman" w:cs="Times New Roman"/>
        </w:rPr>
        <w:t xml:space="preserve"> 2024 numbers were £68.187 billion, £4.849 billion, £2.821 billion, and £1.764 billion. The 2025 Tesco balance sheet states that inventories were £2.768 billion, underlying current assets were £8.806 billion, underlying current liabilities were £13.820 billion, and equity was £11.662 billion. The results come from the income statement and </w:t>
      </w:r>
      <w:r w:rsidRPr="00EE3EDB">
        <w:rPr>
          <w:rFonts w:ascii="Times New Roman" w:hAnsi="Times New Roman" w:cs="Times New Roman"/>
        </w:rPr>
        <w:lastRenderedPageBreak/>
        <w:t>balance sheet in the 2025 report on pages 135 and 137 and in the 2024 report on pages 129 and 131.</w:t>
      </w:r>
    </w:p>
    <w:p w14:paraId="683A21B1" w14:textId="77777777" w:rsidR="00EE3EDB" w:rsidRPr="001329A5" w:rsidRDefault="00EE3EDB" w:rsidP="00EE3EDB">
      <w:p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Assessment of the situation and results</w:t>
      </w:r>
    </w:p>
    <w:p w14:paraId="059B101E" w14:textId="219754C0" w:rsidR="001329A5"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The </w:t>
      </w:r>
      <w:r w:rsidR="001329A5" w:rsidRPr="00EE3EDB">
        <w:rPr>
          <w:rFonts w:ascii="Times New Roman" w:hAnsi="Times New Roman" w:cs="Times New Roman"/>
        </w:rPr>
        <w:t>results show</w:t>
      </w:r>
      <w:r w:rsidRPr="00EE3EDB">
        <w:rPr>
          <w:rFonts w:ascii="Times New Roman" w:hAnsi="Times New Roman" w:cs="Times New Roman"/>
        </w:rPr>
        <w:t xml:space="preserve"> mixed outcomes, as revenue rose by 2.5% and the gross margin increased slightly as well from 7.11% to 7.22%, indicating that </w:t>
      </w:r>
      <w:r w:rsidR="001329A5" w:rsidRPr="00EE3EDB">
        <w:rPr>
          <w:rFonts w:ascii="Times New Roman" w:hAnsi="Times New Roman" w:cs="Times New Roman"/>
        </w:rPr>
        <w:t>sales</w:t>
      </w:r>
      <w:r w:rsidRPr="00EE3EDB">
        <w:rPr>
          <w:rFonts w:ascii="Times New Roman" w:hAnsi="Times New Roman" w:cs="Times New Roman"/>
        </w:rPr>
        <w:t xml:space="preserve"> improved and purchasing and direct costs were somewhat controlled. Tesco indicated that higher volume, better category mix, as well as continuous investment in price, quality, and service fostered the results. The adjusted operating profit increased by 10.6% to £3.128 billion while the adjusted operating margin rose from approximately 4.15% to 4.47%.</w:t>
      </w:r>
    </w:p>
    <w:p w14:paraId="5ABA46DC" w14:textId="6ACCDA12"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This acknowledges the idea of Meng (2024) who argues that Tesco’s performance is driven by coordination of the supply chain, capacity, inventory, and customer dealings. Tesco’s market share in the UK also increased from 27.6% to 28.3% and so did its customer satisfaction score. Customer satisfaction is therefore important financially as it influences repeat purchases and market share maintenance in a highly competitive environment (Bhujel, n d).</w:t>
      </w:r>
    </w:p>
    <w:p w14:paraId="77E1A69A" w14:textId="2E437C92"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However, statutory profitability weakened. Operating margin fell from 4.14% to 3.88%, net margin decreased from 2.59% to 2.29%, while both ROCE and ROE observed a decline. The major reason was not poorer underlying trading but £417 million </w:t>
      </w:r>
      <w:r w:rsidR="001329A5" w:rsidRPr="00EE3EDB">
        <w:rPr>
          <w:rFonts w:ascii="Times New Roman" w:hAnsi="Times New Roman" w:cs="Times New Roman"/>
        </w:rPr>
        <w:t>in</w:t>
      </w:r>
      <w:r w:rsidRPr="00EE3EDB">
        <w:rPr>
          <w:rFonts w:ascii="Times New Roman" w:hAnsi="Times New Roman" w:cs="Times New Roman"/>
        </w:rPr>
        <w:t xml:space="preserve"> operating adjusting items including a £286 million impairment charge without cash </w:t>
      </w:r>
      <w:r w:rsidR="001329A5" w:rsidRPr="00EE3EDB">
        <w:rPr>
          <w:rFonts w:ascii="Times New Roman" w:hAnsi="Times New Roman" w:cs="Times New Roman"/>
        </w:rPr>
        <w:t>outflows. Tesco</w:t>
      </w:r>
      <w:r w:rsidRPr="00EE3EDB">
        <w:rPr>
          <w:rFonts w:ascii="Times New Roman" w:hAnsi="Times New Roman" w:cs="Times New Roman"/>
        </w:rPr>
        <w:t xml:space="preserve"> mentioned that increased bond yields have caused the discount rate to go higher and the book value of non-current assets to fall. Statutory profit is affected by impairment and restructuring and adjusted profit tells a better story regarding operations. Thus, analysts </w:t>
      </w:r>
      <w:r w:rsidR="001329A5" w:rsidRPr="00EE3EDB">
        <w:rPr>
          <w:rFonts w:ascii="Times New Roman" w:hAnsi="Times New Roman" w:cs="Times New Roman"/>
        </w:rPr>
        <w:t>must</w:t>
      </w:r>
      <w:r w:rsidRPr="00EE3EDB">
        <w:rPr>
          <w:rFonts w:ascii="Times New Roman" w:hAnsi="Times New Roman" w:cs="Times New Roman"/>
        </w:rPr>
        <w:t xml:space="preserve"> go beyond the headline figure and analyze accounting notes and extraordinary items (Schroeder, Clark and Cathey, 2022).</w:t>
      </w:r>
    </w:p>
    <w:p w14:paraId="60C8A10A" w14:textId="2A8349D4"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lastRenderedPageBreak/>
        <w:t xml:space="preserve">Liquidity has slightly decreased as well. The current ratio fell to 0.64:1 whilst the quick ratio stands at 0.44:1, which means the current liabilities are above the current assets that could be accessed easily. A ratio below 1 is usual for grocery retail, as cash from customers arrives immediately while suppliers are paid with a delay. Nevertheless, it puts Tesco in a position </w:t>
      </w:r>
      <w:r w:rsidR="001329A5" w:rsidRPr="00EE3EDB">
        <w:rPr>
          <w:rFonts w:ascii="Times New Roman" w:hAnsi="Times New Roman" w:cs="Times New Roman"/>
        </w:rPr>
        <w:t>to rely</w:t>
      </w:r>
      <w:r w:rsidRPr="00EE3EDB">
        <w:rPr>
          <w:rFonts w:ascii="Times New Roman" w:hAnsi="Times New Roman" w:cs="Times New Roman"/>
        </w:rPr>
        <w:t xml:space="preserve"> on </w:t>
      </w:r>
      <w:r w:rsidR="001329A5" w:rsidRPr="00EE3EDB">
        <w:rPr>
          <w:rFonts w:ascii="Times New Roman" w:hAnsi="Times New Roman" w:cs="Times New Roman"/>
        </w:rPr>
        <w:t>daily</w:t>
      </w:r>
      <w:r w:rsidRPr="00EE3EDB">
        <w:rPr>
          <w:rFonts w:ascii="Times New Roman" w:hAnsi="Times New Roman" w:cs="Times New Roman"/>
        </w:rPr>
        <w:t xml:space="preserve"> cash flow and credit from suppliers.</w:t>
      </w:r>
    </w:p>
    <w:p w14:paraId="1DB0235F" w14:textId="77777777" w:rsidR="001329A5"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The average number of days required to sell stock during the period increased from 14.94 days to 15.35 </w:t>
      </w:r>
      <w:r w:rsidR="001329A5" w:rsidRPr="00EE3EDB">
        <w:rPr>
          <w:rFonts w:ascii="Times New Roman" w:hAnsi="Times New Roman" w:cs="Times New Roman"/>
        </w:rPr>
        <w:t>days,</w:t>
      </w:r>
      <w:r w:rsidRPr="00EE3EDB">
        <w:rPr>
          <w:rFonts w:ascii="Times New Roman" w:hAnsi="Times New Roman" w:cs="Times New Roman"/>
        </w:rPr>
        <w:t xml:space="preserve"> which indicates a slowdown in terms of inventory turnover and more cash being stuck in stock. Thus, it is apparent that profitability, liquidity, leverage and activity ratios </w:t>
      </w:r>
      <w:r w:rsidR="001329A5" w:rsidRPr="00EE3EDB">
        <w:rPr>
          <w:rFonts w:ascii="Times New Roman" w:hAnsi="Times New Roman" w:cs="Times New Roman"/>
        </w:rPr>
        <w:t>must</w:t>
      </w:r>
      <w:r w:rsidRPr="00EE3EDB">
        <w:rPr>
          <w:rFonts w:ascii="Times New Roman" w:hAnsi="Times New Roman" w:cs="Times New Roman"/>
        </w:rPr>
        <w:t xml:space="preserve"> be analyzed together, as a good situation in one of the fields can hide problems from another one (</w:t>
      </w:r>
      <w:proofErr w:type="spellStart"/>
      <w:r w:rsidRPr="00EE3EDB">
        <w:rPr>
          <w:rFonts w:ascii="Times New Roman" w:hAnsi="Times New Roman" w:cs="Times New Roman"/>
        </w:rPr>
        <w:t>Susellawati</w:t>
      </w:r>
      <w:proofErr w:type="spellEnd"/>
      <w:r w:rsidRPr="00EE3EDB">
        <w:rPr>
          <w:rFonts w:ascii="Times New Roman" w:hAnsi="Times New Roman" w:cs="Times New Roman"/>
        </w:rPr>
        <w:t xml:space="preserve"> et al., 2022).</w:t>
      </w:r>
    </w:p>
    <w:p w14:paraId="5871DAE9" w14:textId="712D2C5D"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On the other hand, solvency indicators improved slightly. The lease-adjusted debt to equity ratio went down from 127.23% to 125.76%, whilst net debt decreased by £230 million to reach £9,454 million and the interest coverage ratio increased from 5.24 to 5.51 times. However, free cash flow decreased by 15.2% to £1,750 million. Tesco reported on its remarkable performance in 2024, when its trade working capital provided positive movement in the context of high inflation of input prices and on its tax payments and investments in 2025</w:t>
      </w:r>
      <w:r w:rsidR="001329A5" w:rsidRPr="00EE3EDB">
        <w:rPr>
          <w:rFonts w:ascii="Times New Roman" w:hAnsi="Times New Roman" w:cs="Times New Roman"/>
        </w:rPr>
        <w:t>. The</w:t>
      </w:r>
      <w:r w:rsidRPr="00EE3EDB">
        <w:rPr>
          <w:rFonts w:ascii="Times New Roman" w:hAnsi="Times New Roman" w:cs="Times New Roman"/>
        </w:rPr>
        <w:t xml:space="preserve"> company’s capital </w:t>
      </w:r>
      <w:r w:rsidR="001329A5" w:rsidRPr="00EE3EDB">
        <w:rPr>
          <w:rFonts w:ascii="Times New Roman" w:hAnsi="Times New Roman" w:cs="Times New Roman"/>
        </w:rPr>
        <w:t>investment</w:t>
      </w:r>
      <w:r w:rsidRPr="00EE3EDB">
        <w:rPr>
          <w:rFonts w:ascii="Times New Roman" w:hAnsi="Times New Roman" w:cs="Times New Roman"/>
        </w:rPr>
        <w:t xml:space="preserve"> reached £1,457 million </w:t>
      </w:r>
      <w:r w:rsidR="001329A5" w:rsidRPr="00EE3EDB">
        <w:rPr>
          <w:rFonts w:ascii="Times New Roman" w:hAnsi="Times New Roman" w:cs="Times New Roman"/>
        </w:rPr>
        <w:t>to</w:t>
      </w:r>
      <w:r w:rsidRPr="00EE3EDB">
        <w:rPr>
          <w:rFonts w:ascii="Times New Roman" w:hAnsi="Times New Roman" w:cs="Times New Roman"/>
        </w:rPr>
        <w:t xml:space="preserve"> support digital platforms and improve stores and automation of distribution. Despite the potential for enhanced productivity in the future, increases in </w:t>
      </w:r>
      <w:r w:rsidR="001329A5" w:rsidRPr="00EE3EDB">
        <w:rPr>
          <w:rFonts w:ascii="Times New Roman" w:hAnsi="Times New Roman" w:cs="Times New Roman"/>
        </w:rPr>
        <w:t>expenditure</w:t>
      </w:r>
      <w:r w:rsidRPr="00EE3EDB">
        <w:rPr>
          <w:rFonts w:ascii="Times New Roman" w:hAnsi="Times New Roman" w:cs="Times New Roman"/>
        </w:rPr>
        <w:t xml:space="preserve"> led to declines in liquidity in the short run.</w:t>
      </w:r>
    </w:p>
    <w:p w14:paraId="3C4032AC" w14:textId="77777777" w:rsidR="00EE3EDB" w:rsidRPr="001329A5" w:rsidRDefault="00EE3EDB" w:rsidP="00EE3EDB">
      <w:p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Recommendation</w:t>
      </w:r>
    </w:p>
    <w:p w14:paraId="31D72A7E" w14:textId="340D4013"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Tesco must first protect its margins and working capital by improving rather than reducing demand forecasting, product replenishment and efforts to minimize food waste. Artificial </w:t>
      </w:r>
      <w:r w:rsidRPr="00EE3EDB">
        <w:rPr>
          <w:rFonts w:ascii="Times New Roman" w:hAnsi="Times New Roman" w:cs="Times New Roman"/>
        </w:rPr>
        <w:lastRenderedPageBreak/>
        <w:t xml:space="preserve">intelligence has </w:t>
      </w:r>
      <w:r w:rsidR="001329A5" w:rsidRPr="00EE3EDB">
        <w:rPr>
          <w:rFonts w:ascii="Times New Roman" w:hAnsi="Times New Roman" w:cs="Times New Roman"/>
        </w:rPr>
        <w:t>potential</w:t>
      </w:r>
      <w:r w:rsidRPr="00EE3EDB">
        <w:rPr>
          <w:rFonts w:ascii="Times New Roman" w:hAnsi="Times New Roman" w:cs="Times New Roman"/>
        </w:rPr>
        <w:t xml:space="preserve"> to improve demand forecasting and coordination of inventory tasks (Razzaq, Quach and </w:t>
      </w:r>
      <w:proofErr w:type="spellStart"/>
      <w:r w:rsidRPr="00EE3EDB">
        <w:rPr>
          <w:rFonts w:ascii="Times New Roman" w:hAnsi="Times New Roman" w:cs="Times New Roman"/>
        </w:rPr>
        <w:t>Thaichon</w:t>
      </w:r>
      <w:proofErr w:type="spellEnd"/>
      <w:r w:rsidRPr="00EE3EDB">
        <w:rPr>
          <w:rFonts w:ascii="Times New Roman" w:hAnsi="Times New Roman" w:cs="Times New Roman"/>
        </w:rPr>
        <w:t>, 2022), whereas artificial intelligence accounting systems can enhance automation and anomaly detection (</w:t>
      </w:r>
      <w:proofErr w:type="spellStart"/>
      <w:r w:rsidRPr="00EE3EDB">
        <w:rPr>
          <w:rFonts w:ascii="Times New Roman" w:hAnsi="Times New Roman" w:cs="Times New Roman"/>
        </w:rPr>
        <w:t>Odonkor</w:t>
      </w:r>
      <w:proofErr w:type="spellEnd"/>
      <w:r w:rsidRPr="00EE3EDB">
        <w:rPr>
          <w:rFonts w:ascii="Times New Roman" w:hAnsi="Times New Roman" w:cs="Times New Roman"/>
        </w:rPr>
        <w:t xml:space="preserve"> et al., 2024; Cao and Zhang, 2025). Tesco’s management </w:t>
      </w:r>
      <w:r w:rsidR="001329A5" w:rsidRPr="00EE3EDB">
        <w:rPr>
          <w:rFonts w:ascii="Times New Roman" w:hAnsi="Times New Roman" w:cs="Times New Roman"/>
        </w:rPr>
        <w:t>must</w:t>
      </w:r>
      <w:r w:rsidRPr="00EE3EDB">
        <w:rPr>
          <w:rFonts w:ascii="Times New Roman" w:hAnsi="Times New Roman" w:cs="Times New Roman"/>
        </w:rPr>
        <w:t xml:space="preserve"> set a measurable target of decreasing inventory days while maintaining product availability.</w:t>
      </w:r>
    </w:p>
    <w:p w14:paraId="57C9A2CD" w14:textId="77777777" w:rsidR="001329A5" w:rsidRDefault="00EE3EDB" w:rsidP="00EE3EDB">
      <w:pPr>
        <w:spacing w:line="480" w:lineRule="auto"/>
        <w:rPr>
          <w:rFonts w:ascii="Times New Roman" w:hAnsi="Times New Roman" w:cs="Times New Roman"/>
        </w:rPr>
      </w:pPr>
      <w:r w:rsidRPr="00EE3EDB">
        <w:rPr>
          <w:rFonts w:ascii="Times New Roman" w:hAnsi="Times New Roman" w:cs="Times New Roman"/>
        </w:rPr>
        <w:t>Secondly, Tesco must invest capital based on incremental cash flow and paybacks whenever assigning priorities. Investments in energy-efficient refrigeration systems, solar energy, transportation with reduced emissions, rail transportation and waste reduction can lower both operational costs and environmental impacts. Thus, sustainability will be integrated financially rather than treated as another corporate responsibility initiative.</w:t>
      </w:r>
    </w:p>
    <w:p w14:paraId="5EBA12D1" w14:textId="25A47689"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Thirdly, Tesco should enhance liquidity through improvement of cash forecasting for fuel and goods as well as through responsible payments terms management and </w:t>
      </w:r>
      <w:r w:rsidR="001329A5" w:rsidRPr="00EE3EDB">
        <w:rPr>
          <w:rFonts w:ascii="Times New Roman" w:hAnsi="Times New Roman" w:cs="Times New Roman"/>
        </w:rPr>
        <w:t>enough</w:t>
      </w:r>
      <w:r w:rsidRPr="00EE3EDB">
        <w:rPr>
          <w:rFonts w:ascii="Times New Roman" w:hAnsi="Times New Roman" w:cs="Times New Roman"/>
        </w:rPr>
        <w:t xml:space="preserve"> borrowed funds. Cost cuts must not negatively affect quality of goods, employees’ skills and supplier resilience. Low costs will lead to savings that will harm customer service in the long run.</w:t>
      </w:r>
    </w:p>
    <w:p w14:paraId="39584B14" w14:textId="7974AB4C"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Finally, it is important to highlight the value of proper governance against the background of increased use of artificial intelligence. Natural language programming allows analysts to analy</w:t>
      </w:r>
      <w:r w:rsidR="001329A5">
        <w:rPr>
          <w:rFonts w:ascii="Times New Roman" w:hAnsi="Times New Roman" w:cs="Times New Roman"/>
        </w:rPr>
        <w:t>s</w:t>
      </w:r>
      <w:r w:rsidRPr="00EE3EDB">
        <w:rPr>
          <w:rFonts w:ascii="Times New Roman" w:hAnsi="Times New Roman" w:cs="Times New Roman"/>
        </w:rPr>
        <w:t>e the tone and transparency of financial reports (</w:t>
      </w:r>
      <w:proofErr w:type="spellStart"/>
      <w:r w:rsidRPr="00EE3EDB">
        <w:rPr>
          <w:rFonts w:ascii="Times New Roman" w:hAnsi="Times New Roman" w:cs="Times New Roman"/>
        </w:rPr>
        <w:t>Faccia</w:t>
      </w:r>
      <w:proofErr w:type="spellEnd"/>
      <w:r w:rsidRPr="00EE3EDB">
        <w:rPr>
          <w:rFonts w:ascii="Times New Roman" w:hAnsi="Times New Roman" w:cs="Times New Roman"/>
        </w:rPr>
        <w:t xml:space="preserve">, McDonald and George, 2023), while the importance of security of information, cybersecurity, and critical thinking of people cannot be overstated (Shafa and Islam, 2025; </w:t>
      </w:r>
      <w:proofErr w:type="spellStart"/>
      <w:r w:rsidRPr="00EE3EDB">
        <w:rPr>
          <w:rFonts w:ascii="Times New Roman" w:hAnsi="Times New Roman" w:cs="Times New Roman"/>
        </w:rPr>
        <w:t>Imjai</w:t>
      </w:r>
      <w:proofErr w:type="spellEnd"/>
      <w:r w:rsidRPr="00EE3EDB">
        <w:rPr>
          <w:rFonts w:ascii="Times New Roman" w:hAnsi="Times New Roman" w:cs="Times New Roman"/>
        </w:rPr>
        <w:t xml:space="preserve"> et al., 2025).</w:t>
      </w:r>
    </w:p>
    <w:p w14:paraId="0B450EF8" w14:textId="75EDCB35" w:rsidR="00EE3EDB" w:rsidRPr="001329A5" w:rsidRDefault="001329A5" w:rsidP="00EE3EDB">
      <w:pPr>
        <w:spacing w:line="480" w:lineRule="auto"/>
        <w:rPr>
          <w:rFonts w:ascii="Times New Roman" w:hAnsi="Times New Roman" w:cs="Times New Roman"/>
          <w:b/>
          <w:bCs/>
          <w:color w:val="156082" w:themeColor="accent1"/>
        </w:rPr>
      </w:pPr>
      <w:r w:rsidRPr="001329A5">
        <w:rPr>
          <w:rFonts w:ascii="Times New Roman" w:hAnsi="Times New Roman" w:cs="Times New Roman"/>
          <w:b/>
          <w:bCs/>
          <w:color w:val="156082" w:themeColor="accent1"/>
        </w:rPr>
        <w:t>Conclusion</w:t>
      </w:r>
    </w:p>
    <w:p w14:paraId="735BE541" w14:textId="28D40D19" w:rsidR="00EE3EDB" w:rsidRPr="00EE3EDB" w:rsidRDefault="00EE3EDB" w:rsidP="00EE3EDB">
      <w:pPr>
        <w:spacing w:line="480" w:lineRule="auto"/>
        <w:rPr>
          <w:rFonts w:ascii="Times New Roman" w:hAnsi="Times New Roman" w:cs="Times New Roman"/>
        </w:rPr>
      </w:pPr>
      <w:r w:rsidRPr="00EE3EDB">
        <w:rPr>
          <w:rFonts w:ascii="Times New Roman" w:hAnsi="Times New Roman" w:cs="Times New Roman"/>
        </w:rPr>
        <w:t xml:space="preserve">In conclusion, the ratio analysis shows that the company performed better in 2025 </w:t>
      </w:r>
      <w:r w:rsidR="001329A5" w:rsidRPr="00EE3EDB">
        <w:rPr>
          <w:rFonts w:ascii="Times New Roman" w:hAnsi="Times New Roman" w:cs="Times New Roman"/>
        </w:rPr>
        <w:t>because</w:t>
      </w:r>
      <w:r w:rsidRPr="00EE3EDB">
        <w:rPr>
          <w:rFonts w:ascii="Times New Roman" w:hAnsi="Times New Roman" w:cs="Times New Roman"/>
        </w:rPr>
        <w:t xml:space="preserve"> its revenue, gross margin, adjusted operating margin, market share and debt interest cover </w:t>
      </w:r>
      <w:r w:rsidRPr="00EE3EDB">
        <w:rPr>
          <w:rFonts w:ascii="Times New Roman" w:hAnsi="Times New Roman" w:cs="Times New Roman"/>
        </w:rPr>
        <w:lastRenderedPageBreak/>
        <w:t>improved. In contrast, statutory margin and returns have gone down due to impairment charges. Nonetheless, thus far the liquidity and operational efficiency of inventory have slightly decreased.</w:t>
      </w:r>
    </w:p>
    <w:p w14:paraId="1A43D38C" w14:textId="332F9B51" w:rsidR="00325E28" w:rsidRDefault="001329A5" w:rsidP="00EE3EDB">
      <w:pPr>
        <w:spacing w:line="480" w:lineRule="auto"/>
        <w:rPr>
          <w:rFonts w:ascii="Times New Roman" w:hAnsi="Times New Roman" w:cs="Times New Roman"/>
        </w:rPr>
      </w:pPr>
      <w:r w:rsidRPr="00EE3EDB">
        <w:rPr>
          <w:rFonts w:ascii="Times New Roman" w:hAnsi="Times New Roman" w:cs="Times New Roman"/>
        </w:rPr>
        <w:t>Overall</w:t>
      </w:r>
      <w:r w:rsidR="00EE3EDB" w:rsidRPr="00EE3EDB">
        <w:rPr>
          <w:rFonts w:ascii="Times New Roman" w:hAnsi="Times New Roman" w:cs="Times New Roman"/>
        </w:rPr>
        <w:t>, it can be stated that Tesco has strengthened its operations but has not enjoyed the same financial gains. Ratio analysis here provides the connection between P&amp;L and risk management and cash generation and highlights the areas in terms of priority which can be missed in case of reliance solely upon reported profit.</w:t>
      </w:r>
    </w:p>
    <w:p w14:paraId="63905EF5" w14:textId="77777777" w:rsidR="00873BCF" w:rsidRDefault="00873BCF" w:rsidP="00EE3EDB">
      <w:pPr>
        <w:spacing w:line="480" w:lineRule="auto"/>
        <w:rPr>
          <w:rFonts w:ascii="Times New Roman" w:hAnsi="Times New Roman" w:cs="Times New Roman"/>
        </w:rPr>
      </w:pPr>
    </w:p>
    <w:p w14:paraId="3DA4333E" w14:textId="77777777" w:rsidR="00873BCF" w:rsidRDefault="00873BCF" w:rsidP="00EE3EDB">
      <w:pPr>
        <w:spacing w:line="480" w:lineRule="auto"/>
        <w:rPr>
          <w:rFonts w:ascii="Times New Roman" w:hAnsi="Times New Roman" w:cs="Times New Roman"/>
        </w:rPr>
      </w:pPr>
    </w:p>
    <w:p w14:paraId="6605B7FE" w14:textId="77777777" w:rsidR="00873BCF" w:rsidRDefault="00873BCF" w:rsidP="00EE3EDB">
      <w:pPr>
        <w:spacing w:line="480" w:lineRule="auto"/>
        <w:rPr>
          <w:rFonts w:ascii="Times New Roman" w:hAnsi="Times New Roman" w:cs="Times New Roman"/>
        </w:rPr>
      </w:pPr>
    </w:p>
    <w:p w14:paraId="69FD3783" w14:textId="77777777" w:rsidR="00873BCF" w:rsidRDefault="00873BCF" w:rsidP="00EE3EDB">
      <w:pPr>
        <w:spacing w:line="480" w:lineRule="auto"/>
        <w:rPr>
          <w:rFonts w:ascii="Times New Roman" w:hAnsi="Times New Roman" w:cs="Times New Roman"/>
        </w:rPr>
      </w:pPr>
    </w:p>
    <w:p w14:paraId="7C8B5520" w14:textId="77777777" w:rsidR="00873BCF" w:rsidRDefault="00873BCF" w:rsidP="00EE3EDB">
      <w:pPr>
        <w:spacing w:line="480" w:lineRule="auto"/>
        <w:rPr>
          <w:rFonts w:ascii="Times New Roman" w:hAnsi="Times New Roman" w:cs="Times New Roman"/>
        </w:rPr>
      </w:pPr>
    </w:p>
    <w:p w14:paraId="28A0FF1B" w14:textId="77777777" w:rsidR="00873BCF" w:rsidRDefault="00873BCF" w:rsidP="00EE3EDB">
      <w:pPr>
        <w:spacing w:line="480" w:lineRule="auto"/>
        <w:rPr>
          <w:rFonts w:ascii="Times New Roman" w:hAnsi="Times New Roman" w:cs="Times New Roman"/>
        </w:rPr>
      </w:pPr>
    </w:p>
    <w:p w14:paraId="75094473" w14:textId="77777777" w:rsidR="00873BCF" w:rsidRDefault="00873BCF" w:rsidP="00EE3EDB">
      <w:pPr>
        <w:spacing w:line="480" w:lineRule="auto"/>
        <w:rPr>
          <w:rFonts w:ascii="Times New Roman" w:hAnsi="Times New Roman" w:cs="Times New Roman"/>
        </w:rPr>
      </w:pPr>
    </w:p>
    <w:p w14:paraId="67A1366B" w14:textId="77777777" w:rsidR="00873BCF" w:rsidRDefault="00873BCF" w:rsidP="00EE3EDB">
      <w:pPr>
        <w:spacing w:line="480" w:lineRule="auto"/>
        <w:rPr>
          <w:rFonts w:ascii="Times New Roman" w:hAnsi="Times New Roman" w:cs="Times New Roman"/>
        </w:rPr>
      </w:pPr>
    </w:p>
    <w:p w14:paraId="6B0B1322" w14:textId="77777777" w:rsidR="00873BCF" w:rsidRDefault="00873BCF" w:rsidP="00EE3EDB">
      <w:pPr>
        <w:spacing w:line="480" w:lineRule="auto"/>
        <w:rPr>
          <w:rFonts w:ascii="Times New Roman" w:hAnsi="Times New Roman" w:cs="Times New Roman"/>
        </w:rPr>
      </w:pPr>
    </w:p>
    <w:p w14:paraId="00F03689" w14:textId="77777777" w:rsidR="00873BCF" w:rsidRDefault="00873BCF" w:rsidP="00EE3EDB">
      <w:pPr>
        <w:spacing w:line="480" w:lineRule="auto"/>
        <w:rPr>
          <w:rFonts w:ascii="Times New Roman" w:hAnsi="Times New Roman" w:cs="Times New Roman"/>
        </w:rPr>
      </w:pPr>
    </w:p>
    <w:p w14:paraId="40919805" w14:textId="77777777" w:rsidR="00873BCF" w:rsidRDefault="00873BCF" w:rsidP="00EE3EDB">
      <w:pPr>
        <w:spacing w:line="480" w:lineRule="auto"/>
        <w:rPr>
          <w:rFonts w:ascii="Times New Roman" w:hAnsi="Times New Roman" w:cs="Times New Roman"/>
        </w:rPr>
      </w:pPr>
    </w:p>
    <w:p w14:paraId="0CC64B0D" w14:textId="77777777" w:rsidR="00873BCF" w:rsidRDefault="00873BCF" w:rsidP="00EE3EDB">
      <w:pPr>
        <w:spacing w:line="480" w:lineRule="auto"/>
        <w:rPr>
          <w:rFonts w:ascii="Times New Roman" w:hAnsi="Times New Roman" w:cs="Times New Roman"/>
        </w:rPr>
      </w:pPr>
    </w:p>
    <w:p w14:paraId="7EA4A0FD" w14:textId="04557DC8" w:rsidR="00873BCF" w:rsidRPr="00501552" w:rsidRDefault="00873BCF" w:rsidP="00EE3EDB">
      <w:pPr>
        <w:spacing w:line="480" w:lineRule="auto"/>
        <w:rPr>
          <w:rFonts w:ascii="Times New Roman" w:hAnsi="Times New Roman" w:cs="Times New Roman"/>
          <w:b/>
          <w:bCs/>
          <w:color w:val="156082" w:themeColor="accent1"/>
        </w:rPr>
      </w:pPr>
      <w:r w:rsidRPr="00501552">
        <w:rPr>
          <w:rFonts w:ascii="Times New Roman" w:hAnsi="Times New Roman" w:cs="Times New Roman"/>
          <w:b/>
          <w:bCs/>
          <w:color w:val="156082" w:themeColor="accent1"/>
        </w:rPr>
        <w:lastRenderedPageBreak/>
        <w:t xml:space="preserve">References </w:t>
      </w:r>
    </w:p>
    <w:p w14:paraId="7D9D16D3"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Bhujel, K. (n.d.). </w:t>
      </w:r>
      <w:r w:rsidRPr="00501552">
        <w:rPr>
          <w:rFonts w:ascii="Times New Roman" w:hAnsi="Times New Roman" w:cs="Times New Roman"/>
          <w:i/>
          <w:iCs/>
        </w:rPr>
        <w:t>Customer satisfaction in the British retail sectors: Evidence from Tesco Plc.</w:t>
      </w:r>
      <w:r w:rsidRPr="00501552">
        <w:rPr>
          <w:rFonts w:ascii="Times New Roman" w:hAnsi="Times New Roman" w:cs="Times New Roman"/>
        </w:rPr>
        <w:t xml:space="preserve"> SSRN 6123658.</w:t>
      </w:r>
    </w:p>
    <w:p w14:paraId="1F87B6FF"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Cao, Y., &amp; Zhang, W. (2025). </w:t>
      </w:r>
      <w:r w:rsidRPr="00501552">
        <w:rPr>
          <w:rFonts w:ascii="Times New Roman" w:hAnsi="Times New Roman" w:cs="Times New Roman"/>
          <w:i/>
          <w:iCs/>
        </w:rPr>
        <w:t>How AI is shaping accounting and finance.</w:t>
      </w:r>
      <w:r w:rsidRPr="00501552">
        <w:rPr>
          <w:rFonts w:ascii="Times New Roman" w:hAnsi="Times New Roman" w:cs="Times New Roman"/>
        </w:rPr>
        <w:t xml:space="preserve"> The British Accounting Review, Article 101650.</w:t>
      </w:r>
    </w:p>
    <w:p w14:paraId="4812B3E3" w14:textId="71C1B2AD"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lang w:val="fr-FR"/>
        </w:rPr>
        <w:t>De</w:t>
      </w:r>
      <w:r w:rsidRPr="00501552">
        <w:rPr>
          <w:rFonts w:ascii="Times New Roman" w:hAnsi="Times New Roman" w:cs="Times New Roman"/>
          <w:lang w:val="fr-FR"/>
        </w:rPr>
        <w:t xml:space="preserve"> Moura, M. B. L. (2021). </w:t>
      </w:r>
      <w:r w:rsidRPr="00501552">
        <w:rPr>
          <w:rFonts w:ascii="Times New Roman" w:hAnsi="Times New Roman" w:cs="Times New Roman"/>
          <w:i/>
          <w:iCs/>
        </w:rPr>
        <w:t>Equity research in food &amp; retail industry</w:t>
      </w:r>
      <w:r>
        <w:rPr>
          <w:rFonts w:ascii="Times New Roman" w:hAnsi="Times New Roman" w:cs="Times New Roman"/>
          <w:i/>
          <w:iCs/>
        </w:rPr>
        <w:t>-</w:t>
      </w:r>
      <w:r w:rsidRPr="00501552">
        <w:rPr>
          <w:rFonts w:ascii="Times New Roman" w:hAnsi="Times New Roman" w:cs="Times New Roman"/>
          <w:i/>
          <w:iCs/>
        </w:rPr>
        <w:t>Tesco PLC</w:t>
      </w:r>
      <w:r w:rsidRPr="00501552">
        <w:rPr>
          <w:rFonts w:ascii="Times New Roman" w:hAnsi="Times New Roman" w:cs="Times New Roman"/>
        </w:rPr>
        <w:t xml:space="preserve"> [</w:t>
      </w:r>
      <w:r w:rsidRPr="00501552">
        <w:rPr>
          <w:rFonts w:ascii="Times New Roman" w:hAnsi="Times New Roman" w:cs="Times New Roman"/>
        </w:rPr>
        <w:t>master’s</w:t>
      </w:r>
      <w:r w:rsidRPr="00501552">
        <w:rPr>
          <w:rFonts w:ascii="Times New Roman" w:hAnsi="Times New Roman" w:cs="Times New Roman"/>
        </w:rPr>
        <w:t xml:space="preserve"> thesis, </w:t>
      </w:r>
      <w:r w:rsidRPr="00501552">
        <w:rPr>
          <w:rFonts w:ascii="Times New Roman" w:hAnsi="Times New Roman" w:cs="Times New Roman"/>
        </w:rPr>
        <w:t>Universidad</w:t>
      </w:r>
      <w:r w:rsidRPr="00501552">
        <w:rPr>
          <w:rFonts w:ascii="Times New Roman" w:hAnsi="Times New Roman" w:cs="Times New Roman"/>
        </w:rPr>
        <w:t xml:space="preserve"> de Lisboa].</w:t>
      </w:r>
    </w:p>
    <w:p w14:paraId="641EF987"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lang w:val="it-IT"/>
        </w:rPr>
        <w:t xml:space="preserve">Faccia, A., McDonald, J., &amp; George, B. (2023). </w:t>
      </w:r>
      <w:r w:rsidRPr="00501552">
        <w:rPr>
          <w:rFonts w:ascii="Times New Roman" w:hAnsi="Times New Roman" w:cs="Times New Roman"/>
        </w:rPr>
        <w:t xml:space="preserve">NLP sentiment analysis and accounting transparency: A new era of financial record keeping. </w:t>
      </w:r>
      <w:r w:rsidRPr="00501552">
        <w:rPr>
          <w:rFonts w:ascii="Times New Roman" w:hAnsi="Times New Roman" w:cs="Times New Roman"/>
          <w:i/>
          <w:iCs/>
        </w:rPr>
        <w:t>Computers, 13</w:t>
      </w:r>
      <w:r w:rsidRPr="00501552">
        <w:rPr>
          <w:rFonts w:ascii="Times New Roman" w:hAnsi="Times New Roman" w:cs="Times New Roman"/>
        </w:rPr>
        <w:t>(1), Article 5.</w:t>
      </w:r>
    </w:p>
    <w:p w14:paraId="25115E12" w14:textId="77777777" w:rsidR="00501552" w:rsidRPr="00501552" w:rsidRDefault="00501552" w:rsidP="00501552">
      <w:pPr>
        <w:spacing w:line="480" w:lineRule="auto"/>
        <w:rPr>
          <w:rFonts w:ascii="Times New Roman" w:hAnsi="Times New Roman" w:cs="Times New Roman"/>
        </w:rPr>
      </w:pPr>
      <w:proofErr w:type="spellStart"/>
      <w:r w:rsidRPr="00501552">
        <w:rPr>
          <w:rFonts w:ascii="Times New Roman" w:hAnsi="Times New Roman" w:cs="Times New Roman"/>
          <w:lang w:val="sv-SE"/>
        </w:rPr>
        <w:t>Haddock-Millar</w:t>
      </w:r>
      <w:proofErr w:type="spellEnd"/>
      <w:r w:rsidRPr="00501552">
        <w:rPr>
          <w:rFonts w:ascii="Times New Roman" w:hAnsi="Times New Roman" w:cs="Times New Roman"/>
          <w:lang w:val="sv-SE"/>
        </w:rPr>
        <w:t xml:space="preserve">, J., &amp; Rigby, C. (2015). </w:t>
      </w:r>
      <w:r w:rsidRPr="00501552">
        <w:rPr>
          <w:rFonts w:ascii="Times New Roman" w:hAnsi="Times New Roman" w:cs="Times New Roman"/>
        </w:rPr>
        <w:t>Business strategy and the environment: Tesco PLC’s declining financial performance and underlying issues</w:t>
      </w:r>
      <w:r w:rsidRPr="00501552">
        <w:rPr>
          <w:rFonts w:ascii="Times New Roman" w:hAnsi="Times New Roman" w:cs="Times New Roman"/>
          <w:i/>
          <w:iCs/>
        </w:rPr>
        <w:t>. Review of Business &amp; Finance Studies, 6</w:t>
      </w:r>
      <w:r w:rsidRPr="00501552">
        <w:rPr>
          <w:rFonts w:ascii="Times New Roman" w:hAnsi="Times New Roman" w:cs="Times New Roman"/>
        </w:rPr>
        <w:t>(3), 91–103.</w:t>
      </w:r>
    </w:p>
    <w:p w14:paraId="4AFA02C9" w14:textId="77777777" w:rsidR="00501552" w:rsidRPr="00501552" w:rsidRDefault="00501552" w:rsidP="00501552">
      <w:pPr>
        <w:spacing w:line="480" w:lineRule="auto"/>
        <w:rPr>
          <w:rFonts w:ascii="Times New Roman" w:hAnsi="Times New Roman" w:cs="Times New Roman"/>
        </w:rPr>
      </w:pPr>
      <w:proofErr w:type="spellStart"/>
      <w:r w:rsidRPr="00501552">
        <w:rPr>
          <w:rFonts w:ascii="Times New Roman" w:hAnsi="Times New Roman" w:cs="Times New Roman"/>
        </w:rPr>
        <w:t>Imjai</w:t>
      </w:r>
      <w:proofErr w:type="spellEnd"/>
      <w:r w:rsidRPr="00501552">
        <w:rPr>
          <w:rFonts w:ascii="Times New Roman" w:hAnsi="Times New Roman" w:cs="Times New Roman"/>
        </w:rPr>
        <w:t xml:space="preserve">, N., </w:t>
      </w:r>
      <w:proofErr w:type="spellStart"/>
      <w:r w:rsidRPr="00501552">
        <w:rPr>
          <w:rFonts w:ascii="Times New Roman" w:hAnsi="Times New Roman" w:cs="Times New Roman"/>
        </w:rPr>
        <w:t>Yordudom</w:t>
      </w:r>
      <w:proofErr w:type="spellEnd"/>
      <w:r w:rsidRPr="00501552">
        <w:rPr>
          <w:rFonts w:ascii="Times New Roman" w:hAnsi="Times New Roman" w:cs="Times New Roman"/>
        </w:rPr>
        <w:t xml:space="preserve">, T., Yaacob, Z., Saad, N. H. M., &amp; Aujirapongpan, S. (2025). Impact of AI literacy and adaptability on financial analyst skills among prospective Thai accountants: The role of critical thinking. </w:t>
      </w:r>
      <w:r w:rsidRPr="00501552">
        <w:rPr>
          <w:rFonts w:ascii="Times New Roman" w:hAnsi="Times New Roman" w:cs="Times New Roman"/>
          <w:i/>
          <w:iCs/>
        </w:rPr>
        <w:t>Technological Forecasting and Social Change, 210</w:t>
      </w:r>
      <w:r w:rsidRPr="00501552">
        <w:rPr>
          <w:rFonts w:ascii="Times New Roman" w:hAnsi="Times New Roman" w:cs="Times New Roman"/>
        </w:rPr>
        <w:t>, Article 123889.</w:t>
      </w:r>
    </w:p>
    <w:p w14:paraId="493D20A8"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Lestari, E., </w:t>
      </w:r>
      <w:proofErr w:type="spellStart"/>
      <w:r w:rsidRPr="00501552">
        <w:rPr>
          <w:rFonts w:ascii="Times New Roman" w:hAnsi="Times New Roman" w:cs="Times New Roman"/>
        </w:rPr>
        <w:t>Setyawati</w:t>
      </w:r>
      <w:proofErr w:type="spellEnd"/>
      <w:r w:rsidRPr="00501552">
        <w:rPr>
          <w:rFonts w:ascii="Times New Roman" w:hAnsi="Times New Roman" w:cs="Times New Roman"/>
        </w:rPr>
        <w:t xml:space="preserve">, Y., &amp; Kabora, P. M. T. (2023). Financial performance assessment based on financial ratio analysis. </w:t>
      </w:r>
      <w:r w:rsidRPr="00501552">
        <w:rPr>
          <w:rFonts w:ascii="Times New Roman" w:hAnsi="Times New Roman" w:cs="Times New Roman"/>
          <w:i/>
          <w:iCs/>
        </w:rPr>
        <w:t>PENANOMICS: International Journal of Economics, 2</w:t>
      </w:r>
      <w:r w:rsidRPr="00501552">
        <w:rPr>
          <w:rFonts w:ascii="Times New Roman" w:hAnsi="Times New Roman" w:cs="Times New Roman"/>
        </w:rPr>
        <w:t>(3).</w:t>
      </w:r>
    </w:p>
    <w:p w14:paraId="1D94D54A"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Meng, S. (2024). Operation management of grocery retailer in the UK: A case of Tesco</w:t>
      </w:r>
      <w:r w:rsidRPr="00501552">
        <w:rPr>
          <w:rFonts w:ascii="Times New Roman" w:hAnsi="Times New Roman" w:cs="Times New Roman"/>
          <w:i/>
          <w:iCs/>
        </w:rPr>
        <w:t>. Pacific International Journal, 7</w:t>
      </w:r>
      <w:r w:rsidRPr="00501552">
        <w:rPr>
          <w:rFonts w:ascii="Times New Roman" w:hAnsi="Times New Roman" w:cs="Times New Roman"/>
        </w:rPr>
        <w:t>(2), 136–142.</w:t>
      </w:r>
    </w:p>
    <w:p w14:paraId="056C0555" w14:textId="797814E6" w:rsidR="00501552" w:rsidRPr="00501552" w:rsidRDefault="00501552" w:rsidP="00501552">
      <w:pPr>
        <w:spacing w:line="480" w:lineRule="auto"/>
        <w:rPr>
          <w:rFonts w:ascii="Times New Roman" w:hAnsi="Times New Roman" w:cs="Times New Roman"/>
        </w:rPr>
      </w:pPr>
      <w:proofErr w:type="spellStart"/>
      <w:r w:rsidRPr="00501552">
        <w:rPr>
          <w:rFonts w:ascii="Times New Roman" w:hAnsi="Times New Roman" w:cs="Times New Roman"/>
        </w:rPr>
        <w:t>Odonkor</w:t>
      </w:r>
      <w:proofErr w:type="spellEnd"/>
      <w:r w:rsidRPr="00501552">
        <w:rPr>
          <w:rFonts w:ascii="Times New Roman" w:hAnsi="Times New Roman" w:cs="Times New Roman"/>
        </w:rPr>
        <w:t xml:space="preserve">, B., Kaggwa, S., </w:t>
      </w:r>
      <w:proofErr w:type="spellStart"/>
      <w:r w:rsidRPr="00501552">
        <w:rPr>
          <w:rFonts w:ascii="Times New Roman" w:hAnsi="Times New Roman" w:cs="Times New Roman"/>
        </w:rPr>
        <w:t>Uwaoma</w:t>
      </w:r>
      <w:proofErr w:type="spellEnd"/>
      <w:r w:rsidRPr="00501552">
        <w:rPr>
          <w:rFonts w:ascii="Times New Roman" w:hAnsi="Times New Roman" w:cs="Times New Roman"/>
        </w:rPr>
        <w:t xml:space="preserve">, P. U., Hassan, A. O., &amp; </w:t>
      </w:r>
      <w:proofErr w:type="spellStart"/>
      <w:r w:rsidRPr="00501552">
        <w:rPr>
          <w:rFonts w:ascii="Times New Roman" w:hAnsi="Times New Roman" w:cs="Times New Roman"/>
        </w:rPr>
        <w:t>Farayola</w:t>
      </w:r>
      <w:proofErr w:type="spellEnd"/>
      <w:r w:rsidRPr="00501552">
        <w:rPr>
          <w:rFonts w:ascii="Times New Roman" w:hAnsi="Times New Roman" w:cs="Times New Roman"/>
        </w:rPr>
        <w:t xml:space="preserve">, O. A. (2024). The impact of AI on accounting practices: A </w:t>
      </w:r>
      <w:r w:rsidRPr="00501552">
        <w:rPr>
          <w:rFonts w:ascii="Times New Roman" w:hAnsi="Times New Roman" w:cs="Times New Roman"/>
        </w:rPr>
        <w:t>Review</w:t>
      </w:r>
      <w:r>
        <w:rPr>
          <w:rFonts w:ascii="Times New Roman" w:hAnsi="Times New Roman" w:cs="Times New Roman"/>
        </w:rPr>
        <w:t>-</w:t>
      </w:r>
      <w:r w:rsidRPr="00501552">
        <w:rPr>
          <w:rFonts w:ascii="Times New Roman" w:hAnsi="Times New Roman" w:cs="Times New Roman"/>
        </w:rPr>
        <w:t xml:space="preserve">Exploring how artificial intelligence is transforming </w:t>
      </w:r>
      <w:r w:rsidRPr="00501552">
        <w:rPr>
          <w:rFonts w:ascii="Times New Roman" w:hAnsi="Times New Roman" w:cs="Times New Roman"/>
        </w:rPr>
        <w:lastRenderedPageBreak/>
        <w:t xml:space="preserve">traditional accounting methods and financial reporting. </w:t>
      </w:r>
      <w:r w:rsidRPr="00501552">
        <w:rPr>
          <w:rFonts w:ascii="Times New Roman" w:hAnsi="Times New Roman" w:cs="Times New Roman"/>
          <w:i/>
          <w:iCs/>
        </w:rPr>
        <w:t>World Journal of Advanced Research and Reviews, 21</w:t>
      </w:r>
      <w:r w:rsidRPr="00501552">
        <w:rPr>
          <w:rFonts w:ascii="Times New Roman" w:hAnsi="Times New Roman" w:cs="Times New Roman"/>
        </w:rPr>
        <w:t>(1), 172–188.</w:t>
      </w:r>
    </w:p>
    <w:p w14:paraId="776A86DD"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Olayinka, A. A. (2022). Financial statement analysis as a tool for investment decisions and assessment of companies’ performance. </w:t>
      </w:r>
      <w:r w:rsidRPr="00501552">
        <w:rPr>
          <w:rFonts w:ascii="Times New Roman" w:hAnsi="Times New Roman" w:cs="Times New Roman"/>
          <w:i/>
          <w:iCs/>
        </w:rPr>
        <w:t>International Journal of Financial, Accounting, and Management, 4</w:t>
      </w:r>
      <w:r w:rsidRPr="00501552">
        <w:rPr>
          <w:rFonts w:ascii="Times New Roman" w:hAnsi="Times New Roman" w:cs="Times New Roman"/>
        </w:rPr>
        <w:t>(1), 49–66.</w:t>
      </w:r>
    </w:p>
    <w:p w14:paraId="34B1EB7C"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Razzaq, A., Quach, S., &amp; </w:t>
      </w:r>
      <w:proofErr w:type="spellStart"/>
      <w:r w:rsidRPr="00501552">
        <w:rPr>
          <w:rFonts w:ascii="Times New Roman" w:hAnsi="Times New Roman" w:cs="Times New Roman"/>
        </w:rPr>
        <w:t>Thaichon</w:t>
      </w:r>
      <w:proofErr w:type="spellEnd"/>
      <w:r w:rsidRPr="00501552">
        <w:rPr>
          <w:rFonts w:ascii="Times New Roman" w:hAnsi="Times New Roman" w:cs="Times New Roman"/>
        </w:rPr>
        <w:t xml:space="preserve">, P. (2022). Artificial intelligence (AI)-integrated operation: Insights into supply chain management. In </w:t>
      </w:r>
      <w:r w:rsidRPr="00501552">
        <w:rPr>
          <w:rFonts w:ascii="Times New Roman" w:hAnsi="Times New Roman" w:cs="Times New Roman"/>
          <w:i/>
          <w:iCs/>
        </w:rPr>
        <w:t>Artificial intelligence for marketing management</w:t>
      </w:r>
      <w:r w:rsidRPr="00501552">
        <w:rPr>
          <w:rFonts w:ascii="Times New Roman" w:hAnsi="Times New Roman" w:cs="Times New Roman"/>
        </w:rPr>
        <w:t xml:space="preserve"> (pp. 96–119). Routledge.</w:t>
      </w:r>
    </w:p>
    <w:p w14:paraId="2FB6A849" w14:textId="6B5B3DA8"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Saputra, F. (2022). Analysis effect return on assets (ROA), return on equity (ROE), and price </w:t>
      </w:r>
      <w:r w:rsidRPr="00501552">
        <w:rPr>
          <w:rFonts w:ascii="Times New Roman" w:hAnsi="Times New Roman" w:cs="Times New Roman"/>
        </w:rPr>
        <w:t>earnings</w:t>
      </w:r>
      <w:r w:rsidRPr="00501552">
        <w:rPr>
          <w:rFonts w:ascii="Times New Roman" w:hAnsi="Times New Roman" w:cs="Times New Roman"/>
        </w:rPr>
        <w:t xml:space="preserve"> ratio (PER) on stock prices of coal companies in the Indonesia Stock Exchange (IDX) period 2018–2021. </w:t>
      </w:r>
      <w:r w:rsidRPr="00501552">
        <w:rPr>
          <w:rFonts w:ascii="Times New Roman" w:hAnsi="Times New Roman" w:cs="Times New Roman"/>
          <w:i/>
          <w:iCs/>
        </w:rPr>
        <w:t>Dinasti International Journal of Economics, Finance and Accounting, 3</w:t>
      </w:r>
      <w:r w:rsidRPr="00501552">
        <w:rPr>
          <w:rFonts w:ascii="Times New Roman" w:hAnsi="Times New Roman" w:cs="Times New Roman"/>
        </w:rPr>
        <w:t>(1), 82–94.</w:t>
      </w:r>
    </w:p>
    <w:p w14:paraId="1F1F33C8" w14:textId="77777777"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Schroeder, R. G., Clark, M. W., &amp; Cathey, J. M. (2022). </w:t>
      </w:r>
      <w:r w:rsidRPr="00501552">
        <w:rPr>
          <w:rFonts w:ascii="Times New Roman" w:hAnsi="Times New Roman" w:cs="Times New Roman"/>
          <w:i/>
          <w:iCs/>
        </w:rPr>
        <w:t>Financial accounting theory and analysis: Text and cases</w:t>
      </w:r>
      <w:r w:rsidRPr="00501552">
        <w:rPr>
          <w:rFonts w:ascii="Times New Roman" w:hAnsi="Times New Roman" w:cs="Times New Roman"/>
        </w:rPr>
        <w:t>. John Wiley &amp; Sons.</w:t>
      </w:r>
    </w:p>
    <w:p w14:paraId="58AA1E32" w14:textId="473AC800" w:rsidR="00501552" w:rsidRPr="00501552"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Shafa, H., &amp; Islam, A. (2025). Impact of data privacy and cybersecurity </w:t>
      </w:r>
      <w:r w:rsidRPr="00501552">
        <w:rPr>
          <w:rFonts w:ascii="Times New Roman" w:hAnsi="Times New Roman" w:cs="Times New Roman"/>
        </w:rPr>
        <w:t>on</w:t>
      </w:r>
      <w:r w:rsidRPr="00501552">
        <w:rPr>
          <w:rFonts w:ascii="Times New Roman" w:hAnsi="Times New Roman" w:cs="Times New Roman"/>
        </w:rPr>
        <w:t xml:space="preserve"> accounting information systems on financial transparency. </w:t>
      </w:r>
      <w:r w:rsidRPr="00501552">
        <w:rPr>
          <w:rFonts w:ascii="Times New Roman" w:hAnsi="Times New Roman" w:cs="Times New Roman"/>
          <w:i/>
          <w:iCs/>
        </w:rPr>
        <w:t>International Journal of Scientific Interdisciplinary Research, 6</w:t>
      </w:r>
      <w:r w:rsidRPr="00501552">
        <w:rPr>
          <w:rFonts w:ascii="Times New Roman" w:hAnsi="Times New Roman" w:cs="Times New Roman"/>
        </w:rPr>
        <w:t>(1), 254–292.</w:t>
      </w:r>
    </w:p>
    <w:p w14:paraId="3E48333D" w14:textId="77777777" w:rsidR="00501552" w:rsidRDefault="00501552" w:rsidP="00501552">
      <w:pPr>
        <w:spacing w:line="480" w:lineRule="auto"/>
        <w:rPr>
          <w:rFonts w:ascii="Times New Roman" w:hAnsi="Times New Roman" w:cs="Times New Roman"/>
        </w:rPr>
      </w:pPr>
      <w:proofErr w:type="spellStart"/>
      <w:r w:rsidRPr="00501552">
        <w:rPr>
          <w:rFonts w:ascii="Times New Roman" w:hAnsi="Times New Roman" w:cs="Times New Roman"/>
          <w:lang w:val="it-IT"/>
        </w:rPr>
        <w:t>Susellawati</w:t>
      </w:r>
      <w:proofErr w:type="spellEnd"/>
      <w:r w:rsidRPr="00501552">
        <w:rPr>
          <w:rFonts w:ascii="Times New Roman" w:hAnsi="Times New Roman" w:cs="Times New Roman"/>
          <w:lang w:val="it-IT"/>
        </w:rPr>
        <w:t xml:space="preserve">, S., Sari, D. P., Nabella, S. D., &amp; </w:t>
      </w:r>
      <w:proofErr w:type="spellStart"/>
      <w:r w:rsidRPr="00501552">
        <w:rPr>
          <w:rFonts w:ascii="Times New Roman" w:hAnsi="Times New Roman" w:cs="Times New Roman"/>
          <w:lang w:val="it-IT"/>
        </w:rPr>
        <w:t>Fadlilah</w:t>
      </w:r>
      <w:proofErr w:type="spellEnd"/>
      <w:r w:rsidRPr="00501552">
        <w:rPr>
          <w:rFonts w:ascii="Times New Roman" w:hAnsi="Times New Roman" w:cs="Times New Roman"/>
          <w:lang w:val="it-IT"/>
        </w:rPr>
        <w:t xml:space="preserve">, A. H. (2022). </w:t>
      </w:r>
      <w:r w:rsidRPr="00501552">
        <w:rPr>
          <w:rFonts w:ascii="Times New Roman" w:hAnsi="Times New Roman" w:cs="Times New Roman"/>
        </w:rPr>
        <w:t xml:space="preserve">The effect of profitability, liquidity, leverage, and activity ratios on dividend policy in manufacturing companies in the food and beverage industry sector listed on the Indonesia Stock Exchange in the 2016–2020 period. </w:t>
      </w:r>
      <w:r w:rsidRPr="00501552">
        <w:rPr>
          <w:rFonts w:ascii="Times New Roman" w:hAnsi="Times New Roman" w:cs="Times New Roman"/>
          <w:i/>
          <w:iCs/>
        </w:rPr>
        <w:t>Journal</w:t>
      </w:r>
      <w:r w:rsidRPr="00501552">
        <w:rPr>
          <w:rFonts w:ascii="Times New Roman" w:hAnsi="Times New Roman" w:cs="Times New Roman"/>
          <w:i/>
          <w:iCs/>
        </w:rPr>
        <w:t xml:space="preserve"> Mantik, 6</w:t>
      </w:r>
      <w:r w:rsidRPr="00501552">
        <w:rPr>
          <w:rFonts w:ascii="Times New Roman" w:hAnsi="Times New Roman" w:cs="Times New Roman"/>
        </w:rPr>
        <w:t>(2), 141–152.</w:t>
      </w:r>
    </w:p>
    <w:p w14:paraId="02DAF9B7" w14:textId="158C3133" w:rsidR="00501552" w:rsidRPr="00501552" w:rsidRDefault="00501552" w:rsidP="00501552">
      <w:pPr>
        <w:spacing w:line="480" w:lineRule="auto"/>
        <w:rPr>
          <w:rFonts w:ascii="Times New Roman" w:hAnsi="Times New Roman" w:cs="Times New Roman"/>
          <w:i/>
          <w:iCs/>
        </w:rPr>
      </w:pPr>
      <w:r w:rsidRPr="00501552">
        <w:rPr>
          <w:rFonts w:ascii="Times New Roman" w:hAnsi="Times New Roman" w:cs="Times New Roman"/>
        </w:rPr>
        <w:lastRenderedPageBreak/>
        <w:t xml:space="preserve">Thomas, P. (2026). </w:t>
      </w:r>
      <w:r w:rsidRPr="00501552">
        <w:rPr>
          <w:rFonts w:ascii="Times New Roman" w:hAnsi="Times New Roman" w:cs="Times New Roman"/>
          <w:i/>
          <w:iCs/>
        </w:rPr>
        <w:t>An empirical analysis of transaction costs and operational efficiency in Tesco supermarkets.</w:t>
      </w:r>
    </w:p>
    <w:p w14:paraId="1E4653FB" w14:textId="77777777" w:rsidR="00501552" w:rsidRPr="00501552" w:rsidRDefault="00501552" w:rsidP="00501552">
      <w:pPr>
        <w:spacing w:line="480" w:lineRule="auto"/>
        <w:rPr>
          <w:rFonts w:ascii="Times New Roman" w:hAnsi="Times New Roman" w:cs="Times New Roman"/>
        </w:rPr>
      </w:pPr>
      <w:proofErr w:type="spellStart"/>
      <w:r w:rsidRPr="00501552">
        <w:rPr>
          <w:rFonts w:ascii="Times New Roman" w:hAnsi="Times New Roman" w:cs="Times New Roman"/>
          <w:lang w:val="fi-FI"/>
        </w:rPr>
        <w:t>Zainudin</w:t>
      </w:r>
      <w:proofErr w:type="spellEnd"/>
      <w:r w:rsidRPr="00501552">
        <w:rPr>
          <w:rFonts w:ascii="Times New Roman" w:hAnsi="Times New Roman" w:cs="Times New Roman"/>
          <w:lang w:val="fi-FI"/>
        </w:rPr>
        <w:t xml:space="preserve">, C. N. B. M., Nor, M. E. B., &amp; Kamisan, N. A. B. B. (2023). </w:t>
      </w:r>
      <w:r w:rsidRPr="00501552">
        <w:rPr>
          <w:rFonts w:ascii="Times New Roman" w:hAnsi="Times New Roman" w:cs="Times New Roman"/>
        </w:rPr>
        <w:t>Non-trading days model for Tesco stock market forecasting</w:t>
      </w:r>
      <w:r w:rsidRPr="00501552">
        <w:rPr>
          <w:rFonts w:ascii="Times New Roman" w:hAnsi="Times New Roman" w:cs="Times New Roman"/>
          <w:i/>
          <w:iCs/>
        </w:rPr>
        <w:t>. AIP Conference Proceedings</w:t>
      </w:r>
      <w:r w:rsidRPr="00501552">
        <w:rPr>
          <w:rFonts w:ascii="Times New Roman" w:hAnsi="Times New Roman" w:cs="Times New Roman"/>
        </w:rPr>
        <w:t>, 2500(1), Article 020037. AIP Publishing.</w:t>
      </w:r>
    </w:p>
    <w:p w14:paraId="17FB1A16" w14:textId="1232DB6A" w:rsidR="00873BCF" w:rsidRDefault="00501552" w:rsidP="00501552">
      <w:pPr>
        <w:spacing w:line="480" w:lineRule="auto"/>
        <w:rPr>
          <w:rFonts w:ascii="Times New Roman" w:hAnsi="Times New Roman" w:cs="Times New Roman"/>
        </w:rPr>
      </w:pPr>
      <w:r w:rsidRPr="00501552">
        <w:rPr>
          <w:rFonts w:ascii="Times New Roman" w:hAnsi="Times New Roman" w:cs="Times New Roman"/>
        </w:rPr>
        <w:t xml:space="preserve">Zhao, S. (2014). Analyzing and evaluating critically Tesco’s current operations management. </w:t>
      </w:r>
      <w:r w:rsidRPr="00501552">
        <w:rPr>
          <w:rFonts w:ascii="Times New Roman" w:hAnsi="Times New Roman" w:cs="Times New Roman"/>
          <w:i/>
          <w:iCs/>
        </w:rPr>
        <w:t>Journal of Management and Sustainability, 4</w:t>
      </w:r>
      <w:r w:rsidRPr="00501552">
        <w:rPr>
          <w:rFonts w:ascii="Times New Roman" w:hAnsi="Times New Roman" w:cs="Times New Roman"/>
        </w:rPr>
        <w:t>(4), 184.</w:t>
      </w:r>
    </w:p>
    <w:p w14:paraId="6C260526" w14:textId="77777777" w:rsidR="00501552" w:rsidRPr="00EE3EDB" w:rsidRDefault="00501552" w:rsidP="00EE3EDB">
      <w:pPr>
        <w:spacing w:line="480" w:lineRule="auto"/>
        <w:rPr>
          <w:rFonts w:ascii="Times New Roman" w:hAnsi="Times New Roman" w:cs="Times New Roman"/>
        </w:rPr>
      </w:pPr>
    </w:p>
    <w:sectPr w:rsidR="00501552" w:rsidRPr="00EE3EDB" w:rsidSect="00501552">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D033F" w14:textId="77777777" w:rsidR="00441F15" w:rsidRDefault="00441F15" w:rsidP="00501552">
      <w:pPr>
        <w:spacing w:after="0" w:line="240" w:lineRule="auto"/>
      </w:pPr>
      <w:r>
        <w:separator/>
      </w:r>
    </w:p>
  </w:endnote>
  <w:endnote w:type="continuationSeparator" w:id="0">
    <w:p w14:paraId="520D16C3" w14:textId="77777777" w:rsidR="00441F15" w:rsidRDefault="00441F15" w:rsidP="0050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5D52A" w14:textId="77777777" w:rsidR="00441F15" w:rsidRDefault="00441F15" w:rsidP="00501552">
      <w:pPr>
        <w:spacing w:after="0" w:line="240" w:lineRule="auto"/>
      </w:pPr>
      <w:r>
        <w:separator/>
      </w:r>
    </w:p>
  </w:footnote>
  <w:footnote w:type="continuationSeparator" w:id="0">
    <w:p w14:paraId="08203CA2" w14:textId="77777777" w:rsidR="00441F15" w:rsidRDefault="00441F15" w:rsidP="00501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816926"/>
      <w:docPartObj>
        <w:docPartGallery w:val="Page Numbers (Top of Page)"/>
        <w:docPartUnique/>
      </w:docPartObj>
    </w:sdtPr>
    <w:sdtEndPr>
      <w:rPr>
        <w:noProof/>
      </w:rPr>
    </w:sdtEndPr>
    <w:sdtContent>
      <w:p w14:paraId="7654CD58" w14:textId="2460E85E" w:rsidR="00501552" w:rsidRDefault="0050155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AF98FE3" w14:textId="77777777" w:rsidR="00501552" w:rsidRDefault="005015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47BF7"/>
    <w:multiLevelType w:val="hybridMultilevel"/>
    <w:tmpl w:val="31167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897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EDB"/>
    <w:rsid w:val="001057C2"/>
    <w:rsid w:val="001329A5"/>
    <w:rsid w:val="00325E28"/>
    <w:rsid w:val="00441F15"/>
    <w:rsid w:val="00501552"/>
    <w:rsid w:val="00873BCF"/>
    <w:rsid w:val="00904468"/>
    <w:rsid w:val="0093013A"/>
    <w:rsid w:val="00B32B4B"/>
    <w:rsid w:val="00EE3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48957"/>
  <w15:chartTrackingRefBased/>
  <w15:docId w15:val="{D40ABAA0-C555-495E-B576-004F6993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E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E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E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E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E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E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E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E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E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E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E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E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E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E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E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E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E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EDB"/>
    <w:rPr>
      <w:rFonts w:eastAsiaTheme="majorEastAsia" w:cstheme="majorBidi"/>
      <w:color w:val="272727" w:themeColor="text1" w:themeTint="D8"/>
    </w:rPr>
  </w:style>
  <w:style w:type="paragraph" w:styleId="Title">
    <w:name w:val="Title"/>
    <w:basedOn w:val="Normal"/>
    <w:next w:val="Normal"/>
    <w:link w:val="TitleChar"/>
    <w:uiPriority w:val="10"/>
    <w:qFormat/>
    <w:rsid w:val="00EE3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E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E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E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EDB"/>
    <w:pPr>
      <w:spacing w:before="160"/>
      <w:jc w:val="center"/>
    </w:pPr>
    <w:rPr>
      <w:i/>
      <w:iCs/>
      <w:color w:val="404040" w:themeColor="text1" w:themeTint="BF"/>
    </w:rPr>
  </w:style>
  <w:style w:type="character" w:customStyle="1" w:styleId="QuoteChar">
    <w:name w:val="Quote Char"/>
    <w:basedOn w:val="DefaultParagraphFont"/>
    <w:link w:val="Quote"/>
    <w:uiPriority w:val="29"/>
    <w:rsid w:val="00EE3EDB"/>
    <w:rPr>
      <w:i/>
      <w:iCs/>
      <w:color w:val="404040" w:themeColor="text1" w:themeTint="BF"/>
    </w:rPr>
  </w:style>
  <w:style w:type="paragraph" w:styleId="ListParagraph">
    <w:name w:val="List Paragraph"/>
    <w:basedOn w:val="Normal"/>
    <w:uiPriority w:val="34"/>
    <w:qFormat/>
    <w:rsid w:val="00EE3EDB"/>
    <w:pPr>
      <w:ind w:left="720"/>
      <w:contextualSpacing/>
    </w:pPr>
  </w:style>
  <w:style w:type="character" w:styleId="IntenseEmphasis">
    <w:name w:val="Intense Emphasis"/>
    <w:basedOn w:val="DefaultParagraphFont"/>
    <w:uiPriority w:val="21"/>
    <w:qFormat/>
    <w:rsid w:val="00EE3EDB"/>
    <w:rPr>
      <w:i/>
      <w:iCs/>
      <w:color w:val="0F4761" w:themeColor="accent1" w:themeShade="BF"/>
    </w:rPr>
  </w:style>
  <w:style w:type="paragraph" w:styleId="IntenseQuote">
    <w:name w:val="Intense Quote"/>
    <w:basedOn w:val="Normal"/>
    <w:next w:val="Normal"/>
    <w:link w:val="IntenseQuoteChar"/>
    <w:uiPriority w:val="30"/>
    <w:qFormat/>
    <w:rsid w:val="00EE3E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EDB"/>
    <w:rPr>
      <w:i/>
      <w:iCs/>
      <w:color w:val="0F4761" w:themeColor="accent1" w:themeShade="BF"/>
    </w:rPr>
  </w:style>
  <w:style w:type="character" w:styleId="IntenseReference">
    <w:name w:val="Intense Reference"/>
    <w:basedOn w:val="DefaultParagraphFont"/>
    <w:uiPriority w:val="32"/>
    <w:qFormat/>
    <w:rsid w:val="00EE3EDB"/>
    <w:rPr>
      <w:b/>
      <w:bCs/>
      <w:smallCaps/>
      <w:color w:val="0F4761" w:themeColor="accent1" w:themeShade="BF"/>
      <w:spacing w:val="5"/>
    </w:rPr>
  </w:style>
  <w:style w:type="table" w:styleId="GridTable5Dark-Accent1">
    <w:name w:val="Grid Table 5 Dark Accent 1"/>
    <w:basedOn w:val="TableNormal"/>
    <w:uiPriority w:val="50"/>
    <w:rsid w:val="00EE3E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NoSpacing">
    <w:name w:val="No Spacing"/>
    <w:link w:val="NoSpacingChar"/>
    <w:uiPriority w:val="1"/>
    <w:qFormat/>
    <w:rsid w:val="00501552"/>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01552"/>
    <w:rPr>
      <w:rFonts w:eastAsiaTheme="minorEastAsia"/>
      <w:kern w:val="0"/>
      <w:sz w:val="22"/>
      <w:szCs w:val="22"/>
      <w14:ligatures w14:val="none"/>
    </w:rPr>
  </w:style>
  <w:style w:type="paragraph" w:styleId="Header">
    <w:name w:val="header"/>
    <w:basedOn w:val="Normal"/>
    <w:link w:val="HeaderChar"/>
    <w:uiPriority w:val="99"/>
    <w:unhideWhenUsed/>
    <w:rsid w:val="0050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552"/>
  </w:style>
  <w:style w:type="paragraph" w:styleId="Footer">
    <w:name w:val="footer"/>
    <w:basedOn w:val="Normal"/>
    <w:link w:val="FooterChar"/>
    <w:uiPriority w:val="99"/>
    <w:unhideWhenUsed/>
    <w:rsid w:val="0050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Financial Analysis of Tesco Plc</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of Tesco Plc</dc:title>
  <dc:subject/>
  <cp:keywords/>
  <dc:description/>
  <cp:revision>1</cp:revision>
  <dcterms:created xsi:type="dcterms:W3CDTF">2026-07-12T08:32:00Z</dcterms:created>
  <dcterms:modified xsi:type="dcterms:W3CDTF">2026-07-12T09:30:00Z</dcterms:modified>
</cp:coreProperties>
</file>