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8C999" w14:textId="77777777" w:rsidR="008747D1" w:rsidRPr="008747D1" w:rsidRDefault="008747D1" w:rsidP="008747D1">
      <w:pPr>
        <w:spacing w:before="100" w:beforeAutospacing="1" w:line="360" w:lineRule="auto"/>
        <w:rPr>
          <w:rFonts w:ascii="Aptos" w:eastAsia="Times New Roman" w:hAnsi="Aptos" w:cs="Times New Roman"/>
          <w:lang w:eastAsia="en-GB"/>
          <w14:ligatures w14:val="none"/>
        </w:rPr>
      </w:pPr>
      <w:r w:rsidRPr="008747D1">
        <w:rPr>
          <w:rFonts w:ascii="Aptos" w:eastAsia="Times New Roman" w:hAnsi="Aptos" w:cs="Times New Roman"/>
          <w:noProof/>
          <w:lang w:eastAsia="en-GB"/>
          <w14:ligatures w14:val="none"/>
        </w:rPr>
        <w:drawing>
          <wp:inline distT="0" distB="0" distL="0" distR="0" wp14:anchorId="6005E290" wp14:editId="5CD19530">
            <wp:extent cx="3028950" cy="11811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1181100"/>
                    </a:xfrm>
                    <a:prstGeom prst="rect">
                      <a:avLst/>
                    </a:prstGeom>
                    <a:noFill/>
                    <a:ln>
                      <a:noFill/>
                    </a:ln>
                  </pic:spPr>
                </pic:pic>
              </a:graphicData>
            </a:graphic>
          </wp:inline>
        </w:drawing>
      </w:r>
    </w:p>
    <w:p w14:paraId="5B2AD8B5" w14:textId="77777777" w:rsidR="008747D1" w:rsidRPr="008747D1" w:rsidRDefault="008747D1" w:rsidP="008747D1">
      <w:pPr>
        <w:spacing w:before="100" w:beforeAutospacing="1" w:line="360" w:lineRule="auto"/>
        <w:rPr>
          <w:rFonts w:ascii="Segoe UI" w:eastAsia="Aptos" w:hAnsi="Segoe UI" w:cs="Segoe UI"/>
          <w:b/>
          <w:bCs/>
          <w:color w:val="1D2125"/>
          <w:lang w:eastAsia="en-GB"/>
          <w14:ligatures w14:val="none"/>
        </w:rPr>
      </w:pPr>
      <w:r w:rsidRPr="008747D1">
        <w:rPr>
          <w:rFonts w:ascii="Segoe UI" w:eastAsia="Aptos" w:hAnsi="Segoe UI" w:cs="Segoe UI"/>
          <w:b/>
          <w:bCs/>
          <w:color w:val="1D2125"/>
          <w:lang w:eastAsia="en-GB"/>
          <w14:ligatures w14:val="none"/>
        </w:rPr>
        <w:t xml:space="preserve"> </w:t>
      </w:r>
    </w:p>
    <w:p w14:paraId="15C887B3" w14:textId="77777777" w:rsidR="008747D1" w:rsidRPr="008747D1" w:rsidRDefault="008747D1" w:rsidP="008747D1">
      <w:pPr>
        <w:spacing w:before="100" w:beforeAutospacing="1" w:line="360" w:lineRule="auto"/>
        <w:rPr>
          <w:rFonts w:ascii="Arial" w:eastAsia="Aptos" w:hAnsi="Arial" w:cs="Arial"/>
          <w:b/>
          <w:bCs/>
          <w:color w:val="1D2125"/>
          <w:sz w:val="36"/>
          <w:szCs w:val="36"/>
          <w:lang w:eastAsia="en-GB"/>
          <w14:ligatures w14:val="none"/>
        </w:rPr>
      </w:pPr>
      <w:r w:rsidRPr="008747D1">
        <w:rPr>
          <w:rFonts w:ascii="Arial" w:eastAsia="Aptos" w:hAnsi="Arial" w:cs="Arial"/>
          <w:b/>
          <w:bCs/>
          <w:color w:val="1D2125"/>
          <w:sz w:val="36"/>
          <w:szCs w:val="36"/>
          <w:lang w:eastAsia="en-GB"/>
          <w14:ligatures w14:val="none"/>
        </w:rPr>
        <w:t xml:space="preserve"> </w:t>
      </w:r>
    </w:p>
    <w:p w14:paraId="490A9FBD" w14:textId="77777777" w:rsidR="008747D1" w:rsidRPr="008747D1" w:rsidRDefault="008747D1" w:rsidP="008747D1">
      <w:pPr>
        <w:spacing w:before="100" w:beforeAutospacing="1" w:line="360" w:lineRule="auto"/>
        <w:jc w:val="center"/>
        <w:rPr>
          <w:rFonts w:ascii="Arial" w:eastAsia="Aptos" w:hAnsi="Arial" w:cs="Arial"/>
          <w:b/>
          <w:bCs/>
          <w:color w:val="1D2125"/>
          <w:sz w:val="36"/>
          <w:szCs w:val="36"/>
          <w:lang w:eastAsia="en-GB"/>
          <w14:ligatures w14:val="none"/>
        </w:rPr>
      </w:pPr>
      <w:r w:rsidRPr="008747D1">
        <w:rPr>
          <w:rFonts w:ascii="Arial" w:eastAsia="Aptos" w:hAnsi="Arial" w:cs="Arial"/>
          <w:b/>
          <w:bCs/>
          <w:color w:val="1D2125"/>
          <w:sz w:val="36"/>
          <w:szCs w:val="36"/>
          <w:lang w:eastAsia="en-GB"/>
          <w14:ligatures w14:val="none"/>
        </w:rPr>
        <w:t xml:space="preserve"> </w:t>
      </w:r>
    </w:p>
    <w:p w14:paraId="379EFAF7" w14:textId="77777777" w:rsidR="008747D1" w:rsidRPr="008747D1" w:rsidRDefault="008747D1" w:rsidP="008747D1">
      <w:pPr>
        <w:spacing w:before="100" w:beforeAutospacing="1" w:line="360" w:lineRule="auto"/>
        <w:jc w:val="center"/>
        <w:rPr>
          <w:rFonts w:ascii="Arial" w:eastAsia="Aptos" w:hAnsi="Arial" w:cs="Arial"/>
          <w:b/>
          <w:bCs/>
          <w:color w:val="1D2125"/>
          <w:sz w:val="36"/>
          <w:szCs w:val="36"/>
          <w:lang w:eastAsia="en-GB"/>
          <w14:ligatures w14:val="none"/>
        </w:rPr>
      </w:pPr>
      <w:r w:rsidRPr="008747D1">
        <w:rPr>
          <w:rFonts w:ascii="Arial" w:eastAsia="Aptos" w:hAnsi="Arial" w:cs="Arial"/>
          <w:b/>
          <w:bCs/>
          <w:color w:val="1D2125"/>
          <w:sz w:val="36"/>
          <w:szCs w:val="36"/>
          <w:lang w:eastAsia="en-GB"/>
          <w14:ligatures w14:val="none"/>
        </w:rPr>
        <w:t>Digital Transformation in the Health and Care Professions (BMHP6026)</w:t>
      </w:r>
    </w:p>
    <w:p w14:paraId="690E9F62" w14:textId="77777777" w:rsidR="008747D1" w:rsidRPr="008747D1" w:rsidRDefault="008747D1" w:rsidP="008747D1">
      <w:pPr>
        <w:spacing w:before="100" w:beforeAutospacing="1" w:line="360" w:lineRule="auto"/>
        <w:jc w:val="center"/>
        <w:rPr>
          <w:rFonts w:ascii="Arial" w:eastAsia="Aptos" w:hAnsi="Arial" w:cs="Arial"/>
          <w:b/>
          <w:bCs/>
          <w:color w:val="1D2125"/>
          <w:sz w:val="36"/>
          <w:szCs w:val="36"/>
          <w:lang w:eastAsia="en-GB"/>
          <w14:ligatures w14:val="none"/>
        </w:rPr>
      </w:pPr>
      <w:r w:rsidRPr="008747D1">
        <w:rPr>
          <w:rFonts w:ascii="Arial" w:eastAsia="Aptos" w:hAnsi="Arial" w:cs="Arial"/>
          <w:b/>
          <w:bCs/>
          <w:color w:val="1D2125"/>
          <w:sz w:val="36"/>
          <w:szCs w:val="36"/>
          <w:lang w:eastAsia="en-GB"/>
          <w14:ligatures w14:val="none"/>
        </w:rPr>
        <w:t xml:space="preserve"> </w:t>
      </w:r>
    </w:p>
    <w:p w14:paraId="710561A5" w14:textId="77777777" w:rsidR="008747D1" w:rsidRPr="008747D1" w:rsidRDefault="008747D1" w:rsidP="008747D1">
      <w:pPr>
        <w:spacing w:before="100" w:beforeAutospacing="1" w:line="360" w:lineRule="auto"/>
        <w:jc w:val="center"/>
        <w:rPr>
          <w:rFonts w:ascii="Arial" w:eastAsia="Aptos" w:hAnsi="Arial" w:cs="Arial"/>
          <w:b/>
          <w:bCs/>
          <w:color w:val="1D2125"/>
          <w:sz w:val="36"/>
          <w:szCs w:val="36"/>
          <w:lang w:eastAsia="en-GB"/>
          <w14:ligatures w14:val="none"/>
        </w:rPr>
      </w:pPr>
      <w:r w:rsidRPr="008747D1">
        <w:rPr>
          <w:rFonts w:ascii="Arial" w:eastAsia="Aptos" w:hAnsi="Arial" w:cs="Arial"/>
          <w:b/>
          <w:bCs/>
          <w:color w:val="1D2125"/>
          <w:sz w:val="36"/>
          <w:szCs w:val="36"/>
          <w:lang w:eastAsia="en-GB"/>
          <w14:ligatures w14:val="none"/>
        </w:rPr>
        <w:t xml:space="preserve"> </w:t>
      </w:r>
    </w:p>
    <w:p w14:paraId="767FD81F" w14:textId="77777777" w:rsidR="008747D1" w:rsidRPr="008747D1" w:rsidRDefault="008747D1" w:rsidP="008747D1">
      <w:pPr>
        <w:spacing w:before="100" w:beforeAutospacing="1" w:line="360" w:lineRule="auto"/>
        <w:rPr>
          <w:rFonts w:ascii="Arial" w:eastAsia="Aptos" w:hAnsi="Arial" w:cs="Arial"/>
          <w:color w:val="1D2125"/>
          <w:sz w:val="32"/>
          <w:szCs w:val="32"/>
          <w:lang w:eastAsia="en-GB"/>
          <w14:ligatures w14:val="none"/>
        </w:rPr>
      </w:pPr>
      <w:r w:rsidRPr="008747D1">
        <w:rPr>
          <w:rFonts w:ascii="Arial" w:eastAsia="Aptos" w:hAnsi="Arial" w:cs="Arial"/>
          <w:b/>
          <w:bCs/>
          <w:color w:val="000000"/>
          <w:sz w:val="32"/>
          <w:szCs w:val="32"/>
          <w:lang w:eastAsia="en-GB"/>
          <w14:ligatures w14:val="none"/>
        </w:rPr>
        <w:t>Component 1: Written Report</w:t>
      </w:r>
    </w:p>
    <w:p w14:paraId="21930DBB" w14:textId="77777777" w:rsidR="008747D1" w:rsidRPr="008747D1" w:rsidRDefault="008747D1" w:rsidP="008747D1">
      <w:pPr>
        <w:spacing w:before="100" w:beforeAutospacing="1" w:line="360" w:lineRule="auto"/>
        <w:rPr>
          <w:rFonts w:ascii="Arial" w:eastAsia="Aptos" w:hAnsi="Arial" w:cs="Arial"/>
          <w:b/>
          <w:bCs/>
          <w:color w:val="1D2125"/>
          <w:sz w:val="32"/>
          <w:szCs w:val="32"/>
          <w:lang w:eastAsia="en-GB"/>
          <w14:ligatures w14:val="none"/>
        </w:rPr>
      </w:pPr>
      <w:r w:rsidRPr="008747D1">
        <w:rPr>
          <w:rFonts w:ascii="Arial" w:eastAsia="Aptos" w:hAnsi="Arial" w:cs="Arial"/>
          <w:b/>
          <w:bCs/>
          <w:color w:val="1D2125"/>
          <w:sz w:val="32"/>
          <w:szCs w:val="32"/>
          <w:lang w:eastAsia="en-GB"/>
          <w14:ligatures w14:val="none"/>
        </w:rPr>
        <w:t xml:space="preserve"> </w:t>
      </w:r>
    </w:p>
    <w:p w14:paraId="21828B23" w14:textId="77777777" w:rsidR="008747D1" w:rsidRPr="008747D1" w:rsidRDefault="008747D1" w:rsidP="008747D1">
      <w:pPr>
        <w:spacing w:before="100" w:beforeAutospacing="1" w:line="360" w:lineRule="auto"/>
        <w:rPr>
          <w:rFonts w:ascii="Arial" w:eastAsia="Aptos" w:hAnsi="Arial" w:cs="Arial"/>
          <w:b/>
          <w:bCs/>
          <w:color w:val="1D2125"/>
          <w:sz w:val="32"/>
          <w:szCs w:val="32"/>
          <w:lang w:eastAsia="en-GB"/>
          <w14:ligatures w14:val="none"/>
        </w:rPr>
      </w:pPr>
      <w:r w:rsidRPr="008747D1">
        <w:rPr>
          <w:rFonts w:ascii="Arial" w:eastAsia="Aptos" w:hAnsi="Arial" w:cs="Arial"/>
          <w:b/>
          <w:bCs/>
          <w:color w:val="1D2125"/>
          <w:sz w:val="32"/>
          <w:szCs w:val="32"/>
          <w:lang w:eastAsia="en-GB"/>
          <w14:ligatures w14:val="none"/>
        </w:rPr>
        <w:t>Student name: Marie Louise Audrey Sombo Niamie</w:t>
      </w:r>
    </w:p>
    <w:p w14:paraId="28208D24" w14:textId="30BD0A4D" w:rsidR="008747D1" w:rsidRPr="008747D1" w:rsidRDefault="008747D1" w:rsidP="008747D1">
      <w:pPr>
        <w:spacing w:before="100" w:beforeAutospacing="1" w:line="360" w:lineRule="auto"/>
        <w:rPr>
          <w:rFonts w:ascii="Arial" w:eastAsia="Aptos" w:hAnsi="Arial" w:cs="Arial"/>
          <w:b/>
          <w:bCs/>
          <w:color w:val="1D2125"/>
          <w:sz w:val="32"/>
          <w:szCs w:val="32"/>
          <w:lang w:eastAsia="en-GB"/>
          <w14:ligatures w14:val="none"/>
        </w:rPr>
      </w:pPr>
      <w:r w:rsidRPr="008747D1">
        <w:rPr>
          <w:rFonts w:ascii="Arial" w:eastAsia="Aptos" w:hAnsi="Arial" w:cs="Arial"/>
          <w:b/>
          <w:bCs/>
          <w:color w:val="1D2125"/>
          <w:sz w:val="32"/>
          <w:szCs w:val="32"/>
          <w:lang w:eastAsia="en-GB"/>
          <w14:ligatures w14:val="none"/>
        </w:rPr>
        <w:t>Student number:</w:t>
      </w:r>
      <w:r>
        <w:rPr>
          <w:rFonts w:ascii="Arial" w:eastAsia="Aptos" w:hAnsi="Arial" w:cs="Arial"/>
          <w:b/>
          <w:bCs/>
          <w:color w:val="1D2125"/>
          <w:sz w:val="32"/>
          <w:szCs w:val="32"/>
          <w:lang w:eastAsia="en-GB"/>
          <w14:ligatures w14:val="none"/>
        </w:rPr>
        <w:t xml:space="preserve"> </w:t>
      </w:r>
      <w:r w:rsidRPr="008747D1">
        <w:rPr>
          <w:rFonts w:ascii="Arial" w:eastAsia="Aptos" w:hAnsi="Arial" w:cs="Arial"/>
          <w:b/>
          <w:bCs/>
          <w:color w:val="1D2125"/>
          <w:sz w:val="32"/>
          <w:szCs w:val="32"/>
          <w:lang w:eastAsia="en-GB"/>
          <w14:ligatures w14:val="none"/>
        </w:rPr>
        <w:t>2335747</w:t>
      </w:r>
    </w:p>
    <w:p w14:paraId="03D3663D" w14:textId="201A6C64" w:rsidR="008747D1" w:rsidRPr="008747D1" w:rsidRDefault="008747D1" w:rsidP="008747D1">
      <w:pPr>
        <w:spacing w:before="100" w:beforeAutospacing="1" w:line="360" w:lineRule="auto"/>
        <w:rPr>
          <w:rFonts w:ascii="Arial" w:eastAsia="Aptos" w:hAnsi="Arial" w:cs="Arial"/>
          <w:b/>
          <w:bCs/>
          <w:color w:val="1D2125"/>
          <w:sz w:val="32"/>
          <w:szCs w:val="32"/>
          <w:lang w:eastAsia="en-GB"/>
          <w14:ligatures w14:val="none"/>
        </w:rPr>
      </w:pPr>
      <w:r w:rsidRPr="008747D1">
        <w:rPr>
          <w:rFonts w:ascii="Arial" w:eastAsia="Aptos" w:hAnsi="Arial" w:cs="Arial"/>
          <w:b/>
          <w:bCs/>
          <w:color w:val="1D2125"/>
          <w:sz w:val="32"/>
          <w:szCs w:val="32"/>
          <w:lang w:eastAsia="en-GB"/>
          <w14:ligatures w14:val="none"/>
        </w:rPr>
        <w:t>Lecturer’s name:</w:t>
      </w:r>
      <w:r>
        <w:rPr>
          <w:rFonts w:ascii="Arial" w:eastAsia="Aptos" w:hAnsi="Arial" w:cs="Arial"/>
          <w:b/>
          <w:bCs/>
          <w:color w:val="1D2125"/>
          <w:sz w:val="32"/>
          <w:szCs w:val="32"/>
          <w:lang w:eastAsia="en-GB"/>
          <w14:ligatures w14:val="none"/>
        </w:rPr>
        <w:t xml:space="preserve"> </w:t>
      </w:r>
      <w:r w:rsidRPr="008747D1">
        <w:rPr>
          <w:rFonts w:ascii="Arial" w:eastAsia="Aptos" w:hAnsi="Arial" w:cs="Arial"/>
          <w:b/>
          <w:bCs/>
          <w:color w:val="1D2125"/>
          <w:sz w:val="32"/>
          <w:szCs w:val="32"/>
          <w:lang w:eastAsia="en-GB"/>
          <w14:ligatures w14:val="none"/>
        </w:rPr>
        <w:t>Dr Ping Wu</w:t>
      </w:r>
    </w:p>
    <w:p w14:paraId="0B521E88" w14:textId="77777777" w:rsidR="008747D1" w:rsidRDefault="008747D1" w:rsidP="0034380C">
      <w:pPr>
        <w:jc w:val="center"/>
        <w:rPr>
          <w:rFonts w:ascii="Arial" w:hAnsi="Arial" w:cs="Arial"/>
          <w:b/>
          <w:bCs/>
        </w:rPr>
      </w:pPr>
    </w:p>
    <w:p w14:paraId="46CFEA7F" w14:textId="77777777" w:rsidR="008747D1" w:rsidRDefault="008747D1" w:rsidP="0034380C">
      <w:pPr>
        <w:jc w:val="center"/>
        <w:rPr>
          <w:rFonts w:ascii="Arial" w:hAnsi="Arial" w:cs="Arial"/>
          <w:b/>
          <w:bCs/>
        </w:rPr>
      </w:pPr>
    </w:p>
    <w:p w14:paraId="5E2E1683" w14:textId="77777777" w:rsidR="008747D1" w:rsidRDefault="008747D1" w:rsidP="0034380C">
      <w:pPr>
        <w:jc w:val="center"/>
        <w:rPr>
          <w:rFonts w:ascii="Arial" w:hAnsi="Arial" w:cs="Arial"/>
          <w:b/>
          <w:bCs/>
        </w:rPr>
      </w:pPr>
    </w:p>
    <w:p w14:paraId="2B3A3B64" w14:textId="77777777" w:rsidR="008747D1" w:rsidRDefault="008747D1" w:rsidP="0034380C">
      <w:pPr>
        <w:jc w:val="center"/>
        <w:rPr>
          <w:rFonts w:ascii="Arial" w:hAnsi="Arial" w:cs="Arial"/>
          <w:b/>
          <w:bCs/>
        </w:rPr>
      </w:pPr>
    </w:p>
    <w:p w14:paraId="0913161B" w14:textId="77777777" w:rsidR="008747D1" w:rsidRDefault="008747D1" w:rsidP="0034380C">
      <w:pPr>
        <w:jc w:val="center"/>
        <w:rPr>
          <w:rFonts w:ascii="Arial" w:hAnsi="Arial" w:cs="Arial"/>
          <w:b/>
          <w:bCs/>
        </w:rPr>
      </w:pPr>
    </w:p>
    <w:p w14:paraId="3BA970C0" w14:textId="7405441E" w:rsidR="0034380C" w:rsidRPr="0034380C" w:rsidRDefault="0034380C" w:rsidP="0034380C">
      <w:pPr>
        <w:jc w:val="center"/>
        <w:rPr>
          <w:rFonts w:ascii="Arial" w:hAnsi="Arial" w:cs="Arial"/>
          <w:b/>
          <w:bCs/>
        </w:rPr>
      </w:pPr>
      <w:r w:rsidRPr="0034380C">
        <w:rPr>
          <w:rFonts w:ascii="Arial" w:hAnsi="Arial" w:cs="Arial"/>
          <w:b/>
          <w:bCs/>
        </w:rPr>
        <w:t>Digital Innovation: Electronic Patient Records (EPRs)</w:t>
      </w:r>
    </w:p>
    <w:p w14:paraId="357E3763" w14:textId="79E0AF13" w:rsidR="009C5351" w:rsidRPr="0034380C" w:rsidRDefault="009C5351" w:rsidP="0034380C">
      <w:pPr>
        <w:jc w:val="both"/>
        <w:rPr>
          <w:rFonts w:ascii="Arial" w:hAnsi="Arial" w:cs="Arial"/>
          <w:b/>
          <w:bCs/>
        </w:rPr>
      </w:pPr>
      <w:r w:rsidRPr="0034380C">
        <w:rPr>
          <w:rFonts w:ascii="Arial" w:hAnsi="Arial" w:cs="Arial"/>
          <w:b/>
          <w:bCs/>
        </w:rPr>
        <w:t>Introduction</w:t>
      </w:r>
    </w:p>
    <w:p w14:paraId="461FAE1A" w14:textId="769A7C70" w:rsidR="009C5351" w:rsidRPr="0034380C" w:rsidRDefault="009C5351" w:rsidP="0034380C">
      <w:pPr>
        <w:jc w:val="both"/>
        <w:rPr>
          <w:rFonts w:ascii="Arial" w:hAnsi="Arial" w:cs="Arial"/>
        </w:rPr>
      </w:pPr>
      <w:r w:rsidRPr="0034380C">
        <w:rPr>
          <w:rFonts w:ascii="Arial" w:hAnsi="Arial" w:cs="Arial"/>
        </w:rPr>
        <w:t xml:space="preserve">Digital transformation refers to the increasing use of digital technologies to improve the delivery, management, and quality of healthcare services. Across health systems, digital tools are being adopted to address service pressures, improve communication, and support better patient outcomes. According to the Health Foundation (2023), digital innovation has become an important part of healthcare development, helping organisations respond more effectively to growing demands while maintaining quality and safety. Similarly, </w:t>
      </w:r>
      <w:proofErr w:type="spellStart"/>
      <w:r w:rsidRPr="0034380C">
        <w:rPr>
          <w:rFonts w:ascii="Arial" w:hAnsi="Arial" w:cs="Arial"/>
        </w:rPr>
        <w:t>Stoumpos</w:t>
      </w:r>
      <w:proofErr w:type="spellEnd"/>
      <w:r w:rsidRPr="0034380C">
        <w:rPr>
          <w:rFonts w:ascii="Arial" w:hAnsi="Arial" w:cs="Arial"/>
        </w:rPr>
        <w:t xml:space="preserve"> </w:t>
      </w:r>
      <w:proofErr w:type="gramStart"/>
      <w:r w:rsidRPr="0034380C">
        <w:rPr>
          <w:rFonts w:ascii="Arial" w:hAnsi="Arial" w:cs="Arial"/>
        </w:rPr>
        <w:t>et</w:t>
      </w:r>
      <w:r w:rsidR="00FF0659">
        <w:rPr>
          <w:rFonts w:ascii="Arial" w:hAnsi="Arial" w:cs="Arial"/>
        </w:rPr>
        <w:t xml:space="preserve"> </w:t>
      </w:r>
      <w:r w:rsidRPr="0034380C">
        <w:rPr>
          <w:rFonts w:ascii="Arial" w:hAnsi="Arial" w:cs="Arial"/>
        </w:rPr>
        <w:t>al.</w:t>
      </w:r>
      <w:r w:rsidR="00476F4F">
        <w:rPr>
          <w:rFonts w:ascii="Arial" w:hAnsi="Arial" w:cs="Arial"/>
        </w:rPr>
        <w:t>,</w:t>
      </w:r>
      <w:r w:rsidRPr="0034380C">
        <w:rPr>
          <w:rFonts w:ascii="Arial" w:hAnsi="Arial" w:cs="Arial"/>
        </w:rPr>
        <w:t>(</w:t>
      </w:r>
      <w:proofErr w:type="gramEnd"/>
      <w:r w:rsidRPr="0034380C">
        <w:rPr>
          <w:rFonts w:ascii="Arial" w:hAnsi="Arial" w:cs="Arial"/>
        </w:rPr>
        <w:t>2023) describe digital transformation in healthcare as the integration of digital technologies, internet-based systems, and innovative approaches to improve the management and delivery of care.</w:t>
      </w:r>
    </w:p>
    <w:p w14:paraId="4866ECD1" w14:textId="77777777" w:rsidR="009C5351" w:rsidRPr="0034380C" w:rsidRDefault="009C5351" w:rsidP="0034380C">
      <w:pPr>
        <w:jc w:val="both"/>
        <w:rPr>
          <w:rFonts w:ascii="Arial" w:hAnsi="Arial" w:cs="Arial"/>
        </w:rPr>
      </w:pPr>
      <w:r w:rsidRPr="0034380C">
        <w:rPr>
          <w:rFonts w:ascii="Arial" w:hAnsi="Arial" w:cs="Arial"/>
        </w:rPr>
        <w:t>Within the National Health Service (NHS), the implementation of Electronic Patient Records (EPRs) has become a key element of national digital policy (NHS,2025). The move from paper-based records to electronic systems represents one of the most significant developments in healthcare information management. As healthcare services become increasingly digitised, there is a growing need to evaluate the impact of these changes on healthcare organisations, professionals, and service users (European Commission, 2019).</w:t>
      </w:r>
    </w:p>
    <w:p w14:paraId="73244A8B" w14:textId="6708EF91" w:rsidR="009C5351" w:rsidRPr="0034380C" w:rsidRDefault="009C5351" w:rsidP="0034380C">
      <w:pPr>
        <w:jc w:val="both"/>
        <w:rPr>
          <w:rFonts w:ascii="Arial" w:hAnsi="Arial" w:cs="Arial"/>
        </w:rPr>
      </w:pPr>
      <w:r w:rsidRPr="0034380C">
        <w:rPr>
          <w:rFonts w:ascii="Arial" w:hAnsi="Arial" w:cs="Arial"/>
        </w:rPr>
        <w:t xml:space="preserve">Electronic Patient Records are secure digital systems that store a patient’s health information in a single electronic record. This information may include medical history, diagnoses, prescribed medications, allergies, laboratory results, imaging reports, and treatment plans (NHS England, 2022). By providing healthcare professionals with immediate access to accurate and up-to-date information, EPRs aim to improve patient safety, strengthen communication, and support more coordinated care. Over the past decade, the widespread adoption of EPRs across the NHS has been viewed as an important step towards improving healthcare quality and service </w:t>
      </w:r>
      <w:r w:rsidR="00035187" w:rsidRPr="0034380C">
        <w:rPr>
          <w:rFonts w:ascii="Arial" w:hAnsi="Arial" w:cs="Arial"/>
        </w:rPr>
        <w:t>efficiency. The</w:t>
      </w:r>
      <w:r w:rsidRPr="0034380C">
        <w:rPr>
          <w:rFonts w:ascii="Arial" w:hAnsi="Arial" w:cs="Arial"/>
        </w:rPr>
        <w:t xml:space="preserve"> effectiveness of EPRs therefore depends not only on the technology itself but also on how successfully it is implemented and embedded within healthcare practice</w:t>
      </w:r>
      <w:r w:rsidR="00035187">
        <w:rPr>
          <w:rFonts w:ascii="Arial" w:hAnsi="Arial" w:cs="Arial"/>
        </w:rPr>
        <w:t xml:space="preserve"> (Alomar et al.,2024</w:t>
      </w:r>
      <w:r w:rsidR="00344FC2">
        <w:rPr>
          <w:rFonts w:ascii="Arial" w:hAnsi="Arial" w:cs="Arial"/>
        </w:rPr>
        <w:t>; Maguire et al.,2018</w:t>
      </w:r>
      <w:r w:rsidR="00035187">
        <w:rPr>
          <w:rFonts w:ascii="Arial" w:hAnsi="Arial" w:cs="Arial"/>
        </w:rPr>
        <w:t>)</w:t>
      </w:r>
      <w:r w:rsidR="00344FC2">
        <w:rPr>
          <w:rFonts w:ascii="Arial" w:hAnsi="Arial" w:cs="Arial"/>
        </w:rPr>
        <w:t>.</w:t>
      </w:r>
    </w:p>
    <w:p w14:paraId="524CA71D" w14:textId="77777777" w:rsidR="009C5351" w:rsidRPr="0034380C" w:rsidRDefault="009C5351" w:rsidP="0034380C">
      <w:pPr>
        <w:jc w:val="both"/>
        <w:rPr>
          <w:rFonts w:ascii="Arial" w:hAnsi="Arial" w:cs="Arial"/>
        </w:rPr>
      </w:pPr>
      <w:r w:rsidRPr="0034380C">
        <w:rPr>
          <w:rFonts w:ascii="Arial" w:hAnsi="Arial" w:cs="Arial"/>
        </w:rPr>
        <w:t>This paper critically examines Electronic Patient Records as a key example of digital transformation within health and care services. It explores their impact on the workforce, service delivery, patients, and communities, while considering both the benefits and limitations associated with their implementation.</w:t>
      </w:r>
    </w:p>
    <w:p w14:paraId="40152A0A" w14:textId="77777777" w:rsidR="0034380C" w:rsidRDefault="0034380C" w:rsidP="0034380C">
      <w:pPr>
        <w:jc w:val="both"/>
        <w:rPr>
          <w:rFonts w:ascii="Arial" w:hAnsi="Arial" w:cs="Arial"/>
        </w:rPr>
      </w:pPr>
    </w:p>
    <w:p w14:paraId="292F2AEB" w14:textId="77777777" w:rsidR="00344FC2" w:rsidRDefault="00344FC2" w:rsidP="0034380C">
      <w:pPr>
        <w:jc w:val="both"/>
        <w:rPr>
          <w:rFonts w:ascii="Arial" w:hAnsi="Arial" w:cs="Arial"/>
        </w:rPr>
      </w:pPr>
    </w:p>
    <w:p w14:paraId="1B4379FE" w14:textId="77777777" w:rsidR="00344FC2" w:rsidRDefault="00344FC2" w:rsidP="0034380C">
      <w:pPr>
        <w:jc w:val="both"/>
        <w:rPr>
          <w:rFonts w:ascii="Arial" w:hAnsi="Arial" w:cs="Arial"/>
        </w:rPr>
      </w:pPr>
    </w:p>
    <w:p w14:paraId="45E0EE3A" w14:textId="77777777" w:rsidR="008747D1" w:rsidRDefault="008747D1" w:rsidP="0034380C">
      <w:pPr>
        <w:jc w:val="both"/>
        <w:rPr>
          <w:rFonts w:ascii="Arial" w:hAnsi="Arial" w:cs="Arial"/>
        </w:rPr>
      </w:pPr>
    </w:p>
    <w:p w14:paraId="7CB3A2D6" w14:textId="6805E9A3" w:rsidR="009C5351" w:rsidRPr="0034380C" w:rsidRDefault="009C5351" w:rsidP="0034380C">
      <w:pPr>
        <w:jc w:val="both"/>
        <w:rPr>
          <w:rFonts w:ascii="Arial" w:hAnsi="Arial" w:cs="Arial"/>
          <w:b/>
          <w:bCs/>
        </w:rPr>
      </w:pPr>
      <w:r w:rsidRPr="0034380C">
        <w:rPr>
          <w:rFonts w:ascii="Arial" w:hAnsi="Arial" w:cs="Arial"/>
          <w:b/>
          <w:bCs/>
        </w:rPr>
        <w:lastRenderedPageBreak/>
        <w:t>Impact on the Workforce</w:t>
      </w:r>
    </w:p>
    <w:p w14:paraId="127AE25B" w14:textId="77777777" w:rsidR="009C5351" w:rsidRPr="0034380C" w:rsidRDefault="009C5351" w:rsidP="0034380C">
      <w:pPr>
        <w:jc w:val="both"/>
        <w:rPr>
          <w:rFonts w:ascii="Arial" w:hAnsi="Arial" w:cs="Arial"/>
        </w:rPr>
      </w:pPr>
      <w:r w:rsidRPr="0034380C">
        <w:rPr>
          <w:rFonts w:ascii="Arial" w:hAnsi="Arial" w:cs="Arial"/>
        </w:rPr>
        <w:t>Electronic Patient Records (EPRs) have significantly influenced the healthcare workforce by changing professional roles, introducing new skill requirements, and altering how care is delivered across healthcare settings. As healthcare organisations continue to adopt digital systems, professionals are increasingly expected to combine clinical expertise with digital competence. The transition from paper-based records to electronic documentation requires healthcare workers to access, record, manage, and interpret patient information through digital platforms. Consequently, digital literacy has become an essential requirement for modern healthcare practice (Topol, 2019).</w:t>
      </w:r>
    </w:p>
    <w:p w14:paraId="0F4A8538" w14:textId="77777777" w:rsidR="009C5351" w:rsidRPr="0034380C" w:rsidRDefault="009C5351" w:rsidP="0034380C">
      <w:pPr>
        <w:jc w:val="both"/>
        <w:rPr>
          <w:rFonts w:ascii="Arial" w:hAnsi="Arial" w:cs="Arial"/>
        </w:rPr>
      </w:pPr>
      <w:r w:rsidRPr="0034380C">
        <w:rPr>
          <w:rFonts w:ascii="Arial" w:hAnsi="Arial" w:cs="Arial"/>
        </w:rPr>
        <w:t>One of the main advantages of EPR implementation is improved access to patient information. Healthcare professionals can retrieve clinical records more quickly, enabling informed decision-making and reducing delays in treatment. EPRs also support multidisciplinary working by allowing professionals from different services to access the same patient information, improving communication and care coordination. Provenzano et al. (2024) suggest that EPRs contribute to safer healthcare delivery by improving information sharing, reducing errors, and supporting collaboration among healthcare teams. As a result, nurses, doctors, pharmacists, and allied health professionals can make more informed decisions based on accurate and up-to-date clinical information (NHS England, 2022).</w:t>
      </w:r>
    </w:p>
    <w:p w14:paraId="38E565C0" w14:textId="77777777" w:rsidR="009C5351" w:rsidRPr="0034380C" w:rsidRDefault="009C5351" w:rsidP="0034380C">
      <w:pPr>
        <w:jc w:val="both"/>
        <w:rPr>
          <w:rFonts w:ascii="Arial" w:hAnsi="Arial" w:cs="Arial"/>
        </w:rPr>
      </w:pPr>
      <w:r w:rsidRPr="0034380C">
        <w:rPr>
          <w:rFonts w:ascii="Arial" w:hAnsi="Arial" w:cs="Arial"/>
        </w:rPr>
        <w:t>Digital transformation has also led to the development of new specialist roles within healthcare organisations. Positions such as clinical informaticians, digital programme managers, and EPR implementation specialists have emerged to support the planning, management, and optimisation of digital systems. These roles reflect the growing importance of technology within healthcare and demonstrate how workforce structures are evolving in response to digital change.</w:t>
      </w:r>
    </w:p>
    <w:p w14:paraId="537D3743" w14:textId="77777777" w:rsidR="009C5351" w:rsidRPr="0034380C" w:rsidRDefault="009C5351" w:rsidP="0034380C">
      <w:pPr>
        <w:jc w:val="both"/>
        <w:rPr>
          <w:rFonts w:ascii="Arial" w:hAnsi="Arial" w:cs="Arial"/>
        </w:rPr>
      </w:pPr>
      <w:r w:rsidRPr="0034380C">
        <w:rPr>
          <w:rFonts w:ascii="Arial" w:hAnsi="Arial" w:cs="Arial"/>
        </w:rPr>
        <w:t>Despite these benefits, the implementation of EPRs has presented several challenges for healthcare staff. Research suggests that electronic documentation can increase administrative demands, requiring clinicians to spend considerable time entering and updating patient information (</w:t>
      </w:r>
      <w:proofErr w:type="spellStart"/>
      <w:r w:rsidRPr="0034380C">
        <w:rPr>
          <w:rFonts w:ascii="Arial" w:hAnsi="Arial" w:cs="Arial"/>
        </w:rPr>
        <w:t>McAlearney</w:t>
      </w:r>
      <w:proofErr w:type="spellEnd"/>
      <w:r w:rsidRPr="0034380C">
        <w:rPr>
          <w:rFonts w:ascii="Arial" w:hAnsi="Arial" w:cs="Arial"/>
        </w:rPr>
        <w:t xml:space="preserve"> et al.,2020). While accurate documentation is essential for safe practice, increased screen time may reduce opportunities for direct patient interaction. </w:t>
      </w:r>
      <w:proofErr w:type="spellStart"/>
      <w:r w:rsidRPr="0034380C">
        <w:rPr>
          <w:rFonts w:ascii="Arial" w:hAnsi="Arial" w:cs="Arial"/>
        </w:rPr>
        <w:t>Stoumpos</w:t>
      </w:r>
      <w:proofErr w:type="spellEnd"/>
      <w:r w:rsidRPr="0034380C">
        <w:rPr>
          <w:rFonts w:ascii="Arial" w:hAnsi="Arial" w:cs="Arial"/>
        </w:rPr>
        <w:t xml:space="preserve"> et al. (2023) argue that excessive documentation requirements can contribute to workplace stress, workload pressures, and professional burnout. Consequently, some healthcare professionals may perceive EPRs as increasing rather than reducing workload.</w:t>
      </w:r>
    </w:p>
    <w:p w14:paraId="05BDEE3E" w14:textId="77777777" w:rsidR="009C5351" w:rsidRPr="0034380C" w:rsidRDefault="009C5351" w:rsidP="0034380C">
      <w:pPr>
        <w:jc w:val="both"/>
        <w:rPr>
          <w:rFonts w:ascii="Arial" w:hAnsi="Arial" w:cs="Arial"/>
        </w:rPr>
      </w:pPr>
      <w:r w:rsidRPr="0034380C">
        <w:rPr>
          <w:rFonts w:ascii="Arial" w:hAnsi="Arial" w:cs="Arial"/>
        </w:rPr>
        <w:t>Another challenge relates to the quality and integration of digital systems. Where EPR systems are not fully interoperable, staff may need to duplicate information across different platforms, reducing efficiency and creating frustration. Cresswell et al. (2020) highlight that poor interoperability can result in fragmented workflows and limit the benefits associated with digital transformation. This demonstrates that technology alone cannot improve healthcare outcomes without effective organisational support and system design.</w:t>
      </w:r>
    </w:p>
    <w:p w14:paraId="3A26B606" w14:textId="66B6F943" w:rsidR="009C5351" w:rsidRPr="0034380C" w:rsidRDefault="009C5351" w:rsidP="0034380C">
      <w:pPr>
        <w:jc w:val="both"/>
        <w:rPr>
          <w:rFonts w:ascii="Arial" w:hAnsi="Arial" w:cs="Arial"/>
        </w:rPr>
      </w:pPr>
      <w:r w:rsidRPr="0034380C">
        <w:rPr>
          <w:rFonts w:ascii="Arial" w:hAnsi="Arial" w:cs="Arial"/>
        </w:rPr>
        <w:lastRenderedPageBreak/>
        <w:t xml:space="preserve">The NHS Long Term Plan recognises that workforce development is essential for successful digital transformation (NHS England, 2019). Healthcare professionals require ongoing training, supervision, and support to use digital systems confidently and effectively. </w:t>
      </w:r>
      <w:proofErr w:type="spellStart"/>
      <w:r w:rsidRPr="0034380C">
        <w:rPr>
          <w:rFonts w:ascii="Arial" w:hAnsi="Arial" w:cs="Arial"/>
        </w:rPr>
        <w:t>Heponiemi</w:t>
      </w:r>
      <w:proofErr w:type="spellEnd"/>
      <w:r w:rsidRPr="0034380C">
        <w:rPr>
          <w:rFonts w:ascii="Arial" w:hAnsi="Arial" w:cs="Arial"/>
        </w:rPr>
        <w:t xml:space="preserve"> et al. (2021) found that insufficient training can negatively affect staff wellbeing and confidence when using electronic systems. Therefore, healthcare organisations must continue to invest in staff development, leadership, and user-centred system design to ensure that EPRs support both workforce wellbeing and high-quality patient care. Ultimately, the impact of EPRs on the workforce depends not only on technological capability but also on the extent to which healthcare professionals are supported throughout the </w:t>
      </w:r>
      <w:r w:rsidR="0034380C">
        <w:rPr>
          <w:rFonts w:ascii="Arial" w:hAnsi="Arial" w:cs="Arial"/>
        </w:rPr>
        <w:t>digital change process</w:t>
      </w:r>
      <w:r w:rsidRPr="0034380C">
        <w:rPr>
          <w:rFonts w:ascii="Arial" w:hAnsi="Arial" w:cs="Arial"/>
        </w:rPr>
        <w:t>.</w:t>
      </w:r>
    </w:p>
    <w:p w14:paraId="4C78ECA7" w14:textId="77777777" w:rsidR="009C5351" w:rsidRPr="0034380C" w:rsidRDefault="009C5351" w:rsidP="0034380C">
      <w:pPr>
        <w:jc w:val="both"/>
        <w:rPr>
          <w:rFonts w:ascii="Arial" w:hAnsi="Arial" w:cs="Arial"/>
          <w:b/>
          <w:bCs/>
        </w:rPr>
      </w:pPr>
      <w:r w:rsidRPr="0034380C">
        <w:rPr>
          <w:rFonts w:ascii="Arial" w:hAnsi="Arial" w:cs="Arial"/>
          <w:b/>
          <w:bCs/>
        </w:rPr>
        <w:t>Impact on Service Delivery</w:t>
      </w:r>
    </w:p>
    <w:p w14:paraId="561B9DB4" w14:textId="23DF47BE" w:rsidR="009C5351" w:rsidRPr="0034380C" w:rsidRDefault="009C5351" w:rsidP="0034380C">
      <w:pPr>
        <w:jc w:val="both"/>
        <w:rPr>
          <w:rFonts w:ascii="Arial" w:hAnsi="Arial" w:cs="Arial"/>
        </w:rPr>
      </w:pPr>
      <w:r w:rsidRPr="0034380C">
        <w:rPr>
          <w:rFonts w:ascii="Arial" w:hAnsi="Arial" w:cs="Arial"/>
        </w:rPr>
        <w:t xml:space="preserve">Electronic Patient Records (EPRs) have transformed service delivery across the NHS by improving access to information, supporting communication between healthcare professionals, and enhancing the continuity of care. </w:t>
      </w:r>
      <w:r w:rsidR="0034380C">
        <w:rPr>
          <w:rFonts w:ascii="Arial" w:hAnsi="Arial" w:cs="Arial"/>
        </w:rPr>
        <w:t>Replacing</w:t>
      </w:r>
      <w:r w:rsidRPr="0034380C">
        <w:rPr>
          <w:rFonts w:ascii="Arial" w:hAnsi="Arial" w:cs="Arial"/>
        </w:rPr>
        <w:t xml:space="preserve"> paper records with digital systems enables healthcare staff to access patient information in real time, regardless of location. This allows professionals to make more timely and informed decisions, contributing to safer and more effective healthcare delivery. NHS England (2022) highlights that EPRs reduce the risk of prescribing errors, minimise unnecessary duplication of investigations, and support more accurate clinical decision-making.</w:t>
      </w:r>
    </w:p>
    <w:p w14:paraId="07730733" w14:textId="65447DCF" w:rsidR="009C5351" w:rsidRPr="0034380C" w:rsidRDefault="009C5351" w:rsidP="0034380C">
      <w:pPr>
        <w:jc w:val="both"/>
        <w:rPr>
          <w:rFonts w:ascii="Arial" w:hAnsi="Arial" w:cs="Arial"/>
        </w:rPr>
      </w:pPr>
      <w:r w:rsidRPr="0034380C">
        <w:rPr>
          <w:rFonts w:ascii="Arial" w:hAnsi="Arial" w:cs="Arial"/>
        </w:rPr>
        <w:t>A key benefit of EPRs is their ability to improve coordination between healthcare services. Modern healthcare often involves multiple professionals working across primary care, hospitals, community services, and specialist settings. Digital records allow these professionals to access the same information, supporting a more integrated approach to care. The NHS Long Term Plan identifies digital transformation as an important mechanism for improving service quality and delivering person-centred care through better collaboration across organisations (NHS England, 2019, DHSC,2022). By facilitating information sharing, EPRs help ensure that treatment decisions are based on complete and current patient information.</w:t>
      </w:r>
    </w:p>
    <w:p w14:paraId="62E7DD75" w14:textId="77777777" w:rsidR="009C5351" w:rsidRPr="0034380C" w:rsidRDefault="009C5351" w:rsidP="0034380C">
      <w:pPr>
        <w:jc w:val="both"/>
        <w:rPr>
          <w:rFonts w:ascii="Arial" w:hAnsi="Arial" w:cs="Arial"/>
        </w:rPr>
      </w:pPr>
      <w:r w:rsidRPr="0034380C">
        <w:rPr>
          <w:rFonts w:ascii="Arial" w:hAnsi="Arial" w:cs="Arial"/>
        </w:rPr>
        <w:t>Despite these benefits, the impact of EPRs on service delivery has not been consistent across all NHS organisations. One of the main challenges is the variation in digital maturity between healthcare providers. While many organisations have implemented EPR systems, the ability of these systems to communicate effectively remains limited in some areas. NHS England (2023) identifies interoperability as a continuing challenge, with some organisations experiencing difficulties in sharing information across different services. According to Cresswell et al. (2020), poor interoperability can result in fragmented communication, duplication of work, and reduced operational efficiency.</w:t>
      </w:r>
    </w:p>
    <w:p w14:paraId="7427B89A" w14:textId="77777777" w:rsidR="009C5351" w:rsidRPr="0034380C" w:rsidRDefault="009C5351" w:rsidP="0034380C">
      <w:pPr>
        <w:jc w:val="both"/>
        <w:rPr>
          <w:rFonts w:ascii="Arial" w:hAnsi="Arial" w:cs="Arial"/>
        </w:rPr>
      </w:pPr>
      <w:r w:rsidRPr="0034380C">
        <w:rPr>
          <w:rFonts w:ascii="Arial" w:hAnsi="Arial" w:cs="Arial"/>
        </w:rPr>
        <w:t xml:space="preserve">The introduction of EPRs has also increased documentation requirements for some healthcare professionals. Although comprehensive records support patient safety, extensive electronic documentation can reduce the time available for direct patient </w:t>
      </w:r>
      <w:r w:rsidRPr="0034380C">
        <w:rPr>
          <w:rFonts w:ascii="Arial" w:hAnsi="Arial" w:cs="Arial"/>
        </w:rPr>
        <w:lastRenderedPageBreak/>
        <w:t xml:space="preserve">care. Provenzano et al. (2024) suggest that increased administrative responsibilities may affect productivity and contribute to staff dissatisfaction. Similarly, </w:t>
      </w:r>
      <w:proofErr w:type="spellStart"/>
      <w:r w:rsidRPr="0034380C">
        <w:rPr>
          <w:rFonts w:ascii="Arial" w:hAnsi="Arial" w:cs="Arial"/>
        </w:rPr>
        <w:t>McAlearney</w:t>
      </w:r>
      <w:proofErr w:type="spellEnd"/>
      <w:r w:rsidRPr="0034380C">
        <w:rPr>
          <w:rFonts w:ascii="Arial" w:hAnsi="Arial" w:cs="Arial"/>
        </w:rPr>
        <w:t xml:space="preserve"> et al. (2020) argue that the implementation of new digital systems can disrupt established workflows and create resistance among staff, particularly when adequate support is not provided.</w:t>
      </w:r>
    </w:p>
    <w:p w14:paraId="11FA4C29" w14:textId="6545B91E" w:rsidR="009C5351" w:rsidRPr="0034380C" w:rsidRDefault="009C5351" w:rsidP="0034380C">
      <w:pPr>
        <w:jc w:val="both"/>
        <w:rPr>
          <w:rFonts w:ascii="Arial" w:hAnsi="Arial" w:cs="Arial"/>
        </w:rPr>
      </w:pPr>
      <w:r w:rsidRPr="0034380C">
        <w:rPr>
          <w:rFonts w:ascii="Arial" w:hAnsi="Arial" w:cs="Arial"/>
        </w:rPr>
        <w:t>The successful use of EPRs therefore depends on more than technological investment alone. Wachter (2016) argues that digital transformation should be viewed as organisational change rather than simply the introduction of new technology. Effective leadership, staff engagement, and ongoing investment are necessary to ensure that digital systems achieve their intended outcomes. This view is supported by the Topol Review, which emphasises the importance of workforce readiness and digital skills development in supporting service improvement (Health Education England, 2019). Consequently, while EPRs have strengthened service delivery through improved communication, information sharing, and patient safety, challenges relating to interoperability, implementation, and workforce pressures continue to influence their overall effectiveness.</w:t>
      </w:r>
    </w:p>
    <w:p w14:paraId="627650CE" w14:textId="77777777" w:rsidR="009C5351" w:rsidRPr="0034380C" w:rsidRDefault="009C5351" w:rsidP="0034380C">
      <w:pPr>
        <w:jc w:val="both"/>
        <w:rPr>
          <w:rFonts w:ascii="Arial" w:hAnsi="Arial" w:cs="Arial"/>
          <w:b/>
          <w:bCs/>
        </w:rPr>
      </w:pPr>
      <w:r w:rsidRPr="0034380C">
        <w:rPr>
          <w:rFonts w:ascii="Arial" w:hAnsi="Arial" w:cs="Arial"/>
          <w:b/>
          <w:bCs/>
        </w:rPr>
        <w:t>Impact on Patients</w:t>
      </w:r>
    </w:p>
    <w:p w14:paraId="7006E48C" w14:textId="7AF52B74" w:rsidR="009C5351" w:rsidRPr="0034380C" w:rsidRDefault="00035187" w:rsidP="0034380C">
      <w:pPr>
        <w:jc w:val="both"/>
        <w:rPr>
          <w:rFonts w:ascii="Arial" w:hAnsi="Arial" w:cs="Arial"/>
        </w:rPr>
      </w:pPr>
      <w:r w:rsidRPr="0034380C">
        <w:rPr>
          <w:rFonts w:ascii="Arial" w:hAnsi="Arial" w:cs="Arial"/>
        </w:rPr>
        <w:t>Using</w:t>
      </w:r>
      <w:r w:rsidR="009C5351" w:rsidRPr="0034380C">
        <w:rPr>
          <w:rFonts w:ascii="Arial" w:hAnsi="Arial" w:cs="Arial"/>
        </w:rPr>
        <w:t xml:space="preserve"> integrated digital systems, healthcare professionals can access accurate and up-to-date patient information when making clinical decisions. This reduces the likelihood of medication errors, unnecessary duplication of tests, and delays in treatment. NHS England (2022) states that access to comprehensive patient records supports safer care and enables healthcare professionals to respond more effectively to patient needs.</w:t>
      </w:r>
    </w:p>
    <w:p w14:paraId="537AB669" w14:textId="2CB319F3" w:rsidR="009C5351" w:rsidRPr="0034380C" w:rsidRDefault="009C5351" w:rsidP="0034380C">
      <w:pPr>
        <w:jc w:val="both"/>
        <w:rPr>
          <w:rFonts w:ascii="Arial" w:hAnsi="Arial" w:cs="Arial"/>
        </w:rPr>
      </w:pPr>
      <w:r w:rsidRPr="0034380C">
        <w:rPr>
          <w:rFonts w:ascii="Arial" w:hAnsi="Arial" w:cs="Arial"/>
        </w:rPr>
        <w:t>One of the most important benefits of EPRs is the improvement in continuity of care. Patients often receive support from a range of healthcare providers across primary care, hospitals, community services, and specialist settings. This is particularly beneficial for individuals living with long-term conditions or complex healthcare needs, as treatment decisions can be based on a complete understanding of their medical history. The NHS Long Term Plan identifies integrated digital records as an important component of delivering person-centred and coordinated care (NHS England, 2019).</w:t>
      </w:r>
    </w:p>
    <w:p w14:paraId="25B4B52F" w14:textId="32E595DD" w:rsidR="009C5351" w:rsidRPr="0034380C" w:rsidRDefault="009C5351" w:rsidP="0034380C">
      <w:pPr>
        <w:jc w:val="both"/>
        <w:rPr>
          <w:rFonts w:ascii="Arial" w:hAnsi="Arial" w:cs="Arial"/>
        </w:rPr>
      </w:pPr>
      <w:r w:rsidRPr="0034380C">
        <w:rPr>
          <w:rFonts w:ascii="Arial" w:hAnsi="Arial" w:cs="Arial"/>
        </w:rPr>
        <w:t>EPRs have also increased opportunities for patient involvement in healthcare. This can encourage greater understanding of health conditions and promote shared decision-making. The Department of Health and Social Care (2022) suggests that digital technologies can empower individuals by improving access to health information and strengthening communication between patients and professionals. Similarly, the Health Foundation (2023) argues that digital innovation can improve patient experience by making healthcare services more convenient and accessible.</w:t>
      </w:r>
    </w:p>
    <w:p w14:paraId="20979A27" w14:textId="1BAC0FC4" w:rsidR="009C5351" w:rsidRPr="0034380C" w:rsidRDefault="009C5351" w:rsidP="0034380C">
      <w:pPr>
        <w:jc w:val="both"/>
        <w:rPr>
          <w:rFonts w:ascii="Arial" w:hAnsi="Arial" w:cs="Arial"/>
        </w:rPr>
      </w:pPr>
      <w:r w:rsidRPr="0034380C">
        <w:rPr>
          <w:rFonts w:ascii="Arial" w:hAnsi="Arial" w:cs="Arial"/>
        </w:rPr>
        <w:t xml:space="preserve">The National Audit Office (2018) highlighted vulnerabilities within NHS digital infrastructure following the WannaCry cyberattack, which disrupted services across the healthcare system. Such incidents demonstrate the importance of maintaining </w:t>
      </w:r>
      <w:r w:rsidRPr="0034380C">
        <w:rPr>
          <w:rFonts w:ascii="Arial" w:hAnsi="Arial" w:cs="Arial"/>
        </w:rPr>
        <w:lastRenderedPageBreak/>
        <w:t>strong cybersecurity measures and effective information governance to protect patient data.</w:t>
      </w:r>
    </w:p>
    <w:p w14:paraId="730187FB" w14:textId="77777777" w:rsidR="009C5351" w:rsidRPr="0034380C" w:rsidRDefault="009C5351" w:rsidP="0034380C">
      <w:pPr>
        <w:jc w:val="both"/>
        <w:rPr>
          <w:rFonts w:ascii="Arial" w:hAnsi="Arial" w:cs="Arial"/>
        </w:rPr>
      </w:pPr>
      <w:r w:rsidRPr="0034380C">
        <w:rPr>
          <w:rFonts w:ascii="Arial" w:hAnsi="Arial" w:cs="Arial"/>
        </w:rPr>
        <w:t>Another challenge relates to inconsistencies in digital systems across healthcare organisations. NHS England (2023) acknowledges that variations in digital maturity continue to affect the quality of information sharing. Cresswell et al. (2020) argue that limited interoperability between EPR systems can contribute to fragmented care, communication difficulties, and avoidable clinical risks. Where information cannot be shared effectively, patients may not experience the full benefits of integrated healthcare.</w:t>
      </w:r>
    </w:p>
    <w:p w14:paraId="6E5C22D3" w14:textId="234736BD" w:rsidR="0034380C" w:rsidRPr="00F516AD" w:rsidRDefault="009C5351" w:rsidP="0034380C">
      <w:pPr>
        <w:jc w:val="both"/>
        <w:rPr>
          <w:rFonts w:ascii="Arial" w:hAnsi="Arial" w:cs="Arial"/>
        </w:rPr>
      </w:pPr>
      <w:r w:rsidRPr="0034380C">
        <w:rPr>
          <w:rFonts w:ascii="Arial" w:hAnsi="Arial" w:cs="Arial"/>
        </w:rPr>
        <w:t>There is also concern that digital transformation may widen existing health inequalities. While many patients benefit from digital access, some groups may face barriers to engagement. Older adults, individuals with limited digital skills, and socially disadvantaged populations may find it more difficult to access electronic services or understand digital health information. The Health Foundation (2023) highlights the risk that digital exclusion could reduce access to healthcare and increase inequalities. Wachter (2016) argues that digital transformation should prioritise improvements in patient care rather than focusing solely on technology. Therefore, although EPRs have enhanced patient safety, engagement, and continuity of care, their long-term success depends on improving digital inclusion, strengthening cybersecurity, and ensuring equal access to digital healthcare services for all patients.</w:t>
      </w:r>
    </w:p>
    <w:p w14:paraId="2DD50DDD" w14:textId="27E74559" w:rsidR="0034380C" w:rsidRPr="0034380C" w:rsidRDefault="0034380C" w:rsidP="0034380C">
      <w:pPr>
        <w:jc w:val="both"/>
        <w:rPr>
          <w:rFonts w:ascii="Arial" w:hAnsi="Arial" w:cs="Arial"/>
          <w:b/>
          <w:bCs/>
        </w:rPr>
      </w:pPr>
      <w:r w:rsidRPr="0034380C">
        <w:rPr>
          <w:rFonts w:ascii="Arial" w:hAnsi="Arial" w:cs="Arial"/>
          <w:b/>
          <w:bCs/>
        </w:rPr>
        <w:t>Impact on Community</w:t>
      </w:r>
    </w:p>
    <w:p w14:paraId="6181A848" w14:textId="77777777" w:rsidR="0034380C" w:rsidRPr="0034380C" w:rsidRDefault="0034380C" w:rsidP="0034380C">
      <w:pPr>
        <w:jc w:val="both"/>
        <w:rPr>
          <w:rFonts w:ascii="Arial" w:hAnsi="Arial" w:cs="Arial"/>
        </w:rPr>
      </w:pPr>
      <w:r w:rsidRPr="0034380C">
        <w:rPr>
          <w:rFonts w:ascii="Arial" w:hAnsi="Arial" w:cs="Arial"/>
        </w:rPr>
        <w:t>Electronic Patient Records (EPRs) have influenced community healthcare by improving communication, coordination, and information sharing between services. Community-based healthcare often involves collaboration between hospitals, general practitioners, community nursing teams, mental health services, pharmacies, and social care organisations. EPRs support this collaborative approach by enabling professionals to access and update patient information through a shared digital system.</w:t>
      </w:r>
    </w:p>
    <w:p w14:paraId="4621B98F" w14:textId="77777777" w:rsidR="0034380C" w:rsidRPr="0034380C" w:rsidRDefault="0034380C" w:rsidP="0034380C">
      <w:pPr>
        <w:jc w:val="both"/>
        <w:rPr>
          <w:rFonts w:ascii="Arial" w:hAnsi="Arial" w:cs="Arial"/>
        </w:rPr>
      </w:pPr>
      <w:r w:rsidRPr="0034380C">
        <w:rPr>
          <w:rFonts w:ascii="Arial" w:hAnsi="Arial" w:cs="Arial"/>
        </w:rPr>
        <w:t>The NHS has identified digital transformation as an important factor in shifting healthcare delivery from hospital-based services towards more community-focused care (NHS,2025). Through real-time access to patient information, healthcare professionals can coordinate care more effectively and respond to changing needs in a timely manner. NHS England (2022) suggests that integrated digital records improve continuity of care, reduce duplication of services, and support earlier intervention for individuals with long-term conditions. These benefits contribute to a more efficient and person-centred approach to community healthcare.</w:t>
      </w:r>
    </w:p>
    <w:p w14:paraId="16D86FE7" w14:textId="77777777" w:rsidR="0034380C" w:rsidRPr="0034380C" w:rsidRDefault="0034380C" w:rsidP="0034380C">
      <w:pPr>
        <w:jc w:val="both"/>
        <w:rPr>
          <w:rFonts w:ascii="Arial" w:hAnsi="Arial" w:cs="Arial"/>
        </w:rPr>
      </w:pPr>
      <w:r w:rsidRPr="0034380C">
        <w:rPr>
          <w:rFonts w:ascii="Arial" w:hAnsi="Arial" w:cs="Arial"/>
        </w:rPr>
        <w:t xml:space="preserve">EPRs also support greater involvement of patients and carers in care planning. Access to electronic records can help individuals better understand their health conditions and treatment plans, while carers may be able to support decision-making and coordinate care more effectively (Department of Health and Social Care, 2022). In addition, </w:t>
      </w:r>
      <w:r w:rsidRPr="0034380C">
        <w:rPr>
          <w:rFonts w:ascii="Arial" w:hAnsi="Arial" w:cs="Arial"/>
        </w:rPr>
        <w:lastRenderedPageBreak/>
        <w:t>information generated through EPR systems can support public health planning by identifying population health trends, monitoring service demand, and informing resource allocation (Health Foundation, 2023).</w:t>
      </w:r>
    </w:p>
    <w:p w14:paraId="5DCB89B6" w14:textId="61F3E930" w:rsidR="0034380C" w:rsidRPr="0034380C" w:rsidRDefault="0034380C" w:rsidP="0034380C">
      <w:pPr>
        <w:jc w:val="both"/>
        <w:rPr>
          <w:rFonts w:ascii="Arial" w:hAnsi="Arial" w:cs="Arial"/>
        </w:rPr>
      </w:pPr>
      <w:r w:rsidRPr="0034380C">
        <w:rPr>
          <w:rFonts w:ascii="Arial" w:hAnsi="Arial" w:cs="Arial"/>
        </w:rPr>
        <w:t>Despite these advantages, challenges remain. Digital exclusion continues to affect some groups, particularly older adults and individuals with limited access to technology (Health Foundation, 2023). Interoperability issues between health and social care systems can also restrict information sharing and reduce service efficiency (Cresswell et al., 2020; NHS England, 2023). Furthermore, concerns regarding cybersecurity and data protection may affect public confidence in digital healthcare systems (National Audit Office, 2018). Addressing these challenges is essential if EPRs are to achieve their full potential in supporting integrated, accessible, and community-focused healthcare.</w:t>
      </w:r>
    </w:p>
    <w:p w14:paraId="0A0986B4" w14:textId="77777777" w:rsidR="0034380C" w:rsidRPr="0034380C" w:rsidRDefault="0034380C" w:rsidP="0034380C">
      <w:pPr>
        <w:jc w:val="both"/>
        <w:rPr>
          <w:rFonts w:ascii="Arial" w:hAnsi="Arial" w:cs="Arial"/>
          <w:b/>
          <w:bCs/>
        </w:rPr>
      </w:pPr>
      <w:r w:rsidRPr="0034380C">
        <w:rPr>
          <w:rFonts w:ascii="Arial" w:hAnsi="Arial" w:cs="Arial"/>
          <w:b/>
          <w:bCs/>
        </w:rPr>
        <w:t>Conclusion</w:t>
      </w:r>
    </w:p>
    <w:p w14:paraId="2A816835" w14:textId="77777777" w:rsidR="0034380C" w:rsidRDefault="0034380C" w:rsidP="0034380C">
      <w:pPr>
        <w:jc w:val="both"/>
        <w:rPr>
          <w:rFonts w:ascii="Arial" w:hAnsi="Arial" w:cs="Arial"/>
        </w:rPr>
      </w:pPr>
      <w:r w:rsidRPr="0034380C">
        <w:rPr>
          <w:rFonts w:ascii="Arial" w:hAnsi="Arial" w:cs="Arial"/>
        </w:rPr>
        <w:t>Electronic Patient Records (EPRs) represent a significant development in the digital transformation of healthcare. Their implementation has improved access to patient information, strengthened communication between healthcare professionals, and supported safer, more coordinated care. EPRs have influenced workforce practices by increasing the need for digital skills and ongoing professional development. They have also enhanced service delivery through improved information sharing and more efficient care processes. For patients, EPRs have contributed to greater safety, continuity of care, and opportunities for involvement in decision-making. Within communities, they have supported integrated working and improved coordination across healthcare services. However, challenges relating to interoperability, workforce pressures, cybersecurity, and digital exclusion continue to affect their effectiveness. To maximise the benefits of EPRs, healthcare organisations must maintain investment in digital infrastructure, workforce training, information governance, and inclusive access to technology. Addressing these issues will be essential to ensuring that digital transformation continues to improve healthcare quality and patient outcomes.</w:t>
      </w:r>
    </w:p>
    <w:p w14:paraId="569711BB" w14:textId="77777777" w:rsidR="00035187" w:rsidRDefault="00035187" w:rsidP="0034380C">
      <w:pPr>
        <w:jc w:val="both"/>
        <w:rPr>
          <w:rFonts w:ascii="Arial" w:hAnsi="Arial" w:cs="Arial"/>
        </w:rPr>
      </w:pPr>
    </w:p>
    <w:p w14:paraId="3DF351D8" w14:textId="77777777" w:rsidR="00035187" w:rsidRDefault="00035187" w:rsidP="0034380C">
      <w:pPr>
        <w:jc w:val="both"/>
        <w:rPr>
          <w:rFonts w:ascii="Arial" w:hAnsi="Arial" w:cs="Arial"/>
        </w:rPr>
      </w:pPr>
    </w:p>
    <w:p w14:paraId="6412B75F" w14:textId="77777777" w:rsidR="00035187" w:rsidRDefault="00035187" w:rsidP="0034380C">
      <w:pPr>
        <w:jc w:val="both"/>
        <w:rPr>
          <w:rFonts w:ascii="Arial" w:hAnsi="Arial" w:cs="Arial"/>
        </w:rPr>
      </w:pPr>
    </w:p>
    <w:p w14:paraId="6B3D7F19" w14:textId="77777777" w:rsidR="00035187" w:rsidRDefault="00035187" w:rsidP="0034380C">
      <w:pPr>
        <w:jc w:val="both"/>
        <w:rPr>
          <w:rFonts w:ascii="Arial" w:hAnsi="Arial" w:cs="Arial"/>
        </w:rPr>
      </w:pPr>
    </w:p>
    <w:p w14:paraId="204B5CE3" w14:textId="77777777" w:rsidR="00F516AD" w:rsidRDefault="00F516AD" w:rsidP="0034380C">
      <w:pPr>
        <w:jc w:val="both"/>
        <w:rPr>
          <w:rFonts w:ascii="Arial" w:hAnsi="Arial" w:cs="Arial"/>
        </w:rPr>
      </w:pPr>
    </w:p>
    <w:p w14:paraId="1F15BDAE" w14:textId="77777777" w:rsidR="008747D1" w:rsidRDefault="008747D1" w:rsidP="0034380C">
      <w:pPr>
        <w:jc w:val="both"/>
        <w:rPr>
          <w:rFonts w:ascii="Arial" w:hAnsi="Arial" w:cs="Arial"/>
        </w:rPr>
      </w:pPr>
    </w:p>
    <w:p w14:paraId="242038B3" w14:textId="77777777" w:rsidR="008747D1" w:rsidRDefault="008747D1" w:rsidP="0034380C">
      <w:pPr>
        <w:jc w:val="both"/>
        <w:rPr>
          <w:rFonts w:ascii="Arial" w:hAnsi="Arial" w:cs="Arial"/>
          <w:b/>
          <w:bCs/>
        </w:rPr>
      </w:pPr>
    </w:p>
    <w:p w14:paraId="44E70DD4" w14:textId="77777777" w:rsidR="008747D1" w:rsidRDefault="008747D1" w:rsidP="0034380C">
      <w:pPr>
        <w:jc w:val="both"/>
        <w:rPr>
          <w:rFonts w:ascii="Arial" w:hAnsi="Arial" w:cs="Arial"/>
          <w:b/>
          <w:bCs/>
        </w:rPr>
      </w:pPr>
    </w:p>
    <w:p w14:paraId="7B355117" w14:textId="77777777" w:rsidR="008747D1" w:rsidRDefault="008747D1" w:rsidP="0034380C">
      <w:pPr>
        <w:jc w:val="both"/>
        <w:rPr>
          <w:rFonts w:ascii="Arial" w:hAnsi="Arial" w:cs="Arial"/>
          <w:b/>
          <w:bCs/>
        </w:rPr>
      </w:pPr>
    </w:p>
    <w:p w14:paraId="698DDC1C" w14:textId="6F0A5A41" w:rsidR="0034380C" w:rsidRPr="0034380C" w:rsidRDefault="0034380C" w:rsidP="0034380C">
      <w:pPr>
        <w:jc w:val="both"/>
        <w:rPr>
          <w:rFonts w:ascii="Arial" w:hAnsi="Arial" w:cs="Arial"/>
          <w:b/>
          <w:bCs/>
        </w:rPr>
      </w:pPr>
      <w:r w:rsidRPr="0034380C">
        <w:rPr>
          <w:rFonts w:ascii="Arial" w:hAnsi="Arial" w:cs="Arial"/>
          <w:b/>
          <w:bCs/>
        </w:rPr>
        <w:lastRenderedPageBreak/>
        <w:t>References</w:t>
      </w:r>
    </w:p>
    <w:p w14:paraId="1197612A" w14:textId="77777777" w:rsidR="00344FC2" w:rsidRPr="0034380C" w:rsidRDefault="00344FC2" w:rsidP="0034380C">
      <w:pPr>
        <w:jc w:val="both"/>
        <w:rPr>
          <w:rFonts w:ascii="Arial" w:hAnsi="Arial" w:cs="Arial"/>
        </w:rPr>
      </w:pPr>
    </w:p>
    <w:p w14:paraId="77774073" w14:textId="581476A8" w:rsidR="00344FC2" w:rsidRPr="00344FC2" w:rsidRDefault="00344FC2" w:rsidP="00344FC2">
      <w:pPr>
        <w:jc w:val="both"/>
        <w:rPr>
          <w:rFonts w:ascii="Arial" w:hAnsi="Arial" w:cs="Arial"/>
        </w:rPr>
      </w:pPr>
      <w:r w:rsidRPr="00344FC2">
        <w:rPr>
          <w:rFonts w:ascii="Arial" w:hAnsi="Arial" w:cs="Arial"/>
        </w:rPr>
        <w:t xml:space="preserve">Alomar, D., </w:t>
      </w:r>
      <w:proofErr w:type="spellStart"/>
      <w:r w:rsidRPr="00344FC2">
        <w:rPr>
          <w:rFonts w:ascii="Arial" w:hAnsi="Arial" w:cs="Arial"/>
        </w:rPr>
        <w:t>Almashmoum</w:t>
      </w:r>
      <w:proofErr w:type="spellEnd"/>
      <w:r w:rsidRPr="00344FC2">
        <w:rPr>
          <w:rFonts w:ascii="Arial" w:hAnsi="Arial" w:cs="Arial"/>
        </w:rPr>
        <w:t>, M., Eleftheriou, I., Whelan, P. and Ainsworth, J. (2024). The impact of patient access to electronic health records on health care engagement: systematic review. Journal of Medical Internet Research, 26, p.e56473</w:t>
      </w:r>
      <w:r w:rsidR="00F516AD">
        <w:rPr>
          <w:rFonts w:ascii="Arial" w:hAnsi="Arial" w:cs="Arial"/>
        </w:rPr>
        <w:t xml:space="preserve">. </w:t>
      </w:r>
    </w:p>
    <w:p w14:paraId="34F084D2" w14:textId="77777777" w:rsidR="00344FC2" w:rsidRPr="0034380C" w:rsidRDefault="00344FC2" w:rsidP="0034380C">
      <w:pPr>
        <w:jc w:val="both"/>
        <w:rPr>
          <w:rFonts w:ascii="Arial" w:hAnsi="Arial" w:cs="Arial"/>
        </w:rPr>
      </w:pPr>
      <w:r w:rsidRPr="0034380C">
        <w:rPr>
          <w:rFonts w:ascii="Arial" w:hAnsi="Arial" w:cs="Arial"/>
        </w:rPr>
        <w:t xml:space="preserve">Cresswell, K., Williams, R., Sheikh, A. and Morrison, Z. (2020) ‘Developing and implementing electronic health records in the NHS: Lessons for digital transformation’, </w:t>
      </w:r>
      <w:r w:rsidRPr="0034380C">
        <w:rPr>
          <w:rFonts w:ascii="Arial" w:hAnsi="Arial" w:cs="Arial"/>
          <w:i/>
          <w:iCs/>
        </w:rPr>
        <w:t>Journal of Innovation in Health Informatics</w:t>
      </w:r>
      <w:r w:rsidRPr="0034380C">
        <w:rPr>
          <w:rFonts w:ascii="Arial" w:hAnsi="Arial" w:cs="Arial"/>
        </w:rPr>
        <w:t>, 27(1), pp. 1–8.</w:t>
      </w:r>
    </w:p>
    <w:p w14:paraId="0A244EAC" w14:textId="77777777" w:rsidR="00344FC2" w:rsidRPr="0034380C" w:rsidRDefault="00344FC2" w:rsidP="0034380C">
      <w:pPr>
        <w:jc w:val="both"/>
        <w:rPr>
          <w:rFonts w:ascii="Arial" w:hAnsi="Arial" w:cs="Arial"/>
        </w:rPr>
      </w:pPr>
      <w:r w:rsidRPr="0034380C">
        <w:rPr>
          <w:rFonts w:ascii="Arial" w:hAnsi="Arial" w:cs="Arial"/>
        </w:rPr>
        <w:t xml:space="preserve">Department of Health and Social Care (2022) </w:t>
      </w:r>
      <w:r w:rsidRPr="0034380C">
        <w:rPr>
          <w:rFonts w:ascii="Arial" w:hAnsi="Arial" w:cs="Arial"/>
          <w:i/>
          <w:iCs/>
        </w:rPr>
        <w:t>A plan for digital health and social care</w:t>
      </w:r>
      <w:r w:rsidRPr="0034380C">
        <w:rPr>
          <w:rFonts w:ascii="Arial" w:hAnsi="Arial" w:cs="Arial"/>
        </w:rPr>
        <w:t xml:space="preserve">. Available at: </w:t>
      </w:r>
      <w:hyperlink r:id="rId8" w:history="1">
        <w:r w:rsidRPr="0034380C">
          <w:rPr>
            <w:rStyle w:val="Hyperlink"/>
            <w:rFonts w:ascii="Arial" w:hAnsi="Arial" w:cs="Arial"/>
          </w:rPr>
          <w:t>https://www.gov.uk/government/publications/a-plan-for-digital-health-and-social-care</w:t>
        </w:r>
      </w:hyperlink>
      <w:r w:rsidRPr="0034380C">
        <w:rPr>
          <w:rFonts w:ascii="Arial" w:hAnsi="Arial" w:cs="Arial"/>
        </w:rPr>
        <w:t xml:space="preserve"> (Accessed: 8 July 2026).</w:t>
      </w:r>
    </w:p>
    <w:p w14:paraId="2DEAE2EB" w14:textId="77777777" w:rsidR="00344FC2" w:rsidRPr="0034380C" w:rsidRDefault="00344FC2" w:rsidP="0034380C">
      <w:pPr>
        <w:jc w:val="both"/>
        <w:rPr>
          <w:rFonts w:ascii="Arial" w:hAnsi="Arial" w:cs="Arial"/>
        </w:rPr>
      </w:pPr>
      <w:r w:rsidRPr="0034380C">
        <w:rPr>
          <w:rFonts w:ascii="Arial" w:hAnsi="Arial" w:cs="Arial"/>
        </w:rPr>
        <w:t xml:space="preserve">European Commission (2019) </w:t>
      </w:r>
      <w:r w:rsidRPr="0034380C">
        <w:rPr>
          <w:rFonts w:ascii="Arial" w:hAnsi="Arial" w:cs="Arial"/>
          <w:i/>
          <w:iCs/>
        </w:rPr>
        <w:t>Assessing the impact of digital transformation of health services</w:t>
      </w:r>
      <w:r w:rsidRPr="0034380C">
        <w:rPr>
          <w:rFonts w:ascii="Arial" w:hAnsi="Arial" w:cs="Arial"/>
        </w:rPr>
        <w:t xml:space="preserve">. Available at: </w:t>
      </w:r>
      <w:hyperlink r:id="rId9" w:history="1">
        <w:r w:rsidRPr="0034380C">
          <w:rPr>
            <w:rStyle w:val="Hyperlink"/>
            <w:rFonts w:ascii="Arial" w:hAnsi="Arial" w:cs="Arial"/>
          </w:rPr>
          <w:t>https://health.ec.europa.eu/system/files/2019-11/022_digitaltransformation_en_0.pdf</w:t>
        </w:r>
      </w:hyperlink>
      <w:r w:rsidRPr="0034380C">
        <w:rPr>
          <w:rFonts w:ascii="Arial" w:hAnsi="Arial" w:cs="Arial"/>
        </w:rPr>
        <w:t xml:space="preserve"> (Accessed: 8 July 2026).</w:t>
      </w:r>
    </w:p>
    <w:p w14:paraId="27102152" w14:textId="77777777" w:rsidR="00344FC2" w:rsidRPr="0034380C" w:rsidRDefault="00344FC2" w:rsidP="0034380C">
      <w:pPr>
        <w:jc w:val="both"/>
        <w:rPr>
          <w:rFonts w:ascii="Arial" w:hAnsi="Arial" w:cs="Arial"/>
        </w:rPr>
      </w:pPr>
      <w:r w:rsidRPr="0034380C">
        <w:rPr>
          <w:rFonts w:ascii="Arial" w:hAnsi="Arial" w:cs="Arial"/>
        </w:rPr>
        <w:t xml:space="preserve">Health Education England (2019) </w:t>
      </w:r>
      <w:r w:rsidRPr="0034380C">
        <w:rPr>
          <w:rFonts w:ascii="Arial" w:hAnsi="Arial" w:cs="Arial"/>
          <w:i/>
          <w:iCs/>
        </w:rPr>
        <w:t>The Topol Review: Preparing the healthcare workforce to deliver the digital future</w:t>
      </w:r>
      <w:r w:rsidRPr="0034380C">
        <w:rPr>
          <w:rFonts w:ascii="Arial" w:hAnsi="Arial" w:cs="Arial"/>
        </w:rPr>
        <w:t xml:space="preserve">. Available at: </w:t>
      </w:r>
      <w:hyperlink r:id="rId10" w:history="1">
        <w:r w:rsidRPr="0034380C">
          <w:rPr>
            <w:rStyle w:val="Hyperlink"/>
            <w:rFonts w:ascii="Arial" w:hAnsi="Arial" w:cs="Arial"/>
          </w:rPr>
          <w:t>https://topol.hee.nhs.uk/</w:t>
        </w:r>
      </w:hyperlink>
      <w:r w:rsidRPr="0034380C">
        <w:rPr>
          <w:rFonts w:ascii="Arial" w:hAnsi="Arial" w:cs="Arial"/>
        </w:rPr>
        <w:t xml:space="preserve"> (Accessed: 9 July 2026).</w:t>
      </w:r>
    </w:p>
    <w:p w14:paraId="30DB195C" w14:textId="77777777" w:rsidR="00344FC2" w:rsidRDefault="00344FC2" w:rsidP="0034380C">
      <w:pPr>
        <w:jc w:val="both"/>
        <w:rPr>
          <w:rFonts w:ascii="Arial" w:hAnsi="Arial" w:cs="Arial"/>
        </w:rPr>
      </w:pPr>
      <w:r w:rsidRPr="0034380C">
        <w:rPr>
          <w:rFonts w:ascii="Arial" w:hAnsi="Arial" w:cs="Arial"/>
        </w:rPr>
        <w:t xml:space="preserve">Health Foundation (2023) </w:t>
      </w:r>
      <w:r w:rsidRPr="0034380C">
        <w:rPr>
          <w:rFonts w:ascii="Arial" w:hAnsi="Arial" w:cs="Arial"/>
          <w:i/>
          <w:iCs/>
        </w:rPr>
        <w:t>The future of digital health and care</w:t>
      </w:r>
      <w:r w:rsidRPr="0034380C">
        <w:rPr>
          <w:rFonts w:ascii="Arial" w:hAnsi="Arial" w:cs="Arial"/>
        </w:rPr>
        <w:t xml:space="preserve">. Available at: </w:t>
      </w:r>
      <w:hyperlink r:id="rId11" w:history="1">
        <w:r w:rsidRPr="0034380C">
          <w:rPr>
            <w:rStyle w:val="Hyperlink"/>
            <w:rFonts w:ascii="Arial" w:hAnsi="Arial" w:cs="Arial"/>
          </w:rPr>
          <w:t>https://www.health.org.uk/publications/long-reads/the-future-of-digital-health-and-care</w:t>
        </w:r>
      </w:hyperlink>
      <w:r w:rsidRPr="0034380C">
        <w:rPr>
          <w:rFonts w:ascii="Arial" w:hAnsi="Arial" w:cs="Arial"/>
        </w:rPr>
        <w:t xml:space="preserve"> (Accessed: 6 July 2026).</w:t>
      </w:r>
    </w:p>
    <w:p w14:paraId="6068BEB4" w14:textId="77777777" w:rsidR="00344FC2" w:rsidRPr="0034380C" w:rsidRDefault="00344FC2" w:rsidP="0034380C">
      <w:pPr>
        <w:jc w:val="both"/>
        <w:rPr>
          <w:rFonts w:ascii="Arial" w:hAnsi="Arial" w:cs="Arial"/>
        </w:rPr>
      </w:pPr>
      <w:r w:rsidRPr="0034380C">
        <w:rPr>
          <w:rFonts w:ascii="Arial" w:hAnsi="Arial" w:cs="Arial"/>
        </w:rPr>
        <w:t xml:space="preserve">Heponiemi, T., </w:t>
      </w:r>
      <w:proofErr w:type="spellStart"/>
      <w:r w:rsidRPr="0034380C">
        <w:rPr>
          <w:rFonts w:ascii="Arial" w:hAnsi="Arial" w:cs="Arial"/>
        </w:rPr>
        <w:t>Gluschkoff</w:t>
      </w:r>
      <w:proofErr w:type="spellEnd"/>
      <w:r w:rsidRPr="0034380C">
        <w:rPr>
          <w:rFonts w:ascii="Arial" w:hAnsi="Arial" w:cs="Arial"/>
        </w:rPr>
        <w:t xml:space="preserve">, K., </w:t>
      </w:r>
      <w:proofErr w:type="spellStart"/>
      <w:r w:rsidRPr="0034380C">
        <w:rPr>
          <w:rFonts w:ascii="Arial" w:hAnsi="Arial" w:cs="Arial"/>
        </w:rPr>
        <w:t>Vehko</w:t>
      </w:r>
      <w:proofErr w:type="spellEnd"/>
      <w:r w:rsidRPr="0034380C">
        <w:rPr>
          <w:rFonts w:ascii="Arial" w:hAnsi="Arial" w:cs="Arial"/>
        </w:rPr>
        <w:t xml:space="preserve">, T., </w:t>
      </w:r>
      <w:proofErr w:type="spellStart"/>
      <w:r w:rsidRPr="0034380C">
        <w:rPr>
          <w:rFonts w:ascii="Arial" w:hAnsi="Arial" w:cs="Arial"/>
        </w:rPr>
        <w:t>Kaihlanen</w:t>
      </w:r>
      <w:proofErr w:type="spellEnd"/>
      <w:r w:rsidRPr="0034380C">
        <w:rPr>
          <w:rFonts w:ascii="Arial" w:hAnsi="Arial" w:cs="Arial"/>
        </w:rPr>
        <w:t xml:space="preserve">, A.M., </w:t>
      </w:r>
      <w:proofErr w:type="spellStart"/>
      <w:r w:rsidRPr="0034380C">
        <w:rPr>
          <w:rFonts w:ascii="Arial" w:hAnsi="Arial" w:cs="Arial"/>
        </w:rPr>
        <w:t>Saranto</w:t>
      </w:r>
      <w:proofErr w:type="spellEnd"/>
      <w:r w:rsidRPr="0034380C">
        <w:rPr>
          <w:rFonts w:ascii="Arial" w:hAnsi="Arial" w:cs="Arial"/>
        </w:rPr>
        <w:t xml:space="preserve">, K., Nissinen, S., Nadav, J. and Kujala, S. (2021) ‘Electronic Health Record implementations and insufficient training endanger nurses’ well-being: Cross-sectional survey study’, </w:t>
      </w:r>
      <w:r w:rsidRPr="0034380C">
        <w:rPr>
          <w:rFonts w:ascii="Arial" w:hAnsi="Arial" w:cs="Arial"/>
          <w:i/>
          <w:iCs/>
        </w:rPr>
        <w:t>Journal of Medical Internet Research</w:t>
      </w:r>
      <w:r w:rsidRPr="0034380C">
        <w:rPr>
          <w:rFonts w:ascii="Arial" w:hAnsi="Arial" w:cs="Arial"/>
        </w:rPr>
        <w:t>, 23(12), e27096. doi:10.2196/27096.</w:t>
      </w:r>
    </w:p>
    <w:p w14:paraId="2D68E8E4" w14:textId="77777777" w:rsidR="00344FC2" w:rsidRPr="0034380C" w:rsidRDefault="00344FC2" w:rsidP="0034380C">
      <w:pPr>
        <w:jc w:val="both"/>
        <w:rPr>
          <w:rFonts w:ascii="Arial" w:hAnsi="Arial" w:cs="Arial"/>
        </w:rPr>
      </w:pPr>
      <w:r w:rsidRPr="00344FC2">
        <w:rPr>
          <w:rFonts w:ascii="Arial" w:hAnsi="Arial" w:cs="Arial"/>
        </w:rPr>
        <w:t xml:space="preserve">Maguire, D., Evans, H., Honeyman, M. and </w:t>
      </w:r>
      <w:proofErr w:type="spellStart"/>
      <w:r w:rsidRPr="00344FC2">
        <w:rPr>
          <w:rFonts w:ascii="Arial" w:hAnsi="Arial" w:cs="Arial"/>
        </w:rPr>
        <w:t>Omojomolo</w:t>
      </w:r>
      <w:proofErr w:type="spellEnd"/>
      <w:r w:rsidRPr="00344FC2">
        <w:rPr>
          <w:rFonts w:ascii="Arial" w:hAnsi="Arial" w:cs="Arial"/>
        </w:rPr>
        <w:t xml:space="preserve">, </w:t>
      </w:r>
      <w:proofErr w:type="gramStart"/>
      <w:r w:rsidRPr="00344FC2">
        <w:rPr>
          <w:rFonts w:ascii="Arial" w:hAnsi="Arial" w:cs="Arial"/>
        </w:rPr>
        <w:t>D.(</w:t>
      </w:r>
      <w:proofErr w:type="gramEnd"/>
      <w:r w:rsidRPr="00344FC2">
        <w:rPr>
          <w:rFonts w:ascii="Arial" w:hAnsi="Arial" w:cs="Arial"/>
        </w:rPr>
        <w:t>2018). Digital change in health and social care. London: King's Fund.</w:t>
      </w:r>
    </w:p>
    <w:p w14:paraId="2CBB4314" w14:textId="77777777" w:rsidR="00344FC2" w:rsidRPr="0034380C" w:rsidRDefault="00344FC2" w:rsidP="0034380C">
      <w:pPr>
        <w:jc w:val="both"/>
        <w:rPr>
          <w:rFonts w:ascii="Arial" w:hAnsi="Arial" w:cs="Arial"/>
        </w:rPr>
      </w:pPr>
      <w:r w:rsidRPr="0034380C">
        <w:rPr>
          <w:rFonts w:ascii="Arial" w:hAnsi="Arial" w:cs="Arial"/>
        </w:rPr>
        <w:t xml:space="preserve">McAlearney, A.S., Hefner, J.L., Sieck, C.J., Huerta, T.R. and Walker, D.M. (2020) ‘The journey through grief: Insights from a qualitative study of electronic health record implementation’, </w:t>
      </w:r>
      <w:r w:rsidRPr="0034380C">
        <w:rPr>
          <w:rFonts w:ascii="Arial" w:hAnsi="Arial" w:cs="Arial"/>
          <w:i/>
          <w:iCs/>
        </w:rPr>
        <w:t>Health Services Research</w:t>
      </w:r>
      <w:r w:rsidRPr="0034380C">
        <w:rPr>
          <w:rFonts w:ascii="Arial" w:hAnsi="Arial" w:cs="Arial"/>
        </w:rPr>
        <w:t xml:space="preserve">, 55(S3), pp. 604–612. Available at: </w:t>
      </w:r>
      <w:hyperlink r:id="rId12" w:history="1">
        <w:r w:rsidRPr="0034380C">
          <w:rPr>
            <w:rStyle w:val="Hyperlink"/>
            <w:rFonts w:ascii="Arial" w:hAnsi="Arial" w:cs="Arial"/>
          </w:rPr>
          <w:t>https://doi.org/10.1111/1475-6773.13276</w:t>
        </w:r>
      </w:hyperlink>
      <w:r w:rsidRPr="0034380C">
        <w:rPr>
          <w:rFonts w:ascii="Arial" w:hAnsi="Arial" w:cs="Arial"/>
        </w:rPr>
        <w:t>.</w:t>
      </w:r>
    </w:p>
    <w:p w14:paraId="27091E59" w14:textId="77777777" w:rsidR="00344FC2" w:rsidRPr="0034380C" w:rsidRDefault="00344FC2" w:rsidP="0034380C">
      <w:pPr>
        <w:jc w:val="both"/>
        <w:rPr>
          <w:rFonts w:ascii="Arial" w:hAnsi="Arial" w:cs="Arial"/>
        </w:rPr>
      </w:pPr>
      <w:r w:rsidRPr="0034380C">
        <w:rPr>
          <w:rFonts w:ascii="Arial" w:hAnsi="Arial" w:cs="Arial"/>
        </w:rPr>
        <w:t xml:space="preserve">National Audit Office (2018) </w:t>
      </w:r>
      <w:r w:rsidRPr="0034380C">
        <w:rPr>
          <w:rFonts w:ascii="Arial" w:hAnsi="Arial" w:cs="Arial"/>
          <w:i/>
          <w:iCs/>
        </w:rPr>
        <w:t>Investigation: WannaCry cyber-attack and the NHS</w:t>
      </w:r>
      <w:r w:rsidRPr="0034380C">
        <w:rPr>
          <w:rFonts w:ascii="Arial" w:hAnsi="Arial" w:cs="Arial"/>
        </w:rPr>
        <w:t xml:space="preserve">. Available at: </w:t>
      </w:r>
      <w:hyperlink r:id="rId13" w:history="1">
        <w:r w:rsidRPr="0034380C">
          <w:rPr>
            <w:rStyle w:val="Hyperlink"/>
            <w:rFonts w:ascii="Arial" w:hAnsi="Arial" w:cs="Arial"/>
          </w:rPr>
          <w:t>https://www.nao.org.uk/reports/investigation-wannacry-cyber-attack-and-the-nhs/</w:t>
        </w:r>
      </w:hyperlink>
      <w:r w:rsidRPr="0034380C">
        <w:rPr>
          <w:rFonts w:ascii="Arial" w:hAnsi="Arial" w:cs="Arial"/>
        </w:rPr>
        <w:t xml:space="preserve"> (Accessed: 6 July 2026).</w:t>
      </w:r>
    </w:p>
    <w:p w14:paraId="23DE0C22" w14:textId="77777777" w:rsidR="00344FC2" w:rsidRPr="0034380C" w:rsidRDefault="00344FC2" w:rsidP="0034380C">
      <w:pPr>
        <w:jc w:val="both"/>
        <w:rPr>
          <w:rFonts w:ascii="Arial" w:hAnsi="Arial" w:cs="Arial"/>
        </w:rPr>
      </w:pPr>
      <w:r w:rsidRPr="0034380C">
        <w:rPr>
          <w:rFonts w:ascii="Arial" w:hAnsi="Arial" w:cs="Arial"/>
        </w:rPr>
        <w:t xml:space="preserve">NHS (2025) </w:t>
      </w:r>
      <w:r w:rsidRPr="0034380C">
        <w:rPr>
          <w:rFonts w:ascii="Arial" w:hAnsi="Arial" w:cs="Arial"/>
          <w:i/>
          <w:iCs/>
        </w:rPr>
        <w:t>Digitising the frontline</w:t>
      </w:r>
      <w:r w:rsidRPr="0034380C">
        <w:rPr>
          <w:rFonts w:ascii="Arial" w:hAnsi="Arial" w:cs="Arial"/>
        </w:rPr>
        <w:t xml:space="preserve">. Available at: </w:t>
      </w:r>
      <w:hyperlink r:id="rId14" w:history="1">
        <w:r w:rsidRPr="0034380C">
          <w:rPr>
            <w:rStyle w:val="Hyperlink"/>
            <w:rFonts w:ascii="Arial" w:hAnsi="Arial" w:cs="Arial"/>
          </w:rPr>
          <w:t>https://www.england.nhs.uk/digitaltechnology/digitising-the-frontline/</w:t>
        </w:r>
      </w:hyperlink>
      <w:r w:rsidRPr="0034380C">
        <w:rPr>
          <w:rFonts w:ascii="Arial" w:hAnsi="Arial" w:cs="Arial"/>
        </w:rPr>
        <w:t xml:space="preserve"> (Accessed: 11 July 2026).</w:t>
      </w:r>
    </w:p>
    <w:p w14:paraId="188438FD" w14:textId="77777777" w:rsidR="00344FC2" w:rsidRPr="0034380C" w:rsidRDefault="00344FC2" w:rsidP="0034380C">
      <w:pPr>
        <w:jc w:val="both"/>
        <w:rPr>
          <w:rFonts w:ascii="Arial" w:hAnsi="Arial" w:cs="Arial"/>
        </w:rPr>
      </w:pPr>
      <w:r w:rsidRPr="0034380C">
        <w:rPr>
          <w:rFonts w:ascii="Arial" w:hAnsi="Arial" w:cs="Arial"/>
        </w:rPr>
        <w:lastRenderedPageBreak/>
        <w:t xml:space="preserve">NHS Digital (2025) </w:t>
      </w:r>
      <w:r w:rsidRPr="0034380C">
        <w:rPr>
          <w:rFonts w:ascii="Arial" w:hAnsi="Arial" w:cs="Arial"/>
          <w:i/>
          <w:iCs/>
        </w:rPr>
        <w:t>Electronic patient records – integrating with national services</w:t>
      </w:r>
      <w:r w:rsidRPr="0034380C">
        <w:rPr>
          <w:rFonts w:ascii="Arial" w:hAnsi="Arial" w:cs="Arial"/>
        </w:rPr>
        <w:t xml:space="preserve">. Available at: </w:t>
      </w:r>
      <w:hyperlink r:id="rId15" w:history="1">
        <w:r w:rsidRPr="0034380C">
          <w:rPr>
            <w:rStyle w:val="Hyperlink"/>
            <w:rFonts w:ascii="Arial" w:hAnsi="Arial" w:cs="Arial"/>
          </w:rPr>
          <w:t>https://digital.nhs.uk/developer/guides-and-documentation/building-healthcare-software/acute-community-and-mental-health-care/electronic-patient-records---integrating-with-national-services</w:t>
        </w:r>
      </w:hyperlink>
      <w:r w:rsidRPr="0034380C">
        <w:rPr>
          <w:rFonts w:ascii="Arial" w:hAnsi="Arial" w:cs="Arial"/>
        </w:rPr>
        <w:t xml:space="preserve"> (Accessed: 10 July 2026).</w:t>
      </w:r>
    </w:p>
    <w:p w14:paraId="238B0413" w14:textId="77777777" w:rsidR="00344FC2" w:rsidRPr="0034380C" w:rsidRDefault="00344FC2" w:rsidP="0034380C">
      <w:pPr>
        <w:jc w:val="both"/>
        <w:rPr>
          <w:rFonts w:ascii="Arial" w:hAnsi="Arial" w:cs="Arial"/>
        </w:rPr>
      </w:pPr>
      <w:r w:rsidRPr="0034380C">
        <w:rPr>
          <w:rFonts w:ascii="Arial" w:hAnsi="Arial" w:cs="Arial"/>
        </w:rPr>
        <w:t xml:space="preserve">NHS England (2019) </w:t>
      </w:r>
      <w:r w:rsidRPr="0034380C">
        <w:rPr>
          <w:rFonts w:ascii="Arial" w:hAnsi="Arial" w:cs="Arial"/>
          <w:i/>
          <w:iCs/>
        </w:rPr>
        <w:t>The NHS Long Term Plan</w:t>
      </w:r>
      <w:r w:rsidRPr="0034380C">
        <w:rPr>
          <w:rFonts w:ascii="Arial" w:hAnsi="Arial" w:cs="Arial"/>
        </w:rPr>
        <w:t>. London: NHS England.</w:t>
      </w:r>
    </w:p>
    <w:p w14:paraId="27280F4A" w14:textId="77777777" w:rsidR="00344FC2" w:rsidRPr="0034380C" w:rsidRDefault="00344FC2" w:rsidP="0034380C">
      <w:pPr>
        <w:jc w:val="both"/>
        <w:rPr>
          <w:rFonts w:ascii="Arial" w:hAnsi="Arial" w:cs="Arial"/>
        </w:rPr>
      </w:pPr>
      <w:r w:rsidRPr="0034380C">
        <w:rPr>
          <w:rFonts w:ascii="Arial" w:hAnsi="Arial" w:cs="Arial"/>
        </w:rPr>
        <w:t xml:space="preserve">NHS England (2022) </w:t>
      </w:r>
      <w:r w:rsidRPr="0034380C">
        <w:rPr>
          <w:rFonts w:ascii="Arial" w:hAnsi="Arial" w:cs="Arial"/>
          <w:i/>
          <w:iCs/>
        </w:rPr>
        <w:t>Electronic Patient Records (EPRs): Transforming healthcare through digital technology</w:t>
      </w:r>
      <w:r w:rsidRPr="0034380C">
        <w:rPr>
          <w:rFonts w:ascii="Arial" w:hAnsi="Arial" w:cs="Arial"/>
        </w:rPr>
        <w:t xml:space="preserve">. London: NHS England. Available at: </w:t>
      </w:r>
      <w:hyperlink r:id="rId16" w:history="1">
        <w:r w:rsidRPr="0034380C">
          <w:rPr>
            <w:rStyle w:val="Hyperlink"/>
            <w:rFonts w:ascii="Arial" w:hAnsi="Arial" w:cs="Arial"/>
          </w:rPr>
          <w:t>https://www.england.nhs.uk/digitaltechnology/</w:t>
        </w:r>
      </w:hyperlink>
      <w:r w:rsidRPr="0034380C">
        <w:rPr>
          <w:rFonts w:ascii="Arial" w:hAnsi="Arial" w:cs="Arial"/>
        </w:rPr>
        <w:t xml:space="preserve"> (Accessed: 8 July 2026).</w:t>
      </w:r>
    </w:p>
    <w:p w14:paraId="46DF612D" w14:textId="77777777" w:rsidR="00344FC2" w:rsidRPr="0034380C" w:rsidRDefault="00344FC2" w:rsidP="0034380C">
      <w:pPr>
        <w:jc w:val="both"/>
        <w:rPr>
          <w:rFonts w:ascii="Arial" w:hAnsi="Arial" w:cs="Arial"/>
        </w:rPr>
      </w:pPr>
      <w:r w:rsidRPr="0034380C">
        <w:rPr>
          <w:rFonts w:ascii="Arial" w:hAnsi="Arial" w:cs="Arial"/>
        </w:rPr>
        <w:t xml:space="preserve">NHS England (2022) </w:t>
      </w:r>
      <w:r w:rsidRPr="0034380C">
        <w:rPr>
          <w:rFonts w:ascii="Arial" w:hAnsi="Arial" w:cs="Arial"/>
          <w:i/>
          <w:iCs/>
        </w:rPr>
        <w:t>What good looks like: A framework for digital transformation of health and care</w:t>
      </w:r>
      <w:r w:rsidRPr="0034380C">
        <w:rPr>
          <w:rFonts w:ascii="Arial" w:hAnsi="Arial" w:cs="Arial"/>
        </w:rPr>
        <w:t xml:space="preserve">. Available at: </w:t>
      </w:r>
      <w:hyperlink r:id="rId17" w:history="1">
        <w:r w:rsidRPr="0034380C">
          <w:rPr>
            <w:rStyle w:val="Hyperlink"/>
            <w:rFonts w:ascii="Arial" w:hAnsi="Arial" w:cs="Arial"/>
          </w:rPr>
          <w:t>https://www.england.nhs.uk</w:t>
        </w:r>
      </w:hyperlink>
      <w:r w:rsidRPr="0034380C">
        <w:rPr>
          <w:rFonts w:ascii="Arial" w:hAnsi="Arial" w:cs="Arial"/>
        </w:rPr>
        <w:t xml:space="preserve"> (Accessed: 7 July 2026).</w:t>
      </w:r>
    </w:p>
    <w:p w14:paraId="029FC648" w14:textId="77777777" w:rsidR="00344FC2" w:rsidRPr="0034380C" w:rsidRDefault="00344FC2" w:rsidP="0034380C">
      <w:pPr>
        <w:jc w:val="both"/>
        <w:rPr>
          <w:rFonts w:ascii="Arial" w:hAnsi="Arial" w:cs="Arial"/>
        </w:rPr>
      </w:pPr>
      <w:r w:rsidRPr="0034380C">
        <w:rPr>
          <w:rFonts w:ascii="Arial" w:hAnsi="Arial" w:cs="Arial"/>
        </w:rPr>
        <w:t xml:space="preserve">NHS England (2023) </w:t>
      </w:r>
      <w:r w:rsidRPr="0034380C">
        <w:rPr>
          <w:rFonts w:ascii="Arial" w:hAnsi="Arial" w:cs="Arial"/>
          <w:i/>
          <w:iCs/>
        </w:rPr>
        <w:t>Inclusive digital healthcare: A framework for NHS action on digital inclusion</w:t>
      </w:r>
      <w:r w:rsidRPr="0034380C">
        <w:rPr>
          <w:rFonts w:ascii="Arial" w:hAnsi="Arial" w:cs="Arial"/>
        </w:rPr>
        <w:t xml:space="preserve">. Available at: </w:t>
      </w:r>
      <w:hyperlink r:id="rId18" w:history="1">
        <w:r w:rsidRPr="0034380C">
          <w:rPr>
            <w:rStyle w:val="Hyperlink"/>
            <w:rFonts w:ascii="Arial" w:hAnsi="Arial" w:cs="Arial"/>
          </w:rPr>
          <w:t>https://www.england.nhs.uk/long-read/inclusive-digital-healthcare-a-framework-for-nhs-action-on-digital-inclusion/</w:t>
        </w:r>
      </w:hyperlink>
      <w:r w:rsidRPr="0034380C">
        <w:rPr>
          <w:rFonts w:ascii="Arial" w:hAnsi="Arial" w:cs="Arial"/>
        </w:rPr>
        <w:t xml:space="preserve"> (Accessed: 8 July 2026).</w:t>
      </w:r>
    </w:p>
    <w:p w14:paraId="46865DD8" w14:textId="77777777" w:rsidR="00344FC2" w:rsidRPr="0034380C" w:rsidRDefault="00344FC2" w:rsidP="0034380C">
      <w:pPr>
        <w:jc w:val="both"/>
        <w:rPr>
          <w:rFonts w:ascii="Arial" w:hAnsi="Arial" w:cs="Arial"/>
        </w:rPr>
      </w:pPr>
      <w:r w:rsidRPr="0034380C">
        <w:rPr>
          <w:rFonts w:ascii="Arial" w:hAnsi="Arial" w:cs="Arial"/>
        </w:rPr>
        <w:t xml:space="preserve">Provenzano, M., </w:t>
      </w:r>
      <w:proofErr w:type="spellStart"/>
      <w:r w:rsidRPr="0034380C">
        <w:rPr>
          <w:rFonts w:ascii="Arial" w:hAnsi="Arial" w:cs="Arial"/>
        </w:rPr>
        <w:t>Cillara</w:t>
      </w:r>
      <w:proofErr w:type="spellEnd"/>
      <w:r w:rsidRPr="0034380C">
        <w:rPr>
          <w:rFonts w:ascii="Arial" w:hAnsi="Arial" w:cs="Arial"/>
        </w:rPr>
        <w:t xml:space="preserve">, N., Curcio, F., </w:t>
      </w:r>
      <w:proofErr w:type="spellStart"/>
      <w:r w:rsidRPr="0034380C">
        <w:rPr>
          <w:rFonts w:ascii="Arial" w:hAnsi="Arial" w:cs="Arial"/>
        </w:rPr>
        <w:t>Pisu</w:t>
      </w:r>
      <w:proofErr w:type="spellEnd"/>
      <w:r w:rsidRPr="0034380C">
        <w:rPr>
          <w:rFonts w:ascii="Arial" w:hAnsi="Arial" w:cs="Arial"/>
        </w:rPr>
        <w:t xml:space="preserve">, M.O., González, C.I.A. and Jiménez-Herrera, M.F. (2024) ‘Electronic health record adoption and its effects on healthcare staff: A qualitative study of well-being and workplace stress’, </w:t>
      </w:r>
      <w:r w:rsidRPr="0034380C">
        <w:rPr>
          <w:rFonts w:ascii="Arial" w:hAnsi="Arial" w:cs="Arial"/>
          <w:i/>
          <w:iCs/>
        </w:rPr>
        <w:t>International Journal of Environmental Research and Public Health</w:t>
      </w:r>
      <w:r w:rsidRPr="0034380C">
        <w:rPr>
          <w:rFonts w:ascii="Arial" w:hAnsi="Arial" w:cs="Arial"/>
        </w:rPr>
        <w:t xml:space="preserve">, 21(11), 1430. Available at: </w:t>
      </w:r>
      <w:hyperlink r:id="rId19" w:history="1">
        <w:r w:rsidRPr="0034380C">
          <w:rPr>
            <w:rStyle w:val="Hyperlink"/>
            <w:rFonts w:ascii="Arial" w:hAnsi="Arial" w:cs="Arial"/>
          </w:rPr>
          <w:t>https://doi.org/10.3390/ijerph21111430</w:t>
        </w:r>
      </w:hyperlink>
      <w:r w:rsidRPr="0034380C">
        <w:rPr>
          <w:rFonts w:ascii="Arial" w:hAnsi="Arial" w:cs="Arial"/>
        </w:rPr>
        <w:t>.</w:t>
      </w:r>
    </w:p>
    <w:p w14:paraId="2BCB0F53" w14:textId="77777777" w:rsidR="00344FC2" w:rsidRPr="0034380C" w:rsidRDefault="00344FC2" w:rsidP="0034380C">
      <w:pPr>
        <w:jc w:val="both"/>
        <w:rPr>
          <w:rFonts w:ascii="Arial" w:hAnsi="Arial" w:cs="Arial"/>
        </w:rPr>
      </w:pPr>
      <w:proofErr w:type="spellStart"/>
      <w:r w:rsidRPr="0034380C">
        <w:rPr>
          <w:rFonts w:ascii="Arial" w:hAnsi="Arial" w:cs="Arial"/>
        </w:rPr>
        <w:t>Stoumpos</w:t>
      </w:r>
      <w:proofErr w:type="spellEnd"/>
      <w:r w:rsidRPr="0034380C">
        <w:rPr>
          <w:rFonts w:ascii="Arial" w:hAnsi="Arial" w:cs="Arial"/>
        </w:rPr>
        <w:t xml:space="preserve">, A.I., Kitsios, F. and </w:t>
      </w:r>
      <w:proofErr w:type="spellStart"/>
      <w:r w:rsidRPr="0034380C">
        <w:rPr>
          <w:rFonts w:ascii="Arial" w:hAnsi="Arial" w:cs="Arial"/>
        </w:rPr>
        <w:t>Talias</w:t>
      </w:r>
      <w:proofErr w:type="spellEnd"/>
      <w:r w:rsidRPr="0034380C">
        <w:rPr>
          <w:rFonts w:ascii="Arial" w:hAnsi="Arial" w:cs="Arial"/>
        </w:rPr>
        <w:t xml:space="preserve">, M.A. (2023) ‘Digital transformation in healthcare: Technology acceptance and its applications’, </w:t>
      </w:r>
      <w:r w:rsidRPr="0034380C">
        <w:rPr>
          <w:rFonts w:ascii="Arial" w:hAnsi="Arial" w:cs="Arial"/>
          <w:i/>
          <w:iCs/>
        </w:rPr>
        <w:t>International Journal of Environmental Research and Public Health</w:t>
      </w:r>
      <w:r w:rsidRPr="0034380C">
        <w:rPr>
          <w:rFonts w:ascii="Arial" w:hAnsi="Arial" w:cs="Arial"/>
        </w:rPr>
        <w:t>, 20(4), pp. 1–20.</w:t>
      </w:r>
    </w:p>
    <w:p w14:paraId="2817A431" w14:textId="77777777" w:rsidR="00344FC2" w:rsidRPr="0034380C" w:rsidRDefault="00344FC2" w:rsidP="0034380C">
      <w:pPr>
        <w:jc w:val="both"/>
        <w:rPr>
          <w:rFonts w:ascii="Arial" w:hAnsi="Arial" w:cs="Arial"/>
        </w:rPr>
      </w:pPr>
      <w:r w:rsidRPr="0034380C">
        <w:rPr>
          <w:rFonts w:ascii="Arial" w:hAnsi="Arial" w:cs="Arial"/>
        </w:rPr>
        <w:t xml:space="preserve">Topol, E. (2019) </w:t>
      </w:r>
      <w:r w:rsidRPr="0034380C">
        <w:rPr>
          <w:rFonts w:ascii="Arial" w:hAnsi="Arial" w:cs="Arial"/>
          <w:i/>
          <w:iCs/>
        </w:rPr>
        <w:t>The Topol Review: Preparing the healthcare workforce to deliver the digital future</w:t>
      </w:r>
      <w:r w:rsidRPr="0034380C">
        <w:rPr>
          <w:rFonts w:ascii="Arial" w:hAnsi="Arial" w:cs="Arial"/>
        </w:rPr>
        <w:t>. London: Health Education England.</w:t>
      </w:r>
    </w:p>
    <w:p w14:paraId="2E02B8C1" w14:textId="77777777" w:rsidR="00344FC2" w:rsidRPr="0034380C" w:rsidRDefault="00344FC2" w:rsidP="0034380C">
      <w:pPr>
        <w:jc w:val="both"/>
        <w:rPr>
          <w:rFonts w:ascii="Arial" w:hAnsi="Arial" w:cs="Arial"/>
        </w:rPr>
      </w:pPr>
      <w:r w:rsidRPr="0034380C">
        <w:rPr>
          <w:rFonts w:ascii="Arial" w:hAnsi="Arial" w:cs="Arial"/>
        </w:rPr>
        <w:t xml:space="preserve">Vin, D. (2025) ‘Every NHS trust on track to have an EPR by March 2026 says Vin Diwakar’, </w:t>
      </w:r>
      <w:r w:rsidRPr="0034380C">
        <w:rPr>
          <w:rFonts w:ascii="Arial" w:hAnsi="Arial" w:cs="Arial"/>
          <w:i/>
          <w:iCs/>
        </w:rPr>
        <w:t>Digital Health</w:t>
      </w:r>
      <w:r w:rsidRPr="0034380C">
        <w:rPr>
          <w:rFonts w:ascii="Arial" w:hAnsi="Arial" w:cs="Arial"/>
        </w:rPr>
        <w:t xml:space="preserve">. Available at: </w:t>
      </w:r>
      <w:hyperlink r:id="rId20" w:history="1">
        <w:r w:rsidRPr="0034380C">
          <w:rPr>
            <w:rStyle w:val="Hyperlink"/>
            <w:rFonts w:ascii="Arial" w:hAnsi="Arial" w:cs="Arial"/>
          </w:rPr>
          <w:t>https://www.digitalhealth.net/2023/07/every-nhs-trust-on-track-to-have-an-epr-by-march-2026-says-vin-diwakar/</w:t>
        </w:r>
      </w:hyperlink>
      <w:r w:rsidRPr="0034380C">
        <w:rPr>
          <w:rFonts w:ascii="Arial" w:hAnsi="Arial" w:cs="Arial"/>
        </w:rPr>
        <w:t xml:space="preserve"> (Accessed: 9 July 2026).</w:t>
      </w:r>
    </w:p>
    <w:p w14:paraId="39768C7F" w14:textId="77777777" w:rsidR="00344FC2" w:rsidRPr="0034380C" w:rsidRDefault="00344FC2" w:rsidP="0034380C">
      <w:pPr>
        <w:jc w:val="both"/>
        <w:rPr>
          <w:rFonts w:ascii="Arial" w:hAnsi="Arial" w:cs="Arial"/>
        </w:rPr>
      </w:pPr>
      <w:r w:rsidRPr="0034380C">
        <w:rPr>
          <w:rFonts w:ascii="Arial" w:hAnsi="Arial" w:cs="Arial"/>
        </w:rPr>
        <w:t xml:space="preserve">Wachter, R. (2016) </w:t>
      </w:r>
      <w:r w:rsidRPr="0034380C">
        <w:rPr>
          <w:rFonts w:ascii="Arial" w:hAnsi="Arial" w:cs="Arial"/>
          <w:i/>
          <w:iCs/>
        </w:rPr>
        <w:t>Making IT Work: Harnessing the Power of Health Information Technology to Improve Care in England</w:t>
      </w:r>
      <w:r w:rsidRPr="0034380C">
        <w:rPr>
          <w:rFonts w:ascii="Arial" w:hAnsi="Arial" w:cs="Arial"/>
        </w:rPr>
        <w:t>. London: Department of Health.</w:t>
      </w:r>
    </w:p>
    <w:sectPr w:rsidR="00344FC2" w:rsidRPr="00343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351"/>
    <w:rsid w:val="00035187"/>
    <w:rsid w:val="00087143"/>
    <w:rsid w:val="0034380C"/>
    <w:rsid w:val="00344FC2"/>
    <w:rsid w:val="00410D5C"/>
    <w:rsid w:val="00476F4F"/>
    <w:rsid w:val="008747D1"/>
    <w:rsid w:val="00911A01"/>
    <w:rsid w:val="009C5351"/>
    <w:rsid w:val="009F4AAE"/>
    <w:rsid w:val="00A12CB5"/>
    <w:rsid w:val="00CC6D83"/>
    <w:rsid w:val="00DF4DCD"/>
    <w:rsid w:val="00EE7781"/>
    <w:rsid w:val="00F516AD"/>
    <w:rsid w:val="00FF0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C065"/>
  <w15:chartTrackingRefBased/>
  <w15:docId w15:val="{8E49B144-C594-4853-BEB6-45BA99E4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3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5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53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53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53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53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53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53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53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3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53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53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53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53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53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53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53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5351"/>
    <w:rPr>
      <w:rFonts w:eastAsiaTheme="majorEastAsia" w:cstheme="majorBidi"/>
      <w:color w:val="272727" w:themeColor="text1" w:themeTint="D8"/>
    </w:rPr>
  </w:style>
  <w:style w:type="paragraph" w:styleId="Title">
    <w:name w:val="Title"/>
    <w:basedOn w:val="Normal"/>
    <w:next w:val="Normal"/>
    <w:link w:val="TitleChar"/>
    <w:uiPriority w:val="10"/>
    <w:qFormat/>
    <w:rsid w:val="009C53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3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53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53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5351"/>
    <w:pPr>
      <w:spacing w:before="160"/>
      <w:jc w:val="center"/>
    </w:pPr>
    <w:rPr>
      <w:i/>
      <w:iCs/>
      <w:color w:val="404040" w:themeColor="text1" w:themeTint="BF"/>
    </w:rPr>
  </w:style>
  <w:style w:type="character" w:customStyle="1" w:styleId="QuoteChar">
    <w:name w:val="Quote Char"/>
    <w:basedOn w:val="DefaultParagraphFont"/>
    <w:link w:val="Quote"/>
    <w:uiPriority w:val="29"/>
    <w:rsid w:val="009C5351"/>
    <w:rPr>
      <w:i/>
      <w:iCs/>
      <w:color w:val="404040" w:themeColor="text1" w:themeTint="BF"/>
    </w:rPr>
  </w:style>
  <w:style w:type="paragraph" w:styleId="ListParagraph">
    <w:name w:val="List Paragraph"/>
    <w:basedOn w:val="Normal"/>
    <w:uiPriority w:val="34"/>
    <w:qFormat/>
    <w:rsid w:val="009C5351"/>
    <w:pPr>
      <w:ind w:left="720"/>
      <w:contextualSpacing/>
    </w:pPr>
  </w:style>
  <w:style w:type="character" w:styleId="IntenseEmphasis">
    <w:name w:val="Intense Emphasis"/>
    <w:basedOn w:val="DefaultParagraphFont"/>
    <w:uiPriority w:val="21"/>
    <w:qFormat/>
    <w:rsid w:val="009C5351"/>
    <w:rPr>
      <w:i/>
      <w:iCs/>
      <w:color w:val="0F4761" w:themeColor="accent1" w:themeShade="BF"/>
    </w:rPr>
  </w:style>
  <w:style w:type="paragraph" w:styleId="IntenseQuote">
    <w:name w:val="Intense Quote"/>
    <w:basedOn w:val="Normal"/>
    <w:next w:val="Normal"/>
    <w:link w:val="IntenseQuoteChar"/>
    <w:uiPriority w:val="30"/>
    <w:qFormat/>
    <w:rsid w:val="009C5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5351"/>
    <w:rPr>
      <w:i/>
      <w:iCs/>
      <w:color w:val="0F4761" w:themeColor="accent1" w:themeShade="BF"/>
    </w:rPr>
  </w:style>
  <w:style w:type="character" w:styleId="IntenseReference">
    <w:name w:val="Intense Reference"/>
    <w:basedOn w:val="DefaultParagraphFont"/>
    <w:uiPriority w:val="32"/>
    <w:qFormat/>
    <w:rsid w:val="009C5351"/>
    <w:rPr>
      <w:b/>
      <w:bCs/>
      <w:smallCaps/>
      <w:color w:val="0F4761" w:themeColor="accent1" w:themeShade="BF"/>
      <w:spacing w:val="5"/>
    </w:rPr>
  </w:style>
  <w:style w:type="character" w:styleId="Hyperlink">
    <w:name w:val="Hyperlink"/>
    <w:basedOn w:val="DefaultParagraphFont"/>
    <w:uiPriority w:val="99"/>
    <w:unhideWhenUsed/>
    <w:rsid w:val="0034380C"/>
    <w:rPr>
      <w:color w:val="467886" w:themeColor="hyperlink"/>
      <w:u w:val="single"/>
    </w:rPr>
  </w:style>
  <w:style w:type="character" w:styleId="UnresolvedMention">
    <w:name w:val="Unresolved Mention"/>
    <w:basedOn w:val="DefaultParagraphFont"/>
    <w:uiPriority w:val="99"/>
    <w:semiHidden/>
    <w:unhideWhenUsed/>
    <w:rsid w:val="00343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plan-for-digital-health-and-social-care" TargetMode="External"/><Relationship Id="rId13" Type="http://schemas.openxmlformats.org/officeDocument/2006/relationships/hyperlink" Target="https://www.nao.org.uk/reports/investigation-wannacry-cyber-attack-and-the-nhs/" TargetMode="External"/><Relationship Id="rId18" Type="http://schemas.openxmlformats.org/officeDocument/2006/relationships/hyperlink" Target="https://www.england.nhs.uk/long-read/inclusive-digital-healthcare-a-framework-for-nhs-action-on-digital-inclus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111/1475-6773.13276" TargetMode="External"/><Relationship Id="rId17" Type="http://schemas.openxmlformats.org/officeDocument/2006/relationships/hyperlink" Target="https://www.england.nhs.uk/" TargetMode="External"/><Relationship Id="rId2" Type="http://schemas.openxmlformats.org/officeDocument/2006/relationships/customXml" Target="../customXml/item2.xml"/><Relationship Id="rId16" Type="http://schemas.openxmlformats.org/officeDocument/2006/relationships/hyperlink" Target="https://www.england.nhs.uk/digitaltechnology/" TargetMode="External"/><Relationship Id="rId20" Type="http://schemas.openxmlformats.org/officeDocument/2006/relationships/hyperlink" Target="https://www.digitalhealth.net/2023/07/every-nhs-trust-on-track-to-have-an-epr-by-march-2026-says-vin-diwaka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alth.org.uk/publications/long-reads/the-future-of-digital-health-and-care" TargetMode="External"/><Relationship Id="rId5" Type="http://schemas.openxmlformats.org/officeDocument/2006/relationships/settings" Target="settings.xml"/><Relationship Id="rId15" Type="http://schemas.openxmlformats.org/officeDocument/2006/relationships/hyperlink" Target="https://digital.nhs.uk/developer/guides-and-documentation/building-healthcare-software/acute-community-and-mental-health-care/electronic-patient-records---integrating-with-national-services" TargetMode="External"/><Relationship Id="rId10" Type="http://schemas.openxmlformats.org/officeDocument/2006/relationships/hyperlink" Target="https://topol.hee.nhs.uk/" TargetMode="External"/><Relationship Id="rId19" Type="http://schemas.openxmlformats.org/officeDocument/2006/relationships/hyperlink" Target="https://doi.org/10.3390/ijerph21111430" TargetMode="External"/><Relationship Id="rId4" Type="http://schemas.openxmlformats.org/officeDocument/2006/relationships/styles" Target="styles.xml"/><Relationship Id="rId9" Type="http://schemas.openxmlformats.org/officeDocument/2006/relationships/hyperlink" Target="https://health.ec.europa.eu/system/files/2019-11/022_digitaltransformation_en_0.pdf" TargetMode="External"/><Relationship Id="rId14" Type="http://schemas.openxmlformats.org/officeDocument/2006/relationships/hyperlink" Target="https://www.england.nhs.uk/digitaltechnology/digitising-the-frontlin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c82b22097112a43b26988da13c26f3e4">
  <xsd:schema xmlns:xsd="http://www.w3.org/2001/XMLSchema" xmlns:xs="http://www.w3.org/2001/XMLSchema" xmlns:p="http://schemas.microsoft.com/office/2006/metadata/properties" xmlns:ns3="80ad0dd2-2cb0-44fb-bfff-af5123703117" targetNamespace="http://schemas.microsoft.com/office/2006/metadata/properties" ma:root="true" ma:fieldsID="22ccf02c869d50455bbdb105e9fab17e"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Props1.xml><?xml version="1.0" encoding="utf-8"?>
<ds:datastoreItem xmlns:ds="http://schemas.openxmlformats.org/officeDocument/2006/customXml" ds:itemID="{884627DE-E5C4-4A39-ACC6-B3C0B8708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0031A-655B-489B-8716-DFD279FDD8CB}">
  <ds:schemaRefs>
    <ds:schemaRef ds:uri="http://schemas.microsoft.com/sharepoint/v3/contenttype/forms"/>
  </ds:schemaRefs>
</ds:datastoreItem>
</file>

<file path=customXml/itemProps3.xml><?xml version="1.0" encoding="utf-8"?>
<ds:datastoreItem xmlns:ds="http://schemas.openxmlformats.org/officeDocument/2006/customXml" ds:itemID="{26EEDB06-FEC4-4FAF-B6F3-6170C1A6440B}">
  <ds:schemaRefs>
    <ds:schemaRef ds:uri="http://schemas.microsoft.com/office/2006/metadata/properties"/>
    <ds:schemaRef ds:uri="http://schemas.microsoft.com/office/infopath/2007/PartnerControls"/>
    <ds:schemaRef ds:uri="80ad0dd2-2cb0-44fb-bfff-af512370311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3424</Words>
  <Characters>19517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 Lamin</dc:creator>
  <cp:keywords/>
  <dc:description/>
  <cp:lastModifiedBy>Marie Louise Audrey Sombo Niamie (2335747)</cp:lastModifiedBy>
  <cp:revision>2</cp:revision>
  <dcterms:created xsi:type="dcterms:W3CDTF">2026-07-19T22:53:00Z</dcterms:created>
  <dcterms:modified xsi:type="dcterms:W3CDTF">2026-07-19T22:53:00Z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a38ddb81-a6bc-4444-b3c7-6fca80897c15</vt:lpwstr>
  </property>
  <property fmtid="{D5CDD505-2E9C-101B-9397-08002B2CF9AE}" pid="3" name="ContentTypeId">
    <vt:lpwstr>0x01010088A5AEB59E106244B832A4D4041A0D21</vt:lpwstr>
  </property>
</Properties>
</file>