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CE934" w14:textId="77777777" w:rsidR="003200B8" w:rsidRDefault="003200B8" w:rsidP="003200B8">
      <w:pPr>
        <w:jc w:val="center"/>
        <w:rPr>
          <w:rFonts w:ascii="Arial" w:eastAsia="Arial" w:hAnsi="Arial" w:cs="Arial"/>
          <w:color w:val="000000" w:themeColor="text1"/>
        </w:rPr>
      </w:pPr>
    </w:p>
    <w:p w14:paraId="577CD917" w14:textId="61AB386B" w:rsidR="00197BA7" w:rsidRDefault="32CD799B" w:rsidP="003200B8">
      <w:pPr>
        <w:jc w:val="center"/>
        <w:rPr>
          <w:rFonts w:ascii="Arial" w:eastAsia="Arial" w:hAnsi="Arial" w:cs="Arial"/>
          <w:color w:val="000000" w:themeColor="text1"/>
        </w:rPr>
      </w:pPr>
      <w:r w:rsidRPr="003200B8">
        <w:rPr>
          <w:rFonts w:ascii="Arial" w:eastAsia="Arial" w:hAnsi="Arial" w:cs="Arial"/>
          <w:color w:val="000000" w:themeColor="text1"/>
        </w:rPr>
        <w:t>Programme: Certificate of Higher Education Skills for the Workplace (Health and Social Care)</w:t>
      </w:r>
    </w:p>
    <w:p w14:paraId="00A05A7C" w14:textId="77777777" w:rsidR="003200B8" w:rsidRPr="003200B8" w:rsidRDefault="003200B8" w:rsidP="003200B8">
      <w:pPr>
        <w:jc w:val="center"/>
        <w:rPr>
          <w:rFonts w:ascii="Arial" w:eastAsia="Arial" w:hAnsi="Arial" w:cs="Arial"/>
          <w:color w:val="000000" w:themeColor="text1"/>
        </w:rPr>
      </w:pPr>
    </w:p>
    <w:p w14:paraId="25B28479" w14:textId="22BBF2F5" w:rsidR="00197BA7" w:rsidRDefault="32CD799B" w:rsidP="003200B8">
      <w:pPr>
        <w:jc w:val="center"/>
        <w:rPr>
          <w:rFonts w:ascii="Arial" w:eastAsia="Arial" w:hAnsi="Arial" w:cs="Arial"/>
          <w:color w:val="000000" w:themeColor="text1"/>
        </w:rPr>
      </w:pPr>
      <w:r w:rsidRPr="003200B8">
        <w:rPr>
          <w:rFonts w:ascii="Arial" w:eastAsia="Arial" w:hAnsi="Arial" w:cs="Arial"/>
          <w:color w:val="000000" w:themeColor="text1"/>
        </w:rPr>
        <w:t>Module: Introduction to Public Health</w:t>
      </w:r>
    </w:p>
    <w:p w14:paraId="1F64656B" w14:textId="77777777" w:rsidR="003200B8" w:rsidRPr="003200B8" w:rsidRDefault="003200B8" w:rsidP="003200B8">
      <w:pPr>
        <w:jc w:val="center"/>
        <w:rPr>
          <w:rFonts w:ascii="Arial" w:eastAsia="Arial" w:hAnsi="Arial" w:cs="Arial"/>
          <w:color w:val="000000" w:themeColor="text1"/>
        </w:rPr>
      </w:pPr>
    </w:p>
    <w:p w14:paraId="2C078E63" w14:textId="699372A1" w:rsidR="00197BA7" w:rsidRDefault="32CD799B" w:rsidP="003200B8">
      <w:pPr>
        <w:jc w:val="center"/>
        <w:rPr>
          <w:rFonts w:ascii="Arial" w:eastAsia="Arial" w:hAnsi="Arial" w:cs="Arial"/>
          <w:color w:val="000000" w:themeColor="text1"/>
        </w:rPr>
      </w:pPr>
      <w:r w:rsidRPr="003200B8">
        <w:rPr>
          <w:rFonts w:ascii="Arial" w:eastAsia="Arial" w:hAnsi="Arial" w:cs="Arial"/>
          <w:color w:val="000000" w:themeColor="text1"/>
        </w:rPr>
        <w:t>Module code: LCHS4004</w:t>
      </w:r>
    </w:p>
    <w:p w14:paraId="58A167E3" w14:textId="77777777" w:rsidR="003200B8" w:rsidRPr="003200B8" w:rsidRDefault="003200B8" w:rsidP="003200B8">
      <w:pPr>
        <w:jc w:val="center"/>
        <w:rPr>
          <w:rFonts w:ascii="Arial" w:eastAsia="Arial" w:hAnsi="Arial" w:cs="Arial"/>
          <w:color w:val="000000" w:themeColor="text1"/>
        </w:rPr>
      </w:pPr>
    </w:p>
    <w:p w14:paraId="0A06A8C7" w14:textId="431B4615" w:rsidR="32CD799B" w:rsidRDefault="32CD799B" w:rsidP="003200B8">
      <w:pPr>
        <w:jc w:val="center"/>
        <w:rPr>
          <w:rFonts w:ascii="Arial" w:eastAsia="Arial" w:hAnsi="Arial" w:cs="Arial"/>
          <w:color w:val="000000" w:themeColor="text1"/>
        </w:rPr>
      </w:pPr>
      <w:r w:rsidRPr="003200B8">
        <w:rPr>
          <w:rFonts w:ascii="Arial" w:eastAsia="Arial" w:hAnsi="Arial" w:cs="Arial"/>
          <w:color w:val="000000" w:themeColor="text1"/>
        </w:rPr>
        <w:t>Assignment Title: Assessment 1 – Incidence of disease in communities</w:t>
      </w:r>
    </w:p>
    <w:p w14:paraId="085C6C93" w14:textId="77777777" w:rsidR="003200B8" w:rsidRDefault="003200B8" w:rsidP="003200B8">
      <w:pPr>
        <w:jc w:val="center"/>
        <w:rPr>
          <w:rFonts w:ascii="Arial" w:eastAsia="Arial" w:hAnsi="Arial" w:cs="Arial"/>
          <w:color w:val="000000" w:themeColor="text1"/>
        </w:rPr>
      </w:pPr>
    </w:p>
    <w:p w14:paraId="45E0FC58" w14:textId="46ABFAFB" w:rsidR="003200B8" w:rsidRDefault="003200B8" w:rsidP="003200B8">
      <w:pPr>
        <w:jc w:val="center"/>
        <w:rPr>
          <w:rFonts w:ascii="Arial" w:eastAsia="Arial" w:hAnsi="Arial" w:cs="Arial"/>
          <w:color w:val="000000" w:themeColor="text1"/>
        </w:rPr>
      </w:pPr>
      <w:r>
        <w:rPr>
          <w:rFonts w:ascii="Arial" w:eastAsia="Arial" w:hAnsi="Arial" w:cs="Arial"/>
          <w:color w:val="000000" w:themeColor="text1"/>
        </w:rPr>
        <w:t xml:space="preserve">Student </w:t>
      </w:r>
      <w:proofErr w:type="spellStart"/>
      <w:r>
        <w:rPr>
          <w:rFonts w:ascii="Arial" w:eastAsia="Arial" w:hAnsi="Arial" w:cs="Arial"/>
          <w:color w:val="000000" w:themeColor="text1"/>
        </w:rPr>
        <w:t>Name:</w:t>
      </w:r>
      <w:r w:rsidR="001430F3">
        <w:rPr>
          <w:rFonts w:ascii="Arial" w:eastAsia="Arial" w:hAnsi="Arial" w:cs="Arial"/>
          <w:color w:val="000000" w:themeColor="text1"/>
        </w:rPr>
        <w:t>Elena</w:t>
      </w:r>
      <w:proofErr w:type="spellEnd"/>
      <w:r w:rsidR="001430F3">
        <w:rPr>
          <w:rFonts w:ascii="Arial" w:eastAsia="Arial" w:hAnsi="Arial" w:cs="Arial"/>
          <w:color w:val="000000" w:themeColor="text1"/>
        </w:rPr>
        <w:t xml:space="preserve"> Daniela </w:t>
      </w:r>
      <w:proofErr w:type="spellStart"/>
      <w:r w:rsidR="001430F3">
        <w:rPr>
          <w:rFonts w:ascii="Arial" w:eastAsia="Arial" w:hAnsi="Arial" w:cs="Arial"/>
          <w:color w:val="000000" w:themeColor="text1"/>
        </w:rPr>
        <w:t>Virlan</w:t>
      </w:r>
      <w:proofErr w:type="spellEnd"/>
      <w:r w:rsidR="001430F3">
        <w:rPr>
          <w:rFonts w:ascii="Arial" w:eastAsia="Arial" w:hAnsi="Arial" w:cs="Arial"/>
          <w:color w:val="000000" w:themeColor="text1"/>
        </w:rPr>
        <w:t xml:space="preserve"> </w:t>
      </w:r>
    </w:p>
    <w:p w14:paraId="7C732167" w14:textId="77777777" w:rsidR="003200B8" w:rsidRDefault="003200B8" w:rsidP="003200B8">
      <w:pPr>
        <w:jc w:val="center"/>
        <w:rPr>
          <w:rFonts w:ascii="Arial" w:eastAsia="Arial" w:hAnsi="Arial" w:cs="Arial"/>
          <w:color w:val="000000" w:themeColor="text1"/>
        </w:rPr>
      </w:pPr>
    </w:p>
    <w:p w14:paraId="5BC3789C" w14:textId="5BEFBFF0" w:rsidR="003200B8" w:rsidRDefault="003200B8" w:rsidP="003200B8">
      <w:pPr>
        <w:jc w:val="center"/>
        <w:rPr>
          <w:rFonts w:ascii="Arial" w:eastAsia="Arial" w:hAnsi="Arial" w:cs="Arial"/>
          <w:color w:val="000000" w:themeColor="text1"/>
        </w:rPr>
      </w:pPr>
      <w:r>
        <w:rPr>
          <w:rFonts w:ascii="Arial" w:eastAsia="Arial" w:hAnsi="Arial" w:cs="Arial"/>
          <w:color w:val="000000" w:themeColor="text1"/>
        </w:rPr>
        <w:t>Student Number:</w:t>
      </w:r>
      <w:r w:rsidR="00AF580E">
        <w:rPr>
          <w:rFonts w:ascii="Arial" w:eastAsia="Arial" w:hAnsi="Arial" w:cs="Arial"/>
          <w:color w:val="000000" w:themeColor="text1"/>
        </w:rPr>
        <w:t>2216</w:t>
      </w:r>
      <w:r w:rsidR="00977430">
        <w:rPr>
          <w:rFonts w:ascii="Arial" w:eastAsia="Arial" w:hAnsi="Arial" w:cs="Arial"/>
          <w:color w:val="000000" w:themeColor="text1"/>
        </w:rPr>
        <w:t>277</w:t>
      </w:r>
    </w:p>
    <w:p w14:paraId="7F4ADD3C" w14:textId="77777777" w:rsidR="003200B8" w:rsidRDefault="003200B8" w:rsidP="003200B8">
      <w:pPr>
        <w:jc w:val="center"/>
        <w:rPr>
          <w:rFonts w:ascii="Arial" w:eastAsia="Arial" w:hAnsi="Arial" w:cs="Arial"/>
          <w:color w:val="000000" w:themeColor="text1"/>
        </w:rPr>
      </w:pPr>
    </w:p>
    <w:p w14:paraId="1CD9A25B" w14:textId="56EF5C99" w:rsidR="003200B8" w:rsidRPr="003200B8" w:rsidRDefault="003200B8" w:rsidP="003200B8">
      <w:pPr>
        <w:jc w:val="center"/>
        <w:rPr>
          <w:rFonts w:ascii="Arial" w:eastAsia="Arial" w:hAnsi="Arial" w:cs="Arial"/>
          <w:color w:val="000000" w:themeColor="text1"/>
        </w:rPr>
      </w:pPr>
      <w:r>
        <w:rPr>
          <w:rFonts w:ascii="Arial" w:eastAsia="Arial" w:hAnsi="Arial" w:cs="Arial"/>
          <w:color w:val="000000" w:themeColor="text1"/>
        </w:rPr>
        <w:t>L</w:t>
      </w:r>
      <w:r w:rsidRPr="003200B8">
        <w:rPr>
          <w:rFonts w:ascii="Arial" w:eastAsia="Arial" w:hAnsi="Arial" w:cs="Arial"/>
          <w:color w:val="000000" w:themeColor="text1"/>
        </w:rPr>
        <w:t xml:space="preserve">ecturer’s </w:t>
      </w:r>
      <w:proofErr w:type="spellStart"/>
      <w:r>
        <w:rPr>
          <w:rFonts w:ascii="Arial" w:eastAsia="Arial" w:hAnsi="Arial" w:cs="Arial"/>
          <w:color w:val="000000" w:themeColor="text1"/>
        </w:rPr>
        <w:t>N</w:t>
      </w:r>
      <w:r w:rsidRPr="003200B8">
        <w:rPr>
          <w:rFonts w:ascii="Arial" w:eastAsia="Arial" w:hAnsi="Arial" w:cs="Arial"/>
          <w:color w:val="000000" w:themeColor="text1"/>
        </w:rPr>
        <w:t>ame</w:t>
      </w:r>
      <w:r>
        <w:rPr>
          <w:rFonts w:ascii="Arial" w:eastAsia="Arial" w:hAnsi="Arial" w:cs="Arial"/>
          <w:color w:val="000000" w:themeColor="text1"/>
        </w:rPr>
        <w:t>:</w:t>
      </w:r>
      <w:r w:rsidR="00054C92">
        <w:rPr>
          <w:rFonts w:ascii="Arial" w:eastAsia="Arial" w:hAnsi="Arial" w:cs="Arial"/>
          <w:color w:val="000000" w:themeColor="text1"/>
        </w:rPr>
        <w:t>Laila</w:t>
      </w:r>
      <w:proofErr w:type="spellEnd"/>
      <w:r w:rsidR="00054C92">
        <w:rPr>
          <w:rFonts w:ascii="Arial" w:eastAsia="Arial" w:hAnsi="Arial" w:cs="Arial"/>
          <w:color w:val="000000" w:themeColor="text1"/>
        </w:rPr>
        <w:t xml:space="preserve"> </w:t>
      </w:r>
      <w:proofErr w:type="spellStart"/>
      <w:r w:rsidR="00054C92">
        <w:rPr>
          <w:rFonts w:ascii="Arial" w:eastAsia="Arial" w:hAnsi="Arial" w:cs="Arial"/>
          <w:color w:val="000000" w:themeColor="text1"/>
        </w:rPr>
        <w:t>Surani</w:t>
      </w:r>
      <w:proofErr w:type="spellEnd"/>
      <w:r w:rsidR="00054C92">
        <w:rPr>
          <w:rFonts w:ascii="Arial" w:eastAsia="Arial" w:hAnsi="Arial" w:cs="Arial"/>
          <w:color w:val="000000" w:themeColor="text1"/>
        </w:rPr>
        <w:t xml:space="preserve"> </w:t>
      </w:r>
    </w:p>
    <w:p w14:paraId="72F7F12A" w14:textId="6DBAB121" w:rsidR="32CD799B" w:rsidRPr="003200B8" w:rsidRDefault="32CD799B" w:rsidP="32CD799B">
      <w:pPr>
        <w:rPr>
          <w:rFonts w:ascii="Arial" w:eastAsia="Arial" w:hAnsi="Arial" w:cs="Arial"/>
          <w:color w:val="000000" w:themeColor="text1"/>
        </w:rPr>
      </w:pPr>
      <w:r w:rsidRPr="003200B8">
        <w:rPr>
          <w:rFonts w:ascii="Arial" w:eastAsia="Arial" w:hAnsi="Arial" w:cs="Arial"/>
          <w:color w:val="000000" w:themeColor="text1"/>
        </w:rPr>
        <w:br w:type="page"/>
      </w:r>
    </w:p>
    <w:sdt>
      <w:sdtPr>
        <w:rPr>
          <w:rFonts w:asciiTheme="minorHAnsi" w:eastAsiaTheme="minorHAnsi" w:hAnsiTheme="minorHAnsi" w:cstheme="minorBidi"/>
          <w:color w:val="auto"/>
          <w:sz w:val="22"/>
          <w:szCs w:val="22"/>
          <w:lang w:val="en-GB"/>
        </w:rPr>
        <w:id w:val="-927815399"/>
        <w:docPartObj>
          <w:docPartGallery w:val="Table of Contents"/>
          <w:docPartUnique/>
        </w:docPartObj>
      </w:sdtPr>
      <w:sdtEndPr>
        <w:rPr>
          <w:b/>
          <w:bCs/>
          <w:noProof/>
        </w:rPr>
      </w:sdtEndPr>
      <w:sdtContent>
        <w:p w14:paraId="46168A79" w14:textId="197CD08D" w:rsidR="00822FF2" w:rsidRPr="00822FF2" w:rsidRDefault="00822FF2">
          <w:pPr>
            <w:pStyle w:val="TOCHeading"/>
            <w:rPr>
              <w:rFonts w:ascii="Arial" w:hAnsi="Arial" w:cs="Arial"/>
              <w:b/>
              <w:bCs/>
              <w:color w:val="000000" w:themeColor="text1"/>
              <w:sz w:val="24"/>
              <w:szCs w:val="24"/>
            </w:rPr>
          </w:pPr>
          <w:r w:rsidRPr="00822FF2">
            <w:rPr>
              <w:rFonts w:ascii="Arial" w:hAnsi="Arial" w:cs="Arial"/>
              <w:b/>
              <w:bCs/>
              <w:color w:val="000000" w:themeColor="text1"/>
              <w:sz w:val="24"/>
              <w:szCs w:val="24"/>
            </w:rPr>
            <w:t>Table of Contents</w:t>
          </w:r>
        </w:p>
        <w:p w14:paraId="77CF1B87" w14:textId="1B49420E" w:rsidR="00822FF2" w:rsidRPr="00822FF2" w:rsidRDefault="00822FF2">
          <w:pPr>
            <w:pStyle w:val="TOC1"/>
            <w:tabs>
              <w:tab w:val="right" w:leader="dot" w:pos="9350"/>
            </w:tabs>
            <w:rPr>
              <w:rFonts w:ascii="Arial" w:eastAsiaTheme="minorEastAsia" w:hAnsi="Arial" w:cs="Arial"/>
              <w:noProof/>
              <w:color w:val="000000" w:themeColor="text1"/>
              <w:lang w:eastAsia="en-GB"/>
            </w:rPr>
          </w:pPr>
          <w:r w:rsidRPr="00822FF2">
            <w:rPr>
              <w:rFonts w:ascii="Arial" w:hAnsi="Arial" w:cs="Arial"/>
              <w:color w:val="000000" w:themeColor="text1"/>
            </w:rPr>
            <w:fldChar w:fldCharType="begin"/>
          </w:r>
          <w:r w:rsidRPr="00822FF2">
            <w:rPr>
              <w:rFonts w:ascii="Arial" w:hAnsi="Arial" w:cs="Arial"/>
              <w:color w:val="000000" w:themeColor="text1"/>
            </w:rPr>
            <w:instrText xml:space="preserve"> TOC \o "1-3" \h \z \u </w:instrText>
          </w:r>
          <w:r w:rsidRPr="00822FF2">
            <w:rPr>
              <w:rFonts w:ascii="Arial" w:hAnsi="Arial" w:cs="Arial"/>
              <w:color w:val="000000" w:themeColor="text1"/>
            </w:rPr>
            <w:fldChar w:fldCharType="separate"/>
          </w:r>
          <w:hyperlink w:anchor="_Toc132023371" w:history="1">
            <w:r w:rsidRPr="00822FF2">
              <w:rPr>
                <w:rStyle w:val="Hyperlink"/>
                <w:rFonts w:ascii="Arial" w:eastAsia="Arial" w:hAnsi="Arial" w:cs="Arial"/>
                <w:noProof/>
                <w:color w:val="000000" w:themeColor="text1"/>
              </w:rPr>
              <w:t>Introduction</w:t>
            </w:r>
            <w:r w:rsidRPr="00822FF2">
              <w:rPr>
                <w:rFonts w:ascii="Arial" w:hAnsi="Arial" w:cs="Arial"/>
                <w:noProof/>
                <w:webHidden/>
                <w:color w:val="000000" w:themeColor="text1"/>
              </w:rPr>
              <w:tab/>
            </w:r>
            <w:r w:rsidRPr="00822FF2">
              <w:rPr>
                <w:rFonts w:ascii="Arial" w:hAnsi="Arial" w:cs="Arial"/>
                <w:noProof/>
                <w:webHidden/>
                <w:color w:val="000000" w:themeColor="text1"/>
              </w:rPr>
              <w:fldChar w:fldCharType="begin"/>
            </w:r>
            <w:r w:rsidRPr="00822FF2">
              <w:rPr>
                <w:rFonts w:ascii="Arial" w:hAnsi="Arial" w:cs="Arial"/>
                <w:noProof/>
                <w:webHidden/>
                <w:color w:val="000000" w:themeColor="text1"/>
              </w:rPr>
              <w:instrText xml:space="preserve"> PAGEREF _Toc132023371 \h </w:instrText>
            </w:r>
            <w:r w:rsidRPr="00822FF2">
              <w:rPr>
                <w:rFonts w:ascii="Arial" w:hAnsi="Arial" w:cs="Arial"/>
                <w:noProof/>
                <w:webHidden/>
                <w:color w:val="000000" w:themeColor="text1"/>
              </w:rPr>
            </w:r>
            <w:r w:rsidRPr="00822FF2">
              <w:rPr>
                <w:rFonts w:ascii="Arial" w:hAnsi="Arial" w:cs="Arial"/>
                <w:noProof/>
                <w:webHidden/>
                <w:color w:val="000000" w:themeColor="text1"/>
              </w:rPr>
              <w:fldChar w:fldCharType="separate"/>
            </w:r>
            <w:r w:rsidRPr="00822FF2">
              <w:rPr>
                <w:rFonts w:ascii="Arial" w:hAnsi="Arial" w:cs="Arial"/>
                <w:noProof/>
                <w:webHidden/>
                <w:color w:val="000000" w:themeColor="text1"/>
              </w:rPr>
              <w:t>2</w:t>
            </w:r>
            <w:r w:rsidRPr="00822FF2">
              <w:rPr>
                <w:rFonts w:ascii="Arial" w:hAnsi="Arial" w:cs="Arial"/>
                <w:noProof/>
                <w:webHidden/>
                <w:color w:val="000000" w:themeColor="text1"/>
              </w:rPr>
              <w:fldChar w:fldCharType="end"/>
            </w:r>
          </w:hyperlink>
        </w:p>
        <w:p w14:paraId="5F6010EA" w14:textId="6B5090B1" w:rsidR="00822FF2" w:rsidRPr="00822FF2" w:rsidRDefault="00BD0658">
          <w:pPr>
            <w:pStyle w:val="TOC1"/>
            <w:tabs>
              <w:tab w:val="right" w:leader="dot" w:pos="9350"/>
            </w:tabs>
            <w:rPr>
              <w:rFonts w:ascii="Arial" w:eastAsiaTheme="minorEastAsia" w:hAnsi="Arial" w:cs="Arial"/>
              <w:noProof/>
              <w:color w:val="000000" w:themeColor="text1"/>
              <w:lang w:eastAsia="en-GB"/>
            </w:rPr>
          </w:pPr>
          <w:hyperlink w:anchor="_Toc132023372" w:history="1">
            <w:r w:rsidR="00822FF2" w:rsidRPr="00822FF2">
              <w:rPr>
                <w:rStyle w:val="Hyperlink"/>
                <w:rFonts w:ascii="Arial" w:eastAsia="Arial" w:hAnsi="Arial" w:cs="Arial"/>
                <w:noProof/>
                <w:color w:val="000000" w:themeColor="text1"/>
              </w:rPr>
              <w:t>Strategies used in the UK to measure the incidence of the disease in the case study</w:t>
            </w:r>
            <w:r w:rsidR="00822FF2" w:rsidRPr="00822FF2">
              <w:rPr>
                <w:rFonts w:ascii="Arial" w:hAnsi="Arial" w:cs="Arial"/>
                <w:noProof/>
                <w:webHidden/>
                <w:color w:val="000000" w:themeColor="text1"/>
              </w:rPr>
              <w:tab/>
            </w:r>
            <w:r w:rsidR="00822FF2" w:rsidRPr="00822FF2">
              <w:rPr>
                <w:rFonts w:ascii="Arial" w:hAnsi="Arial" w:cs="Arial"/>
                <w:noProof/>
                <w:webHidden/>
                <w:color w:val="000000" w:themeColor="text1"/>
              </w:rPr>
              <w:fldChar w:fldCharType="begin"/>
            </w:r>
            <w:r w:rsidR="00822FF2" w:rsidRPr="00822FF2">
              <w:rPr>
                <w:rFonts w:ascii="Arial" w:hAnsi="Arial" w:cs="Arial"/>
                <w:noProof/>
                <w:webHidden/>
                <w:color w:val="000000" w:themeColor="text1"/>
              </w:rPr>
              <w:instrText xml:space="preserve"> PAGEREF _Toc132023372 \h </w:instrText>
            </w:r>
            <w:r w:rsidR="00822FF2" w:rsidRPr="00822FF2">
              <w:rPr>
                <w:rFonts w:ascii="Arial" w:hAnsi="Arial" w:cs="Arial"/>
                <w:noProof/>
                <w:webHidden/>
                <w:color w:val="000000" w:themeColor="text1"/>
              </w:rPr>
            </w:r>
            <w:r w:rsidR="00822FF2" w:rsidRPr="00822FF2">
              <w:rPr>
                <w:rFonts w:ascii="Arial" w:hAnsi="Arial" w:cs="Arial"/>
                <w:noProof/>
                <w:webHidden/>
                <w:color w:val="000000" w:themeColor="text1"/>
              </w:rPr>
              <w:fldChar w:fldCharType="separate"/>
            </w:r>
            <w:r w:rsidR="00822FF2" w:rsidRPr="00822FF2">
              <w:rPr>
                <w:rFonts w:ascii="Arial" w:hAnsi="Arial" w:cs="Arial"/>
                <w:noProof/>
                <w:webHidden/>
                <w:color w:val="000000" w:themeColor="text1"/>
              </w:rPr>
              <w:t>2</w:t>
            </w:r>
            <w:r w:rsidR="00822FF2" w:rsidRPr="00822FF2">
              <w:rPr>
                <w:rFonts w:ascii="Arial" w:hAnsi="Arial" w:cs="Arial"/>
                <w:noProof/>
                <w:webHidden/>
                <w:color w:val="000000" w:themeColor="text1"/>
              </w:rPr>
              <w:fldChar w:fldCharType="end"/>
            </w:r>
          </w:hyperlink>
        </w:p>
        <w:p w14:paraId="0375B90D" w14:textId="223E87DA" w:rsidR="00822FF2" w:rsidRPr="00822FF2" w:rsidRDefault="00BD0658">
          <w:pPr>
            <w:pStyle w:val="TOC1"/>
            <w:tabs>
              <w:tab w:val="right" w:leader="dot" w:pos="9350"/>
            </w:tabs>
            <w:rPr>
              <w:rFonts w:ascii="Arial" w:eastAsiaTheme="minorEastAsia" w:hAnsi="Arial" w:cs="Arial"/>
              <w:noProof/>
              <w:color w:val="000000" w:themeColor="text1"/>
              <w:lang w:eastAsia="en-GB"/>
            </w:rPr>
          </w:pPr>
          <w:hyperlink w:anchor="_Toc132023373" w:history="1">
            <w:r w:rsidR="00822FF2" w:rsidRPr="00822FF2">
              <w:rPr>
                <w:rStyle w:val="Hyperlink"/>
                <w:rFonts w:ascii="Arial" w:eastAsia="Arial" w:hAnsi="Arial" w:cs="Arial"/>
                <w:noProof/>
                <w:color w:val="000000" w:themeColor="text1"/>
              </w:rPr>
              <w:t>Strategies used in the UK to monitor the incidence of the disease in the case study</w:t>
            </w:r>
            <w:r w:rsidR="00822FF2" w:rsidRPr="00822FF2">
              <w:rPr>
                <w:rFonts w:ascii="Arial" w:hAnsi="Arial" w:cs="Arial"/>
                <w:noProof/>
                <w:webHidden/>
                <w:color w:val="000000" w:themeColor="text1"/>
              </w:rPr>
              <w:tab/>
            </w:r>
            <w:r w:rsidR="00822FF2" w:rsidRPr="00822FF2">
              <w:rPr>
                <w:rFonts w:ascii="Arial" w:hAnsi="Arial" w:cs="Arial"/>
                <w:noProof/>
                <w:webHidden/>
                <w:color w:val="000000" w:themeColor="text1"/>
              </w:rPr>
              <w:fldChar w:fldCharType="begin"/>
            </w:r>
            <w:r w:rsidR="00822FF2" w:rsidRPr="00822FF2">
              <w:rPr>
                <w:rFonts w:ascii="Arial" w:hAnsi="Arial" w:cs="Arial"/>
                <w:noProof/>
                <w:webHidden/>
                <w:color w:val="000000" w:themeColor="text1"/>
              </w:rPr>
              <w:instrText xml:space="preserve"> PAGEREF _Toc132023373 \h </w:instrText>
            </w:r>
            <w:r w:rsidR="00822FF2" w:rsidRPr="00822FF2">
              <w:rPr>
                <w:rFonts w:ascii="Arial" w:hAnsi="Arial" w:cs="Arial"/>
                <w:noProof/>
                <w:webHidden/>
                <w:color w:val="000000" w:themeColor="text1"/>
              </w:rPr>
            </w:r>
            <w:r w:rsidR="00822FF2" w:rsidRPr="00822FF2">
              <w:rPr>
                <w:rFonts w:ascii="Arial" w:hAnsi="Arial" w:cs="Arial"/>
                <w:noProof/>
                <w:webHidden/>
                <w:color w:val="000000" w:themeColor="text1"/>
              </w:rPr>
              <w:fldChar w:fldCharType="separate"/>
            </w:r>
            <w:r w:rsidR="00822FF2" w:rsidRPr="00822FF2">
              <w:rPr>
                <w:rFonts w:ascii="Arial" w:hAnsi="Arial" w:cs="Arial"/>
                <w:noProof/>
                <w:webHidden/>
                <w:color w:val="000000" w:themeColor="text1"/>
              </w:rPr>
              <w:t>2</w:t>
            </w:r>
            <w:r w:rsidR="00822FF2" w:rsidRPr="00822FF2">
              <w:rPr>
                <w:rFonts w:ascii="Arial" w:hAnsi="Arial" w:cs="Arial"/>
                <w:noProof/>
                <w:webHidden/>
                <w:color w:val="000000" w:themeColor="text1"/>
              </w:rPr>
              <w:fldChar w:fldCharType="end"/>
            </w:r>
          </w:hyperlink>
        </w:p>
        <w:p w14:paraId="5648EB9B" w14:textId="4162F530" w:rsidR="00822FF2" w:rsidRPr="00822FF2" w:rsidRDefault="00BD0658">
          <w:pPr>
            <w:pStyle w:val="TOC1"/>
            <w:tabs>
              <w:tab w:val="right" w:leader="dot" w:pos="9350"/>
            </w:tabs>
            <w:rPr>
              <w:rFonts w:ascii="Arial" w:eastAsiaTheme="minorEastAsia" w:hAnsi="Arial" w:cs="Arial"/>
              <w:noProof/>
              <w:color w:val="000000" w:themeColor="text1"/>
              <w:lang w:eastAsia="en-GB"/>
            </w:rPr>
          </w:pPr>
          <w:hyperlink w:anchor="_Toc132023374" w:history="1">
            <w:r w:rsidR="00822FF2" w:rsidRPr="00822FF2">
              <w:rPr>
                <w:rStyle w:val="Hyperlink"/>
                <w:rFonts w:ascii="Arial" w:eastAsia="Arial" w:hAnsi="Arial" w:cs="Arial"/>
                <w:noProof/>
                <w:color w:val="000000" w:themeColor="text1"/>
              </w:rPr>
              <w:t>Strategies used in the UK to control the incidence of the disease in the case study</w:t>
            </w:r>
            <w:r w:rsidR="00822FF2" w:rsidRPr="00822FF2">
              <w:rPr>
                <w:rFonts w:ascii="Arial" w:hAnsi="Arial" w:cs="Arial"/>
                <w:noProof/>
                <w:webHidden/>
                <w:color w:val="000000" w:themeColor="text1"/>
              </w:rPr>
              <w:tab/>
            </w:r>
            <w:r w:rsidR="00822FF2" w:rsidRPr="00822FF2">
              <w:rPr>
                <w:rFonts w:ascii="Arial" w:hAnsi="Arial" w:cs="Arial"/>
                <w:noProof/>
                <w:webHidden/>
                <w:color w:val="000000" w:themeColor="text1"/>
              </w:rPr>
              <w:fldChar w:fldCharType="begin"/>
            </w:r>
            <w:r w:rsidR="00822FF2" w:rsidRPr="00822FF2">
              <w:rPr>
                <w:rFonts w:ascii="Arial" w:hAnsi="Arial" w:cs="Arial"/>
                <w:noProof/>
                <w:webHidden/>
                <w:color w:val="000000" w:themeColor="text1"/>
              </w:rPr>
              <w:instrText xml:space="preserve"> PAGEREF _Toc132023374 \h </w:instrText>
            </w:r>
            <w:r w:rsidR="00822FF2" w:rsidRPr="00822FF2">
              <w:rPr>
                <w:rFonts w:ascii="Arial" w:hAnsi="Arial" w:cs="Arial"/>
                <w:noProof/>
                <w:webHidden/>
                <w:color w:val="000000" w:themeColor="text1"/>
              </w:rPr>
            </w:r>
            <w:r w:rsidR="00822FF2" w:rsidRPr="00822FF2">
              <w:rPr>
                <w:rFonts w:ascii="Arial" w:hAnsi="Arial" w:cs="Arial"/>
                <w:noProof/>
                <w:webHidden/>
                <w:color w:val="000000" w:themeColor="text1"/>
              </w:rPr>
              <w:fldChar w:fldCharType="separate"/>
            </w:r>
            <w:r w:rsidR="00822FF2" w:rsidRPr="00822FF2">
              <w:rPr>
                <w:rFonts w:ascii="Arial" w:hAnsi="Arial" w:cs="Arial"/>
                <w:noProof/>
                <w:webHidden/>
                <w:color w:val="000000" w:themeColor="text1"/>
              </w:rPr>
              <w:t>3</w:t>
            </w:r>
            <w:r w:rsidR="00822FF2" w:rsidRPr="00822FF2">
              <w:rPr>
                <w:rFonts w:ascii="Arial" w:hAnsi="Arial" w:cs="Arial"/>
                <w:noProof/>
                <w:webHidden/>
                <w:color w:val="000000" w:themeColor="text1"/>
              </w:rPr>
              <w:fldChar w:fldCharType="end"/>
            </w:r>
          </w:hyperlink>
        </w:p>
        <w:p w14:paraId="468388E0" w14:textId="47167007" w:rsidR="00822FF2" w:rsidRPr="00822FF2" w:rsidRDefault="00BD0658">
          <w:pPr>
            <w:pStyle w:val="TOC1"/>
            <w:tabs>
              <w:tab w:val="right" w:leader="dot" w:pos="9350"/>
            </w:tabs>
            <w:rPr>
              <w:rFonts w:ascii="Arial" w:eastAsiaTheme="minorEastAsia" w:hAnsi="Arial" w:cs="Arial"/>
              <w:noProof/>
              <w:color w:val="000000" w:themeColor="text1"/>
              <w:lang w:eastAsia="en-GB"/>
            </w:rPr>
          </w:pPr>
          <w:hyperlink w:anchor="_Toc132023375" w:history="1">
            <w:r w:rsidR="00822FF2" w:rsidRPr="00822FF2">
              <w:rPr>
                <w:rStyle w:val="Hyperlink"/>
                <w:rFonts w:ascii="Arial" w:eastAsia="Arial" w:hAnsi="Arial" w:cs="Arial"/>
                <w:noProof/>
                <w:color w:val="000000" w:themeColor="text1"/>
              </w:rPr>
              <w:t>Conclusion</w:t>
            </w:r>
            <w:r w:rsidR="00822FF2" w:rsidRPr="00822FF2">
              <w:rPr>
                <w:rFonts w:ascii="Arial" w:hAnsi="Arial" w:cs="Arial"/>
                <w:noProof/>
                <w:webHidden/>
                <w:color w:val="000000" w:themeColor="text1"/>
              </w:rPr>
              <w:tab/>
            </w:r>
            <w:r w:rsidR="00822FF2" w:rsidRPr="00822FF2">
              <w:rPr>
                <w:rFonts w:ascii="Arial" w:hAnsi="Arial" w:cs="Arial"/>
                <w:noProof/>
                <w:webHidden/>
                <w:color w:val="000000" w:themeColor="text1"/>
              </w:rPr>
              <w:fldChar w:fldCharType="begin"/>
            </w:r>
            <w:r w:rsidR="00822FF2" w:rsidRPr="00822FF2">
              <w:rPr>
                <w:rFonts w:ascii="Arial" w:hAnsi="Arial" w:cs="Arial"/>
                <w:noProof/>
                <w:webHidden/>
                <w:color w:val="000000" w:themeColor="text1"/>
              </w:rPr>
              <w:instrText xml:space="preserve"> PAGEREF _Toc132023375 \h </w:instrText>
            </w:r>
            <w:r w:rsidR="00822FF2" w:rsidRPr="00822FF2">
              <w:rPr>
                <w:rFonts w:ascii="Arial" w:hAnsi="Arial" w:cs="Arial"/>
                <w:noProof/>
                <w:webHidden/>
                <w:color w:val="000000" w:themeColor="text1"/>
              </w:rPr>
            </w:r>
            <w:r w:rsidR="00822FF2" w:rsidRPr="00822FF2">
              <w:rPr>
                <w:rFonts w:ascii="Arial" w:hAnsi="Arial" w:cs="Arial"/>
                <w:noProof/>
                <w:webHidden/>
                <w:color w:val="000000" w:themeColor="text1"/>
              </w:rPr>
              <w:fldChar w:fldCharType="separate"/>
            </w:r>
            <w:r w:rsidR="00822FF2" w:rsidRPr="00822FF2">
              <w:rPr>
                <w:rFonts w:ascii="Arial" w:hAnsi="Arial" w:cs="Arial"/>
                <w:noProof/>
                <w:webHidden/>
                <w:color w:val="000000" w:themeColor="text1"/>
              </w:rPr>
              <w:t>4</w:t>
            </w:r>
            <w:r w:rsidR="00822FF2" w:rsidRPr="00822FF2">
              <w:rPr>
                <w:rFonts w:ascii="Arial" w:hAnsi="Arial" w:cs="Arial"/>
                <w:noProof/>
                <w:webHidden/>
                <w:color w:val="000000" w:themeColor="text1"/>
              </w:rPr>
              <w:fldChar w:fldCharType="end"/>
            </w:r>
          </w:hyperlink>
        </w:p>
        <w:p w14:paraId="3F26E4F9" w14:textId="7838202E" w:rsidR="00822FF2" w:rsidRPr="00822FF2" w:rsidRDefault="00BD0658">
          <w:pPr>
            <w:pStyle w:val="TOC1"/>
            <w:tabs>
              <w:tab w:val="right" w:leader="dot" w:pos="9350"/>
            </w:tabs>
            <w:rPr>
              <w:rFonts w:ascii="Arial" w:eastAsiaTheme="minorEastAsia" w:hAnsi="Arial" w:cs="Arial"/>
              <w:noProof/>
              <w:color w:val="000000" w:themeColor="text1"/>
              <w:lang w:eastAsia="en-GB"/>
            </w:rPr>
          </w:pPr>
          <w:hyperlink w:anchor="_Toc132023376" w:history="1">
            <w:r w:rsidR="00822FF2" w:rsidRPr="00822FF2">
              <w:rPr>
                <w:rStyle w:val="Hyperlink"/>
                <w:rFonts w:ascii="Arial" w:eastAsia="Arial" w:hAnsi="Arial" w:cs="Arial"/>
                <w:noProof/>
                <w:color w:val="000000" w:themeColor="text1"/>
              </w:rPr>
              <w:t>References</w:t>
            </w:r>
            <w:r w:rsidR="00822FF2" w:rsidRPr="00822FF2">
              <w:rPr>
                <w:rFonts w:ascii="Arial" w:hAnsi="Arial" w:cs="Arial"/>
                <w:noProof/>
                <w:webHidden/>
                <w:color w:val="000000" w:themeColor="text1"/>
              </w:rPr>
              <w:tab/>
            </w:r>
            <w:r w:rsidR="00822FF2" w:rsidRPr="00822FF2">
              <w:rPr>
                <w:rFonts w:ascii="Arial" w:hAnsi="Arial" w:cs="Arial"/>
                <w:noProof/>
                <w:webHidden/>
                <w:color w:val="000000" w:themeColor="text1"/>
              </w:rPr>
              <w:fldChar w:fldCharType="begin"/>
            </w:r>
            <w:r w:rsidR="00822FF2" w:rsidRPr="00822FF2">
              <w:rPr>
                <w:rFonts w:ascii="Arial" w:hAnsi="Arial" w:cs="Arial"/>
                <w:noProof/>
                <w:webHidden/>
                <w:color w:val="000000" w:themeColor="text1"/>
              </w:rPr>
              <w:instrText xml:space="preserve"> PAGEREF _Toc132023376 \h </w:instrText>
            </w:r>
            <w:r w:rsidR="00822FF2" w:rsidRPr="00822FF2">
              <w:rPr>
                <w:rFonts w:ascii="Arial" w:hAnsi="Arial" w:cs="Arial"/>
                <w:noProof/>
                <w:webHidden/>
                <w:color w:val="000000" w:themeColor="text1"/>
              </w:rPr>
            </w:r>
            <w:r w:rsidR="00822FF2" w:rsidRPr="00822FF2">
              <w:rPr>
                <w:rFonts w:ascii="Arial" w:hAnsi="Arial" w:cs="Arial"/>
                <w:noProof/>
                <w:webHidden/>
                <w:color w:val="000000" w:themeColor="text1"/>
              </w:rPr>
              <w:fldChar w:fldCharType="separate"/>
            </w:r>
            <w:r w:rsidR="00822FF2" w:rsidRPr="00822FF2">
              <w:rPr>
                <w:rFonts w:ascii="Arial" w:hAnsi="Arial" w:cs="Arial"/>
                <w:noProof/>
                <w:webHidden/>
                <w:color w:val="000000" w:themeColor="text1"/>
              </w:rPr>
              <w:t>5</w:t>
            </w:r>
            <w:r w:rsidR="00822FF2" w:rsidRPr="00822FF2">
              <w:rPr>
                <w:rFonts w:ascii="Arial" w:hAnsi="Arial" w:cs="Arial"/>
                <w:noProof/>
                <w:webHidden/>
                <w:color w:val="000000" w:themeColor="text1"/>
              </w:rPr>
              <w:fldChar w:fldCharType="end"/>
            </w:r>
          </w:hyperlink>
        </w:p>
        <w:p w14:paraId="69CB1A46" w14:textId="1C378883" w:rsidR="00822FF2" w:rsidRDefault="00822FF2">
          <w:r w:rsidRPr="00822FF2">
            <w:rPr>
              <w:rFonts w:ascii="Arial" w:hAnsi="Arial" w:cs="Arial"/>
              <w:noProof/>
              <w:color w:val="000000" w:themeColor="text1"/>
            </w:rPr>
            <w:fldChar w:fldCharType="end"/>
          </w:r>
        </w:p>
      </w:sdtContent>
    </w:sdt>
    <w:p w14:paraId="28D7B638" w14:textId="77777777" w:rsidR="003200B8" w:rsidRDefault="003200B8">
      <w:pPr>
        <w:rPr>
          <w:rFonts w:ascii="Arial" w:eastAsia="Arial" w:hAnsi="Arial" w:cs="Arial"/>
          <w:color w:val="000000" w:themeColor="text1"/>
        </w:rPr>
      </w:pPr>
      <w:r>
        <w:rPr>
          <w:rFonts w:ascii="Arial" w:eastAsia="Arial" w:hAnsi="Arial" w:cs="Arial"/>
          <w:color w:val="000000" w:themeColor="text1"/>
        </w:rPr>
        <w:br w:type="page"/>
      </w:r>
    </w:p>
    <w:p w14:paraId="0693D170" w14:textId="1C594C7A" w:rsidR="32CD799B" w:rsidRPr="003200B8" w:rsidRDefault="32CD799B" w:rsidP="003200B8">
      <w:pPr>
        <w:pStyle w:val="Heading1"/>
        <w:spacing w:line="360" w:lineRule="auto"/>
        <w:jc w:val="both"/>
        <w:rPr>
          <w:rFonts w:ascii="Arial" w:eastAsia="Arial" w:hAnsi="Arial" w:cs="Arial"/>
          <w:b/>
          <w:bCs/>
          <w:color w:val="000000" w:themeColor="text1"/>
          <w:sz w:val="24"/>
          <w:szCs w:val="24"/>
        </w:rPr>
      </w:pPr>
      <w:bookmarkStart w:id="0" w:name="_Toc132023371"/>
      <w:r w:rsidRPr="003200B8">
        <w:rPr>
          <w:rFonts w:ascii="Arial" w:eastAsia="Arial" w:hAnsi="Arial" w:cs="Arial"/>
          <w:b/>
          <w:bCs/>
          <w:color w:val="000000" w:themeColor="text1"/>
          <w:sz w:val="24"/>
          <w:szCs w:val="24"/>
        </w:rPr>
        <w:lastRenderedPageBreak/>
        <w:t>Introduction</w:t>
      </w:r>
      <w:bookmarkEnd w:id="0"/>
    </w:p>
    <w:p w14:paraId="4667F1D3" w14:textId="3107900F"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Mumps is a virus that is quite widespread in the UK. It is brought on by the mumps virus and is transmitted by respiratory droplets from an infected person when they cough or sneeze. Mumps frequently breaks out in the UK, especially among teenagers and young adults who may not have had the MMR vaccine (</w:t>
      </w:r>
      <w:proofErr w:type="spellStart"/>
      <w:r w:rsidRPr="003200B8">
        <w:rPr>
          <w:rFonts w:ascii="Arial" w:eastAsia="Arial" w:hAnsi="Arial" w:cs="Arial"/>
          <w:color w:val="000000" w:themeColor="text1"/>
          <w:lang w:val="en-US"/>
        </w:rPr>
        <w:t>Bockelman</w:t>
      </w:r>
      <w:proofErr w:type="spellEnd"/>
      <w:r w:rsidRPr="003200B8">
        <w:rPr>
          <w:rFonts w:ascii="Arial" w:eastAsia="Arial" w:hAnsi="Arial" w:cs="Arial"/>
          <w:color w:val="000000" w:themeColor="text1"/>
          <w:lang w:val="en-US"/>
        </w:rPr>
        <w:t xml:space="preserve"> et al., 2018)</w:t>
      </w:r>
      <w:r w:rsidRPr="003200B8">
        <w:rPr>
          <w:rFonts w:ascii="Arial" w:eastAsia="Arial" w:hAnsi="Arial" w:cs="Arial"/>
          <w:color w:val="000000" w:themeColor="text1"/>
        </w:rPr>
        <w:t xml:space="preserve">. This report will talk about and assess critically the methods employed in the UK to calculate the prevalence of the illness in the case study. The strategies employed in the UK to track the prevalence of the disease in the case study will also be discussed and critically evaluated. The strategies adopted in the UK to reduce the prevalence of the disease in the case study will also be discussed and critically evaluated. </w:t>
      </w:r>
    </w:p>
    <w:p w14:paraId="56899243" w14:textId="667FB791" w:rsidR="32CD799B" w:rsidRPr="003200B8" w:rsidRDefault="32CD799B" w:rsidP="003200B8">
      <w:pPr>
        <w:pStyle w:val="Heading1"/>
        <w:spacing w:line="360" w:lineRule="auto"/>
        <w:jc w:val="both"/>
        <w:rPr>
          <w:rFonts w:ascii="Arial" w:hAnsi="Arial" w:cs="Arial"/>
          <w:b/>
          <w:bCs/>
          <w:color w:val="000000" w:themeColor="text1"/>
          <w:sz w:val="24"/>
          <w:szCs w:val="24"/>
        </w:rPr>
      </w:pPr>
      <w:bookmarkStart w:id="1" w:name="_Toc132023372"/>
      <w:r w:rsidRPr="003200B8">
        <w:rPr>
          <w:rFonts w:ascii="Arial" w:eastAsia="Arial" w:hAnsi="Arial" w:cs="Arial"/>
          <w:b/>
          <w:bCs/>
          <w:color w:val="000000" w:themeColor="text1"/>
          <w:sz w:val="24"/>
          <w:szCs w:val="24"/>
        </w:rPr>
        <w:t>Strategies used in the UK to measure the incidence of the disease in the case study</w:t>
      </w:r>
      <w:bookmarkEnd w:id="1"/>
      <w:r w:rsidRPr="003200B8">
        <w:rPr>
          <w:rFonts w:ascii="Arial" w:eastAsia="Arial" w:hAnsi="Arial" w:cs="Arial"/>
          <w:b/>
          <w:bCs/>
          <w:color w:val="000000" w:themeColor="text1"/>
          <w:sz w:val="24"/>
          <w:szCs w:val="24"/>
        </w:rPr>
        <w:t xml:space="preserve"> </w:t>
      </w:r>
    </w:p>
    <w:p w14:paraId="63D46F95" w14:textId="7DE52CC1"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 xml:space="preserve">In the UK, surveillance methods that track the number of cases reported to public health agencies are commonly used to estimate the incidence of mumps. The number of mumps cases recorded in the nation is updated every week in Public Health England's Health Protection Report (Public Health England, 2022).  As part of this surveillance system, Mary's diagnosis of the mumps would have been communicated to the appropriate public health authorities. Healthcare workers are advised by Public Health England guidelines to notify their local health protection team of any suspected or confirmed cases of the mumps (Public Health England, 2022). </w:t>
      </w:r>
    </w:p>
    <w:p w14:paraId="0EC36ED3" w14:textId="3FE0C6CC"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 xml:space="preserve">To stop the spread of the mumps, the UK also employs immunisation. In this case, children are given the measles, mumps, and rubella vaccines as part of the typical childhood vaccination programme. Concerns have been raised concerning vaccine reluctance and a drop in vaccination uptake, though, which may have contributed to the recent rise in mumps cases in the nation (Public Health England, 2022). While vaccination and surveillance are crucial mumps management tactics in the UK, Mary's case may have been influenced by additional circumstances. For instance, given that mumps is more prevalent in teenagers and young adults, her age may have made her more vulnerable to the illness. Her neck pain and trouble eating may have also been early indications of the infection, emphasising the significance of rapid identification and treatment </w:t>
      </w:r>
      <w:r w:rsidRPr="003200B8">
        <w:rPr>
          <w:rFonts w:ascii="Arial" w:eastAsia="Roboto" w:hAnsi="Arial" w:cs="Arial"/>
          <w:color w:val="000000" w:themeColor="text1"/>
        </w:rPr>
        <w:t>(Dobson, 2004)</w:t>
      </w:r>
      <w:r w:rsidRPr="003200B8">
        <w:rPr>
          <w:rFonts w:ascii="Arial" w:eastAsia="Arial" w:hAnsi="Arial" w:cs="Arial"/>
          <w:color w:val="000000" w:themeColor="text1"/>
        </w:rPr>
        <w:t>.</w:t>
      </w:r>
    </w:p>
    <w:p w14:paraId="1C7F3584" w14:textId="41AD5101" w:rsidR="32CD799B" w:rsidRPr="003200B8" w:rsidRDefault="32CD799B" w:rsidP="003200B8">
      <w:pPr>
        <w:pStyle w:val="Heading1"/>
        <w:spacing w:line="360" w:lineRule="auto"/>
        <w:jc w:val="both"/>
        <w:rPr>
          <w:rFonts w:ascii="Arial" w:hAnsi="Arial" w:cs="Arial"/>
          <w:b/>
          <w:bCs/>
          <w:color w:val="000000" w:themeColor="text1"/>
          <w:sz w:val="24"/>
          <w:szCs w:val="24"/>
        </w:rPr>
      </w:pPr>
      <w:bookmarkStart w:id="2" w:name="_Toc132023373"/>
      <w:r w:rsidRPr="003200B8">
        <w:rPr>
          <w:rFonts w:ascii="Arial" w:eastAsia="Arial" w:hAnsi="Arial" w:cs="Arial"/>
          <w:b/>
          <w:bCs/>
          <w:color w:val="000000" w:themeColor="text1"/>
          <w:sz w:val="24"/>
          <w:szCs w:val="24"/>
        </w:rPr>
        <w:t>Strategies used in the UK to monitor the incidence of the disease in the case study</w:t>
      </w:r>
      <w:bookmarkEnd w:id="2"/>
    </w:p>
    <w:p w14:paraId="178D38CD" w14:textId="5AAA66AB"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 xml:space="preserve">Monitoring the prevalence of the disease is a crucial component in preventing its spread in the UK. To keep track of the number of instances that hospitals and labs report, the nation uses surveillance systems. In Mary's instance, the relevant public health authorities would have been notified of her diagnosis of the mumps because of this surveillance system. Weekly updates on </w:t>
      </w:r>
      <w:r w:rsidRPr="003200B8">
        <w:rPr>
          <w:rFonts w:ascii="Arial" w:eastAsia="Arial" w:hAnsi="Arial" w:cs="Arial"/>
          <w:color w:val="000000" w:themeColor="text1"/>
        </w:rPr>
        <w:lastRenderedPageBreak/>
        <w:t xml:space="preserve">the number of mumps cases recorded in the nation are provided by Public Health England's Health Protection Report, which is used to track trends and spot potential outbreaks </w:t>
      </w:r>
      <w:r w:rsidRPr="003200B8">
        <w:rPr>
          <w:rFonts w:ascii="Arial" w:eastAsia="Roboto" w:hAnsi="Arial" w:cs="Arial"/>
          <w:color w:val="000000" w:themeColor="text1"/>
        </w:rPr>
        <w:t>(Morgan and Pinner, 2009)</w:t>
      </w:r>
      <w:r w:rsidRPr="003200B8">
        <w:rPr>
          <w:rFonts w:ascii="Arial" w:eastAsia="Arial" w:hAnsi="Arial" w:cs="Arial"/>
          <w:color w:val="000000" w:themeColor="text1"/>
        </w:rPr>
        <w:t>. Health authorities can now promptly identify spikes in mumps cases and take the necessary action to stop the spread of the disease.</w:t>
      </w:r>
    </w:p>
    <w:p w14:paraId="36B13844" w14:textId="45D74EFB"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 xml:space="preserve">The UK uses vaccination as a primary tactic for limiting the spread of the mumps in addition to surveillance. Children are frequently given the measles, mumps, and rubella vaccine, and the nation has established a goal of 95% immunisation coverage to create herd immunity </w:t>
      </w:r>
      <w:r w:rsidRPr="003200B8">
        <w:rPr>
          <w:rFonts w:ascii="Arial" w:eastAsia="Calibri" w:hAnsi="Arial" w:cs="Arial"/>
          <w:color w:val="000000" w:themeColor="text1"/>
          <w:lang w:val="en-US"/>
        </w:rPr>
        <w:t>(Kauffmann et al., 2021)</w:t>
      </w:r>
      <w:r w:rsidRPr="003200B8">
        <w:rPr>
          <w:rFonts w:ascii="Arial" w:eastAsia="Arial" w:hAnsi="Arial" w:cs="Arial"/>
          <w:color w:val="000000" w:themeColor="text1"/>
        </w:rPr>
        <w:t>. Concerns have been raised concerning vaccine reluctance and a decline in vaccination rates, which may have contributed to the recent mumps outbreaks in the nation. While vaccination and surveillance are significant methods for reducing mumps cases in the UK, early diagnosis and treatment are equally vital. The fact that Mary's neck ache and trouble eating may have been the beginnings of the mumps emphasises the value of an early diagnosis and effective treatment.</w:t>
      </w:r>
    </w:p>
    <w:p w14:paraId="19AA43CE" w14:textId="31B30227" w:rsidR="32CD799B" w:rsidRPr="003200B8" w:rsidRDefault="32CD799B" w:rsidP="003200B8">
      <w:pPr>
        <w:pStyle w:val="Heading1"/>
        <w:spacing w:line="360" w:lineRule="auto"/>
        <w:jc w:val="both"/>
        <w:rPr>
          <w:rFonts w:ascii="Arial" w:hAnsi="Arial" w:cs="Arial"/>
          <w:b/>
          <w:bCs/>
          <w:color w:val="000000" w:themeColor="text1"/>
          <w:sz w:val="24"/>
          <w:szCs w:val="24"/>
        </w:rPr>
      </w:pPr>
      <w:bookmarkStart w:id="3" w:name="_Toc132023374"/>
      <w:r w:rsidRPr="003200B8">
        <w:rPr>
          <w:rFonts w:ascii="Arial" w:eastAsia="Arial" w:hAnsi="Arial" w:cs="Arial"/>
          <w:b/>
          <w:bCs/>
          <w:color w:val="000000" w:themeColor="text1"/>
          <w:sz w:val="24"/>
          <w:szCs w:val="24"/>
        </w:rPr>
        <w:t>Strategies used in the UK to control the incidence of the disease in the case study</w:t>
      </w:r>
      <w:bookmarkEnd w:id="3"/>
      <w:r w:rsidRPr="003200B8">
        <w:rPr>
          <w:rFonts w:ascii="Arial" w:eastAsia="Arial" w:hAnsi="Arial" w:cs="Arial"/>
          <w:b/>
          <w:bCs/>
          <w:color w:val="000000" w:themeColor="text1"/>
          <w:sz w:val="24"/>
          <w:szCs w:val="24"/>
        </w:rPr>
        <w:t xml:space="preserve"> </w:t>
      </w:r>
    </w:p>
    <w:p w14:paraId="52C717D9" w14:textId="6E57E08A"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 xml:space="preserve">Mumps, a highly contagious viral illness can cause significant side effects like meningitis, encephalitis, and hearing loss. Mumps incidence in the UK is managed through a variety of measures, such as immunization, outbreak management, and health promotion. Vaccination is one of the most important methods for reducing the prevalence of the mumps in the UK. Children receive the MMR vaccine (measles, mumps, and rubella) routinely, and the UK has set a goal of 95% immunisation coverage to promote herd immunity (Public Health England, 2022). However, a fall in vaccination uptake because of vaccine reluctance and false information has resulted in recent mumps outbreaks in the nation </w:t>
      </w:r>
      <w:r w:rsidRPr="003200B8">
        <w:rPr>
          <w:rFonts w:ascii="Arial" w:eastAsia="Roboto" w:hAnsi="Arial" w:cs="Arial"/>
          <w:color w:val="000000" w:themeColor="text1"/>
        </w:rPr>
        <w:t>(Garett and Young, 2021)</w:t>
      </w:r>
      <w:r w:rsidRPr="003200B8">
        <w:rPr>
          <w:rFonts w:ascii="Arial" w:eastAsia="Arial" w:hAnsi="Arial" w:cs="Arial"/>
          <w:color w:val="000000" w:themeColor="text1"/>
        </w:rPr>
        <w:t>.</w:t>
      </w:r>
    </w:p>
    <w:p w14:paraId="6C217343" w14:textId="4780C336"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The management of outbreaks is a different method for reducing the prevalence of the mumps in the UK. When an outbreak begins, public health professionals try to locate and isolate cases, track down contacts, and immunise individuals who haven't been immunised or haven't received the full course of vaccine (Public Health England, 2022). This tactic aids in halting the disease's transmission and averting further outbreaks.</w:t>
      </w:r>
    </w:p>
    <w:p w14:paraId="4DAC9D1A" w14:textId="1D4DF4A4"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 xml:space="preserve">The management of the disease's spread in Mary's case depended heavily on early diagnosis and timely treatment. When Mary's mother observed the swelling in her neck, she took her to the hospital, where she was given the mumps diagnosis. To stop the disease from spreading, Mary was placed in isolation, and her contacts were tracked down so that anyone who could be at danger might be vaccinated (Public Health England, 2022).  Controlling the prevalence of the </w:t>
      </w:r>
      <w:r w:rsidRPr="003200B8">
        <w:rPr>
          <w:rFonts w:ascii="Arial" w:eastAsia="Arial" w:hAnsi="Arial" w:cs="Arial"/>
          <w:color w:val="000000" w:themeColor="text1"/>
        </w:rPr>
        <w:lastRenderedPageBreak/>
        <w:t xml:space="preserve">mumps in the UK also requires a strong strategy for health education. Public health professionals work to inform the populace about the value of immunisation and the symptoms and signs of the mumps, urging them to seek medical assistance if they encounter any symptoms </w:t>
      </w:r>
      <w:r w:rsidRPr="003200B8">
        <w:rPr>
          <w:rFonts w:ascii="Arial" w:eastAsia="Roboto" w:hAnsi="Arial" w:cs="Arial"/>
          <w:color w:val="000000" w:themeColor="text1"/>
        </w:rPr>
        <w:t>(World Health Organization, 2019)</w:t>
      </w:r>
      <w:r w:rsidRPr="003200B8">
        <w:rPr>
          <w:rFonts w:ascii="Arial" w:eastAsia="Arial" w:hAnsi="Arial" w:cs="Arial"/>
          <w:color w:val="000000" w:themeColor="text1"/>
        </w:rPr>
        <w:t>.</w:t>
      </w:r>
    </w:p>
    <w:p w14:paraId="56399DD5" w14:textId="3202C141" w:rsidR="32CD799B" w:rsidRPr="003200B8" w:rsidRDefault="32CD799B" w:rsidP="003200B8">
      <w:pPr>
        <w:pStyle w:val="Heading1"/>
        <w:spacing w:line="360" w:lineRule="auto"/>
        <w:jc w:val="both"/>
        <w:rPr>
          <w:rFonts w:ascii="Arial" w:hAnsi="Arial" w:cs="Arial"/>
          <w:b/>
          <w:bCs/>
          <w:color w:val="000000" w:themeColor="text1"/>
          <w:sz w:val="24"/>
          <w:szCs w:val="24"/>
        </w:rPr>
      </w:pPr>
      <w:bookmarkStart w:id="4" w:name="_Toc132023375"/>
      <w:r w:rsidRPr="003200B8">
        <w:rPr>
          <w:rFonts w:ascii="Arial" w:eastAsia="Arial" w:hAnsi="Arial" w:cs="Arial"/>
          <w:b/>
          <w:bCs/>
          <w:color w:val="000000" w:themeColor="text1"/>
          <w:sz w:val="24"/>
          <w:szCs w:val="24"/>
        </w:rPr>
        <w:t>Conclusion</w:t>
      </w:r>
      <w:bookmarkEnd w:id="4"/>
      <w:r w:rsidRPr="003200B8">
        <w:rPr>
          <w:rFonts w:ascii="Arial" w:eastAsia="Arial" w:hAnsi="Arial" w:cs="Arial"/>
          <w:b/>
          <w:bCs/>
          <w:color w:val="000000" w:themeColor="text1"/>
          <w:sz w:val="24"/>
          <w:szCs w:val="24"/>
        </w:rPr>
        <w:t xml:space="preserve"> </w:t>
      </w:r>
    </w:p>
    <w:p w14:paraId="5B2A2078" w14:textId="61DA6FA4" w:rsidR="32CD799B" w:rsidRPr="003200B8" w:rsidRDefault="32CD799B" w:rsidP="003200B8">
      <w:pPr>
        <w:spacing w:line="360" w:lineRule="auto"/>
        <w:jc w:val="both"/>
        <w:rPr>
          <w:rFonts w:ascii="Arial" w:eastAsia="Arial" w:hAnsi="Arial" w:cs="Arial"/>
          <w:color w:val="000000" w:themeColor="text1"/>
        </w:rPr>
      </w:pPr>
      <w:r w:rsidRPr="003200B8">
        <w:rPr>
          <w:rFonts w:ascii="Arial" w:eastAsia="Arial" w:hAnsi="Arial" w:cs="Arial"/>
          <w:color w:val="000000" w:themeColor="text1"/>
        </w:rPr>
        <w:t>Vaccination, outbreak management, early diagnosis and treatment, and health education are among the multiple strategies needed to reduce the prevalence of the mumps in the UK. The case study of Mary emphasises the value of early detection and isolation in stopping the spread of the illness. While the methods employed in the UK have been successful in lowering the prevalence of the mumps, vaccine reluctance continues to be a problem that requires attention to stop other outbreaks. To maintain a high vaccination rate and maintain control of the mumps, public health professionals must keep working to teach the public about the value of immunisation and clear up myths.</w:t>
      </w:r>
    </w:p>
    <w:p w14:paraId="4A6CC6FB" w14:textId="4A1A561D" w:rsidR="32CD799B" w:rsidRPr="003200B8" w:rsidRDefault="003200B8" w:rsidP="003200B8">
      <w:pPr>
        <w:spacing w:line="360" w:lineRule="auto"/>
        <w:jc w:val="both"/>
        <w:rPr>
          <w:rFonts w:ascii="Arial" w:hAnsi="Arial" w:cs="Arial"/>
          <w:color w:val="000000" w:themeColor="text1"/>
        </w:rPr>
      </w:pPr>
      <w:r>
        <w:rPr>
          <w:rFonts w:ascii="Arial" w:hAnsi="Arial" w:cs="Arial"/>
          <w:color w:val="000000" w:themeColor="text1"/>
        </w:rPr>
        <w:br w:type="page"/>
      </w:r>
    </w:p>
    <w:p w14:paraId="05F7611F" w14:textId="06DC74ED" w:rsidR="32CD799B" w:rsidRPr="003200B8" w:rsidRDefault="32CD799B" w:rsidP="003200B8">
      <w:pPr>
        <w:pStyle w:val="Heading1"/>
        <w:spacing w:line="360" w:lineRule="auto"/>
        <w:jc w:val="both"/>
        <w:rPr>
          <w:rFonts w:ascii="Arial" w:eastAsia="Arial" w:hAnsi="Arial" w:cs="Arial"/>
          <w:b/>
          <w:bCs/>
          <w:color w:val="000000" w:themeColor="text1"/>
          <w:sz w:val="24"/>
          <w:szCs w:val="24"/>
        </w:rPr>
      </w:pPr>
      <w:bookmarkStart w:id="5" w:name="_Toc132023376"/>
      <w:r w:rsidRPr="003200B8">
        <w:rPr>
          <w:rFonts w:ascii="Arial" w:eastAsia="Arial" w:hAnsi="Arial" w:cs="Arial"/>
          <w:b/>
          <w:bCs/>
          <w:color w:val="000000" w:themeColor="text1"/>
          <w:sz w:val="24"/>
          <w:szCs w:val="24"/>
        </w:rPr>
        <w:lastRenderedPageBreak/>
        <w:t>References</w:t>
      </w:r>
      <w:bookmarkEnd w:id="5"/>
    </w:p>
    <w:p w14:paraId="364FF9D3" w14:textId="77777777" w:rsidR="003200B8" w:rsidRPr="003200B8" w:rsidRDefault="003200B8" w:rsidP="003200B8">
      <w:pPr>
        <w:spacing w:line="360" w:lineRule="auto"/>
        <w:ind w:left="720" w:hanging="720"/>
        <w:jc w:val="both"/>
        <w:rPr>
          <w:rFonts w:ascii="Arial" w:eastAsia="Calibri" w:hAnsi="Arial" w:cs="Arial"/>
          <w:color w:val="000000" w:themeColor="text1"/>
          <w:lang w:val="en-US"/>
        </w:rPr>
      </w:pPr>
      <w:proofErr w:type="spellStart"/>
      <w:r w:rsidRPr="003200B8">
        <w:rPr>
          <w:rFonts w:ascii="Arial" w:eastAsia="Calibri" w:hAnsi="Arial" w:cs="Arial"/>
          <w:color w:val="000000" w:themeColor="text1"/>
          <w:lang w:val="en-US"/>
        </w:rPr>
        <w:t>Bockelman</w:t>
      </w:r>
      <w:proofErr w:type="spellEnd"/>
      <w:r w:rsidRPr="003200B8">
        <w:rPr>
          <w:rFonts w:ascii="Arial" w:eastAsia="Calibri" w:hAnsi="Arial" w:cs="Arial"/>
          <w:color w:val="000000" w:themeColor="text1"/>
          <w:lang w:val="en-US"/>
        </w:rPr>
        <w:t xml:space="preserve">, C., Frawley, T. C., Long, B., &amp; </w:t>
      </w:r>
      <w:proofErr w:type="spellStart"/>
      <w:r w:rsidRPr="003200B8">
        <w:rPr>
          <w:rFonts w:ascii="Arial" w:eastAsia="Calibri" w:hAnsi="Arial" w:cs="Arial"/>
          <w:color w:val="000000" w:themeColor="text1"/>
          <w:lang w:val="en-US"/>
        </w:rPr>
        <w:t>Koyfman</w:t>
      </w:r>
      <w:proofErr w:type="spellEnd"/>
      <w:r w:rsidRPr="003200B8">
        <w:rPr>
          <w:rFonts w:ascii="Arial" w:eastAsia="Calibri" w:hAnsi="Arial" w:cs="Arial"/>
          <w:color w:val="000000" w:themeColor="text1"/>
          <w:lang w:val="en-US"/>
        </w:rPr>
        <w:t>, A. (2018). Mumps: an emergency medicine-focused update. The Journal of emergency medicine, 54(2), 207-214.</w:t>
      </w:r>
    </w:p>
    <w:p w14:paraId="352FF74F" w14:textId="77777777" w:rsidR="003200B8" w:rsidRPr="003200B8" w:rsidRDefault="003200B8" w:rsidP="003200B8">
      <w:pPr>
        <w:spacing w:line="360" w:lineRule="auto"/>
        <w:ind w:left="720" w:hanging="720"/>
        <w:jc w:val="both"/>
        <w:rPr>
          <w:rFonts w:ascii="Arial" w:eastAsia="Calibri" w:hAnsi="Arial" w:cs="Arial"/>
          <w:color w:val="000000" w:themeColor="text1"/>
          <w:lang w:val="en-US"/>
        </w:rPr>
      </w:pPr>
      <w:r w:rsidRPr="003200B8">
        <w:rPr>
          <w:rFonts w:ascii="Arial" w:eastAsia="Calibri" w:hAnsi="Arial" w:cs="Arial"/>
          <w:color w:val="000000" w:themeColor="text1"/>
          <w:lang w:val="en-US"/>
        </w:rPr>
        <w:t xml:space="preserve">Dobson, R. (2004). Mumps cases rise among teenagers and young adults. </w:t>
      </w:r>
      <w:r w:rsidRPr="003200B8">
        <w:rPr>
          <w:rFonts w:ascii="Arial" w:eastAsia="Calibri" w:hAnsi="Arial" w:cs="Arial"/>
          <w:i/>
          <w:iCs/>
          <w:color w:val="000000" w:themeColor="text1"/>
          <w:lang w:val="en-US"/>
        </w:rPr>
        <w:t>BMJ</w:t>
      </w:r>
      <w:r w:rsidRPr="003200B8">
        <w:rPr>
          <w:rFonts w:ascii="Arial" w:eastAsia="Calibri" w:hAnsi="Arial" w:cs="Arial"/>
          <w:color w:val="000000" w:themeColor="text1"/>
          <w:lang w:val="en-US"/>
        </w:rPr>
        <w:t xml:space="preserve">, 329(7458), p.132.2. </w:t>
      </w:r>
      <w:proofErr w:type="spellStart"/>
      <w:r w:rsidRPr="003200B8">
        <w:rPr>
          <w:rFonts w:ascii="Arial" w:eastAsia="Calibri" w:hAnsi="Arial" w:cs="Arial"/>
          <w:color w:val="000000" w:themeColor="text1"/>
          <w:lang w:val="en-US"/>
        </w:rPr>
        <w:t>doi:https</w:t>
      </w:r>
      <w:proofErr w:type="spellEnd"/>
      <w:r w:rsidRPr="003200B8">
        <w:rPr>
          <w:rFonts w:ascii="Arial" w:eastAsia="Calibri" w:hAnsi="Arial" w:cs="Arial"/>
          <w:color w:val="000000" w:themeColor="text1"/>
          <w:lang w:val="en-US"/>
        </w:rPr>
        <w:t>://doi.org/10.1136/bmj.329.7458.132-a.</w:t>
      </w:r>
    </w:p>
    <w:p w14:paraId="0C2F5B82" w14:textId="77777777" w:rsidR="003200B8" w:rsidRPr="003200B8" w:rsidRDefault="003200B8" w:rsidP="003200B8">
      <w:pPr>
        <w:spacing w:line="360" w:lineRule="auto"/>
        <w:ind w:left="720" w:hanging="720"/>
        <w:jc w:val="both"/>
        <w:rPr>
          <w:rFonts w:ascii="Arial" w:eastAsia="Calibri" w:hAnsi="Arial" w:cs="Arial"/>
          <w:color w:val="000000" w:themeColor="text1"/>
          <w:lang w:val="en-US"/>
        </w:rPr>
      </w:pPr>
      <w:r w:rsidRPr="003200B8">
        <w:rPr>
          <w:rFonts w:ascii="Arial" w:eastAsia="Calibri" w:hAnsi="Arial" w:cs="Arial"/>
          <w:color w:val="000000" w:themeColor="text1"/>
          <w:lang w:val="en-US"/>
        </w:rPr>
        <w:t xml:space="preserve">‌Garett, R. and Young, S.D. (2021). Online misinformation and vaccine hesitancy. Translational Behavioral Medicine, 11(12), pp.2194–2199. </w:t>
      </w:r>
      <w:proofErr w:type="spellStart"/>
      <w:r w:rsidRPr="003200B8">
        <w:rPr>
          <w:rFonts w:ascii="Arial" w:eastAsia="Calibri" w:hAnsi="Arial" w:cs="Arial"/>
          <w:color w:val="000000" w:themeColor="text1"/>
          <w:lang w:val="en-US"/>
        </w:rPr>
        <w:t>doi:https</w:t>
      </w:r>
      <w:proofErr w:type="spellEnd"/>
      <w:r w:rsidRPr="003200B8">
        <w:rPr>
          <w:rFonts w:ascii="Arial" w:eastAsia="Calibri" w:hAnsi="Arial" w:cs="Arial"/>
          <w:color w:val="000000" w:themeColor="text1"/>
          <w:lang w:val="en-US"/>
        </w:rPr>
        <w:t>://doi.org/10.1093/tbm/ibab128.</w:t>
      </w:r>
    </w:p>
    <w:p w14:paraId="0FD63A7C" w14:textId="77777777" w:rsidR="003200B8" w:rsidRPr="003200B8" w:rsidRDefault="003200B8" w:rsidP="003200B8">
      <w:pPr>
        <w:spacing w:line="360" w:lineRule="auto"/>
        <w:ind w:left="720" w:hanging="720"/>
        <w:jc w:val="both"/>
        <w:rPr>
          <w:rFonts w:ascii="Arial" w:eastAsia="Calibri" w:hAnsi="Arial" w:cs="Arial"/>
          <w:color w:val="000000" w:themeColor="text1"/>
          <w:lang w:val="en-US"/>
        </w:rPr>
      </w:pPr>
      <w:r w:rsidRPr="003200B8">
        <w:rPr>
          <w:rFonts w:ascii="Arial" w:eastAsia="Calibri" w:hAnsi="Arial" w:cs="Arial"/>
          <w:color w:val="000000" w:themeColor="text1"/>
          <w:lang w:val="en-US"/>
        </w:rPr>
        <w:t xml:space="preserve">‌Kauffmann, F., Heffernan, C., </w:t>
      </w:r>
      <w:proofErr w:type="spellStart"/>
      <w:r w:rsidRPr="003200B8">
        <w:rPr>
          <w:rFonts w:ascii="Arial" w:eastAsia="Calibri" w:hAnsi="Arial" w:cs="Arial"/>
          <w:color w:val="000000" w:themeColor="text1"/>
          <w:lang w:val="en-US"/>
        </w:rPr>
        <w:t>Meurice</w:t>
      </w:r>
      <w:proofErr w:type="spellEnd"/>
      <w:r w:rsidRPr="003200B8">
        <w:rPr>
          <w:rFonts w:ascii="Arial" w:eastAsia="Calibri" w:hAnsi="Arial" w:cs="Arial"/>
          <w:color w:val="000000" w:themeColor="text1"/>
          <w:lang w:val="en-US"/>
        </w:rPr>
        <w:t xml:space="preserve">, F., Ota, M. O., Vetter, V., &amp; </w:t>
      </w:r>
      <w:proofErr w:type="spellStart"/>
      <w:r w:rsidRPr="003200B8">
        <w:rPr>
          <w:rFonts w:ascii="Arial" w:eastAsia="Calibri" w:hAnsi="Arial" w:cs="Arial"/>
          <w:color w:val="000000" w:themeColor="text1"/>
          <w:lang w:val="en-US"/>
        </w:rPr>
        <w:t>Casabona</w:t>
      </w:r>
      <w:proofErr w:type="spellEnd"/>
      <w:r w:rsidRPr="003200B8">
        <w:rPr>
          <w:rFonts w:ascii="Arial" w:eastAsia="Calibri" w:hAnsi="Arial" w:cs="Arial"/>
          <w:color w:val="000000" w:themeColor="text1"/>
          <w:lang w:val="en-US"/>
        </w:rPr>
        <w:t>, G. (2021). Measles, mumps, rubella prevention: how can we do better?. Expert Review of Vaccines, 20(7), 811-826.</w:t>
      </w:r>
    </w:p>
    <w:p w14:paraId="288E59A0" w14:textId="77777777" w:rsidR="003200B8" w:rsidRPr="003200B8" w:rsidRDefault="003200B8" w:rsidP="003200B8">
      <w:pPr>
        <w:spacing w:line="360" w:lineRule="auto"/>
        <w:ind w:left="720" w:hanging="720"/>
        <w:jc w:val="both"/>
        <w:rPr>
          <w:rFonts w:ascii="Arial" w:eastAsia="Calibri" w:hAnsi="Arial" w:cs="Arial"/>
          <w:color w:val="000000" w:themeColor="text1"/>
          <w:lang w:val="en-US"/>
        </w:rPr>
      </w:pPr>
      <w:r w:rsidRPr="003200B8">
        <w:rPr>
          <w:rFonts w:ascii="Arial" w:eastAsia="Calibri" w:hAnsi="Arial" w:cs="Arial"/>
          <w:color w:val="000000" w:themeColor="text1"/>
          <w:lang w:val="en-US"/>
        </w:rPr>
        <w:t xml:space="preserve">Morgan, O.W. and Pinner, R.W. (2009). Surveillance of Infectious Diseases. </w:t>
      </w:r>
      <w:r w:rsidRPr="003200B8">
        <w:rPr>
          <w:rFonts w:ascii="Arial" w:eastAsia="Calibri" w:hAnsi="Arial" w:cs="Arial"/>
          <w:i/>
          <w:iCs/>
          <w:color w:val="000000" w:themeColor="text1"/>
          <w:lang w:val="en-US"/>
        </w:rPr>
        <w:t>Encyclopedia of Microbiology</w:t>
      </w:r>
      <w:r w:rsidRPr="003200B8">
        <w:rPr>
          <w:rFonts w:ascii="Arial" w:eastAsia="Calibri" w:hAnsi="Arial" w:cs="Arial"/>
          <w:color w:val="000000" w:themeColor="text1"/>
          <w:lang w:val="en-US"/>
        </w:rPr>
        <w:t xml:space="preserve">, [online] pp.759–774. </w:t>
      </w:r>
      <w:proofErr w:type="spellStart"/>
      <w:r w:rsidRPr="003200B8">
        <w:rPr>
          <w:rFonts w:ascii="Arial" w:eastAsia="Calibri" w:hAnsi="Arial" w:cs="Arial"/>
          <w:color w:val="000000" w:themeColor="text1"/>
          <w:lang w:val="en-US"/>
        </w:rPr>
        <w:t>doi:https</w:t>
      </w:r>
      <w:proofErr w:type="spellEnd"/>
      <w:r w:rsidRPr="003200B8">
        <w:rPr>
          <w:rFonts w:ascii="Arial" w:eastAsia="Calibri" w:hAnsi="Arial" w:cs="Arial"/>
          <w:color w:val="000000" w:themeColor="text1"/>
          <w:lang w:val="en-US"/>
        </w:rPr>
        <w:t>://doi.org/10.1016/b978-012373944-5.00209-1.</w:t>
      </w:r>
    </w:p>
    <w:p w14:paraId="781119E6" w14:textId="77777777" w:rsidR="003200B8" w:rsidRPr="003200B8" w:rsidRDefault="003200B8" w:rsidP="003200B8">
      <w:pPr>
        <w:spacing w:line="360" w:lineRule="auto"/>
        <w:ind w:left="720" w:hanging="720"/>
        <w:jc w:val="both"/>
        <w:rPr>
          <w:rFonts w:ascii="Arial" w:eastAsia="Calibri" w:hAnsi="Arial" w:cs="Arial"/>
          <w:color w:val="000000" w:themeColor="text1"/>
          <w:lang w:val="en-US"/>
        </w:rPr>
      </w:pPr>
      <w:r w:rsidRPr="003200B8">
        <w:rPr>
          <w:rFonts w:ascii="Arial" w:eastAsia="Calibri" w:hAnsi="Arial" w:cs="Arial"/>
          <w:color w:val="000000" w:themeColor="text1"/>
          <w:lang w:val="en-US"/>
        </w:rPr>
        <w:t xml:space="preserve">Public Health England. (2022). Health Protection Report: Mumps. Retrieved from </w:t>
      </w:r>
      <w:hyperlink r:id="rId7">
        <w:r w:rsidRPr="003200B8">
          <w:rPr>
            <w:rStyle w:val="Hyperlink"/>
            <w:rFonts w:ascii="Arial" w:eastAsia="Calibri" w:hAnsi="Arial" w:cs="Arial"/>
            <w:color w:val="000000" w:themeColor="text1"/>
            <w:lang w:val="en-US"/>
          </w:rPr>
          <w:t>https://www.gov.uk/government/collections/health-protection-report-volume-15-2021</w:t>
        </w:r>
      </w:hyperlink>
      <w:r w:rsidRPr="003200B8">
        <w:rPr>
          <w:rFonts w:ascii="Arial" w:eastAsia="Calibri" w:hAnsi="Arial" w:cs="Arial"/>
          <w:color w:val="000000" w:themeColor="text1"/>
          <w:lang w:val="en-US"/>
        </w:rPr>
        <w:t>.</w:t>
      </w:r>
    </w:p>
    <w:p w14:paraId="431B9766" w14:textId="77777777" w:rsidR="003200B8" w:rsidRPr="003200B8" w:rsidRDefault="003200B8" w:rsidP="003200B8">
      <w:pPr>
        <w:spacing w:line="360" w:lineRule="auto"/>
        <w:ind w:left="720" w:hanging="720"/>
        <w:jc w:val="both"/>
        <w:rPr>
          <w:rFonts w:ascii="Arial" w:eastAsia="Calibri" w:hAnsi="Arial" w:cs="Arial"/>
          <w:color w:val="000000" w:themeColor="text1"/>
          <w:lang w:val="en-US"/>
        </w:rPr>
      </w:pPr>
      <w:r w:rsidRPr="003200B8">
        <w:rPr>
          <w:rFonts w:ascii="Arial" w:eastAsia="Calibri" w:hAnsi="Arial" w:cs="Arial"/>
          <w:color w:val="000000" w:themeColor="text1"/>
          <w:lang w:val="en-US"/>
        </w:rPr>
        <w:t xml:space="preserve">Public Health England. (2022). Mumps: the green book, chapter 28. Retrieved from </w:t>
      </w:r>
      <w:hyperlink r:id="rId8">
        <w:r w:rsidRPr="003200B8">
          <w:rPr>
            <w:rStyle w:val="Hyperlink"/>
            <w:rFonts w:ascii="Arial" w:eastAsia="Calibri" w:hAnsi="Arial" w:cs="Arial"/>
            <w:color w:val="000000" w:themeColor="text1"/>
            <w:lang w:val="en-US"/>
          </w:rPr>
          <w:t>https://www.gov.uk/government/publications/mumps-the-green-book-chapter-28</w:t>
        </w:r>
      </w:hyperlink>
      <w:r w:rsidRPr="003200B8">
        <w:rPr>
          <w:rFonts w:ascii="Arial" w:eastAsia="Calibri" w:hAnsi="Arial" w:cs="Arial"/>
          <w:color w:val="000000" w:themeColor="text1"/>
          <w:lang w:val="en-US"/>
        </w:rPr>
        <w:t>.</w:t>
      </w:r>
    </w:p>
    <w:p w14:paraId="148BEDDD" w14:textId="77777777" w:rsidR="003200B8" w:rsidRPr="003200B8" w:rsidRDefault="003200B8" w:rsidP="003200B8">
      <w:pPr>
        <w:spacing w:line="360" w:lineRule="auto"/>
        <w:ind w:left="720" w:hanging="720"/>
        <w:jc w:val="both"/>
        <w:rPr>
          <w:rFonts w:ascii="Arial" w:eastAsia="Calibri" w:hAnsi="Arial" w:cs="Arial"/>
          <w:color w:val="000000" w:themeColor="text1"/>
          <w:lang w:val="en-US"/>
        </w:rPr>
      </w:pPr>
      <w:r w:rsidRPr="003200B8">
        <w:rPr>
          <w:rFonts w:ascii="Arial" w:eastAsia="Calibri" w:hAnsi="Arial" w:cs="Arial"/>
          <w:color w:val="000000" w:themeColor="text1"/>
          <w:lang w:val="en-US"/>
        </w:rPr>
        <w:t xml:space="preserve">World Health Organization (2019). </w:t>
      </w:r>
      <w:r w:rsidRPr="003200B8">
        <w:rPr>
          <w:rFonts w:ascii="Arial" w:eastAsia="Calibri" w:hAnsi="Arial" w:cs="Arial"/>
          <w:i/>
          <w:iCs/>
          <w:color w:val="000000" w:themeColor="text1"/>
          <w:lang w:val="en-US"/>
        </w:rPr>
        <w:t>Measles</w:t>
      </w:r>
      <w:r w:rsidRPr="003200B8">
        <w:rPr>
          <w:rFonts w:ascii="Arial" w:eastAsia="Calibri" w:hAnsi="Arial" w:cs="Arial"/>
          <w:color w:val="000000" w:themeColor="text1"/>
          <w:lang w:val="en-US"/>
        </w:rPr>
        <w:t xml:space="preserve">. [online] Who.int. Available at: </w:t>
      </w:r>
      <w:hyperlink r:id="rId9">
        <w:r w:rsidRPr="003200B8">
          <w:rPr>
            <w:rStyle w:val="Hyperlink"/>
            <w:rFonts w:ascii="Arial" w:eastAsia="Calibri" w:hAnsi="Arial" w:cs="Arial"/>
            <w:color w:val="000000" w:themeColor="text1"/>
            <w:lang w:val="en-US"/>
          </w:rPr>
          <w:t>https://www.who.int/news-room/fact-sheets/detail/measles</w:t>
        </w:r>
      </w:hyperlink>
      <w:r w:rsidRPr="003200B8">
        <w:rPr>
          <w:rFonts w:ascii="Arial" w:eastAsia="Calibri" w:hAnsi="Arial" w:cs="Arial"/>
          <w:color w:val="000000" w:themeColor="text1"/>
          <w:lang w:val="en-US"/>
        </w:rPr>
        <w:t>.</w:t>
      </w:r>
    </w:p>
    <w:p w14:paraId="1CE4CCDD" w14:textId="245CBE97" w:rsidR="32CD799B" w:rsidRPr="003200B8" w:rsidRDefault="32CD799B" w:rsidP="32CD799B">
      <w:pPr>
        <w:rPr>
          <w:rFonts w:ascii="Arial" w:eastAsia="Calibri" w:hAnsi="Arial" w:cs="Arial"/>
          <w:color w:val="000000" w:themeColor="text1"/>
          <w:lang w:val="en-US"/>
        </w:rPr>
      </w:pPr>
      <w:r w:rsidRPr="003200B8">
        <w:rPr>
          <w:rFonts w:ascii="Arial" w:eastAsia="Calibri" w:hAnsi="Arial" w:cs="Arial"/>
          <w:color w:val="000000" w:themeColor="text1"/>
          <w:lang w:val="en-US"/>
        </w:rPr>
        <w:t>‌</w:t>
      </w:r>
    </w:p>
    <w:p w14:paraId="2D6AD69D" w14:textId="184BFD97" w:rsidR="32CD799B" w:rsidRPr="003200B8" w:rsidRDefault="32CD799B" w:rsidP="32CD799B">
      <w:pPr>
        <w:rPr>
          <w:rFonts w:ascii="Arial" w:eastAsia="Calibri" w:hAnsi="Arial" w:cs="Arial"/>
          <w:color w:val="000000" w:themeColor="text1"/>
          <w:lang w:val="en-US"/>
        </w:rPr>
      </w:pPr>
    </w:p>
    <w:p w14:paraId="5117DA4E" w14:textId="4B1A06DF" w:rsidR="32CD799B" w:rsidRPr="003200B8" w:rsidRDefault="32CD799B" w:rsidP="32CD799B">
      <w:pPr>
        <w:rPr>
          <w:rFonts w:ascii="Arial" w:eastAsia="Calibri" w:hAnsi="Arial" w:cs="Arial"/>
          <w:color w:val="000000" w:themeColor="text1"/>
          <w:lang w:val="en-US"/>
        </w:rPr>
      </w:pPr>
      <w:r w:rsidRPr="003200B8">
        <w:rPr>
          <w:rFonts w:ascii="Arial" w:eastAsia="Calibri" w:hAnsi="Arial" w:cs="Arial"/>
          <w:color w:val="000000" w:themeColor="text1"/>
          <w:lang w:val="en-US"/>
        </w:rPr>
        <w:t>‌</w:t>
      </w:r>
    </w:p>
    <w:p w14:paraId="30FBEF37" w14:textId="3954D784" w:rsidR="32CD799B" w:rsidRPr="003200B8" w:rsidRDefault="32CD799B" w:rsidP="32CD799B">
      <w:pPr>
        <w:rPr>
          <w:rFonts w:ascii="Arial" w:eastAsia="Calibri" w:hAnsi="Arial" w:cs="Arial"/>
          <w:color w:val="000000" w:themeColor="text1"/>
          <w:lang w:val="en-US"/>
        </w:rPr>
      </w:pPr>
    </w:p>
    <w:p w14:paraId="73E5D9A8" w14:textId="04D9164E" w:rsidR="32CD799B" w:rsidRPr="003200B8" w:rsidRDefault="32CD799B" w:rsidP="32CD799B">
      <w:pPr>
        <w:rPr>
          <w:rFonts w:ascii="Arial" w:eastAsia="Calibri" w:hAnsi="Arial" w:cs="Arial"/>
          <w:color w:val="000000" w:themeColor="text1"/>
          <w:lang w:val="en-US"/>
        </w:rPr>
      </w:pPr>
    </w:p>
    <w:p w14:paraId="4B50739C" w14:textId="20BEAFEE" w:rsidR="32CD799B" w:rsidRPr="003200B8" w:rsidRDefault="32CD799B" w:rsidP="32CD799B">
      <w:pPr>
        <w:rPr>
          <w:rFonts w:ascii="Arial" w:eastAsia="Calibri" w:hAnsi="Arial" w:cs="Arial"/>
          <w:color w:val="000000" w:themeColor="text1"/>
          <w:lang w:val="en-US"/>
        </w:rPr>
      </w:pPr>
    </w:p>
    <w:p w14:paraId="167547B5" w14:textId="261BF77B" w:rsidR="32CD799B" w:rsidRPr="003200B8" w:rsidRDefault="32CD799B" w:rsidP="32CD799B">
      <w:pPr>
        <w:rPr>
          <w:rFonts w:ascii="Arial" w:eastAsia="Arial" w:hAnsi="Arial" w:cs="Arial"/>
          <w:color w:val="000000" w:themeColor="text1"/>
        </w:rPr>
      </w:pPr>
    </w:p>
    <w:p w14:paraId="672E4964" w14:textId="092FFCA9" w:rsidR="32CD799B" w:rsidRPr="003200B8" w:rsidRDefault="32CD799B" w:rsidP="32CD799B">
      <w:pPr>
        <w:rPr>
          <w:rFonts w:ascii="Arial" w:eastAsia="Arial" w:hAnsi="Arial" w:cs="Arial"/>
          <w:color w:val="000000" w:themeColor="text1"/>
        </w:rPr>
      </w:pPr>
    </w:p>
    <w:p w14:paraId="2E29CA42" w14:textId="3A7C61D4" w:rsidR="32CD799B" w:rsidRPr="003200B8" w:rsidRDefault="32CD799B" w:rsidP="32CD799B">
      <w:pPr>
        <w:rPr>
          <w:rFonts w:ascii="Arial" w:eastAsia="Arial" w:hAnsi="Arial" w:cs="Arial"/>
          <w:color w:val="000000" w:themeColor="text1"/>
        </w:rPr>
      </w:pPr>
    </w:p>
    <w:p w14:paraId="2E3FD473" w14:textId="72F0B08A" w:rsidR="32CD799B" w:rsidRPr="003200B8" w:rsidRDefault="32CD799B" w:rsidP="32CD799B">
      <w:pPr>
        <w:rPr>
          <w:rFonts w:ascii="Arial" w:eastAsia="Arial" w:hAnsi="Arial" w:cs="Arial"/>
          <w:color w:val="000000" w:themeColor="text1"/>
        </w:rPr>
      </w:pPr>
    </w:p>
    <w:sectPr w:rsidR="32CD799B" w:rsidRPr="003200B8" w:rsidSect="00955AB6">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7DA71" w14:textId="77777777" w:rsidR="00D7587A" w:rsidRDefault="00D7587A" w:rsidP="00955AB6">
      <w:pPr>
        <w:spacing w:after="0" w:line="240" w:lineRule="auto"/>
      </w:pPr>
      <w:r>
        <w:separator/>
      </w:r>
    </w:p>
  </w:endnote>
  <w:endnote w:type="continuationSeparator" w:id="0">
    <w:p w14:paraId="2D7D7C8B" w14:textId="77777777" w:rsidR="00D7587A" w:rsidRDefault="00D7587A" w:rsidP="00955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054711"/>
      <w:docPartObj>
        <w:docPartGallery w:val="Page Numbers (Bottom of Page)"/>
        <w:docPartUnique/>
      </w:docPartObj>
    </w:sdtPr>
    <w:sdtEndPr>
      <w:rPr>
        <w:color w:val="7F7F7F" w:themeColor="background1" w:themeShade="7F"/>
        <w:spacing w:val="60"/>
      </w:rPr>
    </w:sdtEndPr>
    <w:sdtContent>
      <w:p w14:paraId="64EF425E" w14:textId="169FAE5A" w:rsidR="00955AB6" w:rsidRDefault="00955AB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C0301C6" w14:textId="77777777" w:rsidR="00955AB6" w:rsidRDefault="00955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7C018" w14:textId="77777777" w:rsidR="00D7587A" w:rsidRDefault="00D7587A" w:rsidP="00955AB6">
      <w:pPr>
        <w:spacing w:after="0" w:line="240" w:lineRule="auto"/>
      </w:pPr>
      <w:r>
        <w:separator/>
      </w:r>
    </w:p>
  </w:footnote>
  <w:footnote w:type="continuationSeparator" w:id="0">
    <w:p w14:paraId="409DB63D" w14:textId="77777777" w:rsidR="00D7587A" w:rsidRDefault="00D7587A" w:rsidP="00955A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262F16"/>
    <w:rsid w:val="00054C92"/>
    <w:rsid w:val="001430F3"/>
    <w:rsid w:val="00197BA7"/>
    <w:rsid w:val="003200B8"/>
    <w:rsid w:val="0036357A"/>
    <w:rsid w:val="003B51FA"/>
    <w:rsid w:val="00681ACD"/>
    <w:rsid w:val="00822FF2"/>
    <w:rsid w:val="00955AB6"/>
    <w:rsid w:val="00977430"/>
    <w:rsid w:val="00AF580E"/>
    <w:rsid w:val="00BD0658"/>
    <w:rsid w:val="00D7587A"/>
    <w:rsid w:val="00FC5462"/>
    <w:rsid w:val="2C262F16"/>
    <w:rsid w:val="32CD7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62F16"/>
  <w15:chartTrackingRefBased/>
  <w15:docId w15:val="{FD0300E7-88A2-4C93-A89C-DC411916B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2CD799B"/>
    <w:rPr>
      <w:lang w:val="en-GB"/>
    </w:rPr>
  </w:style>
  <w:style w:type="paragraph" w:styleId="Heading1">
    <w:name w:val="heading 1"/>
    <w:basedOn w:val="Normal"/>
    <w:next w:val="Normal"/>
    <w:link w:val="Heading1Char"/>
    <w:uiPriority w:val="9"/>
    <w:qFormat/>
    <w:rsid w:val="32CD79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2CD79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2CD799B"/>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2CD799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2CD799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2CD799B"/>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2CD799B"/>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2CD799B"/>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2CD799B"/>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2CD799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2CD799B"/>
    <w:rPr>
      <w:rFonts w:eastAsiaTheme="minorEastAsia"/>
      <w:color w:val="5A5A5A"/>
    </w:rPr>
  </w:style>
  <w:style w:type="paragraph" w:styleId="Quote">
    <w:name w:val="Quote"/>
    <w:basedOn w:val="Normal"/>
    <w:next w:val="Normal"/>
    <w:link w:val="QuoteChar"/>
    <w:uiPriority w:val="29"/>
    <w:qFormat/>
    <w:rsid w:val="32CD799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2CD799B"/>
    <w:pPr>
      <w:spacing w:before="360" w:after="360"/>
      <w:ind w:left="864" w:right="864"/>
      <w:jc w:val="center"/>
    </w:pPr>
    <w:rPr>
      <w:i/>
      <w:iCs/>
      <w:color w:val="4472C4" w:themeColor="accent1"/>
    </w:rPr>
  </w:style>
  <w:style w:type="paragraph" w:styleId="ListParagraph">
    <w:name w:val="List Paragraph"/>
    <w:basedOn w:val="Normal"/>
    <w:uiPriority w:val="34"/>
    <w:qFormat/>
    <w:rsid w:val="32CD799B"/>
    <w:pPr>
      <w:ind w:left="720"/>
      <w:contextualSpacing/>
    </w:pPr>
  </w:style>
  <w:style w:type="character" w:customStyle="1" w:styleId="Heading1Char">
    <w:name w:val="Heading 1 Char"/>
    <w:basedOn w:val="DefaultParagraphFont"/>
    <w:link w:val="Heading1"/>
    <w:uiPriority w:val="9"/>
    <w:rsid w:val="32CD799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2CD799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2CD799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2CD799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2CD799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2CD799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2CD799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2CD799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2CD799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2CD799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2CD799B"/>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2CD799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2CD799B"/>
    <w:rPr>
      <w:i/>
      <w:iCs/>
      <w:noProof w:val="0"/>
      <w:color w:val="4472C4" w:themeColor="accent1"/>
      <w:lang w:val="en-GB"/>
    </w:rPr>
  </w:style>
  <w:style w:type="paragraph" w:styleId="TOC1">
    <w:name w:val="toc 1"/>
    <w:basedOn w:val="Normal"/>
    <w:next w:val="Normal"/>
    <w:uiPriority w:val="39"/>
    <w:unhideWhenUsed/>
    <w:rsid w:val="32CD799B"/>
    <w:pPr>
      <w:spacing w:after="100"/>
    </w:pPr>
  </w:style>
  <w:style w:type="paragraph" w:styleId="TOC2">
    <w:name w:val="toc 2"/>
    <w:basedOn w:val="Normal"/>
    <w:next w:val="Normal"/>
    <w:uiPriority w:val="39"/>
    <w:unhideWhenUsed/>
    <w:rsid w:val="32CD799B"/>
    <w:pPr>
      <w:spacing w:after="100"/>
      <w:ind w:left="220"/>
    </w:pPr>
  </w:style>
  <w:style w:type="paragraph" w:styleId="TOC3">
    <w:name w:val="toc 3"/>
    <w:basedOn w:val="Normal"/>
    <w:next w:val="Normal"/>
    <w:uiPriority w:val="39"/>
    <w:unhideWhenUsed/>
    <w:rsid w:val="32CD799B"/>
    <w:pPr>
      <w:spacing w:after="100"/>
      <w:ind w:left="440"/>
    </w:pPr>
  </w:style>
  <w:style w:type="paragraph" w:styleId="TOC4">
    <w:name w:val="toc 4"/>
    <w:basedOn w:val="Normal"/>
    <w:next w:val="Normal"/>
    <w:uiPriority w:val="39"/>
    <w:unhideWhenUsed/>
    <w:rsid w:val="32CD799B"/>
    <w:pPr>
      <w:spacing w:after="100"/>
      <w:ind w:left="660"/>
    </w:pPr>
  </w:style>
  <w:style w:type="paragraph" w:styleId="TOC5">
    <w:name w:val="toc 5"/>
    <w:basedOn w:val="Normal"/>
    <w:next w:val="Normal"/>
    <w:uiPriority w:val="39"/>
    <w:unhideWhenUsed/>
    <w:rsid w:val="32CD799B"/>
    <w:pPr>
      <w:spacing w:after="100"/>
      <w:ind w:left="880"/>
    </w:pPr>
  </w:style>
  <w:style w:type="paragraph" w:styleId="TOC6">
    <w:name w:val="toc 6"/>
    <w:basedOn w:val="Normal"/>
    <w:next w:val="Normal"/>
    <w:uiPriority w:val="39"/>
    <w:unhideWhenUsed/>
    <w:rsid w:val="32CD799B"/>
    <w:pPr>
      <w:spacing w:after="100"/>
      <w:ind w:left="1100"/>
    </w:pPr>
  </w:style>
  <w:style w:type="paragraph" w:styleId="TOC7">
    <w:name w:val="toc 7"/>
    <w:basedOn w:val="Normal"/>
    <w:next w:val="Normal"/>
    <w:uiPriority w:val="39"/>
    <w:unhideWhenUsed/>
    <w:rsid w:val="32CD799B"/>
    <w:pPr>
      <w:spacing w:after="100"/>
      <w:ind w:left="1320"/>
    </w:pPr>
  </w:style>
  <w:style w:type="paragraph" w:styleId="TOC8">
    <w:name w:val="toc 8"/>
    <w:basedOn w:val="Normal"/>
    <w:next w:val="Normal"/>
    <w:uiPriority w:val="39"/>
    <w:unhideWhenUsed/>
    <w:rsid w:val="32CD799B"/>
    <w:pPr>
      <w:spacing w:after="100"/>
      <w:ind w:left="1540"/>
    </w:pPr>
  </w:style>
  <w:style w:type="paragraph" w:styleId="TOC9">
    <w:name w:val="toc 9"/>
    <w:basedOn w:val="Normal"/>
    <w:next w:val="Normal"/>
    <w:uiPriority w:val="39"/>
    <w:unhideWhenUsed/>
    <w:rsid w:val="32CD799B"/>
    <w:pPr>
      <w:spacing w:after="100"/>
      <w:ind w:left="1760"/>
    </w:pPr>
  </w:style>
  <w:style w:type="paragraph" w:styleId="EndnoteText">
    <w:name w:val="endnote text"/>
    <w:basedOn w:val="Normal"/>
    <w:link w:val="EndnoteTextChar"/>
    <w:uiPriority w:val="99"/>
    <w:semiHidden/>
    <w:unhideWhenUsed/>
    <w:rsid w:val="32CD799B"/>
    <w:pPr>
      <w:spacing w:after="0"/>
    </w:pPr>
    <w:rPr>
      <w:sz w:val="20"/>
      <w:szCs w:val="20"/>
    </w:rPr>
  </w:style>
  <w:style w:type="character" w:customStyle="1" w:styleId="EndnoteTextChar">
    <w:name w:val="Endnote Text Char"/>
    <w:basedOn w:val="DefaultParagraphFont"/>
    <w:link w:val="EndnoteText"/>
    <w:uiPriority w:val="99"/>
    <w:semiHidden/>
    <w:rsid w:val="32CD799B"/>
    <w:rPr>
      <w:noProof w:val="0"/>
      <w:sz w:val="20"/>
      <w:szCs w:val="20"/>
      <w:lang w:val="en-GB"/>
    </w:rPr>
  </w:style>
  <w:style w:type="paragraph" w:styleId="Footer">
    <w:name w:val="footer"/>
    <w:basedOn w:val="Normal"/>
    <w:link w:val="FooterChar"/>
    <w:uiPriority w:val="99"/>
    <w:unhideWhenUsed/>
    <w:rsid w:val="32CD799B"/>
    <w:pPr>
      <w:tabs>
        <w:tab w:val="center" w:pos="4680"/>
        <w:tab w:val="right" w:pos="9360"/>
      </w:tabs>
      <w:spacing w:after="0"/>
    </w:pPr>
  </w:style>
  <w:style w:type="character" w:customStyle="1" w:styleId="FooterChar">
    <w:name w:val="Footer Char"/>
    <w:basedOn w:val="DefaultParagraphFont"/>
    <w:link w:val="Footer"/>
    <w:uiPriority w:val="99"/>
    <w:rsid w:val="32CD799B"/>
    <w:rPr>
      <w:noProof w:val="0"/>
      <w:lang w:val="en-GB"/>
    </w:rPr>
  </w:style>
  <w:style w:type="paragraph" w:styleId="FootnoteText">
    <w:name w:val="footnote text"/>
    <w:basedOn w:val="Normal"/>
    <w:link w:val="FootnoteTextChar"/>
    <w:uiPriority w:val="99"/>
    <w:semiHidden/>
    <w:unhideWhenUsed/>
    <w:rsid w:val="32CD799B"/>
    <w:pPr>
      <w:spacing w:after="0"/>
    </w:pPr>
    <w:rPr>
      <w:sz w:val="20"/>
      <w:szCs w:val="20"/>
    </w:rPr>
  </w:style>
  <w:style w:type="character" w:customStyle="1" w:styleId="FootnoteTextChar">
    <w:name w:val="Footnote Text Char"/>
    <w:basedOn w:val="DefaultParagraphFont"/>
    <w:link w:val="FootnoteText"/>
    <w:uiPriority w:val="99"/>
    <w:semiHidden/>
    <w:rsid w:val="32CD799B"/>
    <w:rPr>
      <w:noProof w:val="0"/>
      <w:sz w:val="20"/>
      <w:szCs w:val="20"/>
      <w:lang w:val="en-GB"/>
    </w:rPr>
  </w:style>
  <w:style w:type="paragraph" w:styleId="Header">
    <w:name w:val="header"/>
    <w:basedOn w:val="Normal"/>
    <w:link w:val="HeaderChar"/>
    <w:uiPriority w:val="99"/>
    <w:unhideWhenUsed/>
    <w:rsid w:val="32CD799B"/>
    <w:pPr>
      <w:tabs>
        <w:tab w:val="center" w:pos="4680"/>
        <w:tab w:val="right" w:pos="9360"/>
      </w:tabs>
      <w:spacing w:after="0"/>
    </w:pPr>
  </w:style>
  <w:style w:type="character" w:customStyle="1" w:styleId="HeaderChar">
    <w:name w:val="Header Char"/>
    <w:basedOn w:val="DefaultParagraphFont"/>
    <w:link w:val="Header"/>
    <w:uiPriority w:val="99"/>
    <w:rsid w:val="32CD799B"/>
    <w:rPr>
      <w:noProof w:val="0"/>
      <w:lang w:val="en-GB"/>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822FF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mumps-the-green-book-chapter-28" TargetMode="External" /><Relationship Id="rId3" Type="http://schemas.openxmlformats.org/officeDocument/2006/relationships/settings" Target="settings.xml" /><Relationship Id="rId7" Type="http://schemas.openxmlformats.org/officeDocument/2006/relationships/hyperlink" Target="https://www.gov.uk/government/collections/health-protection-report-volume-15-2021"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www.who.int/news-room/fact-sheets/detail/measl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9EFE4-0EC3-470F-8D2B-973F036CAA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1377</Words>
  <Characters>7852</Characters>
  <Application>Microsoft Office Word</Application>
  <DocSecurity>0</DocSecurity>
  <Lines>65</Lines>
  <Paragraphs>18</Paragraphs>
  <ScaleCrop>false</ScaleCrop>
  <Company/>
  <LinksUpToDate>false</LinksUpToDate>
  <CharactersWithSpaces>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Rono</dc:creator>
  <cp:keywords/>
  <dc:description/>
  <cp:lastModifiedBy>Elena-Daniela Virlan</cp:lastModifiedBy>
  <cp:revision>2</cp:revision>
  <dcterms:created xsi:type="dcterms:W3CDTF">2023-04-17T11:09:00Z</dcterms:created>
  <dcterms:modified xsi:type="dcterms:W3CDTF">2023-04-17T11:09:00Z</dcterms:modified>
</cp:coreProperties>
</file>