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381F0" w14:textId="77777777" w:rsidR="003779B9" w:rsidRPr="001F5093" w:rsidRDefault="00DE49E6" w:rsidP="00DE49E6">
      <w:pPr>
        <w:jc w:val="center"/>
        <w:rPr>
          <w:rFonts w:ascii="Calibri" w:hAnsi="Calibri" w:cs="Calibri"/>
          <w:sz w:val="36"/>
          <w:szCs w:val="36"/>
        </w:rPr>
      </w:pPr>
      <w:r w:rsidRPr="001F5093">
        <w:rPr>
          <w:rFonts w:ascii="Calibri" w:hAnsi="Calibri" w:cs="Calibri"/>
          <w:sz w:val="36"/>
          <w:szCs w:val="36"/>
        </w:rPr>
        <w:t>Learning Theory and Practice Present</w:t>
      </w:r>
      <w:r w:rsidR="003779B9" w:rsidRPr="001F5093">
        <w:rPr>
          <w:rFonts w:ascii="Calibri" w:hAnsi="Calibri" w:cs="Calibri"/>
          <w:sz w:val="36"/>
          <w:szCs w:val="36"/>
        </w:rPr>
        <w:t xml:space="preserve">ation </w:t>
      </w:r>
    </w:p>
    <w:p w14:paraId="4AD61E04" w14:textId="77777777" w:rsidR="008E2CD5" w:rsidRPr="001F5093" w:rsidRDefault="008E2CD5" w:rsidP="003779B9">
      <w:pPr>
        <w:rPr>
          <w:rFonts w:ascii="Calibri" w:hAnsi="Calibri" w:cs="Calibri"/>
          <w:sz w:val="28"/>
          <w:szCs w:val="28"/>
        </w:rPr>
      </w:pPr>
    </w:p>
    <w:p w14:paraId="532DCCD7" w14:textId="712F9E3A" w:rsidR="00BB0C39" w:rsidRPr="001F5093" w:rsidRDefault="003779B9" w:rsidP="003779B9">
      <w:pPr>
        <w:rPr>
          <w:rFonts w:ascii="Calibri" w:hAnsi="Calibri" w:cs="Calibri"/>
          <w:sz w:val="28"/>
          <w:szCs w:val="28"/>
        </w:rPr>
      </w:pPr>
      <w:r w:rsidRPr="001F5093">
        <w:rPr>
          <w:rFonts w:ascii="Calibri" w:hAnsi="Calibri" w:cs="Calibri"/>
          <w:sz w:val="28"/>
          <w:szCs w:val="28"/>
        </w:rPr>
        <w:t xml:space="preserve">Scott </w:t>
      </w:r>
      <w:proofErr w:type="gramStart"/>
      <w:r w:rsidRPr="001F5093">
        <w:rPr>
          <w:rFonts w:ascii="Calibri" w:hAnsi="Calibri" w:cs="Calibri"/>
          <w:sz w:val="28"/>
          <w:szCs w:val="28"/>
        </w:rPr>
        <w:t xml:space="preserve">Roberts </w:t>
      </w:r>
      <w:r w:rsidR="00DE49E6" w:rsidRPr="001F5093">
        <w:rPr>
          <w:rFonts w:ascii="Calibri" w:hAnsi="Calibri" w:cs="Calibri"/>
          <w:sz w:val="28"/>
          <w:szCs w:val="28"/>
        </w:rPr>
        <w:t xml:space="preserve"> </w:t>
      </w:r>
      <w:r w:rsidR="008E2CD5" w:rsidRPr="001F5093">
        <w:rPr>
          <w:rFonts w:ascii="Calibri" w:hAnsi="Calibri" w:cs="Calibri"/>
          <w:sz w:val="28"/>
          <w:szCs w:val="28"/>
        </w:rPr>
        <w:t>2318299</w:t>
      </w:r>
      <w:proofErr w:type="gramEnd"/>
    </w:p>
    <w:p w14:paraId="7C657D11" w14:textId="197A9641" w:rsidR="00BB0C39" w:rsidRPr="001F5093" w:rsidRDefault="008E2CD5" w:rsidP="00A6284D">
      <w:pPr>
        <w:rPr>
          <w:rFonts w:ascii="Calibri" w:hAnsi="Calibri" w:cs="Calibri"/>
          <w:sz w:val="28"/>
          <w:szCs w:val="28"/>
        </w:rPr>
      </w:pPr>
      <w:hyperlink r:id="rId5" w:history="1">
        <w:r w:rsidRPr="001F5093">
          <w:rPr>
            <w:rStyle w:val="Hyperlink"/>
            <w:rFonts w:ascii="Calibri" w:hAnsi="Calibri" w:cs="Calibri"/>
            <w:sz w:val="28"/>
            <w:szCs w:val="28"/>
          </w:rPr>
          <w:t>https://uowtsd-my.sharepoint.com/:v:/g/personal/2307917_student_uwtsd_ac_uk/EZoMr05w03dPtVQEDIFCXooBRzziSRTwsDucWiOYvd6yTQ?referrer=Teams.TEAMS-ELECTRON&amp;referrerScenario=MeetingChicletGetLink.view.view</w:t>
        </w:r>
      </w:hyperlink>
      <w:r w:rsidRPr="001F5093">
        <w:rPr>
          <w:rFonts w:ascii="Calibri" w:hAnsi="Calibri" w:cs="Calibri"/>
          <w:sz w:val="28"/>
          <w:szCs w:val="28"/>
        </w:rPr>
        <w:t xml:space="preserve"> </w:t>
      </w:r>
    </w:p>
    <w:p w14:paraId="1A9E1AB2" w14:textId="3095B3E0" w:rsidR="00BB0C39" w:rsidRPr="001F5093" w:rsidRDefault="008E2CD5" w:rsidP="00A6284D">
      <w:pPr>
        <w:rPr>
          <w:rFonts w:ascii="Calibri" w:hAnsi="Calibri" w:cs="Calibri"/>
          <w:sz w:val="28"/>
          <w:szCs w:val="28"/>
        </w:rPr>
      </w:pPr>
      <w:r w:rsidRPr="001F5093">
        <w:rPr>
          <w:rFonts w:ascii="Calibri" w:hAnsi="Calibri" w:cs="Calibri"/>
          <w:sz w:val="28"/>
          <w:szCs w:val="28"/>
        </w:rPr>
        <w:t xml:space="preserve"> </w:t>
      </w:r>
    </w:p>
    <w:p w14:paraId="403B0068" w14:textId="5C7BF620" w:rsidR="00D20354" w:rsidRPr="001F5093" w:rsidRDefault="00D20354" w:rsidP="00A6284D">
      <w:pPr>
        <w:rPr>
          <w:rFonts w:ascii="Calibri" w:hAnsi="Calibri" w:cs="Calibri"/>
          <w:sz w:val="28"/>
          <w:szCs w:val="28"/>
        </w:rPr>
      </w:pPr>
      <w:r w:rsidRPr="001F5093">
        <w:rPr>
          <w:rFonts w:ascii="Calibri" w:hAnsi="Calibri" w:cs="Calibri"/>
          <w:noProof/>
          <w:sz w:val="28"/>
          <w:szCs w:val="28"/>
        </w:rPr>
        <w:drawing>
          <wp:inline distT="0" distB="0" distL="0" distR="0" wp14:anchorId="55904121" wp14:editId="3FD94F7C">
            <wp:extent cx="5731510" cy="3223895"/>
            <wp:effectExtent l="0" t="0" r="2540" b="0"/>
            <wp:docPr id="7878789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7878959"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1FCEEAEF" w14:textId="096D3B14" w:rsidR="00D20354" w:rsidRPr="001F5093" w:rsidRDefault="00E73F12"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46D1EFC8" wp14:editId="27BBAD7E">
            <wp:extent cx="5745480" cy="3231496"/>
            <wp:effectExtent l="0" t="0" r="7620" b="7620"/>
            <wp:docPr id="3087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57514" cy="3238264"/>
                    </a:xfrm>
                    <a:prstGeom prst="rect">
                      <a:avLst/>
                    </a:prstGeom>
                    <a:noFill/>
                  </pic:spPr>
                </pic:pic>
              </a:graphicData>
            </a:graphic>
          </wp:inline>
        </w:drawing>
      </w:r>
    </w:p>
    <w:p w14:paraId="5D619BB9" w14:textId="2A2E5013" w:rsidR="00E73F12" w:rsidRPr="001F5093" w:rsidRDefault="00E73F12" w:rsidP="00A6284D">
      <w:pPr>
        <w:rPr>
          <w:rFonts w:ascii="Calibri" w:hAnsi="Calibri" w:cs="Calibri"/>
          <w:sz w:val="28"/>
          <w:szCs w:val="28"/>
        </w:rPr>
      </w:pPr>
      <w:r w:rsidRPr="001F5093">
        <w:rPr>
          <w:rFonts w:ascii="Calibri" w:hAnsi="Calibri" w:cs="Calibri"/>
          <w:noProof/>
          <w:sz w:val="28"/>
          <w:szCs w:val="28"/>
        </w:rPr>
        <w:drawing>
          <wp:inline distT="0" distB="0" distL="0" distR="0" wp14:anchorId="4DC2AEE3" wp14:editId="0AF684B3">
            <wp:extent cx="5731510" cy="3223895"/>
            <wp:effectExtent l="0" t="0" r="2540" b="0"/>
            <wp:docPr id="108444857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448573"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6EC8C85E" w14:textId="3E416E1D" w:rsidR="00E73F12" w:rsidRPr="001F5093" w:rsidRDefault="00AB2C84"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6F2A1869" wp14:editId="7E711D5D">
            <wp:extent cx="5731510" cy="3223895"/>
            <wp:effectExtent l="0" t="0" r="2540" b="0"/>
            <wp:docPr id="25950607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9506077"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3A5B701C" w14:textId="27724D41" w:rsidR="00AB2C84" w:rsidRPr="001F5093" w:rsidRDefault="00AB2C84" w:rsidP="00A6284D">
      <w:pPr>
        <w:rPr>
          <w:rFonts w:ascii="Calibri" w:hAnsi="Calibri" w:cs="Calibri"/>
          <w:sz w:val="28"/>
          <w:szCs w:val="28"/>
        </w:rPr>
      </w:pPr>
      <w:r w:rsidRPr="001F5093">
        <w:rPr>
          <w:rFonts w:ascii="Calibri" w:hAnsi="Calibri" w:cs="Calibri"/>
          <w:noProof/>
          <w:sz w:val="28"/>
          <w:szCs w:val="28"/>
        </w:rPr>
        <w:drawing>
          <wp:inline distT="0" distB="0" distL="0" distR="0" wp14:anchorId="670A7F84" wp14:editId="4E94C802">
            <wp:extent cx="5731510" cy="3223895"/>
            <wp:effectExtent l="0" t="0" r="2540" b="0"/>
            <wp:docPr id="10100164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01642"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252BC0AB" w14:textId="3C139A96" w:rsidR="00AB2C84" w:rsidRPr="001F5093" w:rsidRDefault="00A130C0"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571E3BD8" wp14:editId="300653C2">
            <wp:extent cx="5731510" cy="3223895"/>
            <wp:effectExtent l="0" t="0" r="2540" b="0"/>
            <wp:docPr id="70337200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3372002"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EA58716" w14:textId="77777777" w:rsidR="00A130C0" w:rsidRPr="001F5093" w:rsidRDefault="00A130C0" w:rsidP="00A6284D">
      <w:pPr>
        <w:rPr>
          <w:rFonts w:ascii="Calibri" w:hAnsi="Calibri" w:cs="Calibri"/>
          <w:sz w:val="28"/>
          <w:szCs w:val="28"/>
        </w:rPr>
      </w:pPr>
    </w:p>
    <w:p w14:paraId="5FFED009" w14:textId="6341BAA1" w:rsidR="00AB2C84" w:rsidRPr="001F5093" w:rsidRDefault="00A130C0" w:rsidP="00A6284D">
      <w:pPr>
        <w:rPr>
          <w:rFonts w:ascii="Calibri" w:hAnsi="Calibri" w:cs="Calibri"/>
          <w:sz w:val="28"/>
          <w:szCs w:val="28"/>
        </w:rPr>
      </w:pPr>
      <w:r w:rsidRPr="001F5093">
        <w:rPr>
          <w:rFonts w:ascii="Calibri" w:hAnsi="Calibri" w:cs="Calibri"/>
          <w:noProof/>
          <w:sz w:val="28"/>
          <w:szCs w:val="28"/>
        </w:rPr>
        <w:drawing>
          <wp:inline distT="0" distB="0" distL="0" distR="0" wp14:anchorId="6BA1A98C" wp14:editId="2C35C556">
            <wp:extent cx="5731510" cy="3223895"/>
            <wp:effectExtent l="0" t="0" r="2540" b="0"/>
            <wp:docPr id="67856222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8562224"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266B8C78" w14:textId="114E0BD0" w:rsidR="00A130C0" w:rsidRPr="001F5093" w:rsidRDefault="005B0C8B"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7A27EA19" wp14:editId="34E47729">
            <wp:extent cx="5731510" cy="3223895"/>
            <wp:effectExtent l="0" t="0" r="2540" b="0"/>
            <wp:docPr id="19595849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958495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40026754" w14:textId="20AD899B" w:rsidR="005B0C8B" w:rsidRPr="001F5093" w:rsidRDefault="005B0C8B" w:rsidP="00A6284D">
      <w:pPr>
        <w:rPr>
          <w:rFonts w:ascii="Calibri" w:hAnsi="Calibri" w:cs="Calibri"/>
          <w:sz w:val="28"/>
          <w:szCs w:val="28"/>
        </w:rPr>
      </w:pPr>
      <w:r w:rsidRPr="001F5093">
        <w:rPr>
          <w:rFonts w:ascii="Calibri" w:hAnsi="Calibri" w:cs="Calibri"/>
          <w:noProof/>
          <w:sz w:val="28"/>
          <w:szCs w:val="28"/>
        </w:rPr>
        <w:drawing>
          <wp:inline distT="0" distB="0" distL="0" distR="0" wp14:anchorId="3C84CD62" wp14:editId="3343CBCA">
            <wp:extent cx="5731510" cy="3223895"/>
            <wp:effectExtent l="0" t="0" r="2540" b="0"/>
            <wp:docPr id="3993332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333246"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2B7C6A78" w14:textId="1264D0C8" w:rsidR="00D20354" w:rsidRPr="001F5093" w:rsidRDefault="000B453F"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40AA3683" wp14:editId="3DA1FBC9">
            <wp:extent cx="5731510" cy="3223895"/>
            <wp:effectExtent l="0" t="0" r="2540" b="0"/>
            <wp:docPr id="12233318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31811"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1A59779B" w14:textId="2DA8BF36" w:rsidR="00D20354" w:rsidRPr="001F5093" w:rsidRDefault="000B453F" w:rsidP="00A6284D">
      <w:pPr>
        <w:rPr>
          <w:rFonts w:ascii="Calibri" w:hAnsi="Calibri" w:cs="Calibri"/>
          <w:sz w:val="28"/>
          <w:szCs w:val="28"/>
        </w:rPr>
      </w:pPr>
      <w:r w:rsidRPr="001F5093">
        <w:rPr>
          <w:rFonts w:ascii="Calibri" w:hAnsi="Calibri" w:cs="Calibri"/>
          <w:noProof/>
          <w:sz w:val="28"/>
          <w:szCs w:val="28"/>
        </w:rPr>
        <w:drawing>
          <wp:inline distT="0" distB="0" distL="0" distR="0" wp14:anchorId="3DBC4818" wp14:editId="48858555">
            <wp:extent cx="5731510" cy="3223895"/>
            <wp:effectExtent l="0" t="0" r="2540" b="0"/>
            <wp:docPr id="2999204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920431"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56A14919" w14:textId="66BD460F" w:rsidR="00D20354" w:rsidRPr="001F5093" w:rsidRDefault="008A0E55"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063598D3" wp14:editId="48BB6475">
            <wp:extent cx="5731510" cy="3223895"/>
            <wp:effectExtent l="0" t="0" r="2540" b="0"/>
            <wp:docPr id="190985080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850803"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p w14:paraId="77F519E2" w14:textId="7682DFC4" w:rsidR="00D20354" w:rsidRPr="001F5093" w:rsidRDefault="008A0E55" w:rsidP="00A6284D">
      <w:pPr>
        <w:rPr>
          <w:rFonts w:ascii="Calibri" w:hAnsi="Calibri" w:cs="Calibri"/>
          <w:sz w:val="28"/>
          <w:szCs w:val="28"/>
        </w:rPr>
      </w:pPr>
      <w:r w:rsidRPr="001F5093">
        <w:rPr>
          <w:rFonts w:ascii="Calibri" w:hAnsi="Calibri" w:cs="Calibri"/>
          <w:noProof/>
          <w:sz w:val="28"/>
          <w:szCs w:val="28"/>
        </w:rPr>
        <w:drawing>
          <wp:inline distT="0" distB="0" distL="0" distR="0" wp14:anchorId="15CF6688" wp14:editId="1362634F">
            <wp:extent cx="5731510" cy="3223895"/>
            <wp:effectExtent l="0" t="0" r="2540" b="0"/>
            <wp:docPr id="85297599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2975995" name=""/>
                    <pic:cNvPicPr/>
                  </pic:nvPicPr>
                  <pic:blipFill>
                    <a:blip r:embed="rId29">
                      <a:extLst>
                        <a:ext uri="{96DAC541-7B7A-43D3-8B79-37D633B846F1}">
                          <asvg:svgBlip xmlns:asvg="http://schemas.microsoft.com/office/drawing/2016/SVG/main" r:embed="rId30"/>
                        </a:ext>
                      </a:extLst>
                    </a:blip>
                    <a:stretch>
                      <a:fillRect/>
                    </a:stretch>
                  </pic:blipFill>
                  <pic:spPr>
                    <a:xfrm>
                      <a:off x="0" y="0"/>
                      <a:ext cx="5731510" cy="3223895"/>
                    </a:xfrm>
                    <a:prstGeom prst="rect">
                      <a:avLst/>
                    </a:prstGeom>
                  </pic:spPr>
                </pic:pic>
              </a:graphicData>
            </a:graphic>
          </wp:inline>
        </w:drawing>
      </w:r>
    </w:p>
    <w:p w14:paraId="37E22123" w14:textId="29E4AE8D" w:rsidR="00D20354" w:rsidRPr="001F5093" w:rsidRDefault="00BB0C39" w:rsidP="00A6284D">
      <w:pPr>
        <w:rPr>
          <w:rFonts w:ascii="Calibri" w:hAnsi="Calibri" w:cs="Calibri"/>
          <w:sz w:val="28"/>
          <w:szCs w:val="28"/>
        </w:rPr>
      </w:pPr>
      <w:r w:rsidRPr="001F5093">
        <w:rPr>
          <w:rFonts w:ascii="Calibri" w:hAnsi="Calibri" w:cs="Calibri"/>
          <w:noProof/>
          <w:sz w:val="28"/>
          <w:szCs w:val="28"/>
        </w:rPr>
        <w:lastRenderedPageBreak/>
        <w:drawing>
          <wp:inline distT="0" distB="0" distL="0" distR="0" wp14:anchorId="45090F1F" wp14:editId="1EF5B29C">
            <wp:extent cx="5731510" cy="3223895"/>
            <wp:effectExtent l="0" t="0" r="2540" b="0"/>
            <wp:docPr id="11089106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910625" name=""/>
                    <pic:cNvPicPr/>
                  </pic:nvPicPr>
                  <pic:blipFill>
                    <a:blip r:embed="rId31">
                      <a:extLst>
                        <a:ext uri="{96DAC541-7B7A-43D3-8B79-37D633B846F1}">
                          <asvg:svgBlip xmlns:asvg="http://schemas.microsoft.com/office/drawing/2016/SVG/main" r:embed="rId32"/>
                        </a:ext>
                      </a:extLst>
                    </a:blip>
                    <a:stretch>
                      <a:fillRect/>
                    </a:stretch>
                  </pic:blipFill>
                  <pic:spPr>
                    <a:xfrm>
                      <a:off x="0" y="0"/>
                      <a:ext cx="5731510" cy="3223895"/>
                    </a:xfrm>
                    <a:prstGeom prst="rect">
                      <a:avLst/>
                    </a:prstGeom>
                  </pic:spPr>
                </pic:pic>
              </a:graphicData>
            </a:graphic>
          </wp:inline>
        </w:drawing>
      </w:r>
    </w:p>
    <w:p w14:paraId="130B104E" w14:textId="77777777" w:rsidR="00D20354" w:rsidRPr="001F5093" w:rsidRDefault="00D20354" w:rsidP="00A6284D">
      <w:pPr>
        <w:rPr>
          <w:rFonts w:ascii="Calibri" w:hAnsi="Calibri" w:cs="Calibri"/>
          <w:sz w:val="28"/>
          <w:szCs w:val="28"/>
        </w:rPr>
      </w:pPr>
    </w:p>
    <w:p w14:paraId="2F83E868" w14:textId="791E1B52" w:rsidR="008901A2" w:rsidRPr="001F5093" w:rsidRDefault="008901A2" w:rsidP="00A6284D">
      <w:pPr>
        <w:rPr>
          <w:rFonts w:ascii="Calibri" w:hAnsi="Calibri" w:cs="Calibri"/>
          <w:sz w:val="28"/>
          <w:szCs w:val="28"/>
        </w:rPr>
      </w:pPr>
      <w:r w:rsidRPr="001F5093">
        <w:rPr>
          <w:rFonts w:ascii="Calibri" w:hAnsi="Calibri" w:cs="Calibri"/>
          <w:sz w:val="28"/>
          <w:szCs w:val="28"/>
        </w:rPr>
        <w:t>Slide 1</w:t>
      </w:r>
    </w:p>
    <w:p w14:paraId="59919351" w14:textId="59E489B6" w:rsidR="00A6284D" w:rsidRPr="001F5093" w:rsidRDefault="00075F9E" w:rsidP="00A6284D">
      <w:pPr>
        <w:rPr>
          <w:rFonts w:ascii="Calibri" w:hAnsi="Calibri" w:cs="Calibri"/>
          <w:sz w:val="28"/>
          <w:szCs w:val="28"/>
        </w:rPr>
      </w:pPr>
      <w:r w:rsidRPr="001F5093">
        <w:rPr>
          <w:rFonts w:ascii="Calibri" w:hAnsi="Calibri" w:cs="Calibri"/>
          <w:sz w:val="28"/>
          <w:szCs w:val="28"/>
        </w:rPr>
        <w:t>Hello,</w:t>
      </w:r>
      <w:r w:rsidR="00A6284D" w:rsidRPr="001F5093">
        <w:rPr>
          <w:rFonts w:ascii="Calibri" w:hAnsi="Calibri" w:cs="Calibri"/>
          <w:sz w:val="28"/>
          <w:szCs w:val="28"/>
        </w:rPr>
        <w:t xml:space="preserve"> my name is Scott Roberts……</w:t>
      </w:r>
      <w:r w:rsidRPr="001F5093">
        <w:rPr>
          <w:rFonts w:ascii="Calibri" w:hAnsi="Calibri" w:cs="Calibri"/>
          <w:sz w:val="28"/>
          <w:szCs w:val="28"/>
        </w:rPr>
        <w:t>… (Dylan</w:t>
      </w:r>
      <w:r w:rsidR="00A6284D" w:rsidRPr="001F5093">
        <w:rPr>
          <w:rFonts w:ascii="Calibri" w:hAnsi="Calibri" w:cs="Calibri"/>
          <w:sz w:val="28"/>
          <w:szCs w:val="28"/>
        </w:rPr>
        <w:t xml:space="preserve"> and </w:t>
      </w:r>
      <w:r w:rsidRPr="001F5093">
        <w:rPr>
          <w:rFonts w:ascii="Calibri" w:hAnsi="Calibri" w:cs="Calibri"/>
          <w:sz w:val="28"/>
          <w:szCs w:val="28"/>
        </w:rPr>
        <w:t>Lewis</w:t>
      </w:r>
      <w:r w:rsidR="00A6284D" w:rsidRPr="001F5093">
        <w:rPr>
          <w:rFonts w:ascii="Calibri" w:hAnsi="Calibri" w:cs="Calibri"/>
          <w:sz w:val="28"/>
          <w:szCs w:val="28"/>
        </w:rPr>
        <w:t xml:space="preserve"> introduction)</w:t>
      </w:r>
    </w:p>
    <w:p w14:paraId="40CD7666" w14:textId="65A932CB"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Today we will be speaking to you with insights of how Jean Piaget, Maria Montessori and Lev </w:t>
      </w:r>
      <w:r w:rsidR="00075F9E" w:rsidRPr="001F5093">
        <w:rPr>
          <w:rFonts w:ascii="Calibri" w:hAnsi="Calibri" w:cs="Calibri"/>
          <w:sz w:val="28"/>
          <w:szCs w:val="28"/>
        </w:rPr>
        <w:t>Vygotsky</w:t>
      </w:r>
      <w:r w:rsidRPr="001F5093">
        <w:rPr>
          <w:rFonts w:ascii="Calibri" w:hAnsi="Calibri" w:cs="Calibri"/>
          <w:sz w:val="28"/>
          <w:szCs w:val="28"/>
        </w:rPr>
        <w:t xml:space="preserve"> have inspired education through their theories of education and what implications they have in the classroom and for the future of education.</w:t>
      </w:r>
    </w:p>
    <w:p w14:paraId="2543F714" w14:textId="221F6FE8" w:rsidR="00A6284D" w:rsidRPr="001F5093" w:rsidRDefault="008901A2" w:rsidP="00A6284D">
      <w:pPr>
        <w:rPr>
          <w:rFonts w:ascii="Calibri" w:hAnsi="Calibri" w:cs="Calibri"/>
          <w:sz w:val="28"/>
          <w:szCs w:val="28"/>
        </w:rPr>
      </w:pPr>
      <w:r w:rsidRPr="001F5093">
        <w:rPr>
          <w:rFonts w:ascii="Calibri" w:hAnsi="Calibri" w:cs="Calibri"/>
          <w:sz w:val="28"/>
          <w:szCs w:val="28"/>
        </w:rPr>
        <w:t>Slide 2</w:t>
      </w:r>
    </w:p>
    <w:p w14:paraId="3B6A93CE"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Lev Vygotsky, a luminary whose theories have significantly impacted the field of education. Vygotsky's socio-cultural theory stands as a beacon illuminating the intricate dynamics of learning and development, particularly in the formative years of Key Stage 2. Through an in-depth exploration of Vygotsky's principles and their practical implications, we aim to not only understand his theories but also uncover ways to enrich the educational journey of young minds and shape the future of education.</w:t>
      </w:r>
    </w:p>
    <w:p w14:paraId="0871F4FD" w14:textId="77777777" w:rsidR="00A6284D" w:rsidRPr="001F5093" w:rsidRDefault="00A6284D" w:rsidP="00A6284D">
      <w:pPr>
        <w:rPr>
          <w:rFonts w:ascii="Calibri" w:hAnsi="Calibri" w:cs="Calibri"/>
          <w:sz w:val="28"/>
          <w:szCs w:val="28"/>
        </w:rPr>
      </w:pPr>
    </w:p>
    <w:p w14:paraId="79E61D82" w14:textId="07CADED6"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Silalahi (2019) States that Vygotsky said, a child cannot imitate everything around him. A child can imitate only if the ability is within the child's zone of proximal development. Of course, children ask a lot of questions from an early age or as soon as they can talk. This </w:t>
      </w:r>
      <w:r w:rsidR="00075F9E" w:rsidRPr="001F5093">
        <w:rPr>
          <w:rFonts w:ascii="Calibri" w:hAnsi="Calibri" w:cs="Calibri"/>
          <w:sz w:val="28"/>
          <w:szCs w:val="28"/>
        </w:rPr>
        <w:t>is why</w:t>
      </w:r>
      <w:r w:rsidRPr="001F5093">
        <w:rPr>
          <w:rFonts w:ascii="Calibri" w:hAnsi="Calibri" w:cs="Calibri"/>
          <w:sz w:val="28"/>
          <w:szCs w:val="28"/>
        </w:rPr>
        <w:t xml:space="preserve"> it is so important for parents and </w:t>
      </w:r>
      <w:r w:rsidRPr="001F5093">
        <w:rPr>
          <w:rFonts w:ascii="Calibri" w:hAnsi="Calibri" w:cs="Calibri"/>
          <w:sz w:val="28"/>
          <w:szCs w:val="28"/>
        </w:rPr>
        <w:lastRenderedPageBreak/>
        <w:t xml:space="preserve">guardians to support children in thinking about the world around them. This is </w:t>
      </w:r>
      <w:r w:rsidR="00075F9E" w:rsidRPr="001F5093">
        <w:rPr>
          <w:rFonts w:ascii="Calibri" w:hAnsi="Calibri" w:cs="Calibri"/>
          <w:sz w:val="28"/>
          <w:szCs w:val="28"/>
        </w:rPr>
        <w:t>the beginning</w:t>
      </w:r>
      <w:r w:rsidRPr="001F5093">
        <w:rPr>
          <w:rFonts w:ascii="Calibri" w:hAnsi="Calibri" w:cs="Calibri"/>
          <w:sz w:val="28"/>
          <w:szCs w:val="28"/>
        </w:rPr>
        <w:t xml:space="preserve"> when children begin to learn and become part of the social </w:t>
      </w:r>
      <w:r w:rsidR="00075F9E" w:rsidRPr="001F5093">
        <w:rPr>
          <w:rFonts w:ascii="Calibri" w:hAnsi="Calibri" w:cs="Calibri"/>
          <w:sz w:val="28"/>
          <w:szCs w:val="28"/>
        </w:rPr>
        <w:t>and cultural</w:t>
      </w:r>
      <w:r w:rsidRPr="001F5093">
        <w:rPr>
          <w:rFonts w:ascii="Calibri" w:hAnsi="Calibri" w:cs="Calibri"/>
          <w:sz w:val="28"/>
          <w:szCs w:val="28"/>
        </w:rPr>
        <w:t xml:space="preserve"> environment.</w:t>
      </w:r>
    </w:p>
    <w:p w14:paraId="2856CCAF" w14:textId="6EB4772A" w:rsidR="00A6284D" w:rsidRPr="001F5093" w:rsidRDefault="00CC1613" w:rsidP="00A6284D">
      <w:pPr>
        <w:rPr>
          <w:rFonts w:ascii="Calibri" w:hAnsi="Calibri" w:cs="Calibri"/>
          <w:sz w:val="28"/>
          <w:szCs w:val="28"/>
        </w:rPr>
      </w:pPr>
      <w:r w:rsidRPr="001F5093">
        <w:rPr>
          <w:rFonts w:ascii="Calibri" w:hAnsi="Calibri" w:cs="Calibri"/>
          <w:sz w:val="28"/>
          <w:szCs w:val="28"/>
        </w:rPr>
        <w:t>Slide 3</w:t>
      </w:r>
    </w:p>
    <w:p w14:paraId="0C06F752"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Vygotsky's theory posits that learning is a social and cultural process, deeply intertwined with the socio-cultural context in which it occurs. Central to his framework is the concept of the zone of proximal development (ZPD), which refers to the range of tasks that a learner cannot yet perform independently but can accomplish with the guidance and support of a more knowledgeable individual, such as a teacher or peer. Within this zone lies the potential for significant cognitive growth and development.</w:t>
      </w:r>
    </w:p>
    <w:p w14:paraId="62A4B7CF" w14:textId="77777777" w:rsidR="004F65A9" w:rsidRPr="001F5093" w:rsidRDefault="004F65A9" w:rsidP="00A6284D">
      <w:pPr>
        <w:rPr>
          <w:rFonts w:ascii="Calibri" w:hAnsi="Calibri" w:cs="Calibri"/>
          <w:sz w:val="28"/>
          <w:szCs w:val="28"/>
        </w:rPr>
      </w:pPr>
    </w:p>
    <w:p w14:paraId="0B01328C" w14:textId="47C81A46" w:rsidR="00A6284D" w:rsidRPr="001F5093" w:rsidRDefault="00A6284D" w:rsidP="00A6284D">
      <w:pPr>
        <w:rPr>
          <w:rFonts w:ascii="Calibri" w:hAnsi="Calibri" w:cs="Calibri"/>
          <w:sz w:val="28"/>
          <w:szCs w:val="28"/>
        </w:rPr>
      </w:pPr>
      <w:r w:rsidRPr="001F5093">
        <w:rPr>
          <w:rFonts w:ascii="Calibri" w:hAnsi="Calibri" w:cs="Calibri"/>
          <w:sz w:val="28"/>
          <w:szCs w:val="28"/>
        </w:rPr>
        <w:t>At the heart of Vygotsky's theory is the idea of scaffolding, wherein the more knowledgeable other provides structured support to the learner, gradually withdrawing assistance as the learner gains mastery over the task. This dynamic interaction between learner and guide fosters not only the acquisition of new knowledge and skills but also the development of higher mental functions, such as problem-solving, critical thinking, and self-regulation.</w:t>
      </w:r>
    </w:p>
    <w:p w14:paraId="17332487" w14:textId="7F87AC56" w:rsidR="004F65A9" w:rsidRPr="001F5093" w:rsidRDefault="00124566" w:rsidP="004F65A9">
      <w:pPr>
        <w:rPr>
          <w:rFonts w:ascii="Calibri" w:hAnsi="Calibri" w:cs="Calibri"/>
          <w:sz w:val="28"/>
          <w:szCs w:val="28"/>
        </w:rPr>
      </w:pPr>
      <w:r w:rsidRPr="001F5093">
        <w:rPr>
          <w:rFonts w:ascii="Calibri" w:hAnsi="Calibri" w:cs="Calibri"/>
          <w:sz w:val="28"/>
          <w:szCs w:val="28"/>
        </w:rPr>
        <w:t>Slide 4</w:t>
      </w:r>
    </w:p>
    <w:p w14:paraId="47FCD497" w14:textId="642C6BDF" w:rsidR="00A6284D" w:rsidRPr="001F5093" w:rsidRDefault="004F65A9" w:rsidP="004F65A9">
      <w:pPr>
        <w:rPr>
          <w:rFonts w:ascii="Calibri" w:hAnsi="Calibri" w:cs="Calibri"/>
          <w:sz w:val="28"/>
          <w:szCs w:val="28"/>
        </w:rPr>
      </w:pPr>
      <w:r w:rsidRPr="001F5093">
        <w:rPr>
          <w:rFonts w:ascii="Calibri" w:hAnsi="Calibri" w:cs="Calibri"/>
          <w:sz w:val="28"/>
          <w:szCs w:val="28"/>
        </w:rPr>
        <w:t>Hargraves (2021) Said Like Piaget, Vygotsky also emphasized learning as a meaningful process, but Vygotsky's cultural-historical approach is characterized by an insistence on understanding human thinking as both an individual and a sociocultural phenomenon. Although Vygotsky emphasized social, cultural, and historical influences on thought, he also focused on the individual through the concept of the zone of proximal development.</w:t>
      </w:r>
    </w:p>
    <w:p w14:paraId="1FB5D235" w14:textId="0256B14B"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Mcloed (2024) Says In contrast to Piaget's view that children's cognitive development must necessarily precede learning, Vygotsky argued that learning is a culturally organized, necessary and universal process of development, especially of human psychological functioning. This is an aspect of the situation </w:t>
      </w:r>
      <w:r w:rsidR="00075F9E" w:rsidRPr="001F5093">
        <w:rPr>
          <w:rFonts w:ascii="Calibri" w:hAnsi="Calibri" w:cs="Calibri"/>
          <w:sz w:val="28"/>
          <w:szCs w:val="28"/>
        </w:rPr>
        <w:t>in</w:t>
      </w:r>
      <w:r w:rsidRPr="001F5093">
        <w:rPr>
          <w:rFonts w:ascii="Calibri" w:hAnsi="Calibri" w:cs="Calibri"/>
          <w:sz w:val="28"/>
          <w:szCs w:val="28"/>
        </w:rPr>
        <w:t xml:space="preserve"> other words, social learning occurs prior to development (before development).</w:t>
      </w:r>
    </w:p>
    <w:p w14:paraId="30935E0E" w14:textId="7AE6EEEC" w:rsidR="004F65A9" w:rsidRPr="001F5093" w:rsidRDefault="00C92A02" w:rsidP="00A6284D">
      <w:pPr>
        <w:rPr>
          <w:rFonts w:ascii="Calibri" w:hAnsi="Calibri" w:cs="Calibri"/>
          <w:sz w:val="28"/>
          <w:szCs w:val="28"/>
        </w:rPr>
      </w:pPr>
      <w:r w:rsidRPr="001F5093">
        <w:rPr>
          <w:rFonts w:ascii="Calibri" w:hAnsi="Calibri" w:cs="Calibri"/>
          <w:sz w:val="28"/>
          <w:szCs w:val="28"/>
        </w:rPr>
        <w:t>Slide 5</w:t>
      </w:r>
    </w:p>
    <w:p w14:paraId="16ED5427" w14:textId="39F67973"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Now, let us turn our attention to the practical application of Vygotsky's theory in the context of Key Stage 2 learning environments. At this crucial stage of </w:t>
      </w:r>
      <w:r w:rsidRPr="001F5093">
        <w:rPr>
          <w:rFonts w:ascii="Calibri" w:hAnsi="Calibri" w:cs="Calibri"/>
          <w:sz w:val="28"/>
          <w:szCs w:val="28"/>
        </w:rPr>
        <w:lastRenderedPageBreak/>
        <w:t xml:space="preserve">development, children are expanding their cognitive abilities, grappling with increasingly complex concepts, and forming their identities as learners. By harnessing the principles of Vygotsky's theory, educators can create rich and stimulating environments that support and nurture children's growth in </w:t>
      </w:r>
      <w:r w:rsidR="00075F9E" w:rsidRPr="001F5093">
        <w:rPr>
          <w:rFonts w:ascii="Calibri" w:hAnsi="Calibri" w:cs="Calibri"/>
          <w:sz w:val="28"/>
          <w:szCs w:val="28"/>
        </w:rPr>
        <w:t>numerous ways.</w:t>
      </w:r>
    </w:p>
    <w:p w14:paraId="38D32302" w14:textId="77777777" w:rsidR="009B627F" w:rsidRPr="001F5093" w:rsidRDefault="009B627F" w:rsidP="004F65A9">
      <w:pPr>
        <w:rPr>
          <w:rFonts w:ascii="Calibri" w:hAnsi="Calibri" w:cs="Calibri"/>
          <w:sz w:val="28"/>
          <w:szCs w:val="28"/>
        </w:rPr>
      </w:pPr>
    </w:p>
    <w:p w14:paraId="63783ADF" w14:textId="630B0531" w:rsidR="004F65A9" w:rsidRPr="001F5093" w:rsidRDefault="0075675C" w:rsidP="004F65A9">
      <w:pPr>
        <w:rPr>
          <w:rFonts w:ascii="Calibri" w:hAnsi="Calibri" w:cs="Calibri"/>
          <w:sz w:val="28"/>
          <w:szCs w:val="28"/>
        </w:rPr>
      </w:pPr>
      <w:proofErr w:type="spellStart"/>
      <w:r w:rsidRPr="001F5093">
        <w:rPr>
          <w:rFonts w:ascii="Calibri" w:hAnsi="Calibri" w:cs="Calibri"/>
          <w:sz w:val="28"/>
          <w:szCs w:val="28"/>
        </w:rPr>
        <w:t>Verenikina</w:t>
      </w:r>
      <w:proofErr w:type="spellEnd"/>
      <w:r w:rsidRPr="001F5093">
        <w:rPr>
          <w:rFonts w:ascii="Calibri" w:hAnsi="Calibri" w:cs="Calibri"/>
          <w:sz w:val="28"/>
          <w:szCs w:val="28"/>
        </w:rPr>
        <w:t xml:space="preserve"> (2003) States</w:t>
      </w:r>
      <w:r w:rsidR="004F65A9" w:rsidRPr="001F5093">
        <w:rPr>
          <w:rFonts w:ascii="Calibri" w:hAnsi="Calibri" w:cs="Calibri"/>
          <w:sz w:val="28"/>
          <w:szCs w:val="28"/>
        </w:rPr>
        <w:t xml:space="preserve"> </w:t>
      </w:r>
      <w:r w:rsidRPr="001F5093">
        <w:rPr>
          <w:rFonts w:ascii="Calibri" w:hAnsi="Calibri" w:cs="Calibri"/>
          <w:sz w:val="28"/>
          <w:szCs w:val="28"/>
        </w:rPr>
        <w:t>t</w:t>
      </w:r>
      <w:r w:rsidR="004F65A9" w:rsidRPr="001F5093">
        <w:rPr>
          <w:rFonts w:ascii="Calibri" w:hAnsi="Calibri" w:cs="Calibri"/>
          <w:sz w:val="28"/>
          <w:szCs w:val="28"/>
        </w:rPr>
        <w:t xml:space="preserve">he concept </w:t>
      </w:r>
      <w:r w:rsidR="00075F9E" w:rsidRPr="001F5093">
        <w:rPr>
          <w:rFonts w:ascii="Calibri" w:hAnsi="Calibri" w:cs="Calibri"/>
          <w:sz w:val="28"/>
          <w:szCs w:val="28"/>
        </w:rPr>
        <w:t>of ZPD</w:t>
      </w:r>
      <w:r w:rsidR="004F65A9" w:rsidRPr="001F5093">
        <w:rPr>
          <w:rFonts w:ascii="Calibri" w:hAnsi="Calibri" w:cs="Calibri"/>
          <w:sz w:val="28"/>
          <w:szCs w:val="28"/>
        </w:rPr>
        <w:t xml:space="preserve"> can only be fully </w:t>
      </w:r>
      <w:r w:rsidR="00075F9E" w:rsidRPr="001F5093">
        <w:rPr>
          <w:rFonts w:ascii="Calibri" w:hAnsi="Calibri" w:cs="Calibri"/>
          <w:sz w:val="28"/>
          <w:szCs w:val="28"/>
        </w:rPr>
        <w:t>understood in context</w:t>
      </w:r>
      <w:r w:rsidR="004F65A9" w:rsidRPr="001F5093">
        <w:rPr>
          <w:rFonts w:ascii="Calibri" w:hAnsi="Calibri" w:cs="Calibri"/>
          <w:sz w:val="28"/>
          <w:szCs w:val="28"/>
        </w:rPr>
        <w:t xml:space="preserve"> and as part of Vygotsky's </w:t>
      </w:r>
      <w:proofErr w:type="gramStart"/>
      <w:r w:rsidR="004F65A9" w:rsidRPr="001F5093">
        <w:rPr>
          <w:rFonts w:ascii="Calibri" w:hAnsi="Calibri" w:cs="Calibri"/>
          <w:sz w:val="28"/>
          <w:szCs w:val="28"/>
        </w:rPr>
        <w:t>theory as a whole</w:t>
      </w:r>
      <w:proofErr w:type="gramEnd"/>
      <w:r w:rsidR="004F65A9" w:rsidRPr="001F5093">
        <w:rPr>
          <w:rFonts w:ascii="Calibri" w:hAnsi="Calibri" w:cs="Calibri"/>
          <w:sz w:val="28"/>
          <w:szCs w:val="28"/>
        </w:rPr>
        <w:t xml:space="preserve">. In </w:t>
      </w:r>
      <w:proofErr w:type="gramStart"/>
      <w:r w:rsidR="004F65A9" w:rsidRPr="001F5093">
        <w:rPr>
          <w:rFonts w:ascii="Calibri" w:hAnsi="Calibri" w:cs="Calibri"/>
          <w:sz w:val="28"/>
          <w:szCs w:val="28"/>
        </w:rPr>
        <w:t>fact,  the</w:t>
      </w:r>
      <w:proofErr w:type="gramEnd"/>
      <w:r w:rsidR="004F65A9" w:rsidRPr="001F5093">
        <w:rPr>
          <w:rFonts w:ascii="Calibri" w:hAnsi="Calibri" w:cs="Calibri"/>
          <w:sz w:val="28"/>
          <w:szCs w:val="28"/>
        </w:rPr>
        <w:t xml:space="preserve"> lack of visibility of the connection between the Zone and the theory as a whole means that it is difficult to distinguish between Vygotsky's concepts and the educational techniques that lead children systematically through the steps of the Zone with the help of adults and through a number of steps in the process of learning some set of skills.</w:t>
      </w:r>
    </w:p>
    <w:p w14:paraId="387211B1" w14:textId="42A7FC94" w:rsidR="00C92A02" w:rsidRPr="001F5093" w:rsidRDefault="00C92A02" w:rsidP="00A6284D">
      <w:pPr>
        <w:rPr>
          <w:rFonts w:ascii="Calibri" w:hAnsi="Calibri" w:cs="Calibri"/>
          <w:sz w:val="28"/>
          <w:szCs w:val="28"/>
        </w:rPr>
      </w:pPr>
      <w:r w:rsidRPr="001F5093">
        <w:rPr>
          <w:rFonts w:ascii="Calibri" w:hAnsi="Calibri" w:cs="Calibri"/>
          <w:sz w:val="28"/>
          <w:szCs w:val="28"/>
        </w:rPr>
        <w:t>Slide 6</w:t>
      </w:r>
    </w:p>
    <w:p w14:paraId="15E1B2FA" w14:textId="0868D2F7" w:rsidR="00A6284D" w:rsidRPr="001F5093" w:rsidRDefault="00A6284D" w:rsidP="00A6284D">
      <w:pPr>
        <w:rPr>
          <w:rFonts w:ascii="Calibri" w:hAnsi="Calibri" w:cs="Calibri"/>
          <w:sz w:val="28"/>
          <w:szCs w:val="28"/>
        </w:rPr>
      </w:pPr>
      <w:r w:rsidRPr="001F5093">
        <w:rPr>
          <w:rFonts w:ascii="Calibri" w:hAnsi="Calibri" w:cs="Calibri"/>
          <w:sz w:val="28"/>
          <w:szCs w:val="28"/>
        </w:rPr>
        <w:t>Collaborative Learning: Encouraging collaborative activities and group projects enables children to engage in peer-to-peer interactions, thereby promoting social learning and collaborative problem-solving. Through collaborative efforts, children can leverage each other's strengths, share ideas, and collectively construct knowledge. Moreover, collaborative learning fosters a sense of belonging and community, which is essential for fostering a positive learning environment.</w:t>
      </w:r>
    </w:p>
    <w:p w14:paraId="0E9BE096" w14:textId="70A95742" w:rsidR="00A6284D" w:rsidRPr="001F5093" w:rsidRDefault="00C92A02" w:rsidP="00A6284D">
      <w:pPr>
        <w:rPr>
          <w:rFonts w:ascii="Calibri" w:hAnsi="Calibri" w:cs="Calibri"/>
          <w:sz w:val="28"/>
          <w:szCs w:val="28"/>
        </w:rPr>
      </w:pPr>
      <w:r w:rsidRPr="001F5093">
        <w:rPr>
          <w:rFonts w:ascii="Calibri" w:hAnsi="Calibri" w:cs="Calibri"/>
          <w:sz w:val="28"/>
          <w:szCs w:val="28"/>
        </w:rPr>
        <w:t>Slide 7</w:t>
      </w:r>
    </w:p>
    <w:p w14:paraId="0D03A413" w14:textId="2D936099"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Scaffolding: Teachers play a pivotal role in scaffolding children's learning experiences within the ZPD. By providing targeted support, breaking down tasks into manageable steps, and offering timely feedback, educators can empower children to stretch their cognitive boundaries and achieve greater levels of understanding and competence. Scaffolding can take various forms, such as </w:t>
      </w:r>
      <w:r w:rsidR="00075F9E" w:rsidRPr="001F5093">
        <w:rPr>
          <w:rFonts w:ascii="Calibri" w:hAnsi="Calibri" w:cs="Calibri"/>
          <w:sz w:val="28"/>
          <w:szCs w:val="28"/>
        </w:rPr>
        <w:t>modelling</w:t>
      </w:r>
      <w:r w:rsidRPr="001F5093">
        <w:rPr>
          <w:rFonts w:ascii="Calibri" w:hAnsi="Calibri" w:cs="Calibri"/>
          <w:sz w:val="28"/>
          <w:szCs w:val="28"/>
        </w:rPr>
        <w:t>, questioning, providing hints or cues, and offering prompts to guide children through challenging tasks.</w:t>
      </w:r>
    </w:p>
    <w:p w14:paraId="5FBA2E9D" w14:textId="05488C8F" w:rsidR="00A6284D" w:rsidRPr="001F5093" w:rsidRDefault="00C92A02" w:rsidP="00A6284D">
      <w:pPr>
        <w:rPr>
          <w:rFonts w:ascii="Calibri" w:hAnsi="Calibri" w:cs="Calibri"/>
          <w:sz w:val="28"/>
          <w:szCs w:val="28"/>
        </w:rPr>
      </w:pPr>
      <w:r w:rsidRPr="001F5093">
        <w:rPr>
          <w:rFonts w:ascii="Calibri" w:hAnsi="Calibri" w:cs="Calibri"/>
          <w:sz w:val="28"/>
          <w:szCs w:val="28"/>
        </w:rPr>
        <w:t>Slide 8</w:t>
      </w:r>
    </w:p>
    <w:p w14:paraId="049B2258"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Peer Tutoring: Peer tutoring arrangements, where more proficient learners assist their peers, can be an effective means of leveraging Vygotsky's theory in the classroom. Peer tutors not only reinforce their own learning by teaching others but also provide valuable support and guidance to their classmates, </w:t>
      </w:r>
      <w:r w:rsidRPr="001F5093">
        <w:rPr>
          <w:rFonts w:ascii="Calibri" w:hAnsi="Calibri" w:cs="Calibri"/>
          <w:sz w:val="28"/>
          <w:szCs w:val="28"/>
        </w:rPr>
        <w:lastRenderedPageBreak/>
        <w:t>fostering a sense of community and mutual respect. Peer tutoring encourages active participation and engagement among students and promotes a culture of peer collaboration and support.</w:t>
      </w:r>
    </w:p>
    <w:p w14:paraId="4E812D42" w14:textId="62217976" w:rsidR="00A6284D" w:rsidRPr="001F5093" w:rsidRDefault="00C92A02" w:rsidP="00A6284D">
      <w:pPr>
        <w:rPr>
          <w:rFonts w:ascii="Calibri" w:hAnsi="Calibri" w:cs="Calibri"/>
          <w:sz w:val="28"/>
          <w:szCs w:val="28"/>
        </w:rPr>
      </w:pPr>
      <w:r w:rsidRPr="001F5093">
        <w:rPr>
          <w:rFonts w:ascii="Calibri" w:hAnsi="Calibri" w:cs="Calibri"/>
          <w:sz w:val="28"/>
          <w:szCs w:val="28"/>
        </w:rPr>
        <w:t>Slide 9</w:t>
      </w:r>
    </w:p>
    <w:p w14:paraId="4CB22C05"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Culturally Relevant Pedagogy: Recognizing the cultural diversity of learners and integrating culturally relevant materials and experiences into the curriculum can enhance engagement and learning outcomes. Vygotsky emphasized the importance of cultural tools and symbols in mediating learning, underscoring the need for educators to contextualize instruction within the socio-cultural backgrounds of their students. By incorporating diverse perspectives and experiences, educators can create inclusive learning environments where all students feel valued and represented.</w:t>
      </w:r>
    </w:p>
    <w:p w14:paraId="6A4F9CFF" w14:textId="045E0713" w:rsidR="00A6284D" w:rsidRPr="001F5093" w:rsidRDefault="00C92A02" w:rsidP="00A6284D">
      <w:pPr>
        <w:rPr>
          <w:rFonts w:ascii="Calibri" w:hAnsi="Calibri" w:cs="Calibri"/>
          <w:sz w:val="28"/>
          <w:szCs w:val="28"/>
        </w:rPr>
      </w:pPr>
      <w:r w:rsidRPr="001F5093">
        <w:rPr>
          <w:rFonts w:ascii="Calibri" w:hAnsi="Calibri" w:cs="Calibri"/>
          <w:sz w:val="28"/>
          <w:szCs w:val="28"/>
        </w:rPr>
        <w:t>Slide 10</w:t>
      </w:r>
    </w:p>
    <w:p w14:paraId="0B46D308"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Authentic Assessment: Moving beyond traditional forms of assessment, educators can adopt authentic assessment practices that reflect real-world tasks and challenges. By assessing children's ability to apply their knowledge and skills in meaningful contexts, educators gain deeper insights into their development and progress. Authentic assessment promotes critical thinking, problem-solving, and creativity, as students are required to demonstrate their understanding through authentic tasks, projects, and performances.</w:t>
      </w:r>
    </w:p>
    <w:p w14:paraId="69685829" w14:textId="77777777" w:rsidR="009B627F" w:rsidRPr="001F5093" w:rsidRDefault="009B627F" w:rsidP="0075675C">
      <w:pPr>
        <w:rPr>
          <w:rFonts w:ascii="Calibri" w:hAnsi="Calibri" w:cs="Calibri"/>
          <w:sz w:val="28"/>
          <w:szCs w:val="28"/>
        </w:rPr>
      </w:pPr>
    </w:p>
    <w:p w14:paraId="371A9F11" w14:textId="1128E866" w:rsidR="00A6284D" w:rsidRPr="001F5093" w:rsidRDefault="0075675C" w:rsidP="0075675C">
      <w:pPr>
        <w:rPr>
          <w:rFonts w:ascii="Calibri" w:hAnsi="Calibri" w:cs="Calibri"/>
          <w:sz w:val="28"/>
          <w:szCs w:val="28"/>
        </w:rPr>
      </w:pPr>
      <w:r w:rsidRPr="001F5093">
        <w:rPr>
          <w:rFonts w:ascii="Calibri" w:hAnsi="Calibri" w:cs="Calibri"/>
          <w:sz w:val="28"/>
          <w:szCs w:val="28"/>
        </w:rPr>
        <w:t>Tran (2022) goes on to say It is important to note that Vygotsky does not deny real development. However, he argues that actual development does not involve what he calls a "developmental method" that requires the involvement of teachers and more capable peers to help children realize their potential development. case, we have vague ideas about actual development. As a result, Vygotsky theorized that today's child's ZPD could be tomorrow's actual developmental level.</w:t>
      </w:r>
    </w:p>
    <w:p w14:paraId="0C00AE3C" w14:textId="77777777" w:rsidR="009B627F" w:rsidRPr="001F5093" w:rsidRDefault="009B627F" w:rsidP="0075675C">
      <w:pPr>
        <w:rPr>
          <w:rFonts w:ascii="Calibri" w:hAnsi="Calibri" w:cs="Calibri"/>
          <w:sz w:val="28"/>
          <w:szCs w:val="28"/>
        </w:rPr>
      </w:pPr>
    </w:p>
    <w:p w14:paraId="13551BC1"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As we contemplate the implications of Vygotsky's theory for the future of education, it becomes evident that his insights hold profound significance in an ever-evolving educational landscape. By embracing the socio-cultural nature of learning and leveraging the principles of scaffolding and ZPD, educators can </w:t>
      </w:r>
      <w:r w:rsidRPr="001F5093">
        <w:rPr>
          <w:rFonts w:ascii="Calibri" w:hAnsi="Calibri" w:cs="Calibri"/>
          <w:sz w:val="28"/>
          <w:szCs w:val="28"/>
        </w:rPr>
        <w:lastRenderedPageBreak/>
        <w:t>cultivate dynamic learning environments that foster creativity, resilience, and lifelong learning skills.</w:t>
      </w:r>
    </w:p>
    <w:p w14:paraId="78CBA797" w14:textId="77777777" w:rsidR="009B627F" w:rsidRPr="001F5093" w:rsidRDefault="009B627F" w:rsidP="00A6284D">
      <w:pPr>
        <w:rPr>
          <w:rFonts w:ascii="Calibri" w:hAnsi="Calibri" w:cs="Calibri"/>
          <w:sz w:val="28"/>
          <w:szCs w:val="28"/>
        </w:rPr>
      </w:pPr>
    </w:p>
    <w:p w14:paraId="43168704" w14:textId="7B574786" w:rsidR="00A6284D" w:rsidRPr="001F5093" w:rsidRDefault="0075675C" w:rsidP="0075675C">
      <w:pPr>
        <w:rPr>
          <w:rFonts w:ascii="Calibri" w:hAnsi="Calibri" w:cs="Calibri"/>
          <w:sz w:val="28"/>
          <w:szCs w:val="28"/>
        </w:rPr>
      </w:pPr>
      <w:r w:rsidRPr="001F5093">
        <w:rPr>
          <w:rFonts w:ascii="Calibri" w:hAnsi="Calibri" w:cs="Calibri"/>
          <w:sz w:val="28"/>
          <w:szCs w:val="28"/>
        </w:rPr>
        <w:t xml:space="preserve">Mcloed (2024) </w:t>
      </w:r>
      <w:r w:rsidR="00075F9E" w:rsidRPr="001F5093">
        <w:rPr>
          <w:rFonts w:ascii="Calibri" w:hAnsi="Calibri" w:cs="Calibri"/>
          <w:sz w:val="28"/>
          <w:szCs w:val="28"/>
        </w:rPr>
        <w:t>said that according</w:t>
      </w:r>
      <w:r w:rsidRPr="001F5093">
        <w:rPr>
          <w:rFonts w:ascii="Calibri" w:hAnsi="Calibri" w:cs="Calibri"/>
          <w:sz w:val="28"/>
          <w:szCs w:val="28"/>
        </w:rPr>
        <w:t xml:space="preserve"> to Vygotsky, much of a child's important </w:t>
      </w:r>
      <w:r w:rsidR="00075F9E" w:rsidRPr="001F5093">
        <w:rPr>
          <w:rFonts w:ascii="Calibri" w:hAnsi="Calibri" w:cs="Calibri"/>
          <w:sz w:val="28"/>
          <w:szCs w:val="28"/>
        </w:rPr>
        <w:t>learning occurs</w:t>
      </w:r>
      <w:r w:rsidRPr="001F5093">
        <w:rPr>
          <w:rFonts w:ascii="Calibri" w:hAnsi="Calibri" w:cs="Calibri"/>
          <w:sz w:val="28"/>
          <w:szCs w:val="28"/>
        </w:rPr>
        <w:t xml:space="preserve"> through social interactions with experienced educators. The tutor may imitate </w:t>
      </w:r>
      <w:r w:rsidR="00075F9E" w:rsidRPr="001F5093">
        <w:rPr>
          <w:rFonts w:ascii="Calibri" w:hAnsi="Calibri" w:cs="Calibri"/>
          <w:sz w:val="28"/>
          <w:szCs w:val="28"/>
        </w:rPr>
        <w:t>behaviours</w:t>
      </w:r>
      <w:r w:rsidRPr="001F5093">
        <w:rPr>
          <w:rFonts w:ascii="Calibri" w:hAnsi="Calibri" w:cs="Calibri"/>
          <w:sz w:val="28"/>
          <w:szCs w:val="28"/>
        </w:rPr>
        <w:t xml:space="preserve"> or give verbal instructions to the child. Vygotsky calls </w:t>
      </w:r>
      <w:r w:rsidR="00075F9E" w:rsidRPr="001F5093">
        <w:rPr>
          <w:rFonts w:ascii="Calibri" w:hAnsi="Calibri" w:cs="Calibri"/>
          <w:sz w:val="28"/>
          <w:szCs w:val="28"/>
        </w:rPr>
        <w:t>this cooperative</w:t>
      </w:r>
      <w:r w:rsidRPr="001F5093">
        <w:rPr>
          <w:rFonts w:ascii="Calibri" w:hAnsi="Calibri" w:cs="Calibri"/>
          <w:sz w:val="28"/>
          <w:szCs w:val="28"/>
        </w:rPr>
        <w:t xml:space="preserve"> or collaborative dialogue. Children seek to understand the actions and instructions of their tutors (often parents or teachers), internalize that information, and use it to direct or adjust their own performance.</w:t>
      </w:r>
    </w:p>
    <w:p w14:paraId="1AD68305" w14:textId="0A70B3F5" w:rsidR="00B31760" w:rsidRPr="001F5093" w:rsidRDefault="00B31760" w:rsidP="00A6284D">
      <w:pPr>
        <w:rPr>
          <w:rFonts w:ascii="Calibri" w:hAnsi="Calibri" w:cs="Calibri"/>
          <w:sz w:val="28"/>
          <w:szCs w:val="28"/>
        </w:rPr>
      </w:pPr>
      <w:r w:rsidRPr="001F5093">
        <w:rPr>
          <w:rFonts w:ascii="Calibri" w:hAnsi="Calibri" w:cs="Calibri"/>
          <w:sz w:val="28"/>
          <w:szCs w:val="28"/>
        </w:rPr>
        <w:t>Slide11</w:t>
      </w:r>
    </w:p>
    <w:p w14:paraId="52467E5E" w14:textId="6C3726C0" w:rsidR="00A6284D" w:rsidRPr="001F5093" w:rsidRDefault="00A6284D" w:rsidP="00A6284D">
      <w:pPr>
        <w:rPr>
          <w:rFonts w:ascii="Calibri" w:hAnsi="Calibri" w:cs="Calibri"/>
          <w:sz w:val="28"/>
          <w:szCs w:val="28"/>
        </w:rPr>
      </w:pPr>
      <w:proofErr w:type="gramStart"/>
      <w:r w:rsidRPr="001F5093">
        <w:rPr>
          <w:rFonts w:ascii="Calibri" w:hAnsi="Calibri" w:cs="Calibri"/>
          <w:sz w:val="28"/>
          <w:szCs w:val="28"/>
        </w:rPr>
        <w:t>Looking ahead, the integration of technology</w:t>
      </w:r>
      <w:proofErr w:type="gramEnd"/>
      <w:r w:rsidRPr="001F5093">
        <w:rPr>
          <w:rFonts w:ascii="Calibri" w:hAnsi="Calibri" w:cs="Calibri"/>
          <w:sz w:val="28"/>
          <w:szCs w:val="28"/>
        </w:rPr>
        <w:t xml:space="preserve"> presents both opportunities and challenges in the application of Vygotsky's theory. Digital tools and online platforms offer new avenues for collaboration, exploration, and personalized learning experiences. However, we must also remain vigilant against the potential pitfalls of excessive screen time and passive consumption of information, ensuring that technology remains a facilitator rather than a barrier to meaningful learning experiences.</w:t>
      </w:r>
    </w:p>
    <w:p w14:paraId="373815B3" w14:textId="4CE17BEA" w:rsidR="00075F9E" w:rsidRPr="001F5093" w:rsidRDefault="00075F9E" w:rsidP="00075F9E">
      <w:pPr>
        <w:rPr>
          <w:rFonts w:ascii="Calibri" w:eastAsia="Times New Roman" w:hAnsi="Calibri" w:cs="Calibri"/>
          <w:kern w:val="0"/>
          <w:sz w:val="28"/>
          <w:szCs w:val="28"/>
          <w:lang w:eastAsia="en-GB"/>
          <w14:ligatures w14:val="none"/>
        </w:rPr>
      </w:pPr>
      <w:r w:rsidRPr="001F5093">
        <w:rPr>
          <w:rFonts w:ascii="Calibri" w:hAnsi="Calibri" w:cs="Calibri"/>
          <w:sz w:val="28"/>
          <w:szCs w:val="28"/>
        </w:rPr>
        <w:t xml:space="preserve">Nardo (2021) claims that </w:t>
      </w:r>
      <w:r w:rsidRPr="001F5093">
        <w:rPr>
          <w:rFonts w:ascii="Calibri" w:eastAsia="Times New Roman" w:hAnsi="Calibri" w:cs="Calibri"/>
          <w:kern w:val="0"/>
          <w:sz w:val="28"/>
          <w:szCs w:val="28"/>
          <w:lang w:eastAsia="en-GB"/>
          <w14:ligatures w14:val="none"/>
        </w:rPr>
        <w:t>Understanding ZPD as an “educational technology” reduces the complexity of pedagogical interactions, thereby creating the idea that education is simply technical know-how.</w:t>
      </w:r>
    </w:p>
    <w:p w14:paraId="7DA554AE" w14:textId="77777777" w:rsidR="00075F9E" w:rsidRPr="001F5093" w:rsidRDefault="00075F9E" w:rsidP="00075F9E">
      <w:pPr>
        <w:spacing w:after="0" w:line="240" w:lineRule="auto"/>
        <w:rPr>
          <w:rFonts w:ascii="Calibri" w:eastAsia="Times New Roman" w:hAnsi="Calibri" w:cs="Calibri"/>
          <w:kern w:val="0"/>
          <w:sz w:val="28"/>
          <w:szCs w:val="28"/>
          <w:lang w:eastAsia="en-GB"/>
          <w14:ligatures w14:val="none"/>
        </w:rPr>
      </w:pPr>
    </w:p>
    <w:p w14:paraId="28C53A4E" w14:textId="485097AD" w:rsidR="00075F9E" w:rsidRPr="001F5093" w:rsidRDefault="00075F9E" w:rsidP="00075F9E">
      <w:pPr>
        <w:spacing w:after="0" w:line="240" w:lineRule="auto"/>
        <w:rPr>
          <w:rFonts w:ascii="Calibri" w:eastAsia="Times New Roman" w:hAnsi="Calibri" w:cs="Calibri"/>
          <w:kern w:val="0"/>
          <w:sz w:val="28"/>
          <w:szCs w:val="28"/>
          <w:lang w:eastAsia="en-GB"/>
          <w14:ligatures w14:val="none"/>
        </w:rPr>
      </w:pPr>
      <w:r w:rsidRPr="001F5093">
        <w:rPr>
          <w:rFonts w:ascii="Calibri" w:eastAsia="Times New Roman" w:hAnsi="Calibri" w:cs="Calibri"/>
          <w:kern w:val="0"/>
          <w:sz w:val="28"/>
          <w:szCs w:val="28"/>
          <w:lang w:eastAsia="en-GB"/>
          <w14:ligatures w14:val="none"/>
        </w:rPr>
        <w:t>Such a conception of education not only ignores the contingent and dialogical nature of the educational relationship but is also based on the idea that teachers can be replaced by technology and intelligent machines.</w:t>
      </w:r>
    </w:p>
    <w:p w14:paraId="756AB4C9" w14:textId="315A9342" w:rsidR="00A6284D" w:rsidRPr="001F5093" w:rsidRDefault="00A6284D" w:rsidP="00A6284D">
      <w:pPr>
        <w:rPr>
          <w:rFonts w:ascii="Calibri" w:hAnsi="Calibri" w:cs="Calibri"/>
          <w:sz w:val="28"/>
          <w:szCs w:val="28"/>
        </w:rPr>
      </w:pPr>
    </w:p>
    <w:p w14:paraId="19A67EA7"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Moreover, as we strive for educational equity and inclusion, Vygotsky's emphasis on the social nature of learning reminds us of the importance of creating supportive and inclusive learning communities where every child feels valued and empowered to reach their full potential. By embracing diversity, fostering empathy, and cultivating a culture of respect and understanding, we can build a more equitable and inclusive future for education.</w:t>
      </w:r>
    </w:p>
    <w:p w14:paraId="23559B6B" w14:textId="2302F18D" w:rsidR="00A6284D" w:rsidRPr="001F5093" w:rsidRDefault="007A39AA" w:rsidP="00A6284D">
      <w:pPr>
        <w:rPr>
          <w:rFonts w:ascii="Calibri" w:hAnsi="Calibri" w:cs="Calibri"/>
          <w:sz w:val="28"/>
          <w:szCs w:val="28"/>
        </w:rPr>
      </w:pPr>
      <w:r w:rsidRPr="001F5093">
        <w:rPr>
          <w:rFonts w:ascii="Calibri" w:hAnsi="Calibri" w:cs="Calibri"/>
          <w:sz w:val="28"/>
          <w:szCs w:val="28"/>
        </w:rPr>
        <w:t>Slide 12</w:t>
      </w:r>
    </w:p>
    <w:p w14:paraId="26382E0A" w14:textId="77777777" w:rsidR="00A6284D" w:rsidRPr="001F5093" w:rsidRDefault="00A6284D" w:rsidP="00A6284D">
      <w:pPr>
        <w:rPr>
          <w:rFonts w:ascii="Calibri" w:hAnsi="Calibri" w:cs="Calibri"/>
          <w:sz w:val="28"/>
          <w:szCs w:val="28"/>
        </w:rPr>
      </w:pPr>
      <w:r w:rsidRPr="001F5093">
        <w:rPr>
          <w:rFonts w:ascii="Calibri" w:hAnsi="Calibri" w:cs="Calibri"/>
          <w:sz w:val="28"/>
          <w:szCs w:val="28"/>
        </w:rPr>
        <w:t xml:space="preserve">In conclusion, Vygotsky's theory serves as a guiding light, illuminating the path toward a more holistic, student-centered approach to education. By harnessing </w:t>
      </w:r>
      <w:r w:rsidRPr="001F5093">
        <w:rPr>
          <w:rFonts w:ascii="Calibri" w:hAnsi="Calibri" w:cs="Calibri"/>
          <w:sz w:val="28"/>
          <w:szCs w:val="28"/>
        </w:rPr>
        <w:lastRenderedPageBreak/>
        <w:t>the power of socio-cultural learning environments, scaffolding, and collaborative pedagogies, educators can ignite the spark of curiosity, creativity, and passion for lifelong learning in the hearts and minds of young learners. As we embark on this journey of educational transformation, let us remain steadfast in our commitment to nurturing the potential of every child and shaping a brighter future for generations to come.</w:t>
      </w:r>
    </w:p>
    <w:p w14:paraId="544B0B20" w14:textId="77777777" w:rsidR="00A6284D" w:rsidRPr="001F5093" w:rsidRDefault="00A6284D" w:rsidP="00A6284D">
      <w:pPr>
        <w:rPr>
          <w:rFonts w:ascii="Calibri" w:hAnsi="Calibri" w:cs="Calibri"/>
          <w:sz w:val="28"/>
          <w:szCs w:val="28"/>
        </w:rPr>
      </w:pPr>
    </w:p>
    <w:p w14:paraId="40331354" w14:textId="5DF6AE21" w:rsidR="00CA337C" w:rsidRPr="001F5093" w:rsidRDefault="00A6284D" w:rsidP="00A6284D">
      <w:pPr>
        <w:rPr>
          <w:rFonts w:ascii="Calibri" w:hAnsi="Calibri" w:cs="Calibri"/>
          <w:sz w:val="28"/>
          <w:szCs w:val="28"/>
        </w:rPr>
      </w:pPr>
      <w:r w:rsidRPr="001F5093">
        <w:rPr>
          <w:rFonts w:ascii="Calibri" w:hAnsi="Calibri" w:cs="Calibri"/>
          <w:sz w:val="28"/>
          <w:szCs w:val="28"/>
        </w:rPr>
        <w:t>Thank you.</w:t>
      </w:r>
    </w:p>
    <w:p w14:paraId="26E5891B" w14:textId="77777777" w:rsidR="00C17033" w:rsidRPr="001F5093" w:rsidRDefault="00C17033" w:rsidP="00A6284D">
      <w:pPr>
        <w:rPr>
          <w:rFonts w:ascii="Calibri" w:hAnsi="Calibri" w:cs="Calibri"/>
          <w:sz w:val="28"/>
          <w:szCs w:val="28"/>
        </w:rPr>
      </w:pPr>
    </w:p>
    <w:sdt>
      <w:sdtPr>
        <w:rPr>
          <w:rFonts w:ascii="Calibri" w:eastAsiaTheme="minorHAnsi" w:hAnsi="Calibri" w:cs="Calibri"/>
          <w:color w:val="auto"/>
          <w:sz w:val="28"/>
          <w:szCs w:val="28"/>
        </w:rPr>
        <w:id w:val="-1559706643"/>
        <w:docPartObj>
          <w:docPartGallery w:val="Bibliographies"/>
          <w:docPartUnique/>
        </w:docPartObj>
      </w:sdtPr>
      <w:sdtContent>
        <w:p w14:paraId="58A56B44" w14:textId="569B0F55" w:rsidR="0041754B" w:rsidRPr="001F5093" w:rsidRDefault="0041754B">
          <w:pPr>
            <w:pStyle w:val="Heading1"/>
            <w:rPr>
              <w:rFonts w:ascii="Calibri" w:hAnsi="Calibri" w:cs="Calibri"/>
              <w:sz w:val="28"/>
              <w:szCs w:val="28"/>
            </w:rPr>
          </w:pPr>
          <w:r w:rsidRPr="001F5093">
            <w:rPr>
              <w:rFonts w:ascii="Calibri" w:hAnsi="Calibri" w:cs="Calibri"/>
              <w:sz w:val="28"/>
              <w:szCs w:val="28"/>
            </w:rPr>
            <w:t>References</w:t>
          </w:r>
        </w:p>
        <w:sdt>
          <w:sdtPr>
            <w:rPr>
              <w:rFonts w:ascii="Calibri" w:hAnsi="Calibri" w:cs="Calibri"/>
              <w:sz w:val="28"/>
              <w:szCs w:val="28"/>
            </w:rPr>
            <w:id w:val="-573587230"/>
            <w:bibliography/>
          </w:sdtPr>
          <w:sdtContent>
            <w:p w14:paraId="0977BF78" w14:textId="77777777" w:rsidR="00B61874" w:rsidRPr="001F5093" w:rsidRDefault="00B61874" w:rsidP="00B61874">
              <w:pPr>
                <w:pStyle w:val="Bibliography"/>
                <w:rPr>
                  <w:rFonts w:ascii="Calibri" w:hAnsi="Calibri" w:cs="Calibri"/>
                  <w:sz w:val="28"/>
                  <w:szCs w:val="28"/>
                </w:rPr>
              </w:pPr>
            </w:p>
            <w:sdt>
              <w:sdtPr>
                <w:rPr>
                  <w:rFonts w:ascii="Calibri" w:eastAsiaTheme="minorHAnsi" w:hAnsi="Calibri" w:cs="Calibri"/>
                  <w:color w:val="auto"/>
                  <w:sz w:val="28"/>
                  <w:szCs w:val="28"/>
                </w:rPr>
                <w:id w:val="947670901"/>
                <w:docPartObj>
                  <w:docPartGallery w:val="Bibliographies"/>
                  <w:docPartUnique/>
                </w:docPartObj>
              </w:sdtPr>
              <w:sdtContent>
                <w:p w14:paraId="54828BA9" w14:textId="317979B3" w:rsidR="00B61874" w:rsidRPr="001F5093" w:rsidRDefault="00B61874">
                  <w:pPr>
                    <w:pStyle w:val="Heading1"/>
                    <w:rPr>
                      <w:rFonts w:ascii="Calibri" w:hAnsi="Calibri" w:cs="Calibri"/>
                      <w:sz w:val="28"/>
                      <w:szCs w:val="28"/>
                    </w:rPr>
                  </w:pPr>
                  <w:r w:rsidRPr="001F5093">
                    <w:rPr>
                      <w:rFonts w:ascii="Calibri" w:hAnsi="Calibri" w:cs="Calibri"/>
                      <w:sz w:val="28"/>
                      <w:szCs w:val="28"/>
                    </w:rPr>
                    <w:t>References</w:t>
                  </w:r>
                </w:p>
                <w:sdt>
                  <w:sdtPr>
                    <w:rPr>
                      <w:rFonts w:ascii="Calibri" w:hAnsi="Calibri" w:cs="Calibri"/>
                      <w:sz w:val="28"/>
                      <w:szCs w:val="28"/>
                    </w:rPr>
                    <w:id w:val="-1544440246"/>
                    <w:bibliography/>
                  </w:sdtPr>
                  <w:sdtContent>
                    <w:p w14:paraId="64B1EB13" w14:textId="77777777" w:rsidR="00B61874" w:rsidRPr="001F5093" w:rsidRDefault="00B61874" w:rsidP="00B61874">
                      <w:pPr>
                        <w:pStyle w:val="Bibliography"/>
                        <w:rPr>
                          <w:rFonts w:ascii="Calibri" w:hAnsi="Calibri" w:cs="Calibri"/>
                          <w:noProof/>
                          <w:kern w:val="0"/>
                          <w:sz w:val="28"/>
                          <w:szCs w:val="28"/>
                          <w14:ligatures w14:val="none"/>
                        </w:rPr>
                      </w:pPr>
                      <w:r w:rsidRPr="001F5093">
                        <w:rPr>
                          <w:rFonts w:ascii="Calibri" w:hAnsi="Calibri" w:cs="Calibri"/>
                          <w:sz w:val="28"/>
                          <w:szCs w:val="28"/>
                        </w:rPr>
                        <w:fldChar w:fldCharType="begin"/>
                      </w:r>
                      <w:r w:rsidRPr="001F5093">
                        <w:rPr>
                          <w:rFonts w:ascii="Calibri" w:hAnsi="Calibri" w:cs="Calibri"/>
                          <w:sz w:val="28"/>
                          <w:szCs w:val="28"/>
                        </w:rPr>
                        <w:instrText>BIBLIOGRAPHY</w:instrText>
                      </w:r>
                      <w:r w:rsidRPr="001F5093">
                        <w:rPr>
                          <w:rFonts w:ascii="Calibri" w:hAnsi="Calibri" w:cs="Calibri"/>
                          <w:sz w:val="28"/>
                          <w:szCs w:val="28"/>
                        </w:rPr>
                        <w:fldChar w:fldCharType="separate"/>
                      </w:r>
                      <w:r w:rsidRPr="001F5093">
                        <w:rPr>
                          <w:rFonts w:ascii="Calibri" w:hAnsi="Calibri" w:cs="Calibri"/>
                          <w:noProof/>
                          <w:sz w:val="28"/>
                          <w:szCs w:val="28"/>
                        </w:rPr>
                        <w:t xml:space="preserve">Alexander, S., 2023. </w:t>
                      </w:r>
                      <w:r w:rsidRPr="001F5093">
                        <w:rPr>
                          <w:rFonts w:ascii="Calibri" w:hAnsi="Calibri" w:cs="Calibri"/>
                          <w:i/>
                          <w:iCs/>
                          <w:noProof/>
                          <w:sz w:val="28"/>
                          <w:szCs w:val="28"/>
                        </w:rPr>
                        <w:t xml:space="preserve">What Is Peer Tutoring and How Does It Compare to Other Tutoring Methods?. </w:t>
                      </w:r>
                      <w:r w:rsidRPr="001F5093">
                        <w:rPr>
                          <w:rFonts w:ascii="Calibri" w:hAnsi="Calibri" w:cs="Calibri"/>
                          <w:noProof/>
                          <w:sz w:val="28"/>
                          <w:szCs w:val="28"/>
                        </w:rPr>
                        <w:t>N.D.: N.D..</w:t>
                      </w:r>
                    </w:p>
                    <w:p w14:paraId="18942959"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Gupta, J., 2020. </w:t>
                      </w:r>
                      <w:r w:rsidRPr="001F5093">
                        <w:rPr>
                          <w:rFonts w:ascii="Calibri" w:hAnsi="Calibri" w:cs="Calibri"/>
                          <w:i/>
                          <w:iCs/>
                          <w:noProof/>
                          <w:sz w:val="28"/>
                          <w:szCs w:val="28"/>
                        </w:rPr>
                        <w:t xml:space="preserve">AI in Education. </w:t>
                      </w:r>
                      <w:r w:rsidRPr="001F5093">
                        <w:rPr>
                          <w:rFonts w:ascii="Calibri" w:hAnsi="Calibri" w:cs="Calibri"/>
                          <w:noProof/>
                          <w:sz w:val="28"/>
                          <w:szCs w:val="28"/>
                        </w:rPr>
                        <w:t>N.A.: N.A..</w:t>
                      </w:r>
                    </w:p>
                    <w:p w14:paraId="0702EEF6"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Hargraves, V., 2021. </w:t>
                      </w:r>
                      <w:r w:rsidRPr="001F5093">
                        <w:rPr>
                          <w:rFonts w:ascii="Calibri" w:hAnsi="Calibri" w:cs="Calibri"/>
                          <w:i/>
                          <w:iCs/>
                          <w:noProof/>
                          <w:sz w:val="28"/>
                          <w:szCs w:val="28"/>
                        </w:rPr>
                        <w:t xml:space="preserve">Vygotsky’s philosophy of education. </w:t>
                      </w:r>
                      <w:r w:rsidRPr="001F5093">
                        <w:rPr>
                          <w:rFonts w:ascii="Calibri" w:hAnsi="Calibri" w:cs="Calibri"/>
                          <w:noProof/>
                          <w:sz w:val="28"/>
                          <w:szCs w:val="28"/>
                        </w:rPr>
                        <w:t xml:space="preserve">[Online] </w:t>
                      </w:r>
                      <w:r w:rsidRPr="001F5093">
                        <w:rPr>
                          <w:rFonts w:ascii="Calibri" w:hAnsi="Calibri" w:cs="Calibri"/>
                          <w:noProof/>
                          <w:sz w:val="28"/>
                          <w:szCs w:val="28"/>
                        </w:rPr>
                        <w:br/>
                        <w:t xml:space="preserve">Available at: </w:t>
                      </w:r>
                      <w:r w:rsidRPr="001F5093">
                        <w:rPr>
                          <w:rFonts w:ascii="Calibri" w:hAnsi="Calibri" w:cs="Calibri"/>
                          <w:noProof/>
                          <w:sz w:val="28"/>
                          <w:szCs w:val="28"/>
                          <w:u w:val="single"/>
                        </w:rPr>
                        <w:t>https://theeducationhub.org.nz/vygotskys-philosophy-of-education/</w:t>
                      </w:r>
                      <w:r w:rsidRPr="001F5093">
                        <w:rPr>
                          <w:rFonts w:ascii="Calibri" w:hAnsi="Calibri" w:cs="Calibri"/>
                          <w:noProof/>
                          <w:sz w:val="28"/>
                          <w:szCs w:val="28"/>
                        </w:rPr>
                        <w:br/>
                        <w:t>[Accessed 26 02 2024].</w:t>
                      </w:r>
                    </w:p>
                    <w:p w14:paraId="16960C9E"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Kurt, S., 2022. </w:t>
                      </w:r>
                      <w:r w:rsidRPr="001F5093">
                        <w:rPr>
                          <w:rFonts w:ascii="Calibri" w:hAnsi="Calibri" w:cs="Calibri"/>
                          <w:i/>
                          <w:iCs/>
                          <w:noProof/>
                          <w:sz w:val="28"/>
                          <w:szCs w:val="28"/>
                        </w:rPr>
                        <w:t xml:space="preserve">How To Incorporate Vygotsky’s Theories In The Classroom. </w:t>
                      </w:r>
                      <w:r w:rsidRPr="001F5093">
                        <w:rPr>
                          <w:rFonts w:ascii="Calibri" w:hAnsi="Calibri" w:cs="Calibri"/>
                          <w:noProof/>
                          <w:sz w:val="28"/>
                          <w:szCs w:val="28"/>
                        </w:rPr>
                        <w:t>N.D.: N.D..</w:t>
                      </w:r>
                    </w:p>
                    <w:p w14:paraId="156EB42F"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Mcleod, S., 2024. </w:t>
                      </w:r>
                      <w:r w:rsidRPr="001F5093">
                        <w:rPr>
                          <w:rFonts w:ascii="Calibri" w:hAnsi="Calibri" w:cs="Calibri"/>
                          <w:i/>
                          <w:iCs/>
                          <w:noProof/>
                          <w:sz w:val="28"/>
                          <w:szCs w:val="28"/>
                        </w:rPr>
                        <w:t xml:space="preserve">Vygotsky’s Theory Of Cognitive Development. </w:t>
                      </w:r>
                      <w:r w:rsidRPr="001F5093">
                        <w:rPr>
                          <w:rFonts w:ascii="Calibri" w:hAnsi="Calibri" w:cs="Calibri"/>
                          <w:noProof/>
                          <w:sz w:val="28"/>
                          <w:szCs w:val="28"/>
                        </w:rPr>
                        <w:t xml:space="preserve">[Online] </w:t>
                      </w:r>
                      <w:r w:rsidRPr="001F5093">
                        <w:rPr>
                          <w:rFonts w:ascii="Calibri" w:hAnsi="Calibri" w:cs="Calibri"/>
                          <w:noProof/>
                          <w:sz w:val="28"/>
                          <w:szCs w:val="28"/>
                        </w:rPr>
                        <w:br/>
                        <w:t xml:space="preserve">Available at: </w:t>
                      </w:r>
                      <w:r w:rsidRPr="001F5093">
                        <w:rPr>
                          <w:rFonts w:ascii="Calibri" w:hAnsi="Calibri" w:cs="Calibri"/>
                          <w:noProof/>
                          <w:sz w:val="28"/>
                          <w:szCs w:val="28"/>
                          <w:u w:val="single"/>
                        </w:rPr>
                        <w:t>https://www.simplypsychology.org/vygotsky.html#:~:text=Vygotsky%E2%80%99s%20theory%20encourages%20collaborative%20and%20cooperative%20learning%20between,students%20master%20skills%20just%20beyond%20their%20current%20level</w:t>
                      </w:r>
                      <w:r w:rsidRPr="001F5093">
                        <w:rPr>
                          <w:rFonts w:ascii="Calibri" w:hAnsi="Calibri" w:cs="Calibri"/>
                          <w:noProof/>
                          <w:sz w:val="28"/>
                          <w:szCs w:val="28"/>
                        </w:rPr>
                        <w:br/>
                        <w:t>[Accessed 24 02 2024].</w:t>
                      </w:r>
                    </w:p>
                    <w:p w14:paraId="53033E0C"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Montessori, M., N.D.. </w:t>
                      </w:r>
                      <w:r w:rsidRPr="001F5093">
                        <w:rPr>
                          <w:rFonts w:ascii="Calibri" w:hAnsi="Calibri" w:cs="Calibri"/>
                          <w:i/>
                          <w:iCs/>
                          <w:noProof/>
                          <w:sz w:val="28"/>
                          <w:szCs w:val="28"/>
                        </w:rPr>
                        <w:t xml:space="preserve">Maria Montessori. </w:t>
                      </w:r>
                      <w:r w:rsidRPr="001F5093">
                        <w:rPr>
                          <w:rFonts w:ascii="Calibri" w:hAnsi="Calibri" w:cs="Calibri"/>
                          <w:noProof/>
                          <w:sz w:val="28"/>
                          <w:szCs w:val="28"/>
                        </w:rPr>
                        <w:t>N.D.: Encyclopædia Britannica.</w:t>
                      </w:r>
                    </w:p>
                    <w:p w14:paraId="3E703D6F"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N.D., 2022. </w:t>
                      </w:r>
                      <w:r w:rsidRPr="001F5093">
                        <w:rPr>
                          <w:rFonts w:ascii="Calibri" w:hAnsi="Calibri" w:cs="Calibri"/>
                          <w:i/>
                          <w:iCs/>
                          <w:noProof/>
                          <w:sz w:val="28"/>
                          <w:szCs w:val="28"/>
                        </w:rPr>
                        <w:t xml:space="preserve">The Importance of Culturally Responsive Teaching. </w:t>
                      </w:r>
                      <w:r w:rsidRPr="001F5093">
                        <w:rPr>
                          <w:rFonts w:ascii="Calibri" w:hAnsi="Calibri" w:cs="Calibri"/>
                          <w:noProof/>
                          <w:sz w:val="28"/>
                          <w:szCs w:val="28"/>
                        </w:rPr>
                        <w:t>N.D.: N.D..</w:t>
                      </w:r>
                    </w:p>
                    <w:p w14:paraId="72F19474"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N.D., N.d.. </w:t>
                      </w:r>
                      <w:r w:rsidRPr="001F5093">
                        <w:rPr>
                          <w:rFonts w:ascii="Calibri" w:hAnsi="Calibri" w:cs="Calibri"/>
                          <w:i/>
                          <w:iCs/>
                          <w:noProof/>
                          <w:sz w:val="28"/>
                          <w:szCs w:val="28"/>
                        </w:rPr>
                        <w:t xml:space="preserve">Authentic assessment. </w:t>
                      </w:r>
                      <w:r w:rsidRPr="001F5093">
                        <w:rPr>
                          <w:rFonts w:ascii="Calibri" w:hAnsi="Calibri" w:cs="Calibri"/>
                          <w:noProof/>
                          <w:sz w:val="28"/>
                          <w:szCs w:val="28"/>
                        </w:rPr>
                        <w:t>N.D.: N.D..</w:t>
                      </w:r>
                    </w:p>
                    <w:p w14:paraId="38D90AC5"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lastRenderedPageBreak/>
                        <w:t xml:space="preserve">Nardo, A., 2021. Exploring a Vygotskian Theory of Education and Its Evolutionary Foundations. </w:t>
                      </w:r>
                      <w:r w:rsidRPr="001F5093">
                        <w:rPr>
                          <w:rFonts w:ascii="Calibri" w:hAnsi="Calibri" w:cs="Calibri"/>
                          <w:i/>
                          <w:iCs/>
                          <w:noProof/>
                          <w:sz w:val="28"/>
                          <w:szCs w:val="28"/>
                        </w:rPr>
                        <w:t xml:space="preserve">Educational Theory, </w:t>
                      </w:r>
                      <w:r w:rsidRPr="001F5093">
                        <w:rPr>
                          <w:rFonts w:ascii="Calibri" w:hAnsi="Calibri" w:cs="Calibri"/>
                          <w:noProof/>
                          <w:sz w:val="28"/>
                          <w:szCs w:val="28"/>
                        </w:rPr>
                        <w:t>71(3), pp. 331-352.</w:t>
                      </w:r>
                    </w:p>
                    <w:p w14:paraId="797EFF4E"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Piaget, J., N.D.. </w:t>
                      </w:r>
                      <w:r w:rsidRPr="001F5093">
                        <w:rPr>
                          <w:rFonts w:ascii="Calibri" w:hAnsi="Calibri" w:cs="Calibri"/>
                          <w:i/>
                          <w:iCs/>
                          <w:noProof/>
                          <w:sz w:val="28"/>
                          <w:szCs w:val="28"/>
                        </w:rPr>
                        <w:t xml:space="preserve">Jean Piaget. </w:t>
                      </w:r>
                      <w:r w:rsidRPr="001F5093">
                        <w:rPr>
                          <w:rFonts w:ascii="Calibri" w:hAnsi="Calibri" w:cs="Calibri"/>
                          <w:noProof/>
                          <w:sz w:val="28"/>
                          <w:szCs w:val="28"/>
                        </w:rPr>
                        <w:t>N.D.: N.D..</w:t>
                      </w:r>
                    </w:p>
                    <w:p w14:paraId="18154814"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Pusey, S., 2019. </w:t>
                      </w:r>
                      <w:r w:rsidRPr="001F5093">
                        <w:rPr>
                          <w:rFonts w:ascii="Calibri" w:hAnsi="Calibri" w:cs="Calibri"/>
                          <w:i/>
                          <w:iCs/>
                          <w:noProof/>
                          <w:sz w:val="28"/>
                          <w:szCs w:val="28"/>
                        </w:rPr>
                        <w:t xml:space="preserve">teachers pull off collaborative learning. </w:t>
                      </w:r>
                      <w:r w:rsidRPr="001F5093">
                        <w:rPr>
                          <w:rFonts w:ascii="Calibri" w:hAnsi="Calibri" w:cs="Calibri"/>
                          <w:noProof/>
                          <w:sz w:val="28"/>
                          <w:szCs w:val="28"/>
                        </w:rPr>
                        <w:t>N.D.: N.D..</w:t>
                      </w:r>
                    </w:p>
                    <w:p w14:paraId="037ADABF"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Silalahi, R. M., 2019. Understanding Vygotsky’s Zone of Proximal Development for Learning. </w:t>
                      </w:r>
                      <w:r w:rsidRPr="001F5093">
                        <w:rPr>
                          <w:rFonts w:ascii="Calibri" w:hAnsi="Calibri" w:cs="Calibri"/>
                          <w:i/>
                          <w:iCs/>
                          <w:noProof/>
                          <w:sz w:val="28"/>
                          <w:szCs w:val="28"/>
                        </w:rPr>
                        <w:t xml:space="preserve">POLYGLOT: JURNAL ILMIAH, </w:t>
                      </w:r>
                      <w:r w:rsidRPr="001F5093">
                        <w:rPr>
                          <w:rFonts w:ascii="Calibri" w:hAnsi="Calibri" w:cs="Calibri"/>
                          <w:noProof/>
                          <w:sz w:val="28"/>
                          <w:szCs w:val="28"/>
                        </w:rPr>
                        <w:t>15(2), pp. 169-186.</w:t>
                      </w:r>
                    </w:p>
                    <w:p w14:paraId="1B267CB3"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Tran, H. V. H., 2022. The zone of proximal privilege: towards a Vygotskian theory of privilege in education. </w:t>
                      </w:r>
                      <w:r w:rsidRPr="001F5093">
                        <w:rPr>
                          <w:rFonts w:ascii="Calibri" w:hAnsi="Calibri" w:cs="Calibri"/>
                          <w:i/>
                          <w:iCs/>
                          <w:noProof/>
                          <w:sz w:val="28"/>
                          <w:szCs w:val="28"/>
                        </w:rPr>
                        <w:t xml:space="preserve">International Journal of Qualitative Studies in Education, </w:t>
                      </w:r>
                      <w:r w:rsidRPr="001F5093">
                        <w:rPr>
                          <w:rFonts w:ascii="Calibri" w:hAnsi="Calibri" w:cs="Calibri"/>
                          <w:noProof/>
                          <w:sz w:val="28"/>
                          <w:szCs w:val="28"/>
                        </w:rPr>
                        <w:t>35(7), pp. 791-804.</w:t>
                      </w:r>
                    </w:p>
                    <w:p w14:paraId="2E8A920E"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Verenikina, I., 2003. </w:t>
                      </w:r>
                      <w:r w:rsidRPr="001F5093">
                        <w:rPr>
                          <w:rFonts w:ascii="Calibri" w:hAnsi="Calibri" w:cs="Calibri"/>
                          <w:i/>
                          <w:iCs/>
                          <w:noProof/>
                          <w:sz w:val="28"/>
                          <w:szCs w:val="28"/>
                        </w:rPr>
                        <w:t xml:space="preserve">Understanding Scaffolding and the ZPD in Educational Research. </w:t>
                      </w:r>
                      <w:r w:rsidRPr="001F5093">
                        <w:rPr>
                          <w:rFonts w:ascii="Calibri" w:hAnsi="Calibri" w:cs="Calibri"/>
                          <w:noProof/>
                          <w:sz w:val="28"/>
                          <w:szCs w:val="28"/>
                        </w:rPr>
                        <w:t xml:space="preserve">[Online] </w:t>
                      </w:r>
                      <w:r w:rsidRPr="001F5093">
                        <w:rPr>
                          <w:rFonts w:ascii="Calibri" w:hAnsi="Calibri" w:cs="Calibri"/>
                          <w:noProof/>
                          <w:sz w:val="28"/>
                          <w:szCs w:val="28"/>
                        </w:rPr>
                        <w:br/>
                        <w:t xml:space="preserve">Available at: </w:t>
                      </w:r>
                      <w:r w:rsidRPr="001F5093">
                        <w:rPr>
                          <w:rFonts w:ascii="Calibri" w:hAnsi="Calibri" w:cs="Calibri"/>
                          <w:noProof/>
                          <w:sz w:val="28"/>
                          <w:szCs w:val="28"/>
                          <w:u w:val="single"/>
                        </w:rPr>
                        <w:t>https://ro.uow.edu.au/edupapers/381/</w:t>
                      </w:r>
                      <w:r w:rsidRPr="001F5093">
                        <w:rPr>
                          <w:rFonts w:ascii="Calibri" w:hAnsi="Calibri" w:cs="Calibri"/>
                          <w:noProof/>
                          <w:sz w:val="28"/>
                          <w:szCs w:val="28"/>
                        </w:rPr>
                        <w:br/>
                        <w:t>[Accessed 1 03 2024].</w:t>
                      </w:r>
                    </w:p>
                    <w:p w14:paraId="1511F150"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Vygotsky, L., N.D.. </w:t>
                      </w:r>
                      <w:r w:rsidRPr="001F5093">
                        <w:rPr>
                          <w:rFonts w:ascii="Calibri" w:hAnsi="Calibri" w:cs="Calibri"/>
                          <w:i/>
                          <w:iCs/>
                          <w:noProof/>
                          <w:sz w:val="28"/>
                          <w:szCs w:val="28"/>
                        </w:rPr>
                        <w:t xml:space="preserve">Lev Vygotsky. </w:t>
                      </w:r>
                      <w:r w:rsidRPr="001F5093">
                        <w:rPr>
                          <w:rFonts w:ascii="Calibri" w:hAnsi="Calibri" w:cs="Calibri"/>
                          <w:noProof/>
                          <w:sz w:val="28"/>
                          <w:szCs w:val="28"/>
                        </w:rPr>
                        <w:t>N.D.: N.D..</w:t>
                      </w:r>
                    </w:p>
                    <w:p w14:paraId="6C6355D0" w14:textId="77777777" w:rsidR="00B61874" w:rsidRPr="001F5093" w:rsidRDefault="00B61874" w:rsidP="00B61874">
                      <w:pPr>
                        <w:pStyle w:val="Bibliography"/>
                        <w:rPr>
                          <w:rFonts w:ascii="Calibri" w:hAnsi="Calibri" w:cs="Calibri"/>
                          <w:noProof/>
                          <w:sz w:val="28"/>
                          <w:szCs w:val="28"/>
                        </w:rPr>
                      </w:pPr>
                      <w:r w:rsidRPr="001F5093">
                        <w:rPr>
                          <w:rFonts w:ascii="Calibri" w:hAnsi="Calibri" w:cs="Calibri"/>
                          <w:noProof/>
                          <w:sz w:val="28"/>
                          <w:szCs w:val="28"/>
                        </w:rPr>
                        <w:t xml:space="preserve">wavebreakmediamicro, N.D.. </w:t>
                      </w:r>
                      <w:r w:rsidRPr="001F5093">
                        <w:rPr>
                          <w:rFonts w:ascii="Calibri" w:hAnsi="Calibri" w:cs="Calibri"/>
                          <w:i/>
                          <w:iCs/>
                          <w:noProof/>
                          <w:sz w:val="28"/>
                          <w:szCs w:val="28"/>
                        </w:rPr>
                        <w:t xml:space="preserve">A Collaborative Approach to Defining Classroom Norms. </w:t>
                      </w:r>
                      <w:r w:rsidRPr="001F5093">
                        <w:rPr>
                          <w:rFonts w:ascii="Calibri" w:hAnsi="Calibri" w:cs="Calibri"/>
                          <w:noProof/>
                          <w:sz w:val="28"/>
                          <w:szCs w:val="28"/>
                        </w:rPr>
                        <w:t>N.D.: N.D..</w:t>
                      </w:r>
                    </w:p>
                    <w:p w14:paraId="2F34C4BD" w14:textId="598A80BB" w:rsidR="00B61874" w:rsidRPr="001F5093" w:rsidRDefault="00B61874" w:rsidP="00B61874">
                      <w:pPr>
                        <w:rPr>
                          <w:rFonts w:ascii="Calibri" w:hAnsi="Calibri" w:cs="Calibri"/>
                          <w:sz w:val="28"/>
                          <w:szCs w:val="28"/>
                        </w:rPr>
                      </w:pPr>
                      <w:r w:rsidRPr="001F5093">
                        <w:rPr>
                          <w:rFonts w:ascii="Calibri" w:hAnsi="Calibri" w:cs="Calibri"/>
                          <w:b/>
                          <w:bCs/>
                          <w:sz w:val="28"/>
                          <w:szCs w:val="28"/>
                        </w:rPr>
                        <w:fldChar w:fldCharType="end"/>
                      </w:r>
                    </w:p>
                  </w:sdtContent>
                </w:sdt>
              </w:sdtContent>
            </w:sdt>
            <w:p w14:paraId="37F20B9B" w14:textId="4C08D247" w:rsidR="00B61874" w:rsidRPr="001F5093" w:rsidRDefault="00B61874" w:rsidP="00B61874">
              <w:pPr>
                <w:pStyle w:val="Bibliography"/>
                <w:rPr>
                  <w:rFonts w:ascii="Calibri" w:hAnsi="Calibri" w:cs="Calibri"/>
                  <w:sz w:val="28"/>
                  <w:szCs w:val="28"/>
                </w:rPr>
              </w:pPr>
            </w:p>
            <w:p w14:paraId="5D10EC3D" w14:textId="215C4593" w:rsidR="0041754B" w:rsidRPr="001F5093" w:rsidRDefault="00000000" w:rsidP="00B462FC">
              <w:pPr>
                <w:rPr>
                  <w:rFonts w:ascii="Calibri" w:hAnsi="Calibri" w:cs="Calibri"/>
                  <w:sz w:val="28"/>
                  <w:szCs w:val="28"/>
                </w:rPr>
              </w:pPr>
            </w:p>
          </w:sdtContent>
        </w:sdt>
      </w:sdtContent>
    </w:sdt>
    <w:sectPr w:rsidR="0041754B" w:rsidRPr="001F509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6284D"/>
    <w:rsid w:val="0000234B"/>
    <w:rsid w:val="00075F9E"/>
    <w:rsid w:val="000B453F"/>
    <w:rsid w:val="0012414A"/>
    <w:rsid w:val="00124566"/>
    <w:rsid w:val="001F5093"/>
    <w:rsid w:val="00253F04"/>
    <w:rsid w:val="003779B9"/>
    <w:rsid w:val="00392EDF"/>
    <w:rsid w:val="003D1951"/>
    <w:rsid w:val="0041754B"/>
    <w:rsid w:val="0043127D"/>
    <w:rsid w:val="004A75E2"/>
    <w:rsid w:val="004F65A9"/>
    <w:rsid w:val="00513DE2"/>
    <w:rsid w:val="005B0C8B"/>
    <w:rsid w:val="00673E2B"/>
    <w:rsid w:val="0075675C"/>
    <w:rsid w:val="00787CD4"/>
    <w:rsid w:val="007A39AA"/>
    <w:rsid w:val="008901A2"/>
    <w:rsid w:val="008A0E55"/>
    <w:rsid w:val="008E2CD5"/>
    <w:rsid w:val="00936653"/>
    <w:rsid w:val="009504ED"/>
    <w:rsid w:val="009B627F"/>
    <w:rsid w:val="00A130C0"/>
    <w:rsid w:val="00A6284D"/>
    <w:rsid w:val="00AB2C84"/>
    <w:rsid w:val="00B31760"/>
    <w:rsid w:val="00B462FC"/>
    <w:rsid w:val="00B5175A"/>
    <w:rsid w:val="00B61874"/>
    <w:rsid w:val="00BA57E7"/>
    <w:rsid w:val="00BB0C39"/>
    <w:rsid w:val="00BE414B"/>
    <w:rsid w:val="00C00D97"/>
    <w:rsid w:val="00C17033"/>
    <w:rsid w:val="00C36BEF"/>
    <w:rsid w:val="00C92A02"/>
    <w:rsid w:val="00CA337C"/>
    <w:rsid w:val="00CC1613"/>
    <w:rsid w:val="00D00126"/>
    <w:rsid w:val="00D20354"/>
    <w:rsid w:val="00D775D4"/>
    <w:rsid w:val="00D954DD"/>
    <w:rsid w:val="00DE49E6"/>
    <w:rsid w:val="00DF69C5"/>
    <w:rsid w:val="00E73F12"/>
    <w:rsid w:val="00E826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364F2"/>
  <w15:chartTrackingRefBased/>
  <w15:docId w15:val="{5E37F313-8FA5-49B9-9A87-410AB871A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6284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6284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6284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6284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6284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6284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6284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6284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6284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6284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6284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6284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6284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6284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6284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6284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6284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6284D"/>
    <w:rPr>
      <w:rFonts w:eastAsiaTheme="majorEastAsia" w:cstheme="majorBidi"/>
      <w:color w:val="272727" w:themeColor="text1" w:themeTint="D8"/>
    </w:rPr>
  </w:style>
  <w:style w:type="paragraph" w:styleId="Title">
    <w:name w:val="Title"/>
    <w:basedOn w:val="Normal"/>
    <w:next w:val="Normal"/>
    <w:link w:val="TitleChar"/>
    <w:uiPriority w:val="10"/>
    <w:qFormat/>
    <w:rsid w:val="00A6284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6284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6284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6284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6284D"/>
    <w:pPr>
      <w:spacing w:before="160"/>
      <w:jc w:val="center"/>
    </w:pPr>
    <w:rPr>
      <w:i/>
      <w:iCs/>
      <w:color w:val="404040" w:themeColor="text1" w:themeTint="BF"/>
    </w:rPr>
  </w:style>
  <w:style w:type="character" w:customStyle="1" w:styleId="QuoteChar">
    <w:name w:val="Quote Char"/>
    <w:basedOn w:val="DefaultParagraphFont"/>
    <w:link w:val="Quote"/>
    <w:uiPriority w:val="29"/>
    <w:rsid w:val="00A6284D"/>
    <w:rPr>
      <w:i/>
      <w:iCs/>
      <w:color w:val="404040" w:themeColor="text1" w:themeTint="BF"/>
    </w:rPr>
  </w:style>
  <w:style w:type="paragraph" w:styleId="ListParagraph">
    <w:name w:val="List Paragraph"/>
    <w:basedOn w:val="Normal"/>
    <w:uiPriority w:val="34"/>
    <w:qFormat/>
    <w:rsid w:val="00A6284D"/>
    <w:pPr>
      <w:ind w:left="720"/>
      <w:contextualSpacing/>
    </w:pPr>
  </w:style>
  <w:style w:type="character" w:styleId="IntenseEmphasis">
    <w:name w:val="Intense Emphasis"/>
    <w:basedOn w:val="DefaultParagraphFont"/>
    <w:uiPriority w:val="21"/>
    <w:qFormat/>
    <w:rsid w:val="00A6284D"/>
    <w:rPr>
      <w:i/>
      <w:iCs/>
      <w:color w:val="0F4761" w:themeColor="accent1" w:themeShade="BF"/>
    </w:rPr>
  </w:style>
  <w:style w:type="paragraph" w:styleId="IntenseQuote">
    <w:name w:val="Intense Quote"/>
    <w:basedOn w:val="Normal"/>
    <w:next w:val="Normal"/>
    <w:link w:val="IntenseQuoteChar"/>
    <w:uiPriority w:val="30"/>
    <w:qFormat/>
    <w:rsid w:val="00A6284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6284D"/>
    <w:rPr>
      <w:i/>
      <w:iCs/>
      <w:color w:val="0F4761" w:themeColor="accent1" w:themeShade="BF"/>
    </w:rPr>
  </w:style>
  <w:style w:type="character" w:styleId="IntenseReference">
    <w:name w:val="Intense Reference"/>
    <w:basedOn w:val="DefaultParagraphFont"/>
    <w:uiPriority w:val="32"/>
    <w:qFormat/>
    <w:rsid w:val="00A6284D"/>
    <w:rPr>
      <w:b/>
      <w:bCs/>
      <w:smallCaps/>
      <w:color w:val="0F4761" w:themeColor="accent1" w:themeShade="BF"/>
      <w:spacing w:val="5"/>
    </w:rPr>
  </w:style>
  <w:style w:type="character" w:customStyle="1" w:styleId="sw">
    <w:name w:val="sw"/>
    <w:basedOn w:val="DefaultParagraphFont"/>
    <w:rsid w:val="00075F9E"/>
  </w:style>
  <w:style w:type="paragraph" w:styleId="Bibliography">
    <w:name w:val="Bibliography"/>
    <w:basedOn w:val="Normal"/>
    <w:next w:val="Normal"/>
    <w:uiPriority w:val="37"/>
    <w:unhideWhenUsed/>
    <w:rsid w:val="00B5175A"/>
  </w:style>
  <w:style w:type="character" w:styleId="Hyperlink">
    <w:name w:val="Hyperlink"/>
    <w:basedOn w:val="DefaultParagraphFont"/>
    <w:uiPriority w:val="99"/>
    <w:unhideWhenUsed/>
    <w:rsid w:val="008E2CD5"/>
    <w:rPr>
      <w:color w:val="467886" w:themeColor="hyperlink"/>
      <w:u w:val="single"/>
    </w:rPr>
  </w:style>
  <w:style w:type="character" w:styleId="UnresolvedMention">
    <w:name w:val="Unresolved Mention"/>
    <w:basedOn w:val="DefaultParagraphFont"/>
    <w:uiPriority w:val="99"/>
    <w:semiHidden/>
    <w:unhideWhenUsed/>
    <w:rsid w:val="008E2CD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160958">
      <w:bodyDiv w:val="1"/>
      <w:marLeft w:val="0"/>
      <w:marRight w:val="0"/>
      <w:marTop w:val="0"/>
      <w:marBottom w:val="0"/>
      <w:divBdr>
        <w:top w:val="none" w:sz="0" w:space="0" w:color="auto"/>
        <w:left w:val="none" w:sz="0" w:space="0" w:color="auto"/>
        <w:bottom w:val="none" w:sz="0" w:space="0" w:color="auto"/>
        <w:right w:val="none" w:sz="0" w:space="0" w:color="auto"/>
      </w:divBdr>
    </w:div>
    <w:div w:id="103036517">
      <w:bodyDiv w:val="1"/>
      <w:marLeft w:val="0"/>
      <w:marRight w:val="0"/>
      <w:marTop w:val="0"/>
      <w:marBottom w:val="0"/>
      <w:divBdr>
        <w:top w:val="none" w:sz="0" w:space="0" w:color="auto"/>
        <w:left w:val="none" w:sz="0" w:space="0" w:color="auto"/>
        <w:bottom w:val="none" w:sz="0" w:space="0" w:color="auto"/>
        <w:right w:val="none" w:sz="0" w:space="0" w:color="auto"/>
      </w:divBdr>
    </w:div>
    <w:div w:id="254369115">
      <w:bodyDiv w:val="1"/>
      <w:marLeft w:val="0"/>
      <w:marRight w:val="0"/>
      <w:marTop w:val="0"/>
      <w:marBottom w:val="0"/>
      <w:divBdr>
        <w:top w:val="none" w:sz="0" w:space="0" w:color="auto"/>
        <w:left w:val="none" w:sz="0" w:space="0" w:color="auto"/>
        <w:bottom w:val="none" w:sz="0" w:space="0" w:color="auto"/>
        <w:right w:val="none" w:sz="0" w:space="0" w:color="auto"/>
      </w:divBdr>
    </w:div>
    <w:div w:id="286471184">
      <w:bodyDiv w:val="1"/>
      <w:marLeft w:val="0"/>
      <w:marRight w:val="0"/>
      <w:marTop w:val="0"/>
      <w:marBottom w:val="0"/>
      <w:divBdr>
        <w:top w:val="none" w:sz="0" w:space="0" w:color="auto"/>
        <w:left w:val="none" w:sz="0" w:space="0" w:color="auto"/>
        <w:bottom w:val="none" w:sz="0" w:space="0" w:color="auto"/>
        <w:right w:val="none" w:sz="0" w:space="0" w:color="auto"/>
      </w:divBdr>
    </w:div>
    <w:div w:id="376197645">
      <w:bodyDiv w:val="1"/>
      <w:marLeft w:val="0"/>
      <w:marRight w:val="0"/>
      <w:marTop w:val="0"/>
      <w:marBottom w:val="0"/>
      <w:divBdr>
        <w:top w:val="none" w:sz="0" w:space="0" w:color="auto"/>
        <w:left w:val="none" w:sz="0" w:space="0" w:color="auto"/>
        <w:bottom w:val="none" w:sz="0" w:space="0" w:color="auto"/>
        <w:right w:val="none" w:sz="0" w:space="0" w:color="auto"/>
      </w:divBdr>
    </w:div>
    <w:div w:id="397674231">
      <w:bodyDiv w:val="1"/>
      <w:marLeft w:val="0"/>
      <w:marRight w:val="0"/>
      <w:marTop w:val="0"/>
      <w:marBottom w:val="0"/>
      <w:divBdr>
        <w:top w:val="none" w:sz="0" w:space="0" w:color="auto"/>
        <w:left w:val="none" w:sz="0" w:space="0" w:color="auto"/>
        <w:bottom w:val="none" w:sz="0" w:space="0" w:color="auto"/>
        <w:right w:val="none" w:sz="0" w:space="0" w:color="auto"/>
      </w:divBdr>
    </w:div>
    <w:div w:id="411510600">
      <w:bodyDiv w:val="1"/>
      <w:marLeft w:val="0"/>
      <w:marRight w:val="0"/>
      <w:marTop w:val="0"/>
      <w:marBottom w:val="0"/>
      <w:divBdr>
        <w:top w:val="none" w:sz="0" w:space="0" w:color="auto"/>
        <w:left w:val="none" w:sz="0" w:space="0" w:color="auto"/>
        <w:bottom w:val="none" w:sz="0" w:space="0" w:color="auto"/>
        <w:right w:val="none" w:sz="0" w:space="0" w:color="auto"/>
      </w:divBdr>
    </w:div>
    <w:div w:id="818617035">
      <w:bodyDiv w:val="1"/>
      <w:marLeft w:val="0"/>
      <w:marRight w:val="0"/>
      <w:marTop w:val="0"/>
      <w:marBottom w:val="0"/>
      <w:divBdr>
        <w:top w:val="none" w:sz="0" w:space="0" w:color="auto"/>
        <w:left w:val="none" w:sz="0" w:space="0" w:color="auto"/>
        <w:bottom w:val="none" w:sz="0" w:space="0" w:color="auto"/>
        <w:right w:val="none" w:sz="0" w:space="0" w:color="auto"/>
      </w:divBdr>
    </w:div>
    <w:div w:id="825239836">
      <w:bodyDiv w:val="1"/>
      <w:marLeft w:val="0"/>
      <w:marRight w:val="0"/>
      <w:marTop w:val="0"/>
      <w:marBottom w:val="0"/>
      <w:divBdr>
        <w:top w:val="none" w:sz="0" w:space="0" w:color="auto"/>
        <w:left w:val="none" w:sz="0" w:space="0" w:color="auto"/>
        <w:bottom w:val="none" w:sz="0" w:space="0" w:color="auto"/>
        <w:right w:val="none" w:sz="0" w:space="0" w:color="auto"/>
      </w:divBdr>
    </w:div>
    <w:div w:id="971399242">
      <w:bodyDiv w:val="1"/>
      <w:marLeft w:val="0"/>
      <w:marRight w:val="0"/>
      <w:marTop w:val="0"/>
      <w:marBottom w:val="0"/>
      <w:divBdr>
        <w:top w:val="none" w:sz="0" w:space="0" w:color="auto"/>
        <w:left w:val="none" w:sz="0" w:space="0" w:color="auto"/>
        <w:bottom w:val="none" w:sz="0" w:space="0" w:color="auto"/>
        <w:right w:val="none" w:sz="0" w:space="0" w:color="auto"/>
      </w:divBdr>
    </w:div>
    <w:div w:id="1032346469">
      <w:bodyDiv w:val="1"/>
      <w:marLeft w:val="0"/>
      <w:marRight w:val="0"/>
      <w:marTop w:val="0"/>
      <w:marBottom w:val="0"/>
      <w:divBdr>
        <w:top w:val="none" w:sz="0" w:space="0" w:color="auto"/>
        <w:left w:val="none" w:sz="0" w:space="0" w:color="auto"/>
        <w:bottom w:val="none" w:sz="0" w:space="0" w:color="auto"/>
        <w:right w:val="none" w:sz="0" w:space="0" w:color="auto"/>
      </w:divBdr>
      <w:divsChild>
        <w:div w:id="821192008">
          <w:marLeft w:val="0"/>
          <w:marRight w:val="0"/>
          <w:marTop w:val="0"/>
          <w:marBottom w:val="0"/>
          <w:divBdr>
            <w:top w:val="none" w:sz="0" w:space="0" w:color="auto"/>
            <w:left w:val="none" w:sz="0" w:space="0" w:color="auto"/>
            <w:bottom w:val="none" w:sz="0" w:space="0" w:color="auto"/>
            <w:right w:val="none" w:sz="0" w:space="0" w:color="auto"/>
          </w:divBdr>
        </w:div>
        <w:div w:id="623779560">
          <w:marLeft w:val="0"/>
          <w:marRight w:val="0"/>
          <w:marTop w:val="0"/>
          <w:marBottom w:val="0"/>
          <w:divBdr>
            <w:top w:val="none" w:sz="0" w:space="0" w:color="auto"/>
            <w:left w:val="none" w:sz="0" w:space="0" w:color="auto"/>
            <w:bottom w:val="none" w:sz="0" w:space="0" w:color="auto"/>
            <w:right w:val="none" w:sz="0" w:space="0" w:color="auto"/>
          </w:divBdr>
        </w:div>
      </w:divsChild>
    </w:div>
    <w:div w:id="1141845460">
      <w:bodyDiv w:val="1"/>
      <w:marLeft w:val="0"/>
      <w:marRight w:val="0"/>
      <w:marTop w:val="0"/>
      <w:marBottom w:val="0"/>
      <w:divBdr>
        <w:top w:val="none" w:sz="0" w:space="0" w:color="auto"/>
        <w:left w:val="none" w:sz="0" w:space="0" w:color="auto"/>
        <w:bottom w:val="none" w:sz="0" w:space="0" w:color="auto"/>
        <w:right w:val="none" w:sz="0" w:space="0" w:color="auto"/>
      </w:divBdr>
    </w:div>
    <w:div w:id="1166018807">
      <w:bodyDiv w:val="1"/>
      <w:marLeft w:val="0"/>
      <w:marRight w:val="0"/>
      <w:marTop w:val="0"/>
      <w:marBottom w:val="0"/>
      <w:divBdr>
        <w:top w:val="none" w:sz="0" w:space="0" w:color="auto"/>
        <w:left w:val="none" w:sz="0" w:space="0" w:color="auto"/>
        <w:bottom w:val="none" w:sz="0" w:space="0" w:color="auto"/>
        <w:right w:val="none" w:sz="0" w:space="0" w:color="auto"/>
      </w:divBdr>
    </w:div>
    <w:div w:id="1185947662">
      <w:bodyDiv w:val="1"/>
      <w:marLeft w:val="0"/>
      <w:marRight w:val="0"/>
      <w:marTop w:val="0"/>
      <w:marBottom w:val="0"/>
      <w:divBdr>
        <w:top w:val="none" w:sz="0" w:space="0" w:color="auto"/>
        <w:left w:val="none" w:sz="0" w:space="0" w:color="auto"/>
        <w:bottom w:val="none" w:sz="0" w:space="0" w:color="auto"/>
        <w:right w:val="none" w:sz="0" w:space="0" w:color="auto"/>
      </w:divBdr>
    </w:div>
    <w:div w:id="1251767680">
      <w:bodyDiv w:val="1"/>
      <w:marLeft w:val="0"/>
      <w:marRight w:val="0"/>
      <w:marTop w:val="0"/>
      <w:marBottom w:val="0"/>
      <w:divBdr>
        <w:top w:val="none" w:sz="0" w:space="0" w:color="auto"/>
        <w:left w:val="none" w:sz="0" w:space="0" w:color="auto"/>
        <w:bottom w:val="none" w:sz="0" w:space="0" w:color="auto"/>
        <w:right w:val="none" w:sz="0" w:space="0" w:color="auto"/>
      </w:divBdr>
    </w:div>
    <w:div w:id="1314682210">
      <w:bodyDiv w:val="1"/>
      <w:marLeft w:val="0"/>
      <w:marRight w:val="0"/>
      <w:marTop w:val="0"/>
      <w:marBottom w:val="0"/>
      <w:divBdr>
        <w:top w:val="none" w:sz="0" w:space="0" w:color="auto"/>
        <w:left w:val="none" w:sz="0" w:space="0" w:color="auto"/>
        <w:bottom w:val="none" w:sz="0" w:space="0" w:color="auto"/>
        <w:right w:val="none" w:sz="0" w:space="0" w:color="auto"/>
      </w:divBdr>
    </w:div>
    <w:div w:id="1437671438">
      <w:bodyDiv w:val="1"/>
      <w:marLeft w:val="0"/>
      <w:marRight w:val="0"/>
      <w:marTop w:val="0"/>
      <w:marBottom w:val="0"/>
      <w:divBdr>
        <w:top w:val="none" w:sz="0" w:space="0" w:color="auto"/>
        <w:left w:val="none" w:sz="0" w:space="0" w:color="auto"/>
        <w:bottom w:val="none" w:sz="0" w:space="0" w:color="auto"/>
        <w:right w:val="none" w:sz="0" w:space="0" w:color="auto"/>
      </w:divBdr>
    </w:div>
    <w:div w:id="1454248890">
      <w:bodyDiv w:val="1"/>
      <w:marLeft w:val="0"/>
      <w:marRight w:val="0"/>
      <w:marTop w:val="0"/>
      <w:marBottom w:val="0"/>
      <w:divBdr>
        <w:top w:val="none" w:sz="0" w:space="0" w:color="auto"/>
        <w:left w:val="none" w:sz="0" w:space="0" w:color="auto"/>
        <w:bottom w:val="none" w:sz="0" w:space="0" w:color="auto"/>
        <w:right w:val="none" w:sz="0" w:space="0" w:color="auto"/>
      </w:divBdr>
    </w:div>
    <w:div w:id="1493763567">
      <w:bodyDiv w:val="1"/>
      <w:marLeft w:val="0"/>
      <w:marRight w:val="0"/>
      <w:marTop w:val="0"/>
      <w:marBottom w:val="0"/>
      <w:divBdr>
        <w:top w:val="none" w:sz="0" w:space="0" w:color="auto"/>
        <w:left w:val="none" w:sz="0" w:space="0" w:color="auto"/>
        <w:bottom w:val="none" w:sz="0" w:space="0" w:color="auto"/>
        <w:right w:val="none" w:sz="0" w:space="0" w:color="auto"/>
      </w:divBdr>
    </w:div>
    <w:div w:id="1591087937">
      <w:bodyDiv w:val="1"/>
      <w:marLeft w:val="0"/>
      <w:marRight w:val="0"/>
      <w:marTop w:val="0"/>
      <w:marBottom w:val="0"/>
      <w:divBdr>
        <w:top w:val="none" w:sz="0" w:space="0" w:color="auto"/>
        <w:left w:val="none" w:sz="0" w:space="0" w:color="auto"/>
        <w:bottom w:val="none" w:sz="0" w:space="0" w:color="auto"/>
        <w:right w:val="none" w:sz="0" w:space="0" w:color="auto"/>
      </w:divBdr>
    </w:div>
    <w:div w:id="1601982628">
      <w:bodyDiv w:val="1"/>
      <w:marLeft w:val="0"/>
      <w:marRight w:val="0"/>
      <w:marTop w:val="0"/>
      <w:marBottom w:val="0"/>
      <w:divBdr>
        <w:top w:val="none" w:sz="0" w:space="0" w:color="auto"/>
        <w:left w:val="none" w:sz="0" w:space="0" w:color="auto"/>
        <w:bottom w:val="none" w:sz="0" w:space="0" w:color="auto"/>
        <w:right w:val="none" w:sz="0" w:space="0" w:color="auto"/>
      </w:divBdr>
    </w:div>
    <w:div w:id="1692948129">
      <w:bodyDiv w:val="1"/>
      <w:marLeft w:val="0"/>
      <w:marRight w:val="0"/>
      <w:marTop w:val="0"/>
      <w:marBottom w:val="0"/>
      <w:divBdr>
        <w:top w:val="none" w:sz="0" w:space="0" w:color="auto"/>
        <w:left w:val="none" w:sz="0" w:space="0" w:color="auto"/>
        <w:bottom w:val="none" w:sz="0" w:space="0" w:color="auto"/>
        <w:right w:val="none" w:sz="0" w:space="0" w:color="auto"/>
      </w:divBdr>
    </w:div>
    <w:div w:id="1715812481">
      <w:bodyDiv w:val="1"/>
      <w:marLeft w:val="0"/>
      <w:marRight w:val="0"/>
      <w:marTop w:val="0"/>
      <w:marBottom w:val="0"/>
      <w:divBdr>
        <w:top w:val="none" w:sz="0" w:space="0" w:color="auto"/>
        <w:left w:val="none" w:sz="0" w:space="0" w:color="auto"/>
        <w:bottom w:val="none" w:sz="0" w:space="0" w:color="auto"/>
        <w:right w:val="none" w:sz="0" w:space="0" w:color="auto"/>
      </w:divBdr>
    </w:div>
    <w:div w:id="1752896154">
      <w:bodyDiv w:val="1"/>
      <w:marLeft w:val="0"/>
      <w:marRight w:val="0"/>
      <w:marTop w:val="0"/>
      <w:marBottom w:val="0"/>
      <w:divBdr>
        <w:top w:val="none" w:sz="0" w:space="0" w:color="auto"/>
        <w:left w:val="none" w:sz="0" w:space="0" w:color="auto"/>
        <w:bottom w:val="none" w:sz="0" w:space="0" w:color="auto"/>
        <w:right w:val="none" w:sz="0" w:space="0" w:color="auto"/>
      </w:divBdr>
    </w:div>
    <w:div w:id="1783644785">
      <w:bodyDiv w:val="1"/>
      <w:marLeft w:val="0"/>
      <w:marRight w:val="0"/>
      <w:marTop w:val="0"/>
      <w:marBottom w:val="0"/>
      <w:divBdr>
        <w:top w:val="none" w:sz="0" w:space="0" w:color="auto"/>
        <w:left w:val="none" w:sz="0" w:space="0" w:color="auto"/>
        <w:bottom w:val="none" w:sz="0" w:space="0" w:color="auto"/>
        <w:right w:val="none" w:sz="0" w:space="0" w:color="auto"/>
      </w:divBdr>
    </w:div>
    <w:div w:id="1912806577">
      <w:bodyDiv w:val="1"/>
      <w:marLeft w:val="0"/>
      <w:marRight w:val="0"/>
      <w:marTop w:val="0"/>
      <w:marBottom w:val="0"/>
      <w:divBdr>
        <w:top w:val="none" w:sz="0" w:space="0" w:color="auto"/>
        <w:left w:val="none" w:sz="0" w:space="0" w:color="auto"/>
        <w:bottom w:val="none" w:sz="0" w:space="0" w:color="auto"/>
        <w:right w:val="none" w:sz="0" w:space="0" w:color="auto"/>
      </w:divBdr>
    </w:div>
    <w:div w:id="1992365695">
      <w:bodyDiv w:val="1"/>
      <w:marLeft w:val="0"/>
      <w:marRight w:val="0"/>
      <w:marTop w:val="0"/>
      <w:marBottom w:val="0"/>
      <w:divBdr>
        <w:top w:val="none" w:sz="0" w:space="0" w:color="auto"/>
        <w:left w:val="none" w:sz="0" w:space="0" w:color="auto"/>
        <w:bottom w:val="none" w:sz="0" w:space="0" w:color="auto"/>
        <w:right w:val="none" w:sz="0" w:space="0" w:color="auto"/>
      </w:divBdr>
    </w:div>
    <w:div w:id="20087089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svg"/><Relationship Id="rId26" Type="http://schemas.openxmlformats.org/officeDocument/2006/relationships/image" Target="media/image21.svg"/><Relationship Id="rId3" Type="http://schemas.openxmlformats.org/officeDocument/2006/relationships/settings" Target="setting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svg"/><Relationship Id="rId12" Type="http://schemas.openxmlformats.org/officeDocument/2006/relationships/image" Target="media/image7.sv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svg"/><Relationship Id="rId20" Type="http://schemas.openxmlformats.org/officeDocument/2006/relationships/image" Target="media/image15.sv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svg"/><Relationship Id="rId32" Type="http://schemas.openxmlformats.org/officeDocument/2006/relationships/image" Target="media/image27.svg"/><Relationship Id="rId5" Type="http://schemas.openxmlformats.org/officeDocument/2006/relationships/hyperlink" Target="https://uowtsd-my.sharepoint.com/:v:/g/personal/2307917_student_uwtsd_ac_uk/EZoMr05w03dPtVQEDIFCXooBRzziSRTwsDucWiOYvd6yTQ?referrer=Teams.TEAMS-ELECTRON&amp;referrerScenario=MeetingChicletGetLink.view.view" TargetMode="Externa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svg"/><Relationship Id="rId10" Type="http://schemas.openxmlformats.org/officeDocument/2006/relationships/image" Target="media/image5.svg"/><Relationship Id="rId19" Type="http://schemas.openxmlformats.org/officeDocument/2006/relationships/image" Target="media/image14.png"/><Relationship Id="rId31" Type="http://schemas.openxmlformats.org/officeDocument/2006/relationships/image" Target="media/image26.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svg"/><Relationship Id="rId22" Type="http://schemas.openxmlformats.org/officeDocument/2006/relationships/image" Target="media/image17.svg"/><Relationship Id="rId27" Type="http://schemas.openxmlformats.org/officeDocument/2006/relationships/image" Target="media/image22.png"/><Relationship Id="rId30" Type="http://schemas.openxmlformats.org/officeDocument/2006/relationships/image" Target="media/image25.sv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 (1) (1) (1) (1).xsl" StyleName="Harvard - Anglia" Version="2008">
  <b:Source>
    <b:Tag>Jyo20</b:Tag>
    <b:SourceType>Misc</b:SourceType>
    <b:Guid>{86CCC0EF-0C9C-4952-ADCF-04833F622872}</b:Guid>
    <b:Title>AI in Education</b:Title>
    <b:Year>2020</b:Year>
    <b:Author>
      <b:Author>
        <b:NameList>
          <b:Person>
            <b:Last>Gupta</b:Last>
            <b:First>Jyotsana</b:First>
          </b:Person>
        </b:NameList>
      </b:Author>
    </b:Author>
    <b:City>N.A.</b:City>
    <b:Publisher>N.A.</b:Publisher>
    <b:RefOrder>1</b:RefOrder>
  </b:Source>
  <b:Source>
    <b:Tag>NDNd</b:Tag>
    <b:SourceType>Misc</b:SourceType>
    <b:Guid>{88BD3E0E-ECF8-44D5-8567-0ADAE802CCB4}</b:Guid>
    <b:Author>
      <b:Author>
        <b:NameList>
          <b:Person>
            <b:Last>N.D.</b:Last>
          </b:Person>
        </b:NameList>
      </b:Author>
    </b:Author>
    <b:Title>Authentic assessment</b:Title>
    <b:Year>N.d.</b:Year>
    <b:City>N.D.</b:City>
    <b:Publisher>N.D.</b:Publisher>
    <b:RefOrder>2</b:RefOrder>
  </b:Source>
  <b:Source>
    <b:Tag>ND22</b:Tag>
    <b:SourceType>Misc</b:SourceType>
    <b:Guid>{F6106119-7A39-41A3-8413-26A81E3E3473}</b:Guid>
    <b:Author>
      <b:Author>
        <b:NameList>
          <b:Person>
            <b:Last>N.D.</b:Last>
          </b:Person>
        </b:NameList>
      </b:Author>
    </b:Author>
    <b:Title>The Importance of Culturally Responsive Teaching</b:Title>
    <b:Year>2022</b:Year>
    <b:City>N.D.</b:City>
    <b:Publisher>N.D.</b:Publisher>
    <b:RefOrder>3</b:RefOrder>
  </b:Source>
  <b:Source>
    <b:Tag>Sea23</b:Tag>
    <b:SourceType>Misc</b:SourceType>
    <b:Guid>{F398BB1B-9030-48F6-BF5B-C62C1F7D3066}</b:Guid>
    <b:Author>
      <b:Author>
        <b:NameList>
          <b:Person>
            <b:Last>Alexander</b:Last>
            <b:First>Sean</b:First>
          </b:Person>
        </b:NameList>
      </b:Author>
    </b:Author>
    <b:Title>What Is Peer Tutoring and How Does It Compare to Other Tutoring Methods?</b:Title>
    <b:Year>2023</b:Year>
    <b:City>N.D.</b:City>
    <b:Publisher>N.D.</b:Publisher>
    <b:RefOrder>4</b:RefOrder>
  </b:Source>
  <b:Source>
    <b:Tag>Sta19</b:Tag>
    <b:SourceType>Misc</b:SourceType>
    <b:Guid>{0A903A37-F159-471B-8829-71478F908EE5}</b:Guid>
    <b:Author>
      <b:Author>
        <b:NameList>
          <b:Person>
            <b:Last>Pusey</b:Last>
            <b:First>Stacey</b:First>
          </b:Person>
        </b:NameList>
      </b:Author>
    </b:Author>
    <b:Title>teachers pull off collaborative learning</b:Title>
    <b:Year>2019</b:Year>
    <b:City>N.D.</b:City>
    <b:Publisher>N.D.</b:Publisher>
    <b:RefOrder>5</b:RefOrder>
  </b:Source>
  <b:Source>
    <b:Tag>wavND</b:Tag>
    <b:SourceType>Misc</b:SourceType>
    <b:Guid>{D3BCF54F-4CF9-4D97-AC39-FABC3DE6AAFA}</b:Guid>
    <b:Author>
      <b:Author>
        <b:NameList>
          <b:Person>
            <b:Last>wavebreakmediamicro</b:Last>
          </b:Person>
        </b:NameList>
      </b:Author>
    </b:Author>
    <b:Title>A Collaborative Approach to Defining Classroom Norms</b:Title>
    <b:Year>N.D.</b:Year>
    <b:City>N.D.</b:City>
    <b:Publisher>N.D.</b:Publisher>
    <b:RefOrder>6</b:RefOrder>
  </b:Source>
  <b:Source>
    <b:Tag>Ser22</b:Tag>
    <b:SourceType>Misc</b:SourceType>
    <b:Guid>{F61FFE8E-CEAC-481A-8B2B-DB64DDC701AB}</b:Guid>
    <b:Author>
      <b:Author>
        <b:NameList>
          <b:Person>
            <b:Last>Kurt</b:Last>
            <b:First>Serhat</b:First>
          </b:Person>
        </b:NameList>
      </b:Author>
    </b:Author>
    <b:Title>How To Incorporate Vygotsky’s Theories In The Classroom</b:Title>
    <b:Year>2022</b:Year>
    <b:City>N.D.</b:City>
    <b:Publisher>N.D.</b:Publisher>
    <b:RefOrder>7</b:RefOrder>
  </b:Source>
  <b:Source>
    <b:Tag>MarND</b:Tag>
    <b:SourceType>Misc</b:SourceType>
    <b:Guid>{0E742305-264B-4186-9A47-7A4E52E546D4}</b:Guid>
    <b:Author>
      <b:Author>
        <b:NameList>
          <b:Person>
            <b:Last>Montessori</b:Last>
            <b:First>Maria</b:First>
          </b:Person>
        </b:NameList>
      </b:Author>
    </b:Author>
    <b:Title>Maria Montessori</b:Title>
    <b:Year>N.D.</b:Year>
    <b:City>N.D.</b:City>
    <b:Publisher>Encyclopædia Britannica</b:Publisher>
    <b:RefOrder>8</b:RefOrder>
  </b:Source>
  <b:Source>
    <b:Tag>JeaND</b:Tag>
    <b:SourceType>Misc</b:SourceType>
    <b:Guid>{501EC454-E5E3-4EDC-BD6C-EA80D74ADF0A}</b:Guid>
    <b:Author>
      <b:Author>
        <b:NameList>
          <b:Person>
            <b:Last>Piaget</b:Last>
            <b:First>Jean</b:First>
          </b:Person>
        </b:NameList>
      </b:Author>
    </b:Author>
    <b:Title>Jean Piaget</b:Title>
    <b:Year>N.D.</b:Year>
    <b:City>N.D.</b:City>
    <b:Publisher>N.D.</b:Publisher>
    <b:RefOrder>9</b:RefOrder>
  </b:Source>
  <b:Source>
    <b:Tag>LevND</b:Tag>
    <b:SourceType>Misc</b:SourceType>
    <b:Guid>{45CAD9B5-3D25-4445-BF68-EE61B9537400}</b:Guid>
    <b:Author>
      <b:Author>
        <b:NameList>
          <b:Person>
            <b:Last>Vygotsky</b:Last>
            <b:First>Lev</b:First>
          </b:Person>
        </b:NameList>
      </b:Author>
    </b:Author>
    <b:Title>Lev Vygotsky</b:Title>
    <b:Year>N.D.</b:Year>
    <b:City>N.D.</b:City>
    <b:Publisher>N.D.</b:Publisher>
    <b:RefOrder>10</b:RefOrder>
  </b:Source>
  <b:Source>
    <b:Tag>Iri03</b:Tag>
    <b:SourceType>DocumentFromInternetSite</b:SourceType>
    <b:Guid>{78DE2646-6E99-4F06-91A4-C6B5CCA39434}</b:Guid>
    <b:Title>Understanding Scaffolding and the ZPD in Educational Research</b:Title>
    <b:Year>2003</b:Year>
    <b:Month>December</b:Month>
    <b:Day>3</b:Day>
    <b:YearAccessed>2024</b:YearAccessed>
    <b:MonthAccessed>03</b:MonthAccessed>
    <b:DayAccessed>1</b:DayAccessed>
    <b:URL>https://ro.uow.edu.au/edupapers/381/</b:URL>
    <b:Author>
      <b:Author>
        <b:NameList>
          <b:Person>
            <b:Last>Verenikina</b:Last>
            <b:First>Irina</b:First>
          </b:Person>
        </b:NameList>
      </b:Author>
    </b:Author>
    <b:RefOrder>11</b:RefOrder>
  </b:Source>
  <b:Source>
    <b:Tag>Hoa22</b:Tag>
    <b:SourceType>JournalArticle</b:SourceType>
    <b:Guid>{9F8496A2-459A-4E96-AA31-F00A6C523539}</b:Guid>
    <b:Title>The zone of proximal privilege: towards a Vygotskian theory of privilege in education</b:Title>
    <b:Year>2022</b:Year>
    <b:Author>
      <b:Author>
        <b:NameList>
          <b:Person>
            <b:Last>Tran</b:Last>
            <b:First>Hoang</b:First>
            <b:Middle>Vu Huy</b:Middle>
          </b:Person>
        </b:NameList>
      </b:Author>
    </b:Author>
    <b:JournalName>International Journal of Qualitative Studies in Education</b:JournalName>
    <b:Pages>791-804</b:Pages>
    <b:Volume>35</b:Volume>
    <b:Issue>7</b:Issue>
    <b:RefOrder>12</b:RefOrder>
  </b:Source>
  <b:Source>
    <b:Tag>Ali21</b:Tag>
    <b:SourceType>JournalArticle</b:SourceType>
    <b:Guid>{FF2372A7-4D4B-4978-8437-76A44DAA0BB4}</b:Guid>
    <b:Author>
      <b:Author>
        <b:NameList>
          <b:Person>
            <b:Last>Nardo</b:Last>
            <b:First>Aline</b:First>
          </b:Person>
        </b:NameList>
      </b:Author>
    </b:Author>
    <b:Title>Exploring a Vygotskian Theory of Education and Its Evolutionary Foundations</b:Title>
    <b:JournalName>Educational Theory</b:JournalName>
    <b:Year>2021</b:Year>
    <b:Pages>331-352</b:Pages>
    <b:Volume>71</b:Volume>
    <b:Issue>3</b:Issue>
    <b:RefOrder>13</b:RefOrder>
  </b:Source>
  <b:Source>
    <b:Tag>Vic21</b:Tag>
    <b:SourceType>InternetSite</b:SourceType>
    <b:Guid>{D2A736F5-9B3D-44B0-90CB-1861D3D5A65E}</b:Guid>
    <b:Title>Vygotsky’s philosophy of education</b:Title>
    <b:Year>2021</b:Year>
    <b:Author>
      <b:Author>
        <b:NameList>
          <b:Person>
            <b:Last>Hargraves</b:Last>
            <b:First>Vicki</b:First>
          </b:Person>
        </b:NameList>
      </b:Author>
    </b:Author>
    <b:YearAccessed>2024</b:YearAccessed>
    <b:MonthAccessed>02</b:MonthAccessed>
    <b:DayAccessed>26</b:DayAccessed>
    <b:URL>https://theeducationhub.org.nz/vygotskys-philosophy-of-education/</b:URL>
    <b:RefOrder>14</b:RefOrder>
  </b:Source>
  <b:Source>
    <b:Tag>Sau24</b:Tag>
    <b:SourceType>InternetSite</b:SourceType>
    <b:Guid>{A11CA049-A917-4506-A5D9-13A36C3BEB6E}</b:Guid>
    <b:Title>Vygotsky’s Theory Of Cognitive Development</b:Title>
    <b:Year>2024</b:Year>
    <b:YearAccessed>2024</b:YearAccessed>
    <b:MonthAccessed>02</b:MonthAccessed>
    <b:DayAccessed>24</b:DayAccessed>
    <b:URL>https://www.simplypsychology.org/vygotsky.html#:~:text=Vygotsky%E2%80%99s%20theory%20encourages%20collaborative%20and%20cooperative%20learning%20between,students%20master%20skills%20just%20beyond%20their%20current%20level</b:URL>
    <b:Author>
      <b:Author>
        <b:NameList>
          <b:Person>
            <b:Last>Mcleod</b:Last>
            <b:First>Saul</b:First>
          </b:Person>
        </b:NameList>
      </b:Author>
    </b:Author>
    <b:RefOrder>15</b:RefOrder>
  </b:Source>
  <b:Source>
    <b:Tag>Ren19</b:Tag>
    <b:SourceType>JournalArticle</b:SourceType>
    <b:Guid>{5899BD12-9251-4A7C-ABC7-3CF1CE892314}</b:Guid>
    <b:Title>Understanding Vygotsky’s Zone of Proximal Development for Learning</b:Title>
    <b:Year>2019</b:Year>
    <b:Author>
      <b:Author>
        <b:NameList>
          <b:Person>
            <b:Last>Silalahi</b:Last>
            <b:First>Rentauli</b:First>
            <b:Middle>Mariah</b:Middle>
          </b:Person>
        </b:NameList>
      </b:Author>
    </b:Author>
    <b:JournalName>POLYGLOT: JURNAL ILMIAH</b:JournalName>
    <b:Pages>169-186</b:Pages>
    <b:Volume>15</b:Volume>
    <b:Issue>2</b:Issue>
    <b:RefOrder>16</b:RefOrder>
  </b:Source>
</b:Sources>
</file>

<file path=customXml/itemProps1.xml><?xml version="1.0" encoding="utf-8"?>
<ds:datastoreItem xmlns:ds="http://schemas.openxmlformats.org/officeDocument/2006/customXml" ds:itemID="{CD085DA7-79DE-40CB-AA6D-24B6A971D0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109</TotalTime>
  <Pages>14</Pages>
  <Words>1850</Words>
  <Characters>10548</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roberts</dc:creator>
  <cp:keywords/>
  <dc:description/>
  <cp:lastModifiedBy>scott roberts</cp:lastModifiedBy>
  <cp:revision>43</cp:revision>
  <dcterms:created xsi:type="dcterms:W3CDTF">2024-02-28T16:35:00Z</dcterms:created>
  <dcterms:modified xsi:type="dcterms:W3CDTF">2024-03-04T18:45:00Z</dcterms:modified>
</cp:coreProperties>
</file>