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AF238" w14:textId="77777777" w:rsidR="000A69E0" w:rsidRPr="001A0CA0" w:rsidRDefault="000A69E0" w:rsidP="006F37CD">
      <w:pPr>
        <w:pStyle w:val="NoSpacing"/>
        <w:spacing w:line="276" w:lineRule="auto"/>
        <w:rPr>
          <w:rFonts w:ascii="Arial" w:hAnsi="Arial" w:cs="Arial"/>
          <w:sz w:val="24"/>
          <w:szCs w:val="24"/>
        </w:rPr>
      </w:pPr>
    </w:p>
    <w:p w14:paraId="07AEF1DE" w14:textId="77777777" w:rsidR="001C4DC1" w:rsidRPr="001A0CA0" w:rsidRDefault="001C4DC1" w:rsidP="006F37CD">
      <w:pPr>
        <w:pStyle w:val="NoSpacing"/>
        <w:spacing w:line="276" w:lineRule="auto"/>
        <w:rPr>
          <w:rFonts w:ascii="Arial" w:hAnsi="Arial" w:cs="Arial"/>
          <w:sz w:val="24"/>
          <w:szCs w:val="24"/>
        </w:rPr>
      </w:pPr>
    </w:p>
    <w:p w14:paraId="767A0EF2" w14:textId="01703BFF" w:rsidR="00844A71" w:rsidRPr="001A0CA0" w:rsidRDefault="00844A71" w:rsidP="006F37CD">
      <w:pPr>
        <w:pStyle w:val="NoSpacing"/>
        <w:spacing w:line="276" w:lineRule="auto"/>
        <w:jc w:val="center"/>
        <w:rPr>
          <w:rFonts w:ascii="Arial" w:hAnsi="Arial" w:cs="Arial"/>
          <w:b/>
          <w:bCs/>
          <w:u w:val="single"/>
        </w:rPr>
      </w:pPr>
      <w:r w:rsidRPr="001A0CA0">
        <w:rPr>
          <w:rFonts w:ascii="Arial" w:hAnsi="Arial" w:cs="Arial"/>
          <w:b/>
          <w:bCs/>
          <w:u w:val="single"/>
        </w:rPr>
        <w:t>Choice Two</w:t>
      </w:r>
    </w:p>
    <w:p w14:paraId="573739C9" w14:textId="7C6D1FF7" w:rsidR="006D3975" w:rsidRPr="001A0CA0" w:rsidRDefault="00E931D8" w:rsidP="006F37CD">
      <w:pPr>
        <w:pStyle w:val="NoSpacing"/>
        <w:spacing w:line="276" w:lineRule="auto"/>
        <w:jc w:val="center"/>
        <w:rPr>
          <w:rFonts w:ascii="Arial" w:hAnsi="Arial" w:cs="Arial"/>
          <w:b/>
          <w:bCs/>
          <w:u w:val="single"/>
        </w:rPr>
      </w:pPr>
      <w:r w:rsidRPr="001A0CA0">
        <w:rPr>
          <w:rFonts w:ascii="Arial" w:hAnsi="Arial" w:cs="Arial"/>
          <w:b/>
          <w:bCs/>
          <w:u w:val="single"/>
        </w:rPr>
        <w:t>Designing Inclusive Training: Supporting Learners with Dyslexia, Anxiety, and Visual Impairment in Professional Police Education</w:t>
      </w:r>
      <w:r w:rsidR="00844A71" w:rsidRPr="001A0CA0">
        <w:rPr>
          <w:rFonts w:ascii="Arial" w:hAnsi="Arial" w:cs="Arial"/>
          <w:b/>
          <w:bCs/>
          <w:u w:val="single"/>
        </w:rPr>
        <w:t>.</w:t>
      </w:r>
    </w:p>
    <w:p w14:paraId="25772FA4" w14:textId="77777777" w:rsidR="006D3975" w:rsidRPr="001A0CA0" w:rsidRDefault="006D3975" w:rsidP="006F37CD">
      <w:pPr>
        <w:spacing w:line="276" w:lineRule="auto"/>
        <w:rPr>
          <w:rFonts w:ascii="Arial" w:hAnsi="Arial" w:cs="Arial"/>
          <w:b/>
          <w:bCs/>
          <w:u w:val="single"/>
        </w:rPr>
      </w:pPr>
    </w:p>
    <w:p w14:paraId="7B25D0AB" w14:textId="3116B52D" w:rsidR="006B5C3B" w:rsidRPr="001A0CA0" w:rsidRDefault="006B5C3B" w:rsidP="006F37CD">
      <w:pPr>
        <w:spacing w:line="276" w:lineRule="auto"/>
        <w:rPr>
          <w:rFonts w:ascii="Arial" w:hAnsi="Arial" w:cs="Arial"/>
          <w:b/>
          <w:bCs/>
          <w:u w:val="single"/>
        </w:rPr>
      </w:pPr>
      <w:r w:rsidRPr="001A0CA0">
        <w:rPr>
          <w:rFonts w:ascii="Arial" w:hAnsi="Arial" w:cs="Arial"/>
          <w:b/>
          <w:bCs/>
          <w:u w:val="single"/>
        </w:rPr>
        <w:t xml:space="preserve">Introduction </w:t>
      </w:r>
    </w:p>
    <w:p w14:paraId="1201C385" w14:textId="77777777" w:rsidR="00347FC8" w:rsidRPr="001A0CA0" w:rsidRDefault="00347FC8" w:rsidP="006F37CD">
      <w:pPr>
        <w:spacing w:line="276" w:lineRule="auto"/>
        <w:rPr>
          <w:rFonts w:ascii="Arial" w:hAnsi="Arial" w:cs="Arial"/>
        </w:rPr>
      </w:pPr>
      <w:r w:rsidRPr="001A0CA0">
        <w:rPr>
          <w:rFonts w:ascii="Arial" w:hAnsi="Arial" w:cs="Arial"/>
        </w:rPr>
        <w:t>Achieving Best Evidence (ABE) is a vital framework in police work, designed to ensure that interviews with vulnerable witnesses and victims are conducted ethically, effectively, and in a way that preserves the integrity of their testimony. It plays a critical role in securing reliable evidence while safeguarding the rights and wellbeing of those involved—particularly children and individuals with additional needs (Ministry of Justice, 2011).</w:t>
      </w:r>
    </w:p>
    <w:p w14:paraId="68B673D8" w14:textId="77777777" w:rsidR="00347FC8" w:rsidRPr="001A0CA0" w:rsidRDefault="00347FC8" w:rsidP="006F37CD">
      <w:pPr>
        <w:spacing w:line="276" w:lineRule="auto"/>
        <w:rPr>
          <w:rFonts w:ascii="Arial" w:hAnsi="Arial" w:cs="Arial"/>
        </w:rPr>
      </w:pPr>
      <w:r w:rsidRPr="001A0CA0">
        <w:rPr>
          <w:rFonts w:ascii="Arial" w:hAnsi="Arial" w:cs="Arial"/>
        </w:rPr>
        <w:t>Delivering ABE training to police officers is not only about imparting technical knowledge but also about fostering inclusive practice. Professional training must be accessible to all learners, regardless of their individual challenges. Inclusive teaching ensures that every participant can engage fully, build confidence, and apply their learning in real-world scenarios (CAST, 2018). This is especially important in policing, where the stakes are high and the consequences of poor practice can be profound (College of Policing, 2020).</w:t>
      </w:r>
    </w:p>
    <w:p w14:paraId="3A871DF4" w14:textId="77777777" w:rsidR="00347FC8" w:rsidRPr="001A0CA0" w:rsidRDefault="00347FC8" w:rsidP="006F37CD">
      <w:pPr>
        <w:spacing w:line="276" w:lineRule="auto"/>
        <w:rPr>
          <w:rFonts w:ascii="Arial" w:hAnsi="Arial" w:cs="Arial"/>
        </w:rPr>
      </w:pPr>
      <w:r w:rsidRPr="001A0CA0">
        <w:rPr>
          <w:rFonts w:ascii="Arial" w:hAnsi="Arial" w:cs="Arial"/>
        </w:rPr>
        <w:t>This report outlines how I would plan and deliver an ABE training session while addressing the diverse needs of learners with dyslexia, anxiety, and partial sight. Adjustments such as dyslexia-friendly resources (British Dyslexia Association, 2022), accessible materials for visually impaired learners (RNIB, 2023), and structured support for anxiety (Mental Health Foundation, 2021) will be considered. By embedding inclusivity into planning and delivery, training can empower officers to conduct ABE interviews with confidence, sensitivity, and integrity.</w:t>
      </w:r>
    </w:p>
    <w:p w14:paraId="2DD8AB20" w14:textId="77777777" w:rsidR="00DF3F0D" w:rsidRPr="001A0CA0" w:rsidRDefault="00DF3F0D" w:rsidP="006F37CD">
      <w:pPr>
        <w:spacing w:line="276" w:lineRule="auto"/>
        <w:rPr>
          <w:rFonts w:ascii="Arial" w:hAnsi="Arial" w:cs="Arial"/>
        </w:rPr>
      </w:pPr>
    </w:p>
    <w:p w14:paraId="210EA2AC" w14:textId="706BB92F" w:rsidR="00F24ACF" w:rsidRPr="001A0CA0" w:rsidRDefault="00174836" w:rsidP="006F37CD">
      <w:pPr>
        <w:spacing w:line="276" w:lineRule="auto"/>
        <w:rPr>
          <w:rFonts w:ascii="Arial" w:hAnsi="Arial" w:cs="Arial"/>
          <w:b/>
          <w:bCs/>
          <w:u w:val="single"/>
        </w:rPr>
      </w:pPr>
      <w:r w:rsidRPr="001A0CA0">
        <w:rPr>
          <w:rFonts w:ascii="Arial" w:hAnsi="Arial" w:cs="Arial"/>
          <w:b/>
          <w:bCs/>
          <w:u w:val="single"/>
        </w:rPr>
        <w:t xml:space="preserve">Session overview </w:t>
      </w:r>
    </w:p>
    <w:p w14:paraId="7079F51B" w14:textId="77777777" w:rsidR="00F24ACF" w:rsidRPr="001A0CA0" w:rsidRDefault="00F24ACF" w:rsidP="006F37CD">
      <w:pPr>
        <w:spacing w:line="276" w:lineRule="auto"/>
        <w:rPr>
          <w:rFonts w:ascii="Arial" w:hAnsi="Arial" w:cs="Arial"/>
        </w:rPr>
      </w:pPr>
      <w:r w:rsidRPr="001A0CA0">
        <w:rPr>
          <w:rFonts w:ascii="Arial" w:hAnsi="Arial" w:cs="Arial"/>
        </w:rPr>
        <w:t>This training session is designed to provide police officers with a comprehensive understanding of Achieving Best Evidence (ABE) and its application in interviews with vulnerable witnesses. The primary objective is to ensure participants grasp the legal and ethical foundations of ABE, while developing the practical skills needed to conduct interviews that are both sensitive and effective (Ministry of Justice, 2011). Officers would explore the full ABE process—from initial planning and rapport-building to the interview itself and appropriate closure—emphasising the importance of adapting communication strategies to meet individual needs (College of Policing, 2020).</w:t>
      </w:r>
    </w:p>
    <w:p w14:paraId="11BCF244" w14:textId="77777777" w:rsidR="00F24ACF" w:rsidRPr="001A0CA0" w:rsidRDefault="00F24ACF" w:rsidP="006F37CD">
      <w:pPr>
        <w:spacing w:line="276" w:lineRule="auto"/>
        <w:rPr>
          <w:rFonts w:ascii="Arial" w:hAnsi="Arial" w:cs="Arial"/>
        </w:rPr>
      </w:pPr>
      <w:r w:rsidRPr="001A0CA0">
        <w:rPr>
          <w:rFonts w:ascii="Arial" w:hAnsi="Arial" w:cs="Arial"/>
        </w:rPr>
        <w:t>The session would follow a blended learning format, combining face-to-face instruction with digital resources to support flexible engagement (CAST, 2018). Learners would be introduced to key concepts through interactive presentations and guided discussions. Real-world case studies would highlight best practices and common challenges, encouraging critical thinking and group reflection. Role-play exercises would form a central part of the training, allowing officers to simulate ABE interviews in a safe and supportive environment. This experiential approach reflects Kolb’s (1984) learning cycle, enabling learners to move from abstract concepts to practical application.</w:t>
      </w:r>
    </w:p>
    <w:p w14:paraId="18A6CC15" w14:textId="77777777" w:rsidR="00F24ACF" w:rsidRPr="001A0CA0" w:rsidRDefault="00F24ACF" w:rsidP="006F37CD">
      <w:pPr>
        <w:spacing w:line="276" w:lineRule="auto"/>
        <w:rPr>
          <w:rFonts w:ascii="Arial" w:hAnsi="Arial" w:cs="Arial"/>
        </w:rPr>
      </w:pPr>
      <w:r w:rsidRPr="001A0CA0">
        <w:rPr>
          <w:rFonts w:ascii="Arial" w:hAnsi="Arial" w:cs="Arial"/>
        </w:rPr>
        <w:lastRenderedPageBreak/>
        <w:t>Assessment would be ongoing throughout the session. As a trainer, I would observe participants during role-play scenarios, offering structured feedback to support development. Group discussions would gauge understanding of ABE principles, while short reflective writing tasks would encourage metacognitive awareness of progress. Informal quizzes would reinforce terminology and key concepts (Department for Education, 2015).</w:t>
      </w:r>
    </w:p>
    <w:p w14:paraId="51F01001" w14:textId="77777777" w:rsidR="00F24ACF" w:rsidRPr="001A0CA0" w:rsidRDefault="00F24ACF" w:rsidP="006F37CD">
      <w:pPr>
        <w:spacing w:line="276" w:lineRule="auto"/>
        <w:rPr>
          <w:rFonts w:ascii="Arial" w:hAnsi="Arial" w:cs="Arial"/>
        </w:rPr>
      </w:pPr>
      <w:r w:rsidRPr="001A0CA0">
        <w:rPr>
          <w:rFonts w:ascii="Arial" w:hAnsi="Arial" w:cs="Arial"/>
        </w:rPr>
        <w:t>By the end of the session, officers would be expected to demonstrate increased confidence and competence in conducting ABE interviews. Meeting these objectives would ensure learners are better equipped to respond to vulnerable witnesses, thereby improving standards of evidence gathering and outcomes in police investigations.</w:t>
      </w:r>
    </w:p>
    <w:p w14:paraId="69BE5DC7" w14:textId="77777777" w:rsidR="00174836" w:rsidRPr="001A0CA0" w:rsidRDefault="00174836" w:rsidP="006F37CD">
      <w:pPr>
        <w:spacing w:line="276" w:lineRule="auto"/>
        <w:rPr>
          <w:rFonts w:ascii="Arial" w:hAnsi="Arial" w:cs="Arial"/>
        </w:rPr>
      </w:pPr>
    </w:p>
    <w:p w14:paraId="7F22B833" w14:textId="77777777" w:rsidR="009322CE" w:rsidRPr="001A0CA0" w:rsidRDefault="009322CE" w:rsidP="006F37CD">
      <w:pPr>
        <w:spacing w:line="276" w:lineRule="auto"/>
        <w:rPr>
          <w:rFonts w:ascii="Arial" w:hAnsi="Arial" w:cs="Arial"/>
          <w:u w:val="single"/>
        </w:rPr>
      </w:pPr>
      <w:r w:rsidRPr="001A0CA0">
        <w:rPr>
          <w:rFonts w:ascii="Arial" w:hAnsi="Arial" w:cs="Arial"/>
          <w:b/>
          <w:bCs/>
          <w:u w:val="single"/>
        </w:rPr>
        <w:t>Learner Needs Analysis</w:t>
      </w:r>
    </w:p>
    <w:p w14:paraId="72018724" w14:textId="77777777" w:rsidR="009322CE" w:rsidRPr="001A0CA0" w:rsidRDefault="009322CE" w:rsidP="006F37CD">
      <w:pPr>
        <w:spacing w:line="276" w:lineRule="auto"/>
        <w:rPr>
          <w:rFonts w:ascii="Arial" w:hAnsi="Arial" w:cs="Arial"/>
        </w:rPr>
      </w:pPr>
      <w:r w:rsidRPr="001A0CA0">
        <w:rPr>
          <w:rFonts w:ascii="Arial" w:hAnsi="Arial" w:cs="Arial"/>
        </w:rPr>
        <w:t xml:space="preserve">Understanding and responding to individual learner needs is fundamental to delivering inclusive and effective training. Prior to the ABE session, I would gather information through pre-course questionnaires and learner profiles. This process would allow participants to disclose any support requirements confidentially, handled with sensitivity and discretion to ensure learners feel safe and respected when sharing personal information (Department for Education, 2015). Where appropriate, I would also consult line managers and training coordinators to contextualise disclosures, ensuring that support is tailored consistently throughout the session. This proactive approach reflects the principle of </w:t>
      </w:r>
      <w:r w:rsidRPr="001A0CA0">
        <w:rPr>
          <w:rFonts w:ascii="Arial" w:hAnsi="Arial" w:cs="Arial"/>
          <w:i/>
          <w:iCs/>
        </w:rPr>
        <w:t>scaffolding</w:t>
      </w:r>
      <w:r w:rsidRPr="001A0CA0">
        <w:rPr>
          <w:rFonts w:ascii="Arial" w:hAnsi="Arial" w:cs="Arial"/>
        </w:rPr>
        <w:t xml:space="preserve"> described by Vygotsky, where the educator provides structured support to enable learners to achieve tasks they might otherwise find inaccessible.</w:t>
      </w:r>
    </w:p>
    <w:p w14:paraId="3FAA71C8" w14:textId="77777777" w:rsidR="009322CE" w:rsidRPr="001A0CA0" w:rsidRDefault="009322CE" w:rsidP="006F37CD">
      <w:pPr>
        <w:spacing w:line="276" w:lineRule="auto"/>
        <w:rPr>
          <w:rFonts w:ascii="Arial" w:hAnsi="Arial" w:cs="Arial"/>
        </w:rPr>
      </w:pPr>
      <w:r w:rsidRPr="001A0CA0">
        <w:rPr>
          <w:rFonts w:ascii="Arial" w:hAnsi="Arial" w:cs="Arial"/>
        </w:rPr>
        <w:t>One learner may disclose dyslexia, a condition that can affect processing speed, reading fluency, and short-term memory. These challenges often lead to slower absorption of written material and difficulty retaining complex information (British Dyslexia Association, 2022). To support this learner, I would provide dyslexia-friendly handouts using clear fonts and colour contrasts, and allow extra time for reading tasks. I would also incorporate verbal explanations and visual aids to reinforce key concepts. This approach reflects Universal Design for Learning (UDL) principles, which emphasise multiple means of representation to ensure accessibility for diverse learners (CAST, 2018). It also aligns with Bruner’s constructivist theory, which highlights the importance of presenting information in varied formats to support learners in building their own understanding.</w:t>
      </w:r>
    </w:p>
    <w:p w14:paraId="08DBC952" w14:textId="77777777" w:rsidR="009322CE" w:rsidRPr="001A0CA0" w:rsidRDefault="009322CE" w:rsidP="006F37CD">
      <w:pPr>
        <w:spacing w:line="276" w:lineRule="auto"/>
        <w:rPr>
          <w:rFonts w:ascii="Arial" w:hAnsi="Arial" w:cs="Arial"/>
        </w:rPr>
      </w:pPr>
      <w:r w:rsidRPr="001A0CA0">
        <w:rPr>
          <w:rFonts w:ascii="Arial" w:hAnsi="Arial" w:cs="Arial"/>
        </w:rPr>
        <w:t>Another learner may disclose an anxiety disorder, which can impact emotional regulation, concentration, and willingness to engage in group activities (Mental Health Foundation, 2021). To address this, I would create a calm and predictable session structure with regular breaks and clear expectations. I would avoid putting individuals “on the spot” with questions and instead offer alternative ways to contribute, such as written reflections or small group discussions. These strategies reduce pressure and build confidence, aligning with trauma-informed practice and the principle of psychological safety in adult learning. Knowles’ theory of andragogy is particularly relevant here: adult learners are self-directed and benefit from choice in how they engage. By offering flexible participation methods, I respect learner autonomy while reducing anxiety triggers.</w:t>
      </w:r>
    </w:p>
    <w:p w14:paraId="72C70316" w14:textId="77777777" w:rsidR="009322CE" w:rsidRPr="001A0CA0" w:rsidRDefault="009322CE" w:rsidP="006F37CD">
      <w:pPr>
        <w:spacing w:line="276" w:lineRule="auto"/>
        <w:rPr>
          <w:rFonts w:ascii="Arial" w:hAnsi="Arial" w:cs="Arial"/>
        </w:rPr>
      </w:pPr>
      <w:r w:rsidRPr="001A0CA0">
        <w:rPr>
          <w:rFonts w:ascii="Arial" w:hAnsi="Arial" w:cs="Arial"/>
        </w:rPr>
        <w:t xml:space="preserve">A third learner may be partially sighted, which can affect access to visual materials and navigation within the learning environment. To support this learner, I would ensure all resources are available in accessible formats, including large print and verbal descriptions of </w:t>
      </w:r>
      <w:r w:rsidRPr="001A0CA0">
        <w:rPr>
          <w:rFonts w:ascii="Arial" w:hAnsi="Arial" w:cs="Arial"/>
        </w:rPr>
        <w:lastRenderedPageBreak/>
        <w:t xml:space="preserve">visual content. Seating arrangements would be adjusted to optimise visibility, and I would ensure safe movement around the room (RNIB, 2023). Regular check-ins would help confirm that needs are being met and provide opportunities for additional support. This reflects Vygotsky’s emphasis on the </w:t>
      </w:r>
      <w:r w:rsidRPr="001A0CA0">
        <w:rPr>
          <w:rFonts w:ascii="Arial" w:hAnsi="Arial" w:cs="Arial"/>
          <w:i/>
          <w:iCs/>
        </w:rPr>
        <w:t>Zone of Proximal Development</w:t>
      </w:r>
      <w:r w:rsidRPr="001A0CA0">
        <w:rPr>
          <w:rFonts w:ascii="Arial" w:hAnsi="Arial" w:cs="Arial"/>
        </w:rPr>
        <w:t>, where learners can achieve more with appropriate scaffolding and environmental adjustments.</w:t>
      </w:r>
    </w:p>
    <w:p w14:paraId="57CE5AF4" w14:textId="77777777" w:rsidR="009322CE" w:rsidRPr="001A0CA0" w:rsidRDefault="009322CE" w:rsidP="006F37CD">
      <w:pPr>
        <w:spacing w:line="276" w:lineRule="auto"/>
        <w:rPr>
          <w:rFonts w:ascii="Arial" w:hAnsi="Arial" w:cs="Arial"/>
        </w:rPr>
      </w:pPr>
      <w:r w:rsidRPr="001A0CA0">
        <w:rPr>
          <w:rFonts w:ascii="Arial" w:hAnsi="Arial" w:cs="Arial"/>
        </w:rPr>
        <w:t>These diverse needs can significantly influence engagement, confidence, and learning outcomes. Without appropriate adjustments, learners may feel excluded or overwhelmed, hindering their ability to absorb and apply training content. The Equality Act 2010 places a statutory duty on educators to make reasonable adjustments, and failing to do so risks both learner success and legal compliance. By planning proactively and responding with empathy, I aim to create a learning environment where every participant feels valued and capable.</w:t>
      </w:r>
    </w:p>
    <w:p w14:paraId="22841524" w14:textId="77777777" w:rsidR="009322CE" w:rsidRPr="001A0CA0" w:rsidRDefault="009322CE" w:rsidP="006F37CD">
      <w:pPr>
        <w:spacing w:line="276" w:lineRule="auto"/>
        <w:rPr>
          <w:rFonts w:ascii="Arial" w:hAnsi="Arial" w:cs="Arial"/>
        </w:rPr>
      </w:pPr>
      <w:r w:rsidRPr="001A0CA0">
        <w:rPr>
          <w:rFonts w:ascii="Arial" w:hAnsi="Arial" w:cs="Arial"/>
        </w:rPr>
        <w:t>Confidentiality and sensitivity would be fundamental throughout this process. Information shared by learners would be treated with care, and adjustments would be made discreetly to preserve dignity and promote trust. This approach not only supports individual success but also fosters a culture of inclusivity within professional training. Importantly, these strategies benefit all learners, not only those with identified needs, reflecting the wider ethos of UDL and inclusive pedagogy.</w:t>
      </w:r>
    </w:p>
    <w:p w14:paraId="402BB908" w14:textId="77777777" w:rsidR="009322CE" w:rsidRPr="001A0CA0" w:rsidRDefault="009322CE" w:rsidP="006F37CD">
      <w:pPr>
        <w:spacing w:line="276" w:lineRule="auto"/>
        <w:rPr>
          <w:rFonts w:ascii="Arial" w:hAnsi="Arial" w:cs="Arial"/>
        </w:rPr>
      </w:pPr>
      <w:r w:rsidRPr="001A0CA0">
        <w:rPr>
          <w:rFonts w:ascii="Arial" w:hAnsi="Arial" w:cs="Arial"/>
        </w:rPr>
        <w:t>By embedding inclusivity into planning and delivery, and grounding adjustments in established educational theory, I can ensure that ABE training is accessible, equitable, and effective. This not only enhances individual learning outcomes but also contributes to a more skilled and compassionate police service.</w:t>
      </w:r>
    </w:p>
    <w:p w14:paraId="14E61F08" w14:textId="77777777" w:rsidR="00174836" w:rsidRPr="001A0CA0" w:rsidRDefault="00174836" w:rsidP="006F37CD">
      <w:pPr>
        <w:spacing w:line="276" w:lineRule="auto"/>
        <w:rPr>
          <w:rFonts w:ascii="Arial" w:hAnsi="Arial" w:cs="Arial"/>
        </w:rPr>
      </w:pPr>
    </w:p>
    <w:p w14:paraId="1B32B4AF" w14:textId="39EB69D4" w:rsidR="00174836" w:rsidRPr="001A0CA0" w:rsidRDefault="00174836" w:rsidP="006F37CD">
      <w:pPr>
        <w:spacing w:line="276" w:lineRule="auto"/>
        <w:rPr>
          <w:rFonts w:ascii="Arial" w:hAnsi="Arial" w:cs="Arial"/>
          <w:u w:val="single"/>
        </w:rPr>
      </w:pPr>
      <w:r w:rsidRPr="001A0CA0">
        <w:rPr>
          <w:rFonts w:ascii="Arial" w:hAnsi="Arial" w:cs="Arial"/>
          <w:b/>
          <w:bCs/>
          <w:u w:val="single"/>
        </w:rPr>
        <w:t>Inclusive Planning &amp; Adjustments</w:t>
      </w:r>
    </w:p>
    <w:p w14:paraId="034A6F53" w14:textId="13C5A74D" w:rsidR="00174836" w:rsidRPr="001A0CA0" w:rsidRDefault="00174836" w:rsidP="006F37CD">
      <w:pPr>
        <w:spacing w:line="276" w:lineRule="auto"/>
        <w:rPr>
          <w:rFonts w:ascii="Arial" w:hAnsi="Arial" w:cs="Arial"/>
        </w:rPr>
      </w:pPr>
      <w:r w:rsidRPr="001A0CA0">
        <w:rPr>
          <w:rFonts w:ascii="Arial" w:hAnsi="Arial" w:cs="Arial"/>
        </w:rPr>
        <w:t>Creating an inclusive learning environment is essential when delivering professional training</w:t>
      </w:r>
      <w:r w:rsidR="009C2334" w:rsidRPr="001A0CA0">
        <w:rPr>
          <w:rFonts w:ascii="Arial" w:hAnsi="Arial" w:cs="Arial"/>
        </w:rPr>
        <w:t>. However, it is paramount when delivering</w:t>
      </w:r>
      <w:r w:rsidRPr="001A0CA0">
        <w:rPr>
          <w:rFonts w:ascii="Arial" w:hAnsi="Arial" w:cs="Arial"/>
        </w:rPr>
        <w:t xml:space="preserve"> particularly sensitive areas like Achieving Best Evidence (ABE). My planning for </w:t>
      </w:r>
      <w:r w:rsidR="0032666B" w:rsidRPr="001A0CA0">
        <w:rPr>
          <w:rFonts w:ascii="Arial" w:hAnsi="Arial" w:cs="Arial"/>
        </w:rPr>
        <w:t xml:space="preserve">this </w:t>
      </w:r>
      <w:r w:rsidRPr="001A0CA0">
        <w:rPr>
          <w:rFonts w:ascii="Arial" w:hAnsi="Arial" w:cs="Arial"/>
        </w:rPr>
        <w:t xml:space="preserve">session </w:t>
      </w:r>
      <w:r w:rsidR="0032666B" w:rsidRPr="001A0CA0">
        <w:rPr>
          <w:rFonts w:ascii="Arial" w:hAnsi="Arial" w:cs="Arial"/>
        </w:rPr>
        <w:t>would be heavily</w:t>
      </w:r>
      <w:r w:rsidRPr="001A0CA0">
        <w:rPr>
          <w:rFonts w:ascii="Arial" w:hAnsi="Arial" w:cs="Arial"/>
        </w:rPr>
        <w:t xml:space="preserve"> guided by a commitment to accessibility</w:t>
      </w:r>
      <w:r w:rsidR="0032666B" w:rsidRPr="001A0CA0">
        <w:rPr>
          <w:rFonts w:ascii="Arial" w:hAnsi="Arial" w:cs="Arial"/>
        </w:rPr>
        <w:t xml:space="preserve">. </w:t>
      </w:r>
      <w:r w:rsidRPr="001A0CA0">
        <w:rPr>
          <w:rFonts w:ascii="Arial" w:hAnsi="Arial" w:cs="Arial"/>
        </w:rPr>
        <w:t>This</w:t>
      </w:r>
      <w:r w:rsidR="0032666B" w:rsidRPr="001A0CA0">
        <w:rPr>
          <w:rFonts w:ascii="Arial" w:hAnsi="Arial" w:cs="Arial"/>
        </w:rPr>
        <w:t xml:space="preserve"> would</w:t>
      </w:r>
      <w:r w:rsidRPr="001A0CA0">
        <w:rPr>
          <w:rFonts w:ascii="Arial" w:hAnsi="Arial" w:cs="Arial"/>
        </w:rPr>
        <w:t xml:space="preserve"> require</w:t>
      </w:r>
      <w:r w:rsidR="0032666B" w:rsidRPr="001A0CA0">
        <w:rPr>
          <w:rFonts w:ascii="Arial" w:hAnsi="Arial" w:cs="Arial"/>
        </w:rPr>
        <w:t xml:space="preserve"> </w:t>
      </w:r>
      <w:r w:rsidRPr="001A0CA0">
        <w:rPr>
          <w:rFonts w:ascii="Arial" w:hAnsi="Arial" w:cs="Arial"/>
        </w:rPr>
        <w:t>thoughtful adjustments across resources, delivery methods, environment, and communication.</w:t>
      </w:r>
      <w:r w:rsidR="0032666B" w:rsidRPr="001A0CA0">
        <w:rPr>
          <w:rFonts w:ascii="Arial" w:hAnsi="Arial" w:cs="Arial"/>
        </w:rPr>
        <w:t xml:space="preserve"> I will discuss these in </w:t>
      </w:r>
      <w:r w:rsidR="00865662" w:rsidRPr="001A0CA0">
        <w:rPr>
          <w:rFonts w:ascii="Arial" w:hAnsi="Arial" w:cs="Arial"/>
        </w:rPr>
        <w:t>detail below.</w:t>
      </w:r>
    </w:p>
    <w:p w14:paraId="6AFDA07B" w14:textId="18DD06A8" w:rsidR="004D340D" w:rsidRPr="001A0CA0" w:rsidRDefault="004D340D" w:rsidP="006F37CD">
      <w:pPr>
        <w:spacing w:line="276" w:lineRule="auto"/>
        <w:rPr>
          <w:rFonts w:ascii="Arial" w:hAnsi="Arial" w:cs="Arial"/>
          <w:b/>
          <w:bCs/>
        </w:rPr>
      </w:pPr>
      <w:r w:rsidRPr="001A0CA0">
        <w:rPr>
          <w:rFonts w:ascii="Arial" w:hAnsi="Arial" w:cs="Arial"/>
          <w:b/>
          <w:bCs/>
        </w:rPr>
        <w:t>Resources</w:t>
      </w:r>
      <w:r w:rsidR="00E709E4" w:rsidRPr="001A0CA0">
        <w:rPr>
          <w:rFonts w:ascii="Arial" w:hAnsi="Arial" w:cs="Arial"/>
          <w:b/>
          <w:bCs/>
        </w:rPr>
        <w:t xml:space="preserve">: </w:t>
      </w:r>
      <w:r w:rsidRPr="001A0CA0">
        <w:rPr>
          <w:rFonts w:ascii="Arial" w:hAnsi="Arial" w:cs="Arial"/>
        </w:rPr>
        <w:t xml:space="preserve">To support learners with dyslexia, I </w:t>
      </w:r>
      <w:r w:rsidR="00EC7DA9" w:rsidRPr="001A0CA0">
        <w:rPr>
          <w:rFonts w:ascii="Arial" w:hAnsi="Arial" w:cs="Arial"/>
        </w:rPr>
        <w:t>would consider use of</w:t>
      </w:r>
      <w:r w:rsidRPr="001A0CA0">
        <w:rPr>
          <w:rFonts w:ascii="Arial" w:hAnsi="Arial" w:cs="Arial"/>
        </w:rPr>
        <w:t xml:space="preserve"> dyslexia-friendly fonts such as Arial and Comic Sans, paired with off-white backgrounds to reduce visual stress. All written materials w</w:t>
      </w:r>
      <w:r w:rsidR="00E709E4" w:rsidRPr="001A0CA0">
        <w:rPr>
          <w:rFonts w:ascii="Arial" w:hAnsi="Arial" w:cs="Arial"/>
        </w:rPr>
        <w:t>ould</w:t>
      </w:r>
      <w:r w:rsidRPr="001A0CA0">
        <w:rPr>
          <w:rFonts w:ascii="Arial" w:hAnsi="Arial" w:cs="Arial"/>
        </w:rPr>
        <w:t xml:space="preserve"> </w:t>
      </w:r>
      <w:r w:rsidR="00367D34" w:rsidRPr="001A0CA0">
        <w:rPr>
          <w:rFonts w:ascii="Arial" w:hAnsi="Arial" w:cs="Arial"/>
        </w:rPr>
        <w:t>format</w:t>
      </w:r>
      <w:r w:rsidRPr="001A0CA0">
        <w:rPr>
          <w:rFonts w:ascii="Arial" w:hAnsi="Arial" w:cs="Arial"/>
        </w:rPr>
        <w:t xml:space="preserve"> with clear headings, bullet points, and generous spacing to aid readability (British Dyslexia Association, 2022). Recognising that learners absorb information in different ways, I </w:t>
      </w:r>
      <w:r w:rsidR="009C5C31" w:rsidRPr="001A0CA0">
        <w:rPr>
          <w:rFonts w:ascii="Arial" w:hAnsi="Arial" w:cs="Arial"/>
        </w:rPr>
        <w:t xml:space="preserve">would provide </w:t>
      </w:r>
      <w:r w:rsidRPr="001A0CA0">
        <w:rPr>
          <w:rFonts w:ascii="Arial" w:hAnsi="Arial" w:cs="Arial"/>
        </w:rPr>
        <w:t>resources in multiple formats</w:t>
      </w:r>
      <w:r w:rsidR="009C5C31" w:rsidRPr="001A0CA0">
        <w:rPr>
          <w:rFonts w:ascii="Arial" w:hAnsi="Arial" w:cs="Arial"/>
        </w:rPr>
        <w:t xml:space="preserve">. For example, </w:t>
      </w:r>
      <w:r w:rsidRPr="001A0CA0">
        <w:rPr>
          <w:rFonts w:ascii="Arial" w:hAnsi="Arial" w:cs="Arial"/>
        </w:rPr>
        <w:t>printed handouts in large print, digital copies compatible with screen readers, and audio recordings of key content. For learners with partial sight, magnification tools w</w:t>
      </w:r>
      <w:r w:rsidR="009C5C31" w:rsidRPr="001A0CA0">
        <w:rPr>
          <w:rFonts w:ascii="Arial" w:hAnsi="Arial" w:cs="Arial"/>
        </w:rPr>
        <w:t>ould be</w:t>
      </w:r>
      <w:r w:rsidRPr="001A0CA0">
        <w:rPr>
          <w:rFonts w:ascii="Arial" w:hAnsi="Arial" w:cs="Arial"/>
        </w:rPr>
        <w:t xml:space="preserve"> made available, and all visual materials </w:t>
      </w:r>
      <w:r w:rsidR="009C5C31" w:rsidRPr="001A0CA0">
        <w:rPr>
          <w:rFonts w:ascii="Arial" w:hAnsi="Arial" w:cs="Arial"/>
        </w:rPr>
        <w:t>to be</w:t>
      </w:r>
      <w:r w:rsidRPr="001A0CA0">
        <w:rPr>
          <w:rFonts w:ascii="Arial" w:hAnsi="Arial" w:cs="Arial"/>
        </w:rPr>
        <w:t xml:space="preserve"> accompanied by verbal descriptions to ensure full access (RNIB, 2023).</w:t>
      </w:r>
      <w:r w:rsidR="009C5C31" w:rsidRPr="001A0CA0">
        <w:rPr>
          <w:rFonts w:ascii="Arial" w:hAnsi="Arial" w:cs="Arial"/>
        </w:rPr>
        <w:t xml:space="preserve"> For the learner with anxiety, I would provide the with a learning timetable in advance to </w:t>
      </w:r>
      <w:r w:rsidR="004742AD" w:rsidRPr="001A0CA0">
        <w:rPr>
          <w:rFonts w:ascii="Arial" w:hAnsi="Arial" w:cs="Arial"/>
        </w:rPr>
        <w:t>alleviate</w:t>
      </w:r>
      <w:r w:rsidR="009C5C31" w:rsidRPr="001A0CA0">
        <w:rPr>
          <w:rFonts w:ascii="Arial" w:hAnsi="Arial" w:cs="Arial"/>
        </w:rPr>
        <w:t xml:space="preserve"> </w:t>
      </w:r>
      <w:r w:rsidR="004742AD" w:rsidRPr="001A0CA0">
        <w:rPr>
          <w:rFonts w:ascii="Arial" w:hAnsi="Arial" w:cs="Arial"/>
        </w:rPr>
        <w:t>stress about upcoming topics</w:t>
      </w:r>
      <w:r w:rsidR="00367D34" w:rsidRPr="001A0CA0">
        <w:rPr>
          <w:rFonts w:ascii="Arial" w:hAnsi="Arial" w:cs="Arial"/>
        </w:rPr>
        <w:t xml:space="preserve"> </w:t>
      </w:r>
      <w:r w:rsidR="004742AD" w:rsidRPr="001A0CA0">
        <w:rPr>
          <w:rFonts w:ascii="Arial" w:hAnsi="Arial" w:cs="Arial"/>
        </w:rPr>
        <w:t xml:space="preserve"> and possibly share slides or handouts in advance.</w:t>
      </w:r>
    </w:p>
    <w:p w14:paraId="4BE63EEA" w14:textId="7872D3B6" w:rsidR="004802CC" w:rsidRPr="001A0CA0" w:rsidRDefault="004D340D" w:rsidP="006F37CD">
      <w:pPr>
        <w:spacing w:line="276" w:lineRule="auto"/>
        <w:rPr>
          <w:rFonts w:ascii="Arial" w:hAnsi="Arial" w:cs="Arial"/>
        </w:rPr>
      </w:pPr>
      <w:r w:rsidRPr="001A0CA0">
        <w:rPr>
          <w:rFonts w:ascii="Arial" w:hAnsi="Arial" w:cs="Arial"/>
          <w:b/>
          <w:bCs/>
        </w:rPr>
        <w:t>Delivery Methods</w:t>
      </w:r>
      <w:r w:rsidR="00975C6F" w:rsidRPr="001A0CA0">
        <w:rPr>
          <w:rFonts w:ascii="Arial" w:hAnsi="Arial" w:cs="Arial"/>
          <w:b/>
          <w:bCs/>
        </w:rPr>
        <w:t>:</w:t>
      </w:r>
      <w:r w:rsidRPr="001A0CA0">
        <w:rPr>
          <w:rFonts w:ascii="Arial" w:hAnsi="Arial" w:cs="Arial"/>
        </w:rPr>
        <w:t xml:space="preserve"> The session content w</w:t>
      </w:r>
      <w:r w:rsidR="00975C6F" w:rsidRPr="001A0CA0">
        <w:rPr>
          <w:rFonts w:ascii="Arial" w:hAnsi="Arial" w:cs="Arial"/>
        </w:rPr>
        <w:t>ould be</w:t>
      </w:r>
      <w:r w:rsidRPr="001A0CA0">
        <w:rPr>
          <w:rFonts w:ascii="Arial" w:hAnsi="Arial" w:cs="Arial"/>
        </w:rPr>
        <w:t xml:space="preserve"> broken into manageable chunks to avoid cognitive overload and support sustained attention</w:t>
      </w:r>
      <w:r w:rsidR="004A6D7B" w:rsidRPr="001A0CA0">
        <w:rPr>
          <w:rFonts w:ascii="Arial" w:hAnsi="Arial" w:cs="Arial"/>
        </w:rPr>
        <w:t xml:space="preserve">. This is </w:t>
      </w:r>
      <w:r w:rsidRPr="001A0CA0">
        <w:rPr>
          <w:rFonts w:ascii="Arial" w:hAnsi="Arial" w:cs="Arial"/>
        </w:rPr>
        <w:t xml:space="preserve">in line with Universal Design for Learning (UDL) principles (CAST, 2018). Each segment </w:t>
      </w:r>
      <w:r w:rsidR="004A6D7B" w:rsidRPr="001A0CA0">
        <w:rPr>
          <w:rFonts w:ascii="Arial" w:hAnsi="Arial" w:cs="Arial"/>
        </w:rPr>
        <w:t xml:space="preserve">of the content would be </w:t>
      </w:r>
      <w:r w:rsidRPr="001A0CA0">
        <w:rPr>
          <w:rFonts w:ascii="Arial" w:hAnsi="Arial" w:cs="Arial"/>
        </w:rPr>
        <w:t xml:space="preserve">focused on </w:t>
      </w:r>
      <w:r w:rsidRPr="001A0CA0">
        <w:rPr>
          <w:rFonts w:ascii="Arial" w:hAnsi="Arial" w:cs="Arial"/>
        </w:rPr>
        <w:lastRenderedPageBreak/>
        <w:t xml:space="preserve">a specific aspect of ABE, reinforced through visual aids, diagrams, and real-world examples. Role-play exercises </w:t>
      </w:r>
      <w:r w:rsidR="004A6D7B" w:rsidRPr="001A0CA0">
        <w:rPr>
          <w:rFonts w:ascii="Arial" w:hAnsi="Arial" w:cs="Arial"/>
        </w:rPr>
        <w:t>to be</w:t>
      </w:r>
      <w:r w:rsidRPr="001A0CA0">
        <w:rPr>
          <w:rFonts w:ascii="Arial" w:hAnsi="Arial" w:cs="Arial"/>
        </w:rPr>
        <w:t xml:space="preserve"> offered as an optional activity, with quiet spaces available for those who experience anxiety or prefer to observe. This approach </w:t>
      </w:r>
      <w:r w:rsidR="004A6D7B" w:rsidRPr="001A0CA0">
        <w:rPr>
          <w:rFonts w:ascii="Arial" w:hAnsi="Arial" w:cs="Arial"/>
        </w:rPr>
        <w:t>would allow</w:t>
      </w:r>
      <w:r w:rsidRPr="001A0CA0">
        <w:rPr>
          <w:rFonts w:ascii="Arial" w:hAnsi="Arial" w:cs="Arial"/>
        </w:rPr>
        <w:t xml:space="preserve"> learners to participate at their own comfort level while still gaining insight from the exercise. For learners with visual impairments, I </w:t>
      </w:r>
      <w:r w:rsidR="004A6D7B" w:rsidRPr="001A0CA0">
        <w:rPr>
          <w:rFonts w:ascii="Arial" w:hAnsi="Arial" w:cs="Arial"/>
        </w:rPr>
        <w:t>would ensure</w:t>
      </w:r>
      <w:r w:rsidRPr="001A0CA0">
        <w:rPr>
          <w:rFonts w:ascii="Arial" w:hAnsi="Arial" w:cs="Arial"/>
        </w:rPr>
        <w:t xml:space="preserve"> that all visual content</w:t>
      </w:r>
      <w:r w:rsidR="004A6D7B" w:rsidRPr="001A0CA0">
        <w:rPr>
          <w:rFonts w:ascii="Arial" w:hAnsi="Arial" w:cs="Arial"/>
        </w:rPr>
        <w:t xml:space="preserve">: </w:t>
      </w:r>
      <w:r w:rsidRPr="001A0CA0">
        <w:rPr>
          <w:rFonts w:ascii="Arial" w:hAnsi="Arial" w:cs="Arial"/>
        </w:rPr>
        <w:t>such as diagrams and video clip</w:t>
      </w:r>
      <w:r w:rsidR="004A6D7B" w:rsidRPr="001A0CA0">
        <w:rPr>
          <w:rFonts w:ascii="Arial" w:hAnsi="Arial" w:cs="Arial"/>
        </w:rPr>
        <w:t xml:space="preserve">, </w:t>
      </w:r>
      <w:r w:rsidRPr="001A0CA0">
        <w:rPr>
          <w:rFonts w:ascii="Arial" w:hAnsi="Arial" w:cs="Arial"/>
        </w:rPr>
        <w:t>w</w:t>
      </w:r>
      <w:r w:rsidR="004A6D7B" w:rsidRPr="001A0CA0">
        <w:rPr>
          <w:rFonts w:ascii="Arial" w:hAnsi="Arial" w:cs="Arial"/>
        </w:rPr>
        <w:t>ere</w:t>
      </w:r>
      <w:r w:rsidRPr="001A0CA0">
        <w:rPr>
          <w:rFonts w:ascii="Arial" w:hAnsi="Arial" w:cs="Arial"/>
        </w:rPr>
        <w:t xml:space="preserve"> described clearly and in detail, allowing them to follow along without barriers (RNIB, 2023).</w:t>
      </w:r>
    </w:p>
    <w:p w14:paraId="1D828297" w14:textId="6EACC91E" w:rsidR="004802CC" w:rsidRPr="001A0CA0" w:rsidRDefault="004802CC" w:rsidP="006F37CD">
      <w:pPr>
        <w:spacing w:line="276" w:lineRule="auto"/>
        <w:rPr>
          <w:rFonts w:ascii="Arial" w:hAnsi="Arial" w:cs="Arial"/>
          <w:b/>
          <w:bCs/>
        </w:rPr>
      </w:pPr>
      <w:r w:rsidRPr="001A0CA0">
        <w:rPr>
          <w:rFonts w:ascii="Arial" w:hAnsi="Arial" w:cs="Arial"/>
          <w:b/>
          <w:bCs/>
        </w:rPr>
        <w:t>Environment</w:t>
      </w:r>
      <w:r w:rsidR="00C57A9F" w:rsidRPr="001A0CA0">
        <w:rPr>
          <w:rFonts w:ascii="Arial" w:hAnsi="Arial" w:cs="Arial"/>
          <w:b/>
          <w:bCs/>
        </w:rPr>
        <w:t>:</w:t>
      </w:r>
      <w:r w:rsidRPr="001A0CA0">
        <w:rPr>
          <w:rFonts w:ascii="Arial" w:hAnsi="Arial" w:cs="Arial"/>
          <w:b/>
          <w:bCs/>
        </w:rPr>
        <w:t xml:space="preserve"> </w:t>
      </w:r>
      <w:r w:rsidRPr="001A0CA0">
        <w:rPr>
          <w:rFonts w:ascii="Arial" w:hAnsi="Arial" w:cs="Arial"/>
        </w:rPr>
        <w:t>Physical accessibility w</w:t>
      </w:r>
      <w:r w:rsidR="00C57A9F" w:rsidRPr="001A0CA0">
        <w:rPr>
          <w:rFonts w:ascii="Arial" w:hAnsi="Arial" w:cs="Arial"/>
        </w:rPr>
        <w:t xml:space="preserve">ould be a </w:t>
      </w:r>
      <w:r w:rsidRPr="001A0CA0">
        <w:rPr>
          <w:rFonts w:ascii="Arial" w:hAnsi="Arial" w:cs="Arial"/>
        </w:rPr>
        <w:t xml:space="preserve">priority </w:t>
      </w:r>
      <w:r w:rsidR="00C57A9F" w:rsidRPr="001A0CA0">
        <w:rPr>
          <w:rFonts w:ascii="Arial" w:hAnsi="Arial" w:cs="Arial"/>
        </w:rPr>
        <w:t>when</w:t>
      </w:r>
      <w:r w:rsidRPr="001A0CA0">
        <w:rPr>
          <w:rFonts w:ascii="Arial" w:hAnsi="Arial" w:cs="Arial"/>
        </w:rPr>
        <w:t xml:space="preserve"> selecting the training venue. I </w:t>
      </w:r>
      <w:r w:rsidR="00C57A9F" w:rsidRPr="001A0CA0">
        <w:rPr>
          <w:rFonts w:ascii="Arial" w:hAnsi="Arial" w:cs="Arial"/>
        </w:rPr>
        <w:t xml:space="preserve">would </w:t>
      </w:r>
      <w:r w:rsidRPr="001A0CA0">
        <w:rPr>
          <w:rFonts w:ascii="Arial" w:hAnsi="Arial" w:cs="Arial"/>
        </w:rPr>
        <w:t>ensure that the room layout allowed for easy navigation, with clear pathways and seating arrangements that accommodated</w:t>
      </w:r>
      <w:r w:rsidR="00C57A9F" w:rsidRPr="001A0CA0">
        <w:rPr>
          <w:rFonts w:ascii="Arial" w:hAnsi="Arial" w:cs="Arial"/>
        </w:rPr>
        <w:t xml:space="preserve"> </w:t>
      </w:r>
      <w:r w:rsidRPr="001A0CA0">
        <w:rPr>
          <w:rFonts w:ascii="Arial" w:hAnsi="Arial" w:cs="Arial"/>
        </w:rPr>
        <w:t>mobility and sight needs (Equality Act 2010). Lighting w</w:t>
      </w:r>
      <w:r w:rsidR="00C57A9F" w:rsidRPr="001A0CA0">
        <w:rPr>
          <w:rFonts w:ascii="Arial" w:hAnsi="Arial" w:cs="Arial"/>
        </w:rPr>
        <w:t>ould</w:t>
      </w:r>
      <w:r w:rsidRPr="001A0CA0">
        <w:rPr>
          <w:rFonts w:ascii="Arial" w:hAnsi="Arial" w:cs="Arial"/>
        </w:rPr>
        <w:t xml:space="preserve"> adjusted to be bright but not harsh, reducing glare and supporting visual comfort. To minimise sensory overload, I </w:t>
      </w:r>
      <w:r w:rsidR="00517A8E" w:rsidRPr="001A0CA0">
        <w:rPr>
          <w:rFonts w:ascii="Arial" w:hAnsi="Arial" w:cs="Arial"/>
        </w:rPr>
        <w:t xml:space="preserve">would </w:t>
      </w:r>
      <w:r w:rsidRPr="001A0CA0">
        <w:rPr>
          <w:rFonts w:ascii="Arial" w:hAnsi="Arial" w:cs="Arial"/>
        </w:rPr>
        <w:t xml:space="preserve">avoid excessive noise and visual clutter, creating a calm and focused atmosphere. I </w:t>
      </w:r>
      <w:r w:rsidR="00517A8E" w:rsidRPr="001A0CA0">
        <w:rPr>
          <w:rFonts w:ascii="Arial" w:hAnsi="Arial" w:cs="Arial"/>
        </w:rPr>
        <w:t>would also</w:t>
      </w:r>
      <w:r w:rsidRPr="001A0CA0">
        <w:rPr>
          <w:rFonts w:ascii="Arial" w:hAnsi="Arial" w:cs="Arial"/>
        </w:rPr>
        <w:t xml:space="preserve"> consider</w:t>
      </w:r>
      <w:r w:rsidR="00517A8E" w:rsidRPr="001A0CA0">
        <w:rPr>
          <w:rFonts w:ascii="Arial" w:hAnsi="Arial" w:cs="Arial"/>
        </w:rPr>
        <w:t xml:space="preserve"> </w:t>
      </w:r>
      <w:r w:rsidRPr="001A0CA0">
        <w:rPr>
          <w:rFonts w:ascii="Arial" w:hAnsi="Arial" w:cs="Arial"/>
        </w:rPr>
        <w:t xml:space="preserve">acoustics and background noise levels to support </w:t>
      </w:r>
      <w:r w:rsidR="00F312F3" w:rsidRPr="001A0CA0">
        <w:rPr>
          <w:rFonts w:ascii="Arial" w:hAnsi="Arial" w:cs="Arial"/>
        </w:rPr>
        <w:t>the learner with anxiety as well as the partially sighted learner who may rely more on</w:t>
      </w:r>
      <w:r w:rsidRPr="001A0CA0">
        <w:rPr>
          <w:rFonts w:ascii="Arial" w:hAnsi="Arial" w:cs="Arial"/>
        </w:rPr>
        <w:t xml:space="preserve"> auditory </w:t>
      </w:r>
      <w:r w:rsidR="00F312F3" w:rsidRPr="001A0CA0">
        <w:rPr>
          <w:rFonts w:ascii="Arial" w:hAnsi="Arial" w:cs="Arial"/>
        </w:rPr>
        <w:t>learning.</w:t>
      </w:r>
      <w:r w:rsidRPr="001A0CA0">
        <w:rPr>
          <w:rFonts w:ascii="Arial" w:hAnsi="Arial" w:cs="Arial"/>
        </w:rPr>
        <w:t xml:space="preserve"> Visual signage w</w:t>
      </w:r>
      <w:r w:rsidR="00F312F3" w:rsidRPr="001A0CA0">
        <w:rPr>
          <w:rFonts w:ascii="Arial" w:hAnsi="Arial" w:cs="Arial"/>
        </w:rPr>
        <w:t xml:space="preserve">ould be </w:t>
      </w:r>
      <w:r w:rsidR="00141CC8" w:rsidRPr="001A0CA0">
        <w:rPr>
          <w:rFonts w:ascii="Arial" w:hAnsi="Arial" w:cs="Arial"/>
        </w:rPr>
        <w:t>vividly</w:t>
      </w:r>
      <w:r w:rsidRPr="001A0CA0">
        <w:rPr>
          <w:rFonts w:ascii="Arial" w:hAnsi="Arial" w:cs="Arial"/>
        </w:rPr>
        <w:t xml:space="preserve"> clear and positioned at accessible heights to aid orientation</w:t>
      </w:r>
      <w:r w:rsidR="00141CC8" w:rsidRPr="001A0CA0">
        <w:rPr>
          <w:rFonts w:ascii="Arial" w:hAnsi="Arial" w:cs="Arial"/>
        </w:rPr>
        <w:t xml:space="preserve"> of the partially sighted learner</w:t>
      </w:r>
      <w:r w:rsidRPr="001A0CA0">
        <w:rPr>
          <w:rFonts w:ascii="Arial" w:hAnsi="Arial" w:cs="Arial"/>
        </w:rPr>
        <w:t>. Most importantly, I wo</w:t>
      </w:r>
      <w:r w:rsidR="00141CC8" w:rsidRPr="001A0CA0">
        <w:rPr>
          <w:rFonts w:ascii="Arial" w:hAnsi="Arial" w:cs="Arial"/>
        </w:rPr>
        <w:t xml:space="preserve">uld plan </w:t>
      </w:r>
      <w:r w:rsidR="007F178A" w:rsidRPr="001A0CA0">
        <w:rPr>
          <w:rFonts w:ascii="Arial" w:hAnsi="Arial" w:cs="Arial"/>
        </w:rPr>
        <w:t>tirelessly</w:t>
      </w:r>
      <w:r w:rsidR="00141CC8" w:rsidRPr="001A0CA0">
        <w:rPr>
          <w:rFonts w:ascii="Arial" w:hAnsi="Arial" w:cs="Arial"/>
        </w:rPr>
        <w:t xml:space="preserve"> </w:t>
      </w:r>
      <w:r w:rsidRPr="001A0CA0">
        <w:rPr>
          <w:rFonts w:ascii="Arial" w:hAnsi="Arial" w:cs="Arial"/>
        </w:rPr>
        <w:t xml:space="preserve">to foster a psychologically safe space where learners felt respected, supported, and free to express themselves without judgment. </w:t>
      </w:r>
      <w:r w:rsidR="00887CBA" w:rsidRPr="001A0CA0">
        <w:rPr>
          <w:rFonts w:ascii="Arial" w:hAnsi="Arial" w:cs="Arial"/>
        </w:rPr>
        <w:t>I would</w:t>
      </w:r>
      <w:r w:rsidRPr="001A0CA0">
        <w:rPr>
          <w:rFonts w:ascii="Arial" w:hAnsi="Arial" w:cs="Arial"/>
        </w:rPr>
        <w:t xml:space="preserve"> </w:t>
      </w:r>
      <w:r w:rsidR="00887CBA" w:rsidRPr="001A0CA0">
        <w:rPr>
          <w:rFonts w:ascii="Arial" w:hAnsi="Arial" w:cs="Arial"/>
        </w:rPr>
        <w:t>provide</w:t>
      </w:r>
      <w:r w:rsidRPr="001A0CA0">
        <w:rPr>
          <w:rFonts w:ascii="Arial" w:hAnsi="Arial" w:cs="Arial"/>
        </w:rPr>
        <w:t xml:space="preserve"> consistent encouragement, clear expectations, and a welcoming tone throughout the session (Mental Health Foundation, 2021).</w:t>
      </w:r>
    </w:p>
    <w:p w14:paraId="71893A43" w14:textId="42D31EF1" w:rsidR="004D340D" w:rsidRPr="001A0CA0" w:rsidRDefault="004D340D" w:rsidP="006F37CD">
      <w:pPr>
        <w:spacing w:line="276" w:lineRule="auto"/>
        <w:rPr>
          <w:rFonts w:ascii="Arial" w:hAnsi="Arial" w:cs="Arial"/>
        </w:rPr>
      </w:pPr>
      <w:r w:rsidRPr="001A0CA0">
        <w:rPr>
          <w:rFonts w:ascii="Arial" w:hAnsi="Arial" w:cs="Arial"/>
          <w:b/>
          <w:bCs/>
        </w:rPr>
        <w:t>Communication</w:t>
      </w:r>
      <w:r w:rsidR="00F61A0F" w:rsidRPr="001A0CA0">
        <w:rPr>
          <w:rFonts w:ascii="Arial" w:hAnsi="Arial" w:cs="Arial"/>
          <w:b/>
          <w:bCs/>
        </w:rPr>
        <w:t>:</w:t>
      </w:r>
      <w:r w:rsidRPr="001A0CA0">
        <w:rPr>
          <w:rFonts w:ascii="Arial" w:hAnsi="Arial" w:cs="Arial"/>
        </w:rPr>
        <w:t xml:space="preserve"> Inclusive communication w</w:t>
      </w:r>
      <w:r w:rsidR="00F61A0F" w:rsidRPr="001A0CA0">
        <w:rPr>
          <w:rFonts w:ascii="Arial" w:hAnsi="Arial" w:cs="Arial"/>
        </w:rPr>
        <w:t xml:space="preserve">ould be </w:t>
      </w:r>
      <w:r w:rsidRPr="001A0CA0">
        <w:rPr>
          <w:rFonts w:ascii="Arial" w:hAnsi="Arial" w:cs="Arial"/>
        </w:rPr>
        <w:t xml:space="preserve">central to the session’s success. I </w:t>
      </w:r>
      <w:r w:rsidR="00F61A0F" w:rsidRPr="001A0CA0">
        <w:rPr>
          <w:rFonts w:ascii="Arial" w:hAnsi="Arial" w:cs="Arial"/>
        </w:rPr>
        <w:t xml:space="preserve">would </w:t>
      </w:r>
      <w:r w:rsidRPr="001A0CA0">
        <w:rPr>
          <w:rFonts w:ascii="Arial" w:hAnsi="Arial" w:cs="Arial"/>
        </w:rPr>
        <w:t>use plain language to explain complex concepts</w:t>
      </w:r>
      <w:r w:rsidR="00F61A0F" w:rsidRPr="001A0CA0">
        <w:rPr>
          <w:rFonts w:ascii="Arial" w:hAnsi="Arial" w:cs="Arial"/>
        </w:rPr>
        <w:t>. I would</w:t>
      </w:r>
      <w:r w:rsidRPr="001A0CA0">
        <w:rPr>
          <w:rFonts w:ascii="Arial" w:hAnsi="Arial" w:cs="Arial"/>
        </w:rPr>
        <w:t xml:space="preserve"> avoid jargon and acronyms unless they were clearly defined (Plain English Campaign, 2020). </w:t>
      </w:r>
      <w:r w:rsidR="00F61A0F" w:rsidRPr="001A0CA0">
        <w:rPr>
          <w:rFonts w:ascii="Arial" w:hAnsi="Arial" w:cs="Arial"/>
        </w:rPr>
        <w:t>On a r</w:t>
      </w:r>
      <w:r w:rsidRPr="001A0CA0">
        <w:rPr>
          <w:rFonts w:ascii="Arial" w:hAnsi="Arial" w:cs="Arial"/>
        </w:rPr>
        <w:t>egular</w:t>
      </w:r>
      <w:r w:rsidR="00F61A0F" w:rsidRPr="001A0CA0">
        <w:rPr>
          <w:rFonts w:ascii="Arial" w:hAnsi="Arial" w:cs="Arial"/>
        </w:rPr>
        <w:t xml:space="preserve"> basis, I would pause,</w:t>
      </w:r>
      <w:r w:rsidRPr="001A0CA0">
        <w:rPr>
          <w:rFonts w:ascii="Arial" w:hAnsi="Arial" w:cs="Arial"/>
        </w:rPr>
        <w:t xml:space="preserve"> check for understanding through open questions, informal quizzes, and group discussions, allowing learners to clarify points and share perspectives. Peer support w</w:t>
      </w:r>
      <w:r w:rsidR="001D756F" w:rsidRPr="001A0CA0">
        <w:rPr>
          <w:rFonts w:ascii="Arial" w:hAnsi="Arial" w:cs="Arial"/>
        </w:rPr>
        <w:t xml:space="preserve">ould be </w:t>
      </w:r>
      <w:r w:rsidRPr="001A0CA0">
        <w:rPr>
          <w:rFonts w:ascii="Arial" w:hAnsi="Arial" w:cs="Arial"/>
        </w:rPr>
        <w:t>actively encouraged, with collaborative activities designed to promote teamwork and mutual learning. This</w:t>
      </w:r>
      <w:r w:rsidR="001D756F" w:rsidRPr="001A0CA0">
        <w:rPr>
          <w:rFonts w:ascii="Arial" w:hAnsi="Arial" w:cs="Arial"/>
        </w:rPr>
        <w:t xml:space="preserve"> would simultaneously</w:t>
      </w:r>
      <w:r w:rsidRPr="001A0CA0">
        <w:rPr>
          <w:rFonts w:ascii="Arial" w:hAnsi="Arial" w:cs="Arial"/>
        </w:rPr>
        <w:t xml:space="preserve"> reinforce key ideas but also built a sense of community among participants </w:t>
      </w:r>
      <w:r w:rsidR="001D756F" w:rsidRPr="001A0CA0">
        <w:rPr>
          <w:rFonts w:ascii="Arial" w:hAnsi="Arial" w:cs="Arial"/>
        </w:rPr>
        <w:t>fostering partnership working, and peer learning (Department for Education, 2015)</w:t>
      </w:r>
      <w:r w:rsidRPr="001A0CA0">
        <w:rPr>
          <w:rFonts w:ascii="Arial" w:hAnsi="Arial" w:cs="Arial"/>
        </w:rPr>
        <w:t>.</w:t>
      </w:r>
    </w:p>
    <w:p w14:paraId="388D1234" w14:textId="2D7FD5E2" w:rsidR="004D340D" w:rsidRPr="001A0CA0" w:rsidRDefault="004D340D" w:rsidP="006F37CD">
      <w:pPr>
        <w:spacing w:line="276" w:lineRule="auto"/>
        <w:rPr>
          <w:rFonts w:ascii="Arial" w:hAnsi="Arial" w:cs="Arial"/>
        </w:rPr>
      </w:pPr>
      <w:r w:rsidRPr="001A0CA0">
        <w:rPr>
          <w:rFonts w:ascii="Arial" w:hAnsi="Arial" w:cs="Arial"/>
        </w:rPr>
        <w:t>By integrating these adjustments into every aspect of the session,</w:t>
      </w:r>
      <w:r w:rsidR="001D756F" w:rsidRPr="001A0CA0">
        <w:rPr>
          <w:rFonts w:ascii="Arial" w:hAnsi="Arial" w:cs="Arial"/>
        </w:rPr>
        <w:t xml:space="preserve"> one would hope to</w:t>
      </w:r>
      <w:r w:rsidRPr="001A0CA0">
        <w:rPr>
          <w:rFonts w:ascii="Arial" w:hAnsi="Arial" w:cs="Arial"/>
        </w:rPr>
        <w:t xml:space="preserve"> create a learning experience that was accessible, engaging, and empowering for all. Inclusive planning is not just about meeting individual needs</w:t>
      </w:r>
      <w:r w:rsidR="008C4EE5" w:rsidRPr="001A0CA0">
        <w:rPr>
          <w:rFonts w:ascii="Arial" w:hAnsi="Arial" w:cs="Arial"/>
        </w:rPr>
        <w:t xml:space="preserve">, </w:t>
      </w:r>
      <w:r w:rsidRPr="001A0CA0">
        <w:rPr>
          <w:rFonts w:ascii="Arial" w:hAnsi="Arial" w:cs="Arial"/>
        </w:rPr>
        <w:t>it</w:t>
      </w:r>
      <w:r w:rsidR="008C4EE5" w:rsidRPr="001A0CA0">
        <w:rPr>
          <w:rFonts w:ascii="Arial" w:hAnsi="Arial" w:cs="Arial"/>
        </w:rPr>
        <w:t xml:space="preserve"> is</w:t>
      </w:r>
      <w:r w:rsidRPr="001A0CA0">
        <w:rPr>
          <w:rFonts w:ascii="Arial" w:hAnsi="Arial" w:cs="Arial"/>
        </w:rPr>
        <w:t xml:space="preserve"> about recognising diversity as a strength and designing training that reflects that ethos. In doing so, we not only support the development of individual officers but also contribute to a more compassionate and effective police service.</w:t>
      </w:r>
    </w:p>
    <w:p w14:paraId="097383A3" w14:textId="77777777" w:rsidR="00617DB3" w:rsidRPr="001A0CA0" w:rsidRDefault="00617DB3" w:rsidP="006F37CD">
      <w:pPr>
        <w:spacing w:line="276" w:lineRule="auto"/>
        <w:rPr>
          <w:rFonts w:ascii="Arial" w:hAnsi="Arial" w:cs="Arial"/>
        </w:rPr>
      </w:pPr>
    </w:p>
    <w:p w14:paraId="1AF30D2F" w14:textId="77777777" w:rsidR="00617DB3" w:rsidRPr="001A0CA0" w:rsidRDefault="00617DB3" w:rsidP="006F37CD">
      <w:pPr>
        <w:spacing w:line="276" w:lineRule="auto"/>
        <w:rPr>
          <w:rFonts w:ascii="Arial" w:hAnsi="Arial" w:cs="Arial"/>
          <w:u w:val="single"/>
        </w:rPr>
      </w:pPr>
      <w:r w:rsidRPr="001A0CA0">
        <w:rPr>
          <w:rFonts w:ascii="Arial" w:hAnsi="Arial" w:cs="Arial"/>
          <w:b/>
          <w:bCs/>
          <w:u w:val="single"/>
        </w:rPr>
        <w:t>Evidence-Based Practice</w:t>
      </w:r>
    </w:p>
    <w:p w14:paraId="794D7513" w14:textId="77777777" w:rsidR="00617DB3" w:rsidRPr="001A0CA0" w:rsidRDefault="00617DB3" w:rsidP="006F37CD">
      <w:pPr>
        <w:spacing w:line="276" w:lineRule="auto"/>
        <w:rPr>
          <w:rFonts w:ascii="Arial" w:hAnsi="Arial" w:cs="Arial"/>
        </w:rPr>
      </w:pPr>
      <w:r w:rsidRPr="001A0CA0">
        <w:rPr>
          <w:rFonts w:ascii="Arial" w:hAnsi="Arial" w:cs="Arial"/>
        </w:rPr>
        <w:t xml:space="preserve">Inclusive training must be grounded in evidence-based frameworks that promote accessibility, equity, and wellbeing. One such framework is Universal Design for Learning (UDL), which encourages flexible teaching methods that accommodate diverse learning styles and needs (CAST, 2018). By offering materials in multiple formats and using varied delivery techniques, this session design aligns with UDL principles, ensuring that all learners can access and engage with the content. UDL also reflects Bruner’s constructivist theory, </w:t>
      </w:r>
      <w:r w:rsidRPr="001A0CA0">
        <w:rPr>
          <w:rFonts w:ascii="Arial" w:hAnsi="Arial" w:cs="Arial"/>
        </w:rPr>
        <w:lastRenderedPageBreak/>
        <w:t>which emphasises presenting knowledge in varied forms to support learners in building their own understanding.</w:t>
      </w:r>
    </w:p>
    <w:p w14:paraId="2B91522A" w14:textId="77777777" w:rsidR="00617DB3" w:rsidRPr="001A0CA0" w:rsidRDefault="00617DB3" w:rsidP="006F37CD">
      <w:pPr>
        <w:spacing w:line="276" w:lineRule="auto"/>
        <w:rPr>
          <w:rFonts w:ascii="Arial" w:hAnsi="Arial" w:cs="Arial"/>
        </w:rPr>
      </w:pPr>
      <w:r w:rsidRPr="001A0CA0">
        <w:rPr>
          <w:rFonts w:ascii="Arial" w:hAnsi="Arial" w:cs="Arial"/>
        </w:rPr>
        <w:t>The Equality Act 2010 places a legal duty on educators and employers to make reasonable adjustments for individuals with disabilities. In this session, adjustments such as dyslexia-friendly resources, quiet spaces for anxious learners, and verbal descriptions for those with partial sight were essential to meeting this duty (Equality Act 2010). These adaptations not only fulfilled legal obligations but also fostered a more inclusive and respectful learning environment. However, it is important to acknowledge that “reasonable adjustments” can be interpreted differently across contexts, and trainers must balance inclusivity with operational constraints. This tension highlights the need for reflective practice and institutional support to embed accessibility consistently.</w:t>
      </w:r>
    </w:p>
    <w:p w14:paraId="0109DD45" w14:textId="77777777" w:rsidR="00617DB3" w:rsidRPr="001A0CA0" w:rsidRDefault="00617DB3" w:rsidP="006F37CD">
      <w:pPr>
        <w:spacing w:line="276" w:lineRule="auto"/>
        <w:rPr>
          <w:rFonts w:ascii="Arial" w:hAnsi="Arial" w:cs="Arial"/>
        </w:rPr>
      </w:pPr>
      <w:r w:rsidRPr="001A0CA0">
        <w:rPr>
          <w:rFonts w:ascii="Arial" w:hAnsi="Arial" w:cs="Arial"/>
        </w:rPr>
        <w:t>Neurodiversity in policing is increasingly recognised as a strength. Officers with conditions such as dyslexia, ADHD, or autism bring unique perspectives and skills to the force. Training must reflect this diversity by removing barriers to participation and valuing different ways of thinking. As highlighted by College of Policing guidance, “supporting neurodivergent officers is key to building a resilient and representative workforce” (College of Policing, 2020). This aligns with Vygotsky’s principle of scaffolding, where learners are supported to achieve tasks they may not manage independently. By embedding scaffolding into training design, neurodivergent officers can contribute meaningfully while developing confidence in their professional practice.</w:t>
      </w:r>
    </w:p>
    <w:p w14:paraId="727A4288" w14:textId="77777777" w:rsidR="00617DB3" w:rsidRPr="001A0CA0" w:rsidRDefault="00617DB3" w:rsidP="006F37CD">
      <w:pPr>
        <w:spacing w:line="276" w:lineRule="auto"/>
        <w:rPr>
          <w:rFonts w:ascii="Arial" w:hAnsi="Arial" w:cs="Arial"/>
        </w:rPr>
      </w:pPr>
      <w:r w:rsidRPr="001A0CA0">
        <w:rPr>
          <w:rFonts w:ascii="Arial" w:hAnsi="Arial" w:cs="Arial"/>
        </w:rPr>
        <w:t>Mental Health First Aid (MHFA) principles also informed the planning approach, particularly in supporting learners with anxiety. Creating a psychologically safe space, offering opt-out options, and promoting emotional regulation were strategies drawn from MHFA training (Mental Health Foundation, 2021). These strategies resonate with Knowles’ andragogy, which emphasises learner autonomy and the importance of choice in adult education. By allowing learners to engage in ways that respect their emotional needs, training becomes more empowering and learner-centred.</w:t>
      </w:r>
    </w:p>
    <w:p w14:paraId="57574A86" w14:textId="77777777" w:rsidR="00617DB3" w:rsidRPr="001A0CA0" w:rsidRDefault="00617DB3" w:rsidP="006F37CD">
      <w:pPr>
        <w:spacing w:line="276" w:lineRule="auto"/>
        <w:rPr>
          <w:rFonts w:ascii="Arial" w:hAnsi="Arial" w:cs="Arial"/>
        </w:rPr>
      </w:pPr>
      <w:r w:rsidRPr="001A0CA0">
        <w:rPr>
          <w:rFonts w:ascii="Arial" w:hAnsi="Arial" w:cs="Arial"/>
        </w:rPr>
        <w:t>Continuous Professional Development (CPD) and reflective practice are vital tools for improving training delivery. By reflecting on each session and seeking feedback from participants, trainers can identify what works, what requires improvement, and how practice can evolve. Kolb’s experiential learning cycle reinforces this process, suggesting that “learning is the process whereby knowledge is created through the transformation of experience” (Kolb, 1984). Reflection ensures that inclusive strategies are not static but continually adapted to meet evolving learner needs.</w:t>
      </w:r>
    </w:p>
    <w:p w14:paraId="042972CD" w14:textId="00A2C01F" w:rsidR="00F42815" w:rsidRPr="001A0CA0" w:rsidRDefault="00617DB3" w:rsidP="006F37CD">
      <w:pPr>
        <w:spacing w:line="276" w:lineRule="auto"/>
        <w:rPr>
          <w:rFonts w:ascii="Arial" w:hAnsi="Arial" w:cs="Arial"/>
        </w:rPr>
      </w:pPr>
      <w:r w:rsidRPr="001A0CA0">
        <w:rPr>
          <w:rFonts w:ascii="Arial" w:hAnsi="Arial" w:cs="Arial"/>
        </w:rPr>
        <w:t>Incorporating these frameworks ensures that training is not only inclusive but also effective, ethical, and responsive to the demands of modern policing. By grounding practice in UDL, statutory obligations, MHFA principles, and adult learning theory, trainers can create environments that value diversity, promote equity, and strengthen professional competence.</w:t>
      </w:r>
    </w:p>
    <w:p w14:paraId="69B30BFB" w14:textId="77777777" w:rsidR="00F1578F" w:rsidRPr="001A0CA0" w:rsidRDefault="00F1578F" w:rsidP="006F37CD">
      <w:pPr>
        <w:spacing w:line="276" w:lineRule="auto"/>
        <w:rPr>
          <w:rFonts w:ascii="Arial" w:hAnsi="Arial" w:cs="Arial"/>
        </w:rPr>
      </w:pPr>
    </w:p>
    <w:p w14:paraId="48C74298" w14:textId="466579E1" w:rsidR="002438A1" w:rsidRPr="001A0CA0" w:rsidRDefault="0024665B" w:rsidP="006F37CD">
      <w:pPr>
        <w:spacing w:line="276" w:lineRule="auto"/>
        <w:rPr>
          <w:rFonts w:ascii="Arial" w:hAnsi="Arial" w:cs="Arial"/>
          <w:b/>
          <w:bCs/>
          <w:u w:val="single"/>
        </w:rPr>
      </w:pPr>
      <w:r w:rsidRPr="001A0CA0">
        <w:rPr>
          <w:rFonts w:ascii="Arial" w:hAnsi="Arial" w:cs="Arial"/>
          <w:b/>
          <w:bCs/>
          <w:u w:val="single"/>
        </w:rPr>
        <w:t>Reflection &amp; Future Development</w:t>
      </w:r>
    </w:p>
    <w:p w14:paraId="483119CB" w14:textId="77777777" w:rsidR="002438A1" w:rsidRPr="001A0CA0" w:rsidRDefault="002438A1" w:rsidP="006F37CD">
      <w:pPr>
        <w:spacing w:line="276" w:lineRule="auto"/>
        <w:rPr>
          <w:rFonts w:ascii="Arial" w:hAnsi="Arial" w:cs="Arial"/>
        </w:rPr>
      </w:pPr>
      <w:r w:rsidRPr="001A0CA0">
        <w:rPr>
          <w:rFonts w:ascii="Arial" w:hAnsi="Arial" w:cs="Arial"/>
        </w:rPr>
        <w:t>Applying Gibbs’ Reflective Cycle (1988) to the planning and delivery of this ABE training highlights both the strengths of my inclusive approach and areas for further growth.</w:t>
      </w:r>
    </w:p>
    <w:p w14:paraId="1EB74981" w14:textId="77777777" w:rsidR="002438A1" w:rsidRPr="001A0CA0" w:rsidRDefault="002438A1" w:rsidP="006F37CD">
      <w:pPr>
        <w:spacing w:line="276" w:lineRule="auto"/>
        <w:rPr>
          <w:rFonts w:ascii="Arial" w:hAnsi="Arial" w:cs="Arial"/>
        </w:rPr>
      </w:pPr>
      <w:r w:rsidRPr="001A0CA0">
        <w:rPr>
          <w:rFonts w:ascii="Arial" w:hAnsi="Arial" w:cs="Arial"/>
        </w:rPr>
        <w:lastRenderedPageBreak/>
        <w:t>Description: I designed the session with adjustments for dyslexia, anxiety, and partial sight, guided by inclusive education principles and statutory duties under the Equality Act 2010.</w:t>
      </w:r>
    </w:p>
    <w:p w14:paraId="788B9BA6" w14:textId="77777777" w:rsidR="002438A1" w:rsidRPr="001A0CA0" w:rsidRDefault="002438A1" w:rsidP="006F37CD">
      <w:pPr>
        <w:spacing w:line="276" w:lineRule="auto"/>
        <w:rPr>
          <w:rFonts w:ascii="Arial" w:hAnsi="Arial" w:cs="Arial"/>
        </w:rPr>
      </w:pPr>
      <w:r w:rsidRPr="001A0CA0">
        <w:rPr>
          <w:rFonts w:ascii="Arial" w:hAnsi="Arial" w:cs="Arial"/>
        </w:rPr>
        <w:t>Feelings: Initially, I felt apprehensive about balancing diverse needs within a single cohort. However, observing how small, evidence-based adjustments—such as accessible resources and flexible participation—enhanced engagement reassured me that inclusivity is achievable without compromising rigour.</w:t>
      </w:r>
    </w:p>
    <w:p w14:paraId="1EDF1B94" w14:textId="77777777" w:rsidR="002438A1" w:rsidRPr="001A0CA0" w:rsidRDefault="002438A1" w:rsidP="006F37CD">
      <w:pPr>
        <w:spacing w:line="276" w:lineRule="auto"/>
        <w:rPr>
          <w:rFonts w:ascii="Arial" w:hAnsi="Arial" w:cs="Arial"/>
        </w:rPr>
      </w:pPr>
      <w:r w:rsidRPr="001A0CA0">
        <w:rPr>
          <w:rFonts w:ascii="Arial" w:hAnsi="Arial" w:cs="Arial"/>
        </w:rPr>
        <w:t>Evaluation: The strategies were effective in promoting participation, yet I recognise that they relied heavily on my own planning capacity. This raises questions about sustainability: how can such adjustments be embedded institutionally rather than depending on individual trainers?</w:t>
      </w:r>
    </w:p>
    <w:p w14:paraId="7031C25F" w14:textId="77777777" w:rsidR="002438A1" w:rsidRPr="001A0CA0" w:rsidRDefault="002438A1" w:rsidP="006F37CD">
      <w:pPr>
        <w:spacing w:line="276" w:lineRule="auto"/>
        <w:rPr>
          <w:rFonts w:ascii="Arial" w:hAnsi="Arial" w:cs="Arial"/>
        </w:rPr>
      </w:pPr>
      <w:r w:rsidRPr="001A0CA0">
        <w:rPr>
          <w:rFonts w:ascii="Arial" w:hAnsi="Arial" w:cs="Arial"/>
        </w:rPr>
        <w:t>Analysis: Inclusive planning benefits all learners, not only those with identified needs, aligning with Universal Design for Learning (CAST, 2018). However, tensions remain. For example, offering role-play as optional supports anxious learners but may reduce experiential learning opportunities. This highlights the need to balance individual accommodations with collective learning goals. Additionally, while assistive technologies offer significant potential, my limited expertise in digital accessibility tools constrains their effective use.</w:t>
      </w:r>
    </w:p>
    <w:p w14:paraId="3FFAACE6" w14:textId="77777777" w:rsidR="002438A1" w:rsidRPr="001A0CA0" w:rsidRDefault="002438A1" w:rsidP="006F37CD">
      <w:pPr>
        <w:spacing w:line="276" w:lineRule="auto"/>
        <w:rPr>
          <w:rFonts w:ascii="Arial" w:hAnsi="Arial" w:cs="Arial"/>
        </w:rPr>
      </w:pPr>
      <w:r w:rsidRPr="001A0CA0">
        <w:rPr>
          <w:rFonts w:ascii="Arial" w:hAnsi="Arial" w:cs="Arial"/>
        </w:rPr>
        <w:t>Conclusion: I have developed greater confidence in inclusive design but acknowledge gaps in my knowledge, particularly around trauma-informed practice and advanced assistive technologies.</w:t>
      </w:r>
    </w:p>
    <w:p w14:paraId="22FE159B" w14:textId="5CA347A1" w:rsidR="002438A1" w:rsidRPr="001A0CA0" w:rsidRDefault="002438A1" w:rsidP="006F37CD">
      <w:pPr>
        <w:spacing w:line="276" w:lineRule="auto"/>
        <w:rPr>
          <w:rFonts w:ascii="Arial" w:hAnsi="Arial" w:cs="Arial"/>
        </w:rPr>
      </w:pPr>
      <w:r w:rsidRPr="001A0CA0">
        <w:rPr>
          <w:rFonts w:ascii="Arial" w:hAnsi="Arial" w:cs="Arial"/>
        </w:rPr>
        <w:t>Action Plan: I will pursue CPD in digital accessibility and trauma-informed approaches, building on recent training attended. I also intend to implement structured feedback mechanisms, such as anonymous surveys, to capture learner perspectives systematically. Embedding reflective practice in this way will ensure continuous improvement and align with the College of Policing’s emphasis on CPD as a professional responsibility (2020).</w:t>
      </w:r>
    </w:p>
    <w:p w14:paraId="7AEAA40D" w14:textId="77777777" w:rsidR="00FC6569" w:rsidRPr="001A0CA0" w:rsidRDefault="00FC6569" w:rsidP="006F37CD">
      <w:pPr>
        <w:spacing w:line="276" w:lineRule="auto"/>
        <w:rPr>
          <w:rFonts w:ascii="Arial" w:hAnsi="Arial" w:cs="Arial"/>
        </w:rPr>
      </w:pPr>
    </w:p>
    <w:p w14:paraId="0F2926EC" w14:textId="3F6074B6" w:rsidR="00174836" w:rsidRPr="001A0CA0" w:rsidRDefault="00174836" w:rsidP="006F37CD">
      <w:pPr>
        <w:spacing w:line="276" w:lineRule="auto"/>
        <w:rPr>
          <w:rFonts w:ascii="Arial" w:hAnsi="Arial" w:cs="Arial"/>
          <w:b/>
          <w:bCs/>
          <w:u w:val="single"/>
        </w:rPr>
      </w:pPr>
      <w:r w:rsidRPr="001A0CA0">
        <w:rPr>
          <w:rFonts w:ascii="Arial" w:hAnsi="Arial" w:cs="Arial"/>
          <w:b/>
          <w:bCs/>
          <w:u w:val="single"/>
        </w:rPr>
        <w:t>Conclusion</w:t>
      </w:r>
    </w:p>
    <w:p w14:paraId="1B799FAD" w14:textId="75F86420" w:rsidR="00C52D87" w:rsidRPr="001A0CA0" w:rsidRDefault="00C52D87" w:rsidP="006F37CD">
      <w:pPr>
        <w:spacing w:line="276" w:lineRule="auto"/>
        <w:rPr>
          <w:rFonts w:ascii="Arial" w:hAnsi="Arial" w:cs="Arial"/>
        </w:rPr>
      </w:pPr>
      <w:r w:rsidRPr="001A0CA0">
        <w:rPr>
          <w:rFonts w:ascii="Arial" w:hAnsi="Arial" w:cs="Arial"/>
        </w:rPr>
        <w:t xml:space="preserve">Inclusive, learner-centred training is essential for building a skilled, ethical, and compassionate police force. </w:t>
      </w:r>
    </w:p>
    <w:p w14:paraId="361D9DA6" w14:textId="204D0348" w:rsidR="00C52D87" w:rsidRPr="001A0CA0" w:rsidRDefault="00C52D87" w:rsidP="006F37CD">
      <w:pPr>
        <w:spacing w:line="276" w:lineRule="auto"/>
        <w:rPr>
          <w:rFonts w:ascii="Arial" w:hAnsi="Arial" w:cs="Arial"/>
        </w:rPr>
      </w:pPr>
      <w:r w:rsidRPr="001A0CA0">
        <w:rPr>
          <w:rFonts w:ascii="Arial" w:hAnsi="Arial" w:cs="Arial"/>
        </w:rPr>
        <w:t xml:space="preserve">By incorporating adjustments for dyslexia, anxiety, and partial sight, and by fostering a psychologically safe environment, I </w:t>
      </w:r>
      <w:r w:rsidR="00A00B84" w:rsidRPr="001A0CA0">
        <w:rPr>
          <w:rFonts w:ascii="Arial" w:hAnsi="Arial" w:cs="Arial"/>
        </w:rPr>
        <w:t>can enable</w:t>
      </w:r>
      <w:r w:rsidRPr="001A0CA0">
        <w:rPr>
          <w:rFonts w:ascii="Arial" w:hAnsi="Arial" w:cs="Arial"/>
        </w:rPr>
        <w:t xml:space="preserve"> every learner to participate meaningfully</w:t>
      </w:r>
      <w:r w:rsidR="00A00B84" w:rsidRPr="001A0CA0">
        <w:rPr>
          <w:rFonts w:ascii="Arial" w:hAnsi="Arial" w:cs="Arial"/>
        </w:rPr>
        <w:t xml:space="preserve">, not just those with </w:t>
      </w:r>
      <w:r w:rsidR="008B45F1" w:rsidRPr="001A0CA0">
        <w:rPr>
          <w:rFonts w:ascii="Arial" w:hAnsi="Arial" w:cs="Arial"/>
        </w:rPr>
        <w:t>additional</w:t>
      </w:r>
      <w:r w:rsidR="00A00B84" w:rsidRPr="001A0CA0">
        <w:rPr>
          <w:rFonts w:ascii="Arial" w:hAnsi="Arial" w:cs="Arial"/>
        </w:rPr>
        <w:t xml:space="preserve"> </w:t>
      </w:r>
      <w:r w:rsidR="008B45F1" w:rsidRPr="001A0CA0">
        <w:rPr>
          <w:rFonts w:ascii="Arial" w:hAnsi="Arial" w:cs="Arial"/>
        </w:rPr>
        <w:t xml:space="preserve">requirements. </w:t>
      </w:r>
      <w:r w:rsidRPr="001A0CA0">
        <w:rPr>
          <w:rFonts w:ascii="Arial" w:hAnsi="Arial" w:cs="Arial"/>
        </w:rPr>
        <w:t xml:space="preserve">As the needs of learners evolve, so too must </w:t>
      </w:r>
      <w:r w:rsidR="008B45F1" w:rsidRPr="001A0CA0">
        <w:rPr>
          <w:rFonts w:ascii="Arial" w:hAnsi="Arial" w:cs="Arial"/>
        </w:rPr>
        <w:t>my</w:t>
      </w:r>
      <w:r w:rsidRPr="001A0CA0">
        <w:rPr>
          <w:rFonts w:ascii="Arial" w:hAnsi="Arial" w:cs="Arial"/>
        </w:rPr>
        <w:t xml:space="preserve"> approach to training. By staying informed and adaptable, </w:t>
      </w:r>
      <w:r w:rsidR="00791256" w:rsidRPr="001A0CA0">
        <w:rPr>
          <w:rFonts w:ascii="Arial" w:hAnsi="Arial" w:cs="Arial"/>
        </w:rPr>
        <w:t>I</w:t>
      </w:r>
      <w:r w:rsidRPr="001A0CA0">
        <w:rPr>
          <w:rFonts w:ascii="Arial" w:hAnsi="Arial" w:cs="Arial"/>
        </w:rPr>
        <w:t xml:space="preserve"> can ensure that every officer is equipped to deliver justice with empathy, integrity, and skill</w:t>
      </w:r>
      <w:r w:rsidR="00791256" w:rsidRPr="001A0CA0">
        <w:rPr>
          <w:rFonts w:ascii="Arial" w:hAnsi="Arial" w:cs="Arial"/>
        </w:rPr>
        <w:t>.</w:t>
      </w:r>
    </w:p>
    <w:p w14:paraId="4E606C99" w14:textId="51797FBB" w:rsidR="00F42815" w:rsidRPr="001A0CA0" w:rsidRDefault="00F42815" w:rsidP="006F37CD">
      <w:pPr>
        <w:spacing w:line="276" w:lineRule="auto"/>
        <w:rPr>
          <w:rFonts w:ascii="Arial" w:hAnsi="Arial" w:cs="Arial"/>
          <w:b/>
          <w:bCs/>
          <w:u w:val="single"/>
        </w:rPr>
      </w:pPr>
    </w:p>
    <w:p w14:paraId="75ED96CC" w14:textId="7216FBAA" w:rsidR="00111C21" w:rsidRPr="001A0CA0" w:rsidRDefault="00111C21" w:rsidP="006F37CD">
      <w:pPr>
        <w:spacing w:line="276" w:lineRule="auto"/>
        <w:rPr>
          <w:rFonts w:ascii="Arial" w:hAnsi="Arial" w:cs="Arial"/>
          <w:b/>
          <w:bCs/>
          <w:u w:val="single"/>
        </w:rPr>
      </w:pPr>
      <w:r w:rsidRPr="001A0CA0">
        <w:rPr>
          <w:rFonts w:ascii="Arial" w:hAnsi="Arial" w:cs="Arial"/>
          <w:b/>
          <w:bCs/>
          <w:u w:val="single"/>
        </w:rPr>
        <w:t xml:space="preserve">Reference List </w:t>
      </w:r>
    </w:p>
    <w:p w14:paraId="36BEFA5C" w14:textId="26A14F6C" w:rsidR="00111C21" w:rsidRPr="001A0CA0" w:rsidRDefault="00111C21" w:rsidP="006F37CD">
      <w:pPr>
        <w:spacing w:line="276" w:lineRule="auto"/>
        <w:rPr>
          <w:rFonts w:ascii="Arial" w:hAnsi="Arial" w:cs="Arial"/>
        </w:rPr>
      </w:pPr>
      <w:r w:rsidRPr="001A0CA0">
        <w:rPr>
          <w:rFonts w:ascii="Arial" w:hAnsi="Arial" w:cs="Arial"/>
        </w:rPr>
        <w:t xml:space="preserve">Archer, C. (2024) ‘10 ways technology can facilitate inclusive learning environments’, </w:t>
      </w:r>
      <w:r w:rsidRPr="001A0CA0">
        <w:rPr>
          <w:rFonts w:ascii="Arial" w:hAnsi="Arial" w:cs="Arial"/>
          <w:i/>
          <w:iCs/>
        </w:rPr>
        <w:t>NCI Blog</w:t>
      </w:r>
      <w:r w:rsidRPr="001A0CA0">
        <w:rPr>
          <w:rFonts w:ascii="Arial" w:hAnsi="Arial" w:cs="Arial"/>
        </w:rPr>
        <w:t xml:space="preserve">. Available at: &lt;https://blog.ncirl.ie/10-ways-technology-can-facilitate-inclusive-learning-environments&gt; </w:t>
      </w:r>
    </w:p>
    <w:p w14:paraId="579764C7" w14:textId="53315546" w:rsidR="00111C21" w:rsidRPr="001A0CA0" w:rsidRDefault="00111C21" w:rsidP="006F37CD">
      <w:pPr>
        <w:spacing w:line="276" w:lineRule="auto"/>
        <w:rPr>
          <w:rFonts w:ascii="Arial" w:hAnsi="Arial" w:cs="Arial"/>
        </w:rPr>
      </w:pPr>
      <w:r w:rsidRPr="001A0CA0">
        <w:rPr>
          <w:rFonts w:ascii="Arial" w:hAnsi="Arial" w:cs="Arial"/>
        </w:rPr>
        <w:lastRenderedPageBreak/>
        <w:t xml:space="preserve">British Dyslexia Association (2022) </w:t>
      </w:r>
      <w:r w:rsidRPr="001A0CA0">
        <w:rPr>
          <w:rFonts w:ascii="Arial" w:hAnsi="Arial" w:cs="Arial"/>
          <w:i/>
          <w:iCs/>
        </w:rPr>
        <w:t>Creating dyslexia-friendly content</w:t>
      </w:r>
      <w:r w:rsidRPr="001A0CA0">
        <w:rPr>
          <w:rFonts w:ascii="Arial" w:hAnsi="Arial" w:cs="Arial"/>
        </w:rPr>
        <w:t xml:space="preserve">. Available at: &lt;https://www.bdadyslexia.org.uk/advice/employers/creating-dyslexia-friendly-content&gt; </w:t>
      </w:r>
    </w:p>
    <w:p w14:paraId="5D89DA38" w14:textId="2B673CFD" w:rsidR="002D12FC" w:rsidRPr="001A0CA0" w:rsidRDefault="002D12FC" w:rsidP="006F37CD">
      <w:pPr>
        <w:spacing w:line="276" w:lineRule="auto"/>
        <w:rPr>
          <w:rFonts w:ascii="Arial" w:hAnsi="Arial" w:cs="Arial"/>
        </w:rPr>
      </w:pPr>
      <w:r w:rsidRPr="001A0CA0">
        <w:rPr>
          <w:rFonts w:ascii="Arial" w:hAnsi="Arial" w:cs="Arial"/>
        </w:rPr>
        <w:t xml:space="preserve">Bruner, J.S. (1966) </w:t>
      </w:r>
      <w:r w:rsidRPr="001A0CA0">
        <w:rPr>
          <w:rFonts w:ascii="Arial" w:hAnsi="Arial" w:cs="Arial"/>
          <w:i/>
          <w:iCs/>
        </w:rPr>
        <w:t>Toward a theory of instruction</w:t>
      </w:r>
      <w:r w:rsidRPr="001A0CA0">
        <w:rPr>
          <w:rFonts w:ascii="Arial" w:hAnsi="Arial" w:cs="Arial"/>
        </w:rPr>
        <w:t xml:space="preserve">. Cambridge, MA: Harvard University Press. </w:t>
      </w:r>
      <w:r w:rsidRPr="001A0CA0">
        <w:rPr>
          <w:rFonts w:ascii="Arial" w:hAnsi="Arial" w:cs="Arial"/>
          <w:i/>
          <w:iCs/>
        </w:rPr>
        <w:t>(for constructivist approaches and varied representation of knowledge)</w:t>
      </w:r>
    </w:p>
    <w:p w14:paraId="6601F976" w14:textId="1D835A71" w:rsidR="00111C21" w:rsidRPr="001A0CA0" w:rsidRDefault="00111C21" w:rsidP="006F37CD">
      <w:pPr>
        <w:spacing w:line="276" w:lineRule="auto"/>
        <w:rPr>
          <w:rFonts w:ascii="Arial" w:hAnsi="Arial" w:cs="Arial"/>
        </w:rPr>
      </w:pPr>
      <w:r w:rsidRPr="001A0CA0">
        <w:rPr>
          <w:rFonts w:ascii="Arial" w:hAnsi="Arial" w:cs="Arial"/>
        </w:rPr>
        <w:t xml:space="preserve">Cardiff University (n.d.) </w:t>
      </w:r>
      <w:r w:rsidRPr="001A0CA0">
        <w:rPr>
          <w:rFonts w:ascii="Arial" w:hAnsi="Arial" w:cs="Arial"/>
          <w:i/>
          <w:iCs/>
        </w:rPr>
        <w:t>Universal design for learning – education development toolkit</w:t>
      </w:r>
      <w:r w:rsidRPr="001A0CA0">
        <w:rPr>
          <w:rFonts w:ascii="Arial" w:hAnsi="Arial" w:cs="Arial"/>
        </w:rPr>
        <w:t xml:space="preserve">. Available at: &lt;https://sites.cardiff.ac.uk/education-development-toolkit/theme-overview/inclusivity/universal-design-for-learning/&gt; </w:t>
      </w:r>
    </w:p>
    <w:p w14:paraId="74CC1588" w14:textId="22652684" w:rsidR="00111C21" w:rsidRPr="001A0CA0" w:rsidRDefault="00111C21" w:rsidP="006F37CD">
      <w:pPr>
        <w:spacing w:line="276" w:lineRule="auto"/>
        <w:rPr>
          <w:rFonts w:ascii="Arial" w:hAnsi="Arial" w:cs="Arial"/>
        </w:rPr>
      </w:pPr>
      <w:r w:rsidRPr="001A0CA0">
        <w:rPr>
          <w:rFonts w:ascii="Arial" w:hAnsi="Arial" w:cs="Arial"/>
        </w:rPr>
        <w:t xml:space="preserve">CAST (2018) </w:t>
      </w:r>
      <w:r w:rsidRPr="001A0CA0">
        <w:rPr>
          <w:rFonts w:ascii="Arial" w:hAnsi="Arial" w:cs="Arial"/>
          <w:i/>
          <w:iCs/>
        </w:rPr>
        <w:t>Universal design for learning guidelines version 2.2</w:t>
      </w:r>
      <w:r w:rsidRPr="001A0CA0">
        <w:rPr>
          <w:rFonts w:ascii="Arial" w:hAnsi="Arial" w:cs="Arial"/>
        </w:rPr>
        <w:t xml:space="preserve">. Wakefield, MA: CAST. Available at: &lt;https://udlguidelines.cast.org&gt; </w:t>
      </w:r>
    </w:p>
    <w:p w14:paraId="5462F14D" w14:textId="0FEA1646" w:rsidR="00111C21" w:rsidRPr="001A0CA0" w:rsidRDefault="00111C21" w:rsidP="006F37CD">
      <w:pPr>
        <w:spacing w:line="276" w:lineRule="auto"/>
        <w:rPr>
          <w:rFonts w:ascii="Arial" w:hAnsi="Arial" w:cs="Arial"/>
        </w:rPr>
      </w:pPr>
      <w:r w:rsidRPr="001A0CA0">
        <w:rPr>
          <w:rFonts w:ascii="Arial" w:hAnsi="Arial" w:cs="Arial"/>
        </w:rPr>
        <w:t xml:space="preserve">College of Policing (2020) </w:t>
      </w:r>
      <w:r w:rsidRPr="001A0CA0">
        <w:rPr>
          <w:rFonts w:ascii="Arial" w:hAnsi="Arial" w:cs="Arial"/>
          <w:i/>
          <w:iCs/>
        </w:rPr>
        <w:t>Achieving best evidence: Guidance and training standards</w:t>
      </w:r>
      <w:r w:rsidRPr="001A0CA0">
        <w:rPr>
          <w:rFonts w:ascii="Arial" w:hAnsi="Arial" w:cs="Arial"/>
        </w:rPr>
        <w:t xml:space="preserve">. Available at: &lt;https://www.college.police.uk&gt; </w:t>
      </w:r>
    </w:p>
    <w:p w14:paraId="72CFEA37" w14:textId="6BC2169B" w:rsidR="00111C21" w:rsidRPr="001A0CA0" w:rsidRDefault="00111C21" w:rsidP="006F37CD">
      <w:pPr>
        <w:spacing w:line="276" w:lineRule="auto"/>
        <w:rPr>
          <w:rFonts w:ascii="Arial" w:hAnsi="Arial" w:cs="Arial"/>
        </w:rPr>
      </w:pPr>
      <w:r w:rsidRPr="001A0CA0">
        <w:rPr>
          <w:rFonts w:ascii="Arial" w:hAnsi="Arial" w:cs="Arial"/>
        </w:rPr>
        <w:t xml:space="preserve">College of Policing (2020) </w:t>
      </w:r>
      <w:r w:rsidRPr="001A0CA0">
        <w:rPr>
          <w:rFonts w:ascii="Arial" w:hAnsi="Arial" w:cs="Arial"/>
          <w:i/>
          <w:iCs/>
        </w:rPr>
        <w:t>Continuing professional development (CPD)</w:t>
      </w:r>
      <w:r w:rsidRPr="001A0CA0">
        <w:rPr>
          <w:rFonts w:ascii="Arial" w:hAnsi="Arial" w:cs="Arial"/>
        </w:rPr>
        <w:t xml:space="preserve">. Available at: &lt;https://www.college.police.uk/career-learning/career-development/CPD&gt; </w:t>
      </w:r>
    </w:p>
    <w:p w14:paraId="2D59389E" w14:textId="2E0AB4AD" w:rsidR="00111C21" w:rsidRPr="001A0CA0" w:rsidRDefault="00111C21" w:rsidP="006F37CD">
      <w:pPr>
        <w:spacing w:line="276" w:lineRule="auto"/>
        <w:rPr>
          <w:rFonts w:ascii="Arial" w:hAnsi="Arial" w:cs="Arial"/>
        </w:rPr>
      </w:pPr>
      <w:r w:rsidRPr="001A0CA0">
        <w:rPr>
          <w:rFonts w:ascii="Arial" w:hAnsi="Arial" w:cs="Arial"/>
        </w:rPr>
        <w:t xml:space="preserve">College of Policing (2025) </w:t>
      </w:r>
      <w:r w:rsidRPr="001A0CA0">
        <w:rPr>
          <w:rFonts w:ascii="Arial" w:hAnsi="Arial" w:cs="Arial"/>
          <w:i/>
          <w:iCs/>
        </w:rPr>
        <w:t>Neurodiversity within the police family</w:t>
      </w:r>
      <w:r w:rsidRPr="001A0CA0">
        <w:rPr>
          <w:rFonts w:ascii="Arial" w:hAnsi="Arial" w:cs="Arial"/>
        </w:rPr>
        <w:t xml:space="preserve">. Available at: &lt;https://www.college.police.uk/support-forces/practices/neurodiversity-within-police-family&gt; </w:t>
      </w:r>
    </w:p>
    <w:p w14:paraId="52DDC9F5" w14:textId="33E68861" w:rsidR="00111C21" w:rsidRPr="001A0CA0" w:rsidRDefault="00111C21" w:rsidP="006F37CD">
      <w:pPr>
        <w:spacing w:line="276" w:lineRule="auto"/>
        <w:rPr>
          <w:rFonts w:ascii="Arial" w:hAnsi="Arial" w:cs="Arial"/>
        </w:rPr>
      </w:pPr>
      <w:r w:rsidRPr="001A0CA0">
        <w:rPr>
          <w:rFonts w:ascii="Arial" w:hAnsi="Arial" w:cs="Arial"/>
        </w:rPr>
        <w:t xml:space="preserve">CPD UK (2025) </w:t>
      </w:r>
      <w:r w:rsidRPr="001A0CA0">
        <w:rPr>
          <w:rFonts w:ascii="Arial" w:hAnsi="Arial" w:cs="Arial"/>
          <w:i/>
          <w:iCs/>
        </w:rPr>
        <w:t>CPD: Benefits of reflective practice</w:t>
      </w:r>
      <w:r w:rsidRPr="001A0CA0">
        <w:rPr>
          <w:rFonts w:ascii="Arial" w:hAnsi="Arial" w:cs="Arial"/>
        </w:rPr>
        <w:t xml:space="preserve">. Available at: &lt;https://cpduk.co.uk/news/cpd-benefits-of-reflective-practice&gt; </w:t>
      </w:r>
    </w:p>
    <w:p w14:paraId="21999D90" w14:textId="402A5AB4" w:rsidR="00111C21" w:rsidRPr="001A0CA0" w:rsidRDefault="00111C21" w:rsidP="006F37CD">
      <w:pPr>
        <w:spacing w:line="276" w:lineRule="auto"/>
        <w:rPr>
          <w:rFonts w:ascii="Arial" w:hAnsi="Arial" w:cs="Arial"/>
        </w:rPr>
      </w:pPr>
      <w:r w:rsidRPr="001A0CA0">
        <w:rPr>
          <w:rFonts w:ascii="Arial" w:hAnsi="Arial" w:cs="Arial"/>
        </w:rPr>
        <w:t xml:space="preserve">Department for Education (2015) </w:t>
      </w:r>
      <w:r w:rsidRPr="001A0CA0">
        <w:rPr>
          <w:rFonts w:ascii="Arial" w:hAnsi="Arial" w:cs="Arial"/>
          <w:i/>
          <w:iCs/>
        </w:rPr>
        <w:t>Special educational needs and disability code of practice: 0 to 25 years</w:t>
      </w:r>
      <w:r w:rsidRPr="001A0CA0">
        <w:rPr>
          <w:rFonts w:ascii="Arial" w:hAnsi="Arial" w:cs="Arial"/>
        </w:rPr>
        <w:t xml:space="preserve">. London: DfE. Available at: &lt;https://www.gov.uk/government/publications/send-code-of-practice-0-to-25&gt; </w:t>
      </w:r>
    </w:p>
    <w:p w14:paraId="1D3E63D3" w14:textId="24753977" w:rsidR="00111C21" w:rsidRPr="001A0CA0" w:rsidRDefault="00111C21" w:rsidP="006F37CD">
      <w:pPr>
        <w:spacing w:line="276" w:lineRule="auto"/>
        <w:rPr>
          <w:rFonts w:ascii="Arial" w:hAnsi="Arial" w:cs="Arial"/>
        </w:rPr>
      </w:pPr>
      <w:r w:rsidRPr="001A0CA0">
        <w:rPr>
          <w:rFonts w:ascii="Arial" w:hAnsi="Arial" w:cs="Arial"/>
        </w:rPr>
        <w:t xml:space="preserve">Equality Act 2010 (2010) </w:t>
      </w:r>
      <w:r w:rsidRPr="001A0CA0">
        <w:rPr>
          <w:rFonts w:ascii="Arial" w:hAnsi="Arial" w:cs="Arial"/>
          <w:i/>
          <w:iCs/>
        </w:rPr>
        <w:t>UK Public General Acts</w:t>
      </w:r>
      <w:r w:rsidRPr="001A0CA0">
        <w:rPr>
          <w:rFonts w:ascii="Arial" w:hAnsi="Arial" w:cs="Arial"/>
        </w:rPr>
        <w:t xml:space="preserve">. Available at: &lt;https://www.legislation.gov.uk/ukpga/2010/15/contents&gt; </w:t>
      </w:r>
    </w:p>
    <w:p w14:paraId="7D884634" w14:textId="77777777" w:rsidR="00111C21" w:rsidRPr="001A0CA0" w:rsidRDefault="00111C21" w:rsidP="006F37CD">
      <w:pPr>
        <w:spacing w:line="276" w:lineRule="auto"/>
        <w:rPr>
          <w:rFonts w:ascii="Arial" w:hAnsi="Arial" w:cs="Arial"/>
        </w:rPr>
      </w:pPr>
      <w:r w:rsidRPr="001A0CA0">
        <w:rPr>
          <w:rFonts w:ascii="Arial" w:hAnsi="Arial" w:cs="Arial"/>
        </w:rPr>
        <w:t xml:space="preserve">Gibbs, G. (1988) </w:t>
      </w:r>
      <w:r w:rsidRPr="001A0CA0">
        <w:rPr>
          <w:rFonts w:ascii="Arial" w:hAnsi="Arial" w:cs="Arial"/>
          <w:i/>
          <w:iCs/>
        </w:rPr>
        <w:t>Learning by doing: A guide to teaching and learning methods</w:t>
      </w:r>
      <w:r w:rsidRPr="001A0CA0">
        <w:rPr>
          <w:rFonts w:ascii="Arial" w:hAnsi="Arial" w:cs="Arial"/>
        </w:rPr>
        <w:t>. Oxford: Oxford Polytechnic.</w:t>
      </w:r>
    </w:p>
    <w:p w14:paraId="6FFA2DB4" w14:textId="54719530" w:rsidR="00111C21" w:rsidRPr="001A0CA0" w:rsidRDefault="00111C21" w:rsidP="006F37CD">
      <w:pPr>
        <w:spacing w:line="276" w:lineRule="auto"/>
        <w:rPr>
          <w:rFonts w:ascii="Arial" w:hAnsi="Arial" w:cs="Arial"/>
        </w:rPr>
      </w:pPr>
      <w:r w:rsidRPr="001A0CA0">
        <w:rPr>
          <w:rFonts w:ascii="Arial" w:hAnsi="Arial" w:cs="Arial"/>
        </w:rPr>
        <w:t xml:space="preserve">GOV.UK (2020) </w:t>
      </w:r>
      <w:r w:rsidRPr="001A0CA0">
        <w:rPr>
          <w:rFonts w:ascii="Arial" w:hAnsi="Arial" w:cs="Arial"/>
          <w:i/>
          <w:iCs/>
        </w:rPr>
        <w:t>Reasonable adjustments: A legal duty</w:t>
      </w:r>
      <w:r w:rsidRPr="001A0CA0">
        <w:rPr>
          <w:rFonts w:ascii="Arial" w:hAnsi="Arial" w:cs="Arial"/>
        </w:rPr>
        <w:t xml:space="preserve">. Available at: &lt;https://www.gov.uk/government/publications/reasonable-adjustments-a-legal-duty/reasonable-adjustments-a-legal-duty&gt; </w:t>
      </w:r>
    </w:p>
    <w:p w14:paraId="6BB8331F" w14:textId="0D0D5B3B" w:rsidR="00111C21" w:rsidRPr="001A0CA0" w:rsidRDefault="00111C21" w:rsidP="006F37CD">
      <w:pPr>
        <w:spacing w:line="276" w:lineRule="auto"/>
        <w:rPr>
          <w:rFonts w:ascii="Arial" w:hAnsi="Arial" w:cs="Arial"/>
        </w:rPr>
      </w:pPr>
      <w:r w:rsidRPr="001A0CA0">
        <w:rPr>
          <w:rFonts w:ascii="Arial" w:hAnsi="Arial" w:cs="Arial"/>
        </w:rPr>
        <w:t xml:space="preserve">Home Office (2024) </w:t>
      </w:r>
      <w:r w:rsidRPr="001A0CA0">
        <w:rPr>
          <w:rFonts w:ascii="Arial" w:hAnsi="Arial" w:cs="Arial"/>
          <w:i/>
          <w:iCs/>
        </w:rPr>
        <w:t>Trauma-informed practice: Learning from experience</w:t>
      </w:r>
      <w:r w:rsidRPr="001A0CA0">
        <w:rPr>
          <w:rFonts w:ascii="Arial" w:hAnsi="Arial" w:cs="Arial"/>
        </w:rPr>
        <w:t xml:space="preserve">. Available at: &lt;https://www.gov.uk/government/publications/trauma-informed-practice-learning-from-experience&gt; </w:t>
      </w:r>
    </w:p>
    <w:p w14:paraId="768DCBFB" w14:textId="781F45B2" w:rsidR="00B179B1" w:rsidRPr="001A0CA0" w:rsidRDefault="00B179B1" w:rsidP="006F37CD">
      <w:pPr>
        <w:spacing w:line="276" w:lineRule="auto"/>
        <w:rPr>
          <w:rFonts w:ascii="Arial" w:hAnsi="Arial" w:cs="Arial"/>
        </w:rPr>
      </w:pPr>
      <w:r w:rsidRPr="001A0CA0">
        <w:rPr>
          <w:rFonts w:ascii="Arial" w:hAnsi="Arial" w:cs="Arial"/>
        </w:rPr>
        <w:t xml:space="preserve">Knowles, M.S. (1980) </w:t>
      </w:r>
      <w:r w:rsidRPr="001A0CA0">
        <w:rPr>
          <w:rFonts w:ascii="Arial" w:hAnsi="Arial" w:cs="Arial"/>
          <w:i/>
          <w:iCs/>
        </w:rPr>
        <w:t>The modern practice of adult education: From pedagogy to andragogy</w:t>
      </w:r>
      <w:r w:rsidRPr="001A0CA0">
        <w:rPr>
          <w:rFonts w:ascii="Arial" w:hAnsi="Arial" w:cs="Arial"/>
        </w:rPr>
        <w:t xml:space="preserve">. Englewood Cliffs, NJ: Prentice Hall/Cambridge Book Company. </w:t>
      </w:r>
      <w:r w:rsidRPr="001A0CA0">
        <w:rPr>
          <w:rFonts w:ascii="Arial" w:hAnsi="Arial" w:cs="Arial"/>
          <w:i/>
          <w:iCs/>
        </w:rPr>
        <w:t>(for adult learning theory and learner autonomy)</w:t>
      </w:r>
    </w:p>
    <w:p w14:paraId="148E1949" w14:textId="77777777" w:rsidR="00111C21" w:rsidRPr="001A0CA0" w:rsidRDefault="00111C21" w:rsidP="006F37CD">
      <w:pPr>
        <w:spacing w:line="276" w:lineRule="auto"/>
        <w:rPr>
          <w:rFonts w:ascii="Arial" w:hAnsi="Arial" w:cs="Arial"/>
        </w:rPr>
      </w:pPr>
      <w:r w:rsidRPr="001A0CA0">
        <w:rPr>
          <w:rFonts w:ascii="Arial" w:hAnsi="Arial" w:cs="Arial"/>
        </w:rPr>
        <w:t xml:space="preserve">Kolb, D.A. (1984) </w:t>
      </w:r>
      <w:r w:rsidRPr="001A0CA0">
        <w:rPr>
          <w:rFonts w:ascii="Arial" w:hAnsi="Arial" w:cs="Arial"/>
          <w:i/>
          <w:iCs/>
        </w:rPr>
        <w:t>Experiential learning: Experience as the source of learning and development</w:t>
      </w:r>
      <w:r w:rsidRPr="001A0CA0">
        <w:rPr>
          <w:rFonts w:ascii="Arial" w:hAnsi="Arial" w:cs="Arial"/>
        </w:rPr>
        <w:t>. Englewood Cliffs, NJ: Prentice-Hall.</w:t>
      </w:r>
    </w:p>
    <w:p w14:paraId="2A6CC416" w14:textId="2CBA95B0" w:rsidR="00111C21" w:rsidRPr="001A0CA0" w:rsidRDefault="00111C21" w:rsidP="006F37CD">
      <w:pPr>
        <w:spacing w:line="276" w:lineRule="auto"/>
        <w:rPr>
          <w:rFonts w:ascii="Arial" w:hAnsi="Arial" w:cs="Arial"/>
        </w:rPr>
      </w:pPr>
      <w:r w:rsidRPr="001A0CA0">
        <w:rPr>
          <w:rFonts w:ascii="Arial" w:hAnsi="Arial" w:cs="Arial"/>
        </w:rPr>
        <w:t xml:space="preserve">Mental Health Foundation (2021) </w:t>
      </w:r>
      <w:r w:rsidRPr="001A0CA0">
        <w:rPr>
          <w:rFonts w:ascii="Arial" w:hAnsi="Arial" w:cs="Arial"/>
          <w:i/>
          <w:iCs/>
        </w:rPr>
        <w:t>Creating mentally healthy workplaces</w:t>
      </w:r>
      <w:r w:rsidRPr="001A0CA0">
        <w:rPr>
          <w:rFonts w:ascii="Arial" w:hAnsi="Arial" w:cs="Arial"/>
        </w:rPr>
        <w:t xml:space="preserve">. Available at: &lt;https://www.mentalhealth.org.uk/explore-mental-health/publications/creating-mentally-healthy-workplaces&gt; </w:t>
      </w:r>
    </w:p>
    <w:p w14:paraId="29AB4D2C" w14:textId="26FF5708" w:rsidR="00111C21" w:rsidRPr="001A0CA0" w:rsidRDefault="00111C21" w:rsidP="006F37CD">
      <w:pPr>
        <w:spacing w:line="276" w:lineRule="auto"/>
        <w:rPr>
          <w:rFonts w:ascii="Arial" w:hAnsi="Arial" w:cs="Arial"/>
        </w:rPr>
      </w:pPr>
      <w:r w:rsidRPr="001A0CA0">
        <w:rPr>
          <w:rFonts w:ascii="Arial" w:hAnsi="Arial" w:cs="Arial"/>
        </w:rPr>
        <w:lastRenderedPageBreak/>
        <w:t xml:space="preserve">MHFA England (n.d.) </w:t>
      </w:r>
      <w:r w:rsidRPr="001A0CA0">
        <w:rPr>
          <w:rFonts w:ascii="Arial" w:hAnsi="Arial" w:cs="Arial"/>
          <w:i/>
          <w:iCs/>
        </w:rPr>
        <w:t>Become a mental health first aider</w:t>
      </w:r>
      <w:r w:rsidRPr="001A0CA0">
        <w:rPr>
          <w:rFonts w:ascii="Arial" w:hAnsi="Arial" w:cs="Arial"/>
        </w:rPr>
        <w:t xml:space="preserve">. Available at: &lt;https://mhfaengland.org/individuals/adult/mental-health-first-aid/&gt; </w:t>
      </w:r>
    </w:p>
    <w:p w14:paraId="2BBC47E9" w14:textId="77777777" w:rsidR="00111C21" w:rsidRPr="001A0CA0" w:rsidRDefault="00111C21" w:rsidP="006F37CD">
      <w:pPr>
        <w:spacing w:line="276" w:lineRule="auto"/>
        <w:rPr>
          <w:rFonts w:ascii="Arial" w:hAnsi="Arial" w:cs="Arial"/>
        </w:rPr>
      </w:pPr>
      <w:r w:rsidRPr="001A0CA0">
        <w:rPr>
          <w:rFonts w:ascii="Arial" w:hAnsi="Arial" w:cs="Arial"/>
        </w:rPr>
        <w:t xml:space="preserve">Ministry of Justice (2011) </w:t>
      </w:r>
      <w:r w:rsidRPr="001A0CA0">
        <w:rPr>
          <w:rFonts w:ascii="Arial" w:hAnsi="Arial" w:cs="Arial"/>
          <w:i/>
          <w:iCs/>
        </w:rPr>
        <w:t>Achieving best evidence in criminal proceedings: Guidance on interviewing victims and witnesses, and guidance on using special measures</w:t>
      </w:r>
      <w:r w:rsidRPr="001A0CA0">
        <w:rPr>
          <w:rFonts w:ascii="Arial" w:hAnsi="Arial" w:cs="Arial"/>
        </w:rPr>
        <w:t>. London: Ministry of Justice.</w:t>
      </w:r>
    </w:p>
    <w:p w14:paraId="711F6E96" w14:textId="0E95E1AD" w:rsidR="00111C21" w:rsidRPr="001A0CA0" w:rsidRDefault="00111C21" w:rsidP="006F37CD">
      <w:pPr>
        <w:spacing w:line="276" w:lineRule="auto"/>
        <w:rPr>
          <w:rFonts w:ascii="Arial" w:hAnsi="Arial" w:cs="Arial"/>
        </w:rPr>
      </w:pPr>
      <w:r w:rsidRPr="001A0CA0">
        <w:rPr>
          <w:rFonts w:ascii="Arial" w:hAnsi="Arial" w:cs="Arial"/>
        </w:rPr>
        <w:t xml:space="preserve">Memisevic, H. and Hadžić, S. (2025) ‘Assistive technology in inclusive education’, </w:t>
      </w:r>
      <w:r w:rsidRPr="001A0CA0">
        <w:rPr>
          <w:rFonts w:ascii="Arial" w:hAnsi="Arial" w:cs="Arial"/>
          <w:i/>
          <w:iCs/>
        </w:rPr>
        <w:t xml:space="preserve">The Palgrave </w:t>
      </w:r>
      <w:proofErr w:type="spellStart"/>
      <w:r w:rsidRPr="001A0CA0">
        <w:rPr>
          <w:rFonts w:ascii="Arial" w:hAnsi="Arial" w:cs="Arial"/>
          <w:i/>
          <w:iCs/>
        </w:rPr>
        <w:t>Encyclopedia</w:t>
      </w:r>
      <w:proofErr w:type="spellEnd"/>
      <w:r w:rsidRPr="001A0CA0">
        <w:rPr>
          <w:rFonts w:ascii="Arial" w:hAnsi="Arial" w:cs="Arial"/>
          <w:i/>
          <w:iCs/>
        </w:rPr>
        <w:t xml:space="preserve"> of Disability</w:t>
      </w:r>
      <w:r w:rsidRPr="001A0CA0">
        <w:rPr>
          <w:rFonts w:ascii="Arial" w:hAnsi="Arial" w:cs="Arial"/>
        </w:rPr>
        <w:t xml:space="preserve">. </w:t>
      </w:r>
    </w:p>
    <w:p w14:paraId="5DE2727E" w14:textId="77E10551" w:rsidR="00111C21" w:rsidRPr="001A0CA0" w:rsidRDefault="00111C21" w:rsidP="006F37CD">
      <w:pPr>
        <w:spacing w:line="276" w:lineRule="auto"/>
        <w:rPr>
          <w:rFonts w:ascii="Arial" w:hAnsi="Arial" w:cs="Arial"/>
        </w:rPr>
      </w:pPr>
      <w:r w:rsidRPr="001A0CA0">
        <w:rPr>
          <w:rFonts w:ascii="Arial" w:hAnsi="Arial" w:cs="Arial"/>
        </w:rPr>
        <w:t xml:space="preserve">National Education Union (NEU) (2024) </w:t>
      </w:r>
      <w:r w:rsidRPr="001A0CA0">
        <w:rPr>
          <w:rFonts w:ascii="Arial" w:hAnsi="Arial" w:cs="Arial"/>
          <w:i/>
          <w:iCs/>
        </w:rPr>
        <w:t>Trauma-informed practice and approach</w:t>
      </w:r>
      <w:r w:rsidRPr="001A0CA0">
        <w:rPr>
          <w:rFonts w:ascii="Arial" w:hAnsi="Arial" w:cs="Arial"/>
        </w:rPr>
        <w:t xml:space="preserve">. </w:t>
      </w:r>
    </w:p>
    <w:p w14:paraId="534F2B4E" w14:textId="511A454A" w:rsidR="00111C21" w:rsidRPr="001A0CA0" w:rsidRDefault="00111C21" w:rsidP="006F37CD">
      <w:pPr>
        <w:spacing w:line="276" w:lineRule="auto"/>
        <w:rPr>
          <w:rFonts w:ascii="Arial" w:hAnsi="Arial" w:cs="Arial"/>
        </w:rPr>
      </w:pPr>
      <w:r w:rsidRPr="001A0CA0">
        <w:rPr>
          <w:rFonts w:ascii="Arial" w:hAnsi="Arial" w:cs="Arial"/>
        </w:rPr>
        <w:t xml:space="preserve">Plain English Campaign (2020) </w:t>
      </w:r>
      <w:r w:rsidRPr="001A0CA0">
        <w:rPr>
          <w:rFonts w:ascii="Arial" w:hAnsi="Arial" w:cs="Arial"/>
          <w:i/>
          <w:iCs/>
        </w:rPr>
        <w:t>How to write in plain English</w:t>
      </w:r>
      <w:r w:rsidRPr="001A0CA0">
        <w:rPr>
          <w:rFonts w:ascii="Arial" w:hAnsi="Arial" w:cs="Arial"/>
        </w:rPr>
        <w:t xml:space="preserve">. Available at: &lt;https://www.plainenglish.co.uk/free-guides.html&gt; </w:t>
      </w:r>
    </w:p>
    <w:p w14:paraId="1F3D3FE1" w14:textId="773BEDAF" w:rsidR="00111C21" w:rsidRPr="001A0CA0" w:rsidRDefault="00111C21" w:rsidP="006F37CD">
      <w:pPr>
        <w:spacing w:line="276" w:lineRule="auto"/>
        <w:rPr>
          <w:rFonts w:ascii="Arial" w:hAnsi="Arial" w:cs="Arial"/>
        </w:rPr>
      </w:pPr>
      <w:r w:rsidRPr="001A0CA0">
        <w:rPr>
          <w:rFonts w:ascii="Arial" w:hAnsi="Arial" w:cs="Arial"/>
        </w:rPr>
        <w:t xml:space="preserve">RNIB (2023) </w:t>
      </w:r>
      <w:r w:rsidRPr="001A0CA0">
        <w:rPr>
          <w:rFonts w:ascii="Arial" w:hAnsi="Arial" w:cs="Arial"/>
          <w:i/>
          <w:iCs/>
        </w:rPr>
        <w:t>Making information accessible for people with sight loss</w:t>
      </w:r>
      <w:r w:rsidRPr="001A0CA0">
        <w:rPr>
          <w:rFonts w:ascii="Arial" w:hAnsi="Arial" w:cs="Arial"/>
        </w:rPr>
        <w:t>. Available at: &lt;https://www.rnib.org.uk/professionals/accessible-information</w:t>
      </w:r>
    </w:p>
    <w:p w14:paraId="4243A728" w14:textId="05033CB5" w:rsidR="009115FE" w:rsidRPr="001A0CA0" w:rsidRDefault="009115FE" w:rsidP="006F37CD">
      <w:pPr>
        <w:spacing w:line="276" w:lineRule="auto"/>
        <w:rPr>
          <w:rFonts w:ascii="Arial" w:hAnsi="Arial" w:cs="Arial"/>
        </w:rPr>
      </w:pPr>
      <w:r w:rsidRPr="001A0CA0">
        <w:rPr>
          <w:rFonts w:ascii="Arial" w:hAnsi="Arial" w:cs="Arial"/>
        </w:rPr>
        <w:t xml:space="preserve">Vygotsky, L.S. (1978) </w:t>
      </w:r>
      <w:r w:rsidRPr="001A0CA0">
        <w:rPr>
          <w:rFonts w:ascii="Arial" w:hAnsi="Arial" w:cs="Arial"/>
          <w:i/>
          <w:iCs/>
        </w:rPr>
        <w:t>Mind in society: The development of higher psychological processes</w:t>
      </w:r>
      <w:r w:rsidRPr="001A0CA0">
        <w:rPr>
          <w:rFonts w:ascii="Arial" w:hAnsi="Arial" w:cs="Arial"/>
        </w:rPr>
        <w:t xml:space="preserve">. Cambridge, MA: Harvard University Press. </w:t>
      </w:r>
      <w:r w:rsidRPr="001A0CA0">
        <w:rPr>
          <w:rFonts w:ascii="Arial" w:hAnsi="Arial" w:cs="Arial"/>
          <w:i/>
          <w:iCs/>
        </w:rPr>
        <w:t>(for scaffolding and Zone of Proximal Development)</w:t>
      </w:r>
    </w:p>
    <w:p w14:paraId="0BC86DD6" w14:textId="7C690620" w:rsidR="00111C21" w:rsidRPr="001A0CA0" w:rsidRDefault="00111C21" w:rsidP="006F37CD">
      <w:pPr>
        <w:spacing w:line="276" w:lineRule="auto"/>
        <w:rPr>
          <w:rFonts w:ascii="Arial" w:hAnsi="Arial" w:cs="Arial"/>
          <w:b/>
          <w:bCs/>
        </w:rPr>
      </w:pPr>
      <w:r w:rsidRPr="001A0CA0">
        <w:rPr>
          <w:rFonts w:ascii="Arial" w:hAnsi="Arial" w:cs="Arial"/>
          <w:b/>
          <w:bCs/>
        </w:rPr>
        <w:t>Bibliography (Harvard Style)</w:t>
      </w:r>
    </w:p>
    <w:p w14:paraId="232A6F14" w14:textId="77777777" w:rsidR="00111C21" w:rsidRPr="001A0CA0" w:rsidRDefault="00111C21" w:rsidP="006F37CD">
      <w:pPr>
        <w:spacing w:line="276" w:lineRule="auto"/>
        <w:rPr>
          <w:rFonts w:ascii="Arial" w:hAnsi="Arial" w:cs="Arial"/>
        </w:rPr>
      </w:pPr>
      <w:r w:rsidRPr="001A0CA0">
        <w:rPr>
          <w:rFonts w:ascii="Arial" w:hAnsi="Arial" w:cs="Arial"/>
        </w:rPr>
        <w:t xml:space="preserve">Cooper, C.L. and Hesketh, I. (2021) </w:t>
      </w:r>
      <w:r w:rsidRPr="001A0CA0">
        <w:rPr>
          <w:rFonts w:ascii="Arial" w:hAnsi="Arial" w:cs="Arial"/>
          <w:i/>
          <w:iCs/>
        </w:rPr>
        <w:t>Wellbeing at work: How to design, implement and evaluate an effective strategy</w:t>
      </w:r>
      <w:r w:rsidRPr="001A0CA0">
        <w:rPr>
          <w:rFonts w:ascii="Arial" w:hAnsi="Arial" w:cs="Arial"/>
        </w:rPr>
        <w:t>. London: Kogan Page.</w:t>
      </w:r>
    </w:p>
    <w:p w14:paraId="2DF41EEB" w14:textId="641D03B7" w:rsidR="00111C21" w:rsidRPr="001A0CA0" w:rsidRDefault="00111C21" w:rsidP="006F37CD">
      <w:pPr>
        <w:spacing w:line="276" w:lineRule="auto"/>
        <w:rPr>
          <w:rFonts w:ascii="Arial" w:hAnsi="Arial" w:cs="Arial"/>
        </w:rPr>
      </w:pPr>
      <w:r w:rsidRPr="001A0CA0">
        <w:rPr>
          <w:rFonts w:ascii="Arial" w:hAnsi="Arial" w:cs="Arial"/>
        </w:rPr>
        <w:t xml:space="preserve">HMICFRS (2020) </w:t>
      </w:r>
      <w:r w:rsidRPr="001A0CA0">
        <w:rPr>
          <w:rFonts w:ascii="Arial" w:hAnsi="Arial" w:cs="Arial"/>
          <w:i/>
          <w:iCs/>
        </w:rPr>
        <w:t>Neurodiversity: A new approach to policing</w:t>
      </w:r>
      <w:r w:rsidRPr="001A0CA0">
        <w:rPr>
          <w:rFonts w:ascii="Arial" w:hAnsi="Arial" w:cs="Arial"/>
        </w:rPr>
        <w:t xml:space="preserve">. London: Her Majesty’s Inspectorate of Constabulary and Fire &amp; Rescue Services. Available at: &lt;https://www.justiceinspectorates.gov.uk/hmicfrs/publications/neurodiversity-in-policing/&gt; </w:t>
      </w:r>
    </w:p>
    <w:p w14:paraId="0952F03F" w14:textId="48247AB1" w:rsidR="00111C21" w:rsidRPr="001A0CA0" w:rsidRDefault="00111C21" w:rsidP="006F37CD">
      <w:pPr>
        <w:spacing w:line="276" w:lineRule="auto"/>
        <w:rPr>
          <w:rFonts w:ascii="Arial" w:hAnsi="Arial" w:cs="Arial"/>
        </w:rPr>
      </w:pPr>
      <w:r w:rsidRPr="001A0CA0">
        <w:rPr>
          <w:rFonts w:ascii="Arial" w:hAnsi="Arial" w:cs="Arial"/>
        </w:rPr>
        <w:t xml:space="preserve">Newcastle University (n.d.) </w:t>
      </w:r>
      <w:r w:rsidRPr="001A0CA0">
        <w:rPr>
          <w:rFonts w:ascii="Arial" w:hAnsi="Arial" w:cs="Arial"/>
          <w:i/>
          <w:iCs/>
        </w:rPr>
        <w:t>Universal design for learning</w:t>
      </w:r>
      <w:r w:rsidRPr="001A0CA0">
        <w:rPr>
          <w:rFonts w:ascii="Arial" w:hAnsi="Arial" w:cs="Arial"/>
        </w:rPr>
        <w:t xml:space="preserve">. Available at: &lt;https://www.ncl.ac.uk/learning-and-teaching/effective-practice/universal-design/&gt; </w:t>
      </w:r>
    </w:p>
    <w:p w14:paraId="4DD75051" w14:textId="3A83B1C4" w:rsidR="00111C21" w:rsidRPr="001A0CA0" w:rsidRDefault="00111C21" w:rsidP="006F37CD">
      <w:pPr>
        <w:spacing w:line="276" w:lineRule="auto"/>
        <w:rPr>
          <w:rFonts w:ascii="Arial" w:hAnsi="Arial" w:cs="Arial"/>
        </w:rPr>
      </w:pPr>
      <w:r w:rsidRPr="001A0CA0">
        <w:rPr>
          <w:rFonts w:ascii="Arial" w:hAnsi="Arial" w:cs="Arial"/>
        </w:rPr>
        <w:t xml:space="preserve">Restore (2025) </w:t>
      </w:r>
      <w:r w:rsidRPr="001A0CA0">
        <w:rPr>
          <w:rFonts w:ascii="Arial" w:hAnsi="Arial" w:cs="Arial"/>
          <w:i/>
          <w:iCs/>
        </w:rPr>
        <w:t>Mental health first aid training</w:t>
      </w:r>
      <w:r w:rsidRPr="001A0CA0">
        <w:rPr>
          <w:rFonts w:ascii="Arial" w:hAnsi="Arial" w:cs="Arial"/>
        </w:rPr>
        <w:t xml:space="preserve">. Available at: &lt;https://restore.org.uk/training-courses/2025/mental-health-first-aid/&gt; </w:t>
      </w:r>
    </w:p>
    <w:p w14:paraId="58310C70" w14:textId="77777777" w:rsidR="00111C21" w:rsidRPr="001A0CA0" w:rsidRDefault="00111C21" w:rsidP="006F37CD">
      <w:pPr>
        <w:spacing w:line="276" w:lineRule="auto"/>
        <w:rPr>
          <w:rFonts w:ascii="Arial" w:hAnsi="Arial" w:cs="Arial"/>
        </w:rPr>
      </w:pPr>
      <w:r w:rsidRPr="001A0CA0">
        <w:rPr>
          <w:rFonts w:ascii="Arial" w:hAnsi="Arial" w:cs="Arial"/>
        </w:rPr>
        <w:t xml:space="preserve">Rose, D.H., Meyer, A. and Gordon, D. (2014) </w:t>
      </w:r>
      <w:r w:rsidRPr="001A0CA0">
        <w:rPr>
          <w:rFonts w:ascii="Arial" w:hAnsi="Arial" w:cs="Arial"/>
          <w:i/>
          <w:iCs/>
        </w:rPr>
        <w:t>Universal design for learning: Theory and practice</w:t>
      </w:r>
      <w:r w:rsidRPr="001A0CA0">
        <w:rPr>
          <w:rFonts w:ascii="Arial" w:hAnsi="Arial" w:cs="Arial"/>
        </w:rPr>
        <w:t>. Wakefield, MA: CAST.</w:t>
      </w:r>
    </w:p>
    <w:p w14:paraId="6CB71CCC" w14:textId="69478165" w:rsidR="00111C21" w:rsidRPr="001A0CA0" w:rsidRDefault="00111C21" w:rsidP="006F37CD">
      <w:pPr>
        <w:spacing w:line="276" w:lineRule="auto"/>
        <w:rPr>
          <w:rFonts w:ascii="Arial" w:hAnsi="Arial" w:cs="Arial"/>
        </w:rPr>
      </w:pPr>
      <w:r w:rsidRPr="001A0CA0">
        <w:rPr>
          <w:rFonts w:ascii="Arial" w:hAnsi="Arial" w:cs="Arial"/>
        </w:rPr>
        <w:t xml:space="preserve">University of Leicester (n.d.) </w:t>
      </w:r>
      <w:r w:rsidRPr="001A0CA0">
        <w:rPr>
          <w:rFonts w:ascii="Arial" w:hAnsi="Arial" w:cs="Arial"/>
          <w:i/>
          <w:iCs/>
        </w:rPr>
        <w:t>Exploring neurodiversity in the police workforce</w:t>
      </w:r>
      <w:r w:rsidRPr="001A0CA0">
        <w:rPr>
          <w:rFonts w:ascii="Arial" w:hAnsi="Arial" w:cs="Arial"/>
        </w:rPr>
        <w:t xml:space="preserve">. Available at: &lt;https://le.ac.uk/-/media/uol/docs/academic-departments/criminology/exploring-neurodiversity-in-the-police-workforce-qual-report-final.pdf&gt; </w:t>
      </w:r>
    </w:p>
    <w:p w14:paraId="7833A15B" w14:textId="77777777" w:rsidR="00111C21" w:rsidRPr="001A0CA0" w:rsidRDefault="00111C21" w:rsidP="006F37CD">
      <w:pPr>
        <w:spacing w:line="276" w:lineRule="auto"/>
        <w:rPr>
          <w:rFonts w:ascii="Arial" w:hAnsi="Arial" w:cs="Arial"/>
        </w:rPr>
      </w:pPr>
    </w:p>
    <w:sectPr w:rsidR="00111C21" w:rsidRPr="001A0CA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378E1" w14:textId="77777777" w:rsidR="009E0003" w:rsidRDefault="009E0003" w:rsidP="00844A71">
      <w:pPr>
        <w:spacing w:after="0" w:line="240" w:lineRule="auto"/>
      </w:pPr>
      <w:r>
        <w:separator/>
      </w:r>
    </w:p>
  </w:endnote>
  <w:endnote w:type="continuationSeparator" w:id="0">
    <w:p w14:paraId="29EF440E" w14:textId="77777777" w:rsidR="009E0003" w:rsidRDefault="009E0003" w:rsidP="00844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A2BDE" w14:textId="77777777" w:rsidR="009E0003" w:rsidRDefault="009E0003" w:rsidP="00844A71">
      <w:pPr>
        <w:spacing w:after="0" w:line="240" w:lineRule="auto"/>
      </w:pPr>
      <w:r>
        <w:separator/>
      </w:r>
    </w:p>
  </w:footnote>
  <w:footnote w:type="continuationSeparator" w:id="0">
    <w:p w14:paraId="25CDA343" w14:textId="77777777" w:rsidR="009E0003" w:rsidRDefault="009E0003" w:rsidP="00844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8F1B6" w14:textId="2ECB3732" w:rsidR="00EB6DC5" w:rsidRPr="005A5001" w:rsidRDefault="00EB6DC5" w:rsidP="00EB6DC5">
    <w:pPr>
      <w:pStyle w:val="NoSpacing"/>
      <w:spacing w:line="360" w:lineRule="auto"/>
      <w:rPr>
        <w:rFonts w:ascii="Arial" w:hAnsi="Arial" w:cs="Arial"/>
        <w:sz w:val="24"/>
        <w:szCs w:val="24"/>
      </w:rPr>
    </w:pPr>
    <w:r w:rsidRPr="005A5001">
      <w:rPr>
        <w:rFonts w:ascii="Arial" w:hAnsi="Arial" w:cs="Arial"/>
        <w:sz w:val="24"/>
        <w:szCs w:val="24"/>
      </w:rPr>
      <w:t>Sophie Keogh</w:t>
    </w:r>
    <w:r>
      <w:rPr>
        <w:rFonts w:ascii="Arial" w:hAnsi="Arial" w:cs="Arial"/>
        <w:sz w:val="24"/>
        <w:szCs w:val="24"/>
      </w:rPr>
      <w:t xml:space="preserve"> - </w:t>
    </w:r>
    <w:r w:rsidRPr="005A5001">
      <w:rPr>
        <w:rFonts w:ascii="Arial" w:hAnsi="Arial" w:cs="Arial"/>
        <w:sz w:val="24"/>
        <w:szCs w:val="24"/>
      </w:rPr>
      <w:t>Student no. 2407171</w:t>
    </w:r>
  </w:p>
  <w:p w14:paraId="557002C6" w14:textId="77777777" w:rsidR="00EB6DC5" w:rsidRDefault="00EB6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D2F59"/>
    <w:multiLevelType w:val="multilevel"/>
    <w:tmpl w:val="6168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11F94"/>
    <w:multiLevelType w:val="multilevel"/>
    <w:tmpl w:val="35F2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0E2CD6"/>
    <w:multiLevelType w:val="multilevel"/>
    <w:tmpl w:val="A650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1639189">
    <w:abstractNumId w:val="0"/>
  </w:num>
  <w:num w:numId="2" w16cid:durableId="1284263270">
    <w:abstractNumId w:val="1"/>
  </w:num>
  <w:num w:numId="3" w16cid:durableId="121774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836"/>
    <w:rsid w:val="00014EDB"/>
    <w:rsid w:val="00016E02"/>
    <w:rsid w:val="000406B6"/>
    <w:rsid w:val="00086F97"/>
    <w:rsid w:val="00094ED9"/>
    <w:rsid w:val="000A69E0"/>
    <w:rsid w:val="000D708A"/>
    <w:rsid w:val="00111C21"/>
    <w:rsid w:val="0011592B"/>
    <w:rsid w:val="001171C5"/>
    <w:rsid w:val="00135B7B"/>
    <w:rsid w:val="00141CC8"/>
    <w:rsid w:val="00174836"/>
    <w:rsid w:val="00174859"/>
    <w:rsid w:val="0019099D"/>
    <w:rsid w:val="001A0CA0"/>
    <w:rsid w:val="001C07AA"/>
    <w:rsid w:val="001C4DC1"/>
    <w:rsid w:val="001D5E2B"/>
    <w:rsid w:val="001D756F"/>
    <w:rsid w:val="001F22A9"/>
    <w:rsid w:val="0020371C"/>
    <w:rsid w:val="002438A1"/>
    <w:rsid w:val="0024665B"/>
    <w:rsid w:val="00253676"/>
    <w:rsid w:val="00272A6A"/>
    <w:rsid w:val="00272BA8"/>
    <w:rsid w:val="002C3F7D"/>
    <w:rsid w:val="002C7807"/>
    <w:rsid w:val="002D0184"/>
    <w:rsid w:val="002D12FC"/>
    <w:rsid w:val="0032666B"/>
    <w:rsid w:val="003403EF"/>
    <w:rsid w:val="003427EA"/>
    <w:rsid w:val="00347FC8"/>
    <w:rsid w:val="00367D34"/>
    <w:rsid w:val="0037747D"/>
    <w:rsid w:val="00393D6E"/>
    <w:rsid w:val="00395D17"/>
    <w:rsid w:val="003B11C3"/>
    <w:rsid w:val="004021DD"/>
    <w:rsid w:val="00436D30"/>
    <w:rsid w:val="004413DD"/>
    <w:rsid w:val="004742AD"/>
    <w:rsid w:val="00477367"/>
    <w:rsid w:val="004802CC"/>
    <w:rsid w:val="004A6D7B"/>
    <w:rsid w:val="004C4089"/>
    <w:rsid w:val="004C5A28"/>
    <w:rsid w:val="004D340D"/>
    <w:rsid w:val="004D65C5"/>
    <w:rsid w:val="004E14EA"/>
    <w:rsid w:val="004E2E4C"/>
    <w:rsid w:val="005022FB"/>
    <w:rsid w:val="005138B8"/>
    <w:rsid w:val="00517A8E"/>
    <w:rsid w:val="0056543E"/>
    <w:rsid w:val="0059131D"/>
    <w:rsid w:val="00597D57"/>
    <w:rsid w:val="005A6D0D"/>
    <w:rsid w:val="005B2E5E"/>
    <w:rsid w:val="005B4A0C"/>
    <w:rsid w:val="005F6C5D"/>
    <w:rsid w:val="006177E6"/>
    <w:rsid w:val="00617DB3"/>
    <w:rsid w:val="00637EA3"/>
    <w:rsid w:val="00667C80"/>
    <w:rsid w:val="00683554"/>
    <w:rsid w:val="006B5C3B"/>
    <w:rsid w:val="006B68CF"/>
    <w:rsid w:val="006C731C"/>
    <w:rsid w:val="006D3975"/>
    <w:rsid w:val="006F37CD"/>
    <w:rsid w:val="00745D65"/>
    <w:rsid w:val="00791256"/>
    <w:rsid w:val="007B2EB4"/>
    <w:rsid w:val="007D6D23"/>
    <w:rsid w:val="007E766B"/>
    <w:rsid w:val="007F178A"/>
    <w:rsid w:val="00800CCE"/>
    <w:rsid w:val="008414EC"/>
    <w:rsid w:val="0084469D"/>
    <w:rsid w:val="00844A71"/>
    <w:rsid w:val="00855BE3"/>
    <w:rsid w:val="00865662"/>
    <w:rsid w:val="00880E6A"/>
    <w:rsid w:val="00887CBA"/>
    <w:rsid w:val="008A3FD1"/>
    <w:rsid w:val="008B45F1"/>
    <w:rsid w:val="008C1032"/>
    <w:rsid w:val="008C4EE5"/>
    <w:rsid w:val="00903F70"/>
    <w:rsid w:val="009068C6"/>
    <w:rsid w:val="009115FE"/>
    <w:rsid w:val="009322CE"/>
    <w:rsid w:val="0096290B"/>
    <w:rsid w:val="00966716"/>
    <w:rsid w:val="00975C6F"/>
    <w:rsid w:val="009C2334"/>
    <w:rsid w:val="009C5C31"/>
    <w:rsid w:val="009D5DAF"/>
    <w:rsid w:val="009E0003"/>
    <w:rsid w:val="009E27A8"/>
    <w:rsid w:val="009E7B24"/>
    <w:rsid w:val="00A00B84"/>
    <w:rsid w:val="00A0121A"/>
    <w:rsid w:val="00A066B8"/>
    <w:rsid w:val="00AB3C80"/>
    <w:rsid w:val="00B179B1"/>
    <w:rsid w:val="00B25121"/>
    <w:rsid w:val="00B84EF1"/>
    <w:rsid w:val="00BA075F"/>
    <w:rsid w:val="00BC54A9"/>
    <w:rsid w:val="00BD24DB"/>
    <w:rsid w:val="00C14D4A"/>
    <w:rsid w:val="00C1657E"/>
    <w:rsid w:val="00C52D87"/>
    <w:rsid w:val="00C57A9F"/>
    <w:rsid w:val="00C60993"/>
    <w:rsid w:val="00C744BF"/>
    <w:rsid w:val="00C87D19"/>
    <w:rsid w:val="00CB7FE5"/>
    <w:rsid w:val="00CE6477"/>
    <w:rsid w:val="00CE770A"/>
    <w:rsid w:val="00CF08A4"/>
    <w:rsid w:val="00D171E5"/>
    <w:rsid w:val="00D25D11"/>
    <w:rsid w:val="00D333CF"/>
    <w:rsid w:val="00D57C73"/>
    <w:rsid w:val="00D63AA7"/>
    <w:rsid w:val="00D6472A"/>
    <w:rsid w:val="00DA1DE4"/>
    <w:rsid w:val="00DD6253"/>
    <w:rsid w:val="00DF0926"/>
    <w:rsid w:val="00DF3F0D"/>
    <w:rsid w:val="00E60DEE"/>
    <w:rsid w:val="00E65824"/>
    <w:rsid w:val="00E709E4"/>
    <w:rsid w:val="00E73CAE"/>
    <w:rsid w:val="00E931D8"/>
    <w:rsid w:val="00EB6DC5"/>
    <w:rsid w:val="00EC7DA9"/>
    <w:rsid w:val="00EE35DF"/>
    <w:rsid w:val="00F13A58"/>
    <w:rsid w:val="00F1578F"/>
    <w:rsid w:val="00F24ACF"/>
    <w:rsid w:val="00F312F3"/>
    <w:rsid w:val="00F31AD5"/>
    <w:rsid w:val="00F42815"/>
    <w:rsid w:val="00F461E5"/>
    <w:rsid w:val="00F546F2"/>
    <w:rsid w:val="00F61A0F"/>
    <w:rsid w:val="00FB475A"/>
    <w:rsid w:val="00FC6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05A3"/>
  <w15:chartTrackingRefBased/>
  <w15:docId w15:val="{8755AE53-BCA1-4932-BEB0-3B468C609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8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48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48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8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8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8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8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8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8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8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48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48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8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48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48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8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8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836"/>
    <w:rPr>
      <w:rFonts w:eastAsiaTheme="majorEastAsia" w:cstheme="majorBidi"/>
      <w:color w:val="272727" w:themeColor="text1" w:themeTint="D8"/>
    </w:rPr>
  </w:style>
  <w:style w:type="paragraph" w:styleId="Title">
    <w:name w:val="Title"/>
    <w:basedOn w:val="Normal"/>
    <w:next w:val="Normal"/>
    <w:link w:val="TitleChar"/>
    <w:uiPriority w:val="10"/>
    <w:qFormat/>
    <w:rsid w:val="00174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8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8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836"/>
    <w:pPr>
      <w:spacing w:before="160"/>
      <w:jc w:val="center"/>
    </w:pPr>
    <w:rPr>
      <w:i/>
      <w:iCs/>
      <w:color w:val="404040" w:themeColor="text1" w:themeTint="BF"/>
    </w:rPr>
  </w:style>
  <w:style w:type="character" w:customStyle="1" w:styleId="QuoteChar">
    <w:name w:val="Quote Char"/>
    <w:basedOn w:val="DefaultParagraphFont"/>
    <w:link w:val="Quote"/>
    <w:uiPriority w:val="29"/>
    <w:rsid w:val="00174836"/>
    <w:rPr>
      <w:i/>
      <w:iCs/>
      <w:color w:val="404040" w:themeColor="text1" w:themeTint="BF"/>
    </w:rPr>
  </w:style>
  <w:style w:type="paragraph" w:styleId="ListParagraph">
    <w:name w:val="List Paragraph"/>
    <w:basedOn w:val="Normal"/>
    <w:uiPriority w:val="34"/>
    <w:qFormat/>
    <w:rsid w:val="00174836"/>
    <w:pPr>
      <w:ind w:left="720"/>
      <w:contextualSpacing/>
    </w:pPr>
  </w:style>
  <w:style w:type="character" w:styleId="IntenseEmphasis">
    <w:name w:val="Intense Emphasis"/>
    <w:basedOn w:val="DefaultParagraphFont"/>
    <w:uiPriority w:val="21"/>
    <w:qFormat/>
    <w:rsid w:val="00174836"/>
    <w:rPr>
      <w:i/>
      <w:iCs/>
      <w:color w:val="0F4761" w:themeColor="accent1" w:themeShade="BF"/>
    </w:rPr>
  </w:style>
  <w:style w:type="paragraph" w:styleId="IntenseQuote">
    <w:name w:val="Intense Quote"/>
    <w:basedOn w:val="Normal"/>
    <w:next w:val="Normal"/>
    <w:link w:val="IntenseQuoteChar"/>
    <w:uiPriority w:val="30"/>
    <w:qFormat/>
    <w:rsid w:val="00174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836"/>
    <w:rPr>
      <w:i/>
      <w:iCs/>
      <w:color w:val="0F4761" w:themeColor="accent1" w:themeShade="BF"/>
    </w:rPr>
  </w:style>
  <w:style w:type="character" w:styleId="IntenseReference">
    <w:name w:val="Intense Reference"/>
    <w:basedOn w:val="DefaultParagraphFont"/>
    <w:uiPriority w:val="32"/>
    <w:qFormat/>
    <w:rsid w:val="00174836"/>
    <w:rPr>
      <w:b/>
      <w:bCs/>
      <w:smallCaps/>
      <w:color w:val="0F4761" w:themeColor="accent1" w:themeShade="BF"/>
      <w:spacing w:val="5"/>
    </w:rPr>
  </w:style>
  <w:style w:type="paragraph" w:styleId="NormalWeb">
    <w:name w:val="Normal (Web)"/>
    <w:basedOn w:val="Normal"/>
    <w:uiPriority w:val="99"/>
    <w:semiHidden/>
    <w:unhideWhenUsed/>
    <w:rsid w:val="00DA1D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A1DE4"/>
    <w:rPr>
      <w:i/>
      <w:iCs/>
    </w:rPr>
  </w:style>
  <w:style w:type="paragraph" w:styleId="Header">
    <w:name w:val="header"/>
    <w:basedOn w:val="Normal"/>
    <w:link w:val="HeaderChar"/>
    <w:uiPriority w:val="99"/>
    <w:unhideWhenUsed/>
    <w:rsid w:val="00844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A71"/>
  </w:style>
  <w:style w:type="paragraph" w:styleId="Footer">
    <w:name w:val="footer"/>
    <w:basedOn w:val="Normal"/>
    <w:link w:val="FooterChar"/>
    <w:uiPriority w:val="99"/>
    <w:unhideWhenUsed/>
    <w:rsid w:val="00844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A71"/>
  </w:style>
  <w:style w:type="paragraph" w:styleId="NoSpacing">
    <w:name w:val="No Spacing"/>
    <w:uiPriority w:val="1"/>
    <w:qFormat/>
    <w:rsid w:val="00844A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93387">
      <w:bodyDiv w:val="1"/>
      <w:marLeft w:val="0"/>
      <w:marRight w:val="0"/>
      <w:marTop w:val="0"/>
      <w:marBottom w:val="0"/>
      <w:divBdr>
        <w:top w:val="none" w:sz="0" w:space="0" w:color="auto"/>
        <w:left w:val="none" w:sz="0" w:space="0" w:color="auto"/>
        <w:bottom w:val="none" w:sz="0" w:space="0" w:color="auto"/>
        <w:right w:val="none" w:sz="0" w:space="0" w:color="auto"/>
      </w:divBdr>
    </w:div>
    <w:div w:id="133833897">
      <w:bodyDiv w:val="1"/>
      <w:marLeft w:val="0"/>
      <w:marRight w:val="0"/>
      <w:marTop w:val="0"/>
      <w:marBottom w:val="0"/>
      <w:divBdr>
        <w:top w:val="none" w:sz="0" w:space="0" w:color="auto"/>
        <w:left w:val="none" w:sz="0" w:space="0" w:color="auto"/>
        <w:bottom w:val="none" w:sz="0" w:space="0" w:color="auto"/>
        <w:right w:val="none" w:sz="0" w:space="0" w:color="auto"/>
      </w:divBdr>
    </w:div>
    <w:div w:id="155418583">
      <w:bodyDiv w:val="1"/>
      <w:marLeft w:val="0"/>
      <w:marRight w:val="0"/>
      <w:marTop w:val="0"/>
      <w:marBottom w:val="0"/>
      <w:divBdr>
        <w:top w:val="none" w:sz="0" w:space="0" w:color="auto"/>
        <w:left w:val="none" w:sz="0" w:space="0" w:color="auto"/>
        <w:bottom w:val="none" w:sz="0" w:space="0" w:color="auto"/>
        <w:right w:val="none" w:sz="0" w:space="0" w:color="auto"/>
      </w:divBdr>
    </w:div>
    <w:div w:id="190337492">
      <w:bodyDiv w:val="1"/>
      <w:marLeft w:val="0"/>
      <w:marRight w:val="0"/>
      <w:marTop w:val="0"/>
      <w:marBottom w:val="0"/>
      <w:divBdr>
        <w:top w:val="none" w:sz="0" w:space="0" w:color="auto"/>
        <w:left w:val="none" w:sz="0" w:space="0" w:color="auto"/>
        <w:bottom w:val="none" w:sz="0" w:space="0" w:color="auto"/>
        <w:right w:val="none" w:sz="0" w:space="0" w:color="auto"/>
      </w:divBdr>
    </w:div>
    <w:div w:id="250551363">
      <w:bodyDiv w:val="1"/>
      <w:marLeft w:val="0"/>
      <w:marRight w:val="0"/>
      <w:marTop w:val="0"/>
      <w:marBottom w:val="0"/>
      <w:divBdr>
        <w:top w:val="none" w:sz="0" w:space="0" w:color="auto"/>
        <w:left w:val="none" w:sz="0" w:space="0" w:color="auto"/>
        <w:bottom w:val="none" w:sz="0" w:space="0" w:color="auto"/>
        <w:right w:val="none" w:sz="0" w:space="0" w:color="auto"/>
      </w:divBdr>
    </w:div>
    <w:div w:id="309791553">
      <w:bodyDiv w:val="1"/>
      <w:marLeft w:val="0"/>
      <w:marRight w:val="0"/>
      <w:marTop w:val="0"/>
      <w:marBottom w:val="0"/>
      <w:divBdr>
        <w:top w:val="none" w:sz="0" w:space="0" w:color="auto"/>
        <w:left w:val="none" w:sz="0" w:space="0" w:color="auto"/>
        <w:bottom w:val="none" w:sz="0" w:space="0" w:color="auto"/>
        <w:right w:val="none" w:sz="0" w:space="0" w:color="auto"/>
      </w:divBdr>
    </w:div>
    <w:div w:id="321589989">
      <w:bodyDiv w:val="1"/>
      <w:marLeft w:val="0"/>
      <w:marRight w:val="0"/>
      <w:marTop w:val="0"/>
      <w:marBottom w:val="0"/>
      <w:divBdr>
        <w:top w:val="none" w:sz="0" w:space="0" w:color="auto"/>
        <w:left w:val="none" w:sz="0" w:space="0" w:color="auto"/>
        <w:bottom w:val="none" w:sz="0" w:space="0" w:color="auto"/>
        <w:right w:val="none" w:sz="0" w:space="0" w:color="auto"/>
      </w:divBdr>
    </w:div>
    <w:div w:id="328798866">
      <w:bodyDiv w:val="1"/>
      <w:marLeft w:val="0"/>
      <w:marRight w:val="0"/>
      <w:marTop w:val="0"/>
      <w:marBottom w:val="0"/>
      <w:divBdr>
        <w:top w:val="none" w:sz="0" w:space="0" w:color="auto"/>
        <w:left w:val="none" w:sz="0" w:space="0" w:color="auto"/>
        <w:bottom w:val="none" w:sz="0" w:space="0" w:color="auto"/>
        <w:right w:val="none" w:sz="0" w:space="0" w:color="auto"/>
      </w:divBdr>
    </w:div>
    <w:div w:id="336621597">
      <w:bodyDiv w:val="1"/>
      <w:marLeft w:val="0"/>
      <w:marRight w:val="0"/>
      <w:marTop w:val="0"/>
      <w:marBottom w:val="0"/>
      <w:divBdr>
        <w:top w:val="none" w:sz="0" w:space="0" w:color="auto"/>
        <w:left w:val="none" w:sz="0" w:space="0" w:color="auto"/>
        <w:bottom w:val="none" w:sz="0" w:space="0" w:color="auto"/>
        <w:right w:val="none" w:sz="0" w:space="0" w:color="auto"/>
      </w:divBdr>
    </w:div>
    <w:div w:id="354309357">
      <w:bodyDiv w:val="1"/>
      <w:marLeft w:val="0"/>
      <w:marRight w:val="0"/>
      <w:marTop w:val="0"/>
      <w:marBottom w:val="0"/>
      <w:divBdr>
        <w:top w:val="none" w:sz="0" w:space="0" w:color="auto"/>
        <w:left w:val="none" w:sz="0" w:space="0" w:color="auto"/>
        <w:bottom w:val="none" w:sz="0" w:space="0" w:color="auto"/>
        <w:right w:val="none" w:sz="0" w:space="0" w:color="auto"/>
      </w:divBdr>
    </w:div>
    <w:div w:id="382825759">
      <w:bodyDiv w:val="1"/>
      <w:marLeft w:val="0"/>
      <w:marRight w:val="0"/>
      <w:marTop w:val="0"/>
      <w:marBottom w:val="0"/>
      <w:divBdr>
        <w:top w:val="none" w:sz="0" w:space="0" w:color="auto"/>
        <w:left w:val="none" w:sz="0" w:space="0" w:color="auto"/>
        <w:bottom w:val="none" w:sz="0" w:space="0" w:color="auto"/>
        <w:right w:val="none" w:sz="0" w:space="0" w:color="auto"/>
      </w:divBdr>
    </w:div>
    <w:div w:id="383873977">
      <w:bodyDiv w:val="1"/>
      <w:marLeft w:val="0"/>
      <w:marRight w:val="0"/>
      <w:marTop w:val="0"/>
      <w:marBottom w:val="0"/>
      <w:divBdr>
        <w:top w:val="none" w:sz="0" w:space="0" w:color="auto"/>
        <w:left w:val="none" w:sz="0" w:space="0" w:color="auto"/>
        <w:bottom w:val="none" w:sz="0" w:space="0" w:color="auto"/>
        <w:right w:val="none" w:sz="0" w:space="0" w:color="auto"/>
      </w:divBdr>
    </w:div>
    <w:div w:id="449780570">
      <w:bodyDiv w:val="1"/>
      <w:marLeft w:val="0"/>
      <w:marRight w:val="0"/>
      <w:marTop w:val="0"/>
      <w:marBottom w:val="0"/>
      <w:divBdr>
        <w:top w:val="none" w:sz="0" w:space="0" w:color="auto"/>
        <w:left w:val="none" w:sz="0" w:space="0" w:color="auto"/>
        <w:bottom w:val="none" w:sz="0" w:space="0" w:color="auto"/>
        <w:right w:val="none" w:sz="0" w:space="0" w:color="auto"/>
      </w:divBdr>
    </w:div>
    <w:div w:id="480125094">
      <w:bodyDiv w:val="1"/>
      <w:marLeft w:val="0"/>
      <w:marRight w:val="0"/>
      <w:marTop w:val="0"/>
      <w:marBottom w:val="0"/>
      <w:divBdr>
        <w:top w:val="none" w:sz="0" w:space="0" w:color="auto"/>
        <w:left w:val="none" w:sz="0" w:space="0" w:color="auto"/>
        <w:bottom w:val="none" w:sz="0" w:space="0" w:color="auto"/>
        <w:right w:val="none" w:sz="0" w:space="0" w:color="auto"/>
      </w:divBdr>
    </w:div>
    <w:div w:id="510146796">
      <w:bodyDiv w:val="1"/>
      <w:marLeft w:val="0"/>
      <w:marRight w:val="0"/>
      <w:marTop w:val="0"/>
      <w:marBottom w:val="0"/>
      <w:divBdr>
        <w:top w:val="none" w:sz="0" w:space="0" w:color="auto"/>
        <w:left w:val="none" w:sz="0" w:space="0" w:color="auto"/>
        <w:bottom w:val="none" w:sz="0" w:space="0" w:color="auto"/>
        <w:right w:val="none" w:sz="0" w:space="0" w:color="auto"/>
      </w:divBdr>
    </w:div>
    <w:div w:id="589778935">
      <w:bodyDiv w:val="1"/>
      <w:marLeft w:val="0"/>
      <w:marRight w:val="0"/>
      <w:marTop w:val="0"/>
      <w:marBottom w:val="0"/>
      <w:divBdr>
        <w:top w:val="none" w:sz="0" w:space="0" w:color="auto"/>
        <w:left w:val="none" w:sz="0" w:space="0" w:color="auto"/>
        <w:bottom w:val="none" w:sz="0" w:space="0" w:color="auto"/>
        <w:right w:val="none" w:sz="0" w:space="0" w:color="auto"/>
      </w:divBdr>
    </w:div>
    <w:div w:id="789208928">
      <w:bodyDiv w:val="1"/>
      <w:marLeft w:val="0"/>
      <w:marRight w:val="0"/>
      <w:marTop w:val="0"/>
      <w:marBottom w:val="0"/>
      <w:divBdr>
        <w:top w:val="none" w:sz="0" w:space="0" w:color="auto"/>
        <w:left w:val="none" w:sz="0" w:space="0" w:color="auto"/>
        <w:bottom w:val="none" w:sz="0" w:space="0" w:color="auto"/>
        <w:right w:val="none" w:sz="0" w:space="0" w:color="auto"/>
      </w:divBdr>
    </w:div>
    <w:div w:id="828667024">
      <w:bodyDiv w:val="1"/>
      <w:marLeft w:val="0"/>
      <w:marRight w:val="0"/>
      <w:marTop w:val="0"/>
      <w:marBottom w:val="0"/>
      <w:divBdr>
        <w:top w:val="none" w:sz="0" w:space="0" w:color="auto"/>
        <w:left w:val="none" w:sz="0" w:space="0" w:color="auto"/>
        <w:bottom w:val="none" w:sz="0" w:space="0" w:color="auto"/>
        <w:right w:val="none" w:sz="0" w:space="0" w:color="auto"/>
      </w:divBdr>
    </w:div>
    <w:div w:id="1071318576">
      <w:bodyDiv w:val="1"/>
      <w:marLeft w:val="0"/>
      <w:marRight w:val="0"/>
      <w:marTop w:val="0"/>
      <w:marBottom w:val="0"/>
      <w:divBdr>
        <w:top w:val="none" w:sz="0" w:space="0" w:color="auto"/>
        <w:left w:val="none" w:sz="0" w:space="0" w:color="auto"/>
        <w:bottom w:val="none" w:sz="0" w:space="0" w:color="auto"/>
        <w:right w:val="none" w:sz="0" w:space="0" w:color="auto"/>
      </w:divBdr>
    </w:div>
    <w:div w:id="1096445146">
      <w:bodyDiv w:val="1"/>
      <w:marLeft w:val="0"/>
      <w:marRight w:val="0"/>
      <w:marTop w:val="0"/>
      <w:marBottom w:val="0"/>
      <w:divBdr>
        <w:top w:val="none" w:sz="0" w:space="0" w:color="auto"/>
        <w:left w:val="none" w:sz="0" w:space="0" w:color="auto"/>
        <w:bottom w:val="none" w:sz="0" w:space="0" w:color="auto"/>
        <w:right w:val="none" w:sz="0" w:space="0" w:color="auto"/>
      </w:divBdr>
    </w:div>
    <w:div w:id="1104619141">
      <w:bodyDiv w:val="1"/>
      <w:marLeft w:val="0"/>
      <w:marRight w:val="0"/>
      <w:marTop w:val="0"/>
      <w:marBottom w:val="0"/>
      <w:divBdr>
        <w:top w:val="none" w:sz="0" w:space="0" w:color="auto"/>
        <w:left w:val="none" w:sz="0" w:space="0" w:color="auto"/>
        <w:bottom w:val="none" w:sz="0" w:space="0" w:color="auto"/>
        <w:right w:val="none" w:sz="0" w:space="0" w:color="auto"/>
      </w:divBdr>
    </w:div>
    <w:div w:id="1120030732">
      <w:bodyDiv w:val="1"/>
      <w:marLeft w:val="0"/>
      <w:marRight w:val="0"/>
      <w:marTop w:val="0"/>
      <w:marBottom w:val="0"/>
      <w:divBdr>
        <w:top w:val="none" w:sz="0" w:space="0" w:color="auto"/>
        <w:left w:val="none" w:sz="0" w:space="0" w:color="auto"/>
        <w:bottom w:val="none" w:sz="0" w:space="0" w:color="auto"/>
        <w:right w:val="none" w:sz="0" w:space="0" w:color="auto"/>
      </w:divBdr>
    </w:div>
    <w:div w:id="1146358525">
      <w:bodyDiv w:val="1"/>
      <w:marLeft w:val="0"/>
      <w:marRight w:val="0"/>
      <w:marTop w:val="0"/>
      <w:marBottom w:val="0"/>
      <w:divBdr>
        <w:top w:val="none" w:sz="0" w:space="0" w:color="auto"/>
        <w:left w:val="none" w:sz="0" w:space="0" w:color="auto"/>
        <w:bottom w:val="none" w:sz="0" w:space="0" w:color="auto"/>
        <w:right w:val="none" w:sz="0" w:space="0" w:color="auto"/>
      </w:divBdr>
    </w:div>
    <w:div w:id="1162087164">
      <w:bodyDiv w:val="1"/>
      <w:marLeft w:val="0"/>
      <w:marRight w:val="0"/>
      <w:marTop w:val="0"/>
      <w:marBottom w:val="0"/>
      <w:divBdr>
        <w:top w:val="none" w:sz="0" w:space="0" w:color="auto"/>
        <w:left w:val="none" w:sz="0" w:space="0" w:color="auto"/>
        <w:bottom w:val="none" w:sz="0" w:space="0" w:color="auto"/>
        <w:right w:val="none" w:sz="0" w:space="0" w:color="auto"/>
      </w:divBdr>
    </w:div>
    <w:div w:id="1172599550">
      <w:bodyDiv w:val="1"/>
      <w:marLeft w:val="0"/>
      <w:marRight w:val="0"/>
      <w:marTop w:val="0"/>
      <w:marBottom w:val="0"/>
      <w:divBdr>
        <w:top w:val="none" w:sz="0" w:space="0" w:color="auto"/>
        <w:left w:val="none" w:sz="0" w:space="0" w:color="auto"/>
        <w:bottom w:val="none" w:sz="0" w:space="0" w:color="auto"/>
        <w:right w:val="none" w:sz="0" w:space="0" w:color="auto"/>
      </w:divBdr>
    </w:div>
    <w:div w:id="1202523743">
      <w:bodyDiv w:val="1"/>
      <w:marLeft w:val="0"/>
      <w:marRight w:val="0"/>
      <w:marTop w:val="0"/>
      <w:marBottom w:val="0"/>
      <w:divBdr>
        <w:top w:val="none" w:sz="0" w:space="0" w:color="auto"/>
        <w:left w:val="none" w:sz="0" w:space="0" w:color="auto"/>
        <w:bottom w:val="none" w:sz="0" w:space="0" w:color="auto"/>
        <w:right w:val="none" w:sz="0" w:space="0" w:color="auto"/>
      </w:divBdr>
    </w:div>
    <w:div w:id="1269848396">
      <w:bodyDiv w:val="1"/>
      <w:marLeft w:val="0"/>
      <w:marRight w:val="0"/>
      <w:marTop w:val="0"/>
      <w:marBottom w:val="0"/>
      <w:divBdr>
        <w:top w:val="none" w:sz="0" w:space="0" w:color="auto"/>
        <w:left w:val="none" w:sz="0" w:space="0" w:color="auto"/>
        <w:bottom w:val="none" w:sz="0" w:space="0" w:color="auto"/>
        <w:right w:val="none" w:sz="0" w:space="0" w:color="auto"/>
      </w:divBdr>
    </w:div>
    <w:div w:id="1378512186">
      <w:bodyDiv w:val="1"/>
      <w:marLeft w:val="0"/>
      <w:marRight w:val="0"/>
      <w:marTop w:val="0"/>
      <w:marBottom w:val="0"/>
      <w:divBdr>
        <w:top w:val="none" w:sz="0" w:space="0" w:color="auto"/>
        <w:left w:val="none" w:sz="0" w:space="0" w:color="auto"/>
        <w:bottom w:val="none" w:sz="0" w:space="0" w:color="auto"/>
        <w:right w:val="none" w:sz="0" w:space="0" w:color="auto"/>
      </w:divBdr>
    </w:div>
    <w:div w:id="1450977574">
      <w:bodyDiv w:val="1"/>
      <w:marLeft w:val="0"/>
      <w:marRight w:val="0"/>
      <w:marTop w:val="0"/>
      <w:marBottom w:val="0"/>
      <w:divBdr>
        <w:top w:val="none" w:sz="0" w:space="0" w:color="auto"/>
        <w:left w:val="none" w:sz="0" w:space="0" w:color="auto"/>
        <w:bottom w:val="none" w:sz="0" w:space="0" w:color="auto"/>
        <w:right w:val="none" w:sz="0" w:space="0" w:color="auto"/>
      </w:divBdr>
    </w:div>
    <w:div w:id="1465082072">
      <w:bodyDiv w:val="1"/>
      <w:marLeft w:val="0"/>
      <w:marRight w:val="0"/>
      <w:marTop w:val="0"/>
      <w:marBottom w:val="0"/>
      <w:divBdr>
        <w:top w:val="none" w:sz="0" w:space="0" w:color="auto"/>
        <w:left w:val="none" w:sz="0" w:space="0" w:color="auto"/>
        <w:bottom w:val="none" w:sz="0" w:space="0" w:color="auto"/>
        <w:right w:val="none" w:sz="0" w:space="0" w:color="auto"/>
      </w:divBdr>
    </w:div>
    <w:div w:id="1503736167">
      <w:bodyDiv w:val="1"/>
      <w:marLeft w:val="0"/>
      <w:marRight w:val="0"/>
      <w:marTop w:val="0"/>
      <w:marBottom w:val="0"/>
      <w:divBdr>
        <w:top w:val="none" w:sz="0" w:space="0" w:color="auto"/>
        <w:left w:val="none" w:sz="0" w:space="0" w:color="auto"/>
        <w:bottom w:val="none" w:sz="0" w:space="0" w:color="auto"/>
        <w:right w:val="none" w:sz="0" w:space="0" w:color="auto"/>
      </w:divBdr>
    </w:div>
    <w:div w:id="1564174289">
      <w:bodyDiv w:val="1"/>
      <w:marLeft w:val="0"/>
      <w:marRight w:val="0"/>
      <w:marTop w:val="0"/>
      <w:marBottom w:val="0"/>
      <w:divBdr>
        <w:top w:val="none" w:sz="0" w:space="0" w:color="auto"/>
        <w:left w:val="none" w:sz="0" w:space="0" w:color="auto"/>
        <w:bottom w:val="none" w:sz="0" w:space="0" w:color="auto"/>
        <w:right w:val="none" w:sz="0" w:space="0" w:color="auto"/>
      </w:divBdr>
    </w:div>
    <w:div w:id="1582249450">
      <w:bodyDiv w:val="1"/>
      <w:marLeft w:val="0"/>
      <w:marRight w:val="0"/>
      <w:marTop w:val="0"/>
      <w:marBottom w:val="0"/>
      <w:divBdr>
        <w:top w:val="none" w:sz="0" w:space="0" w:color="auto"/>
        <w:left w:val="none" w:sz="0" w:space="0" w:color="auto"/>
        <w:bottom w:val="none" w:sz="0" w:space="0" w:color="auto"/>
        <w:right w:val="none" w:sz="0" w:space="0" w:color="auto"/>
      </w:divBdr>
    </w:div>
    <w:div w:id="1616711066">
      <w:bodyDiv w:val="1"/>
      <w:marLeft w:val="0"/>
      <w:marRight w:val="0"/>
      <w:marTop w:val="0"/>
      <w:marBottom w:val="0"/>
      <w:divBdr>
        <w:top w:val="none" w:sz="0" w:space="0" w:color="auto"/>
        <w:left w:val="none" w:sz="0" w:space="0" w:color="auto"/>
        <w:bottom w:val="none" w:sz="0" w:space="0" w:color="auto"/>
        <w:right w:val="none" w:sz="0" w:space="0" w:color="auto"/>
      </w:divBdr>
    </w:div>
    <w:div w:id="1627007653">
      <w:bodyDiv w:val="1"/>
      <w:marLeft w:val="0"/>
      <w:marRight w:val="0"/>
      <w:marTop w:val="0"/>
      <w:marBottom w:val="0"/>
      <w:divBdr>
        <w:top w:val="none" w:sz="0" w:space="0" w:color="auto"/>
        <w:left w:val="none" w:sz="0" w:space="0" w:color="auto"/>
        <w:bottom w:val="none" w:sz="0" w:space="0" w:color="auto"/>
        <w:right w:val="none" w:sz="0" w:space="0" w:color="auto"/>
      </w:divBdr>
    </w:div>
    <w:div w:id="1663774161">
      <w:bodyDiv w:val="1"/>
      <w:marLeft w:val="0"/>
      <w:marRight w:val="0"/>
      <w:marTop w:val="0"/>
      <w:marBottom w:val="0"/>
      <w:divBdr>
        <w:top w:val="none" w:sz="0" w:space="0" w:color="auto"/>
        <w:left w:val="none" w:sz="0" w:space="0" w:color="auto"/>
        <w:bottom w:val="none" w:sz="0" w:space="0" w:color="auto"/>
        <w:right w:val="none" w:sz="0" w:space="0" w:color="auto"/>
      </w:divBdr>
    </w:div>
    <w:div w:id="1686861274">
      <w:bodyDiv w:val="1"/>
      <w:marLeft w:val="0"/>
      <w:marRight w:val="0"/>
      <w:marTop w:val="0"/>
      <w:marBottom w:val="0"/>
      <w:divBdr>
        <w:top w:val="none" w:sz="0" w:space="0" w:color="auto"/>
        <w:left w:val="none" w:sz="0" w:space="0" w:color="auto"/>
        <w:bottom w:val="none" w:sz="0" w:space="0" w:color="auto"/>
        <w:right w:val="none" w:sz="0" w:space="0" w:color="auto"/>
      </w:divBdr>
    </w:div>
    <w:div w:id="1708093462">
      <w:bodyDiv w:val="1"/>
      <w:marLeft w:val="0"/>
      <w:marRight w:val="0"/>
      <w:marTop w:val="0"/>
      <w:marBottom w:val="0"/>
      <w:divBdr>
        <w:top w:val="none" w:sz="0" w:space="0" w:color="auto"/>
        <w:left w:val="none" w:sz="0" w:space="0" w:color="auto"/>
        <w:bottom w:val="none" w:sz="0" w:space="0" w:color="auto"/>
        <w:right w:val="none" w:sz="0" w:space="0" w:color="auto"/>
      </w:divBdr>
    </w:div>
    <w:div w:id="1763987836">
      <w:bodyDiv w:val="1"/>
      <w:marLeft w:val="0"/>
      <w:marRight w:val="0"/>
      <w:marTop w:val="0"/>
      <w:marBottom w:val="0"/>
      <w:divBdr>
        <w:top w:val="none" w:sz="0" w:space="0" w:color="auto"/>
        <w:left w:val="none" w:sz="0" w:space="0" w:color="auto"/>
        <w:bottom w:val="none" w:sz="0" w:space="0" w:color="auto"/>
        <w:right w:val="none" w:sz="0" w:space="0" w:color="auto"/>
      </w:divBdr>
    </w:div>
    <w:div w:id="1874078608">
      <w:bodyDiv w:val="1"/>
      <w:marLeft w:val="0"/>
      <w:marRight w:val="0"/>
      <w:marTop w:val="0"/>
      <w:marBottom w:val="0"/>
      <w:divBdr>
        <w:top w:val="none" w:sz="0" w:space="0" w:color="auto"/>
        <w:left w:val="none" w:sz="0" w:space="0" w:color="auto"/>
        <w:bottom w:val="none" w:sz="0" w:space="0" w:color="auto"/>
        <w:right w:val="none" w:sz="0" w:space="0" w:color="auto"/>
      </w:divBdr>
    </w:div>
    <w:div w:id="1904632272">
      <w:bodyDiv w:val="1"/>
      <w:marLeft w:val="0"/>
      <w:marRight w:val="0"/>
      <w:marTop w:val="0"/>
      <w:marBottom w:val="0"/>
      <w:divBdr>
        <w:top w:val="none" w:sz="0" w:space="0" w:color="auto"/>
        <w:left w:val="none" w:sz="0" w:space="0" w:color="auto"/>
        <w:bottom w:val="none" w:sz="0" w:space="0" w:color="auto"/>
        <w:right w:val="none" w:sz="0" w:space="0" w:color="auto"/>
      </w:divBdr>
    </w:div>
    <w:div w:id="1916818496">
      <w:bodyDiv w:val="1"/>
      <w:marLeft w:val="0"/>
      <w:marRight w:val="0"/>
      <w:marTop w:val="0"/>
      <w:marBottom w:val="0"/>
      <w:divBdr>
        <w:top w:val="none" w:sz="0" w:space="0" w:color="auto"/>
        <w:left w:val="none" w:sz="0" w:space="0" w:color="auto"/>
        <w:bottom w:val="none" w:sz="0" w:space="0" w:color="auto"/>
        <w:right w:val="none" w:sz="0" w:space="0" w:color="auto"/>
      </w:divBdr>
    </w:div>
    <w:div w:id="1938441599">
      <w:bodyDiv w:val="1"/>
      <w:marLeft w:val="0"/>
      <w:marRight w:val="0"/>
      <w:marTop w:val="0"/>
      <w:marBottom w:val="0"/>
      <w:divBdr>
        <w:top w:val="none" w:sz="0" w:space="0" w:color="auto"/>
        <w:left w:val="none" w:sz="0" w:space="0" w:color="auto"/>
        <w:bottom w:val="none" w:sz="0" w:space="0" w:color="auto"/>
        <w:right w:val="none" w:sz="0" w:space="0" w:color="auto"/>
      </w:divBdr>
    </w:div>
    <w:div w:id="1977568862">
      <w:bodyDiv w:val="1"/>
      <w:marLeft w:val="0"/>
      <w:marRight w:val="0"/>
      <w:marTop w:val="0"/>
      <w:marBottom w:val="0"/>
      <w:divBdr>
        <w:top w:val="none" w:sz="0" w:space="0" w:color="auto"/>
        <w:left w:val="none" w:sz="0" w:space="0" w:color="auto"/>
        <w:bottom w:val="none" w:sz="0" w:space="0" w:color="auto"/>
        <w:right w:val="none" w:sz="0" w:space="0" w:color="auto"/>
      </w:divBdr>
    </w:div>
    <w:div w:id="1987928293">
      <w:bodyDiv w:val="1"/>
      <w:marLeft w:val="0"/>
      <w:marRight w:val="0"/>
      <w:marTop w:val="0"/>
      <w:marBottom w:val="0"/>
      <w:divBdr>
        <w:top w:val="none" w:sz="0" w:space="0" w:color="auto"/>
        <w:left w:val="none" w:sz="0" w:space="0" w:color="auto"/>
        <w:bottom w:val="none" w:sz="0" w:space="0" w:color="auto"/>
        <w:right w:val="none" w:sz="0" w:space="0" w:color="auto"/>
      </w:divBdr>
    </w:div>
    <w:div w:id="2011522600">
      <w:bodyDiv w:val="1"/>
      <w:marLeft w:val="0"/>
      <w:marRight w:val="0"/>
      <w:marTop w:val="0"/>
      <w:marBottom w:val="0"/>
      <w:divBdr>
        <w:top w:val="none" w:sz="0" w:space="0" w:color="auto"/>
        <w:left w:val="none" w:sz="0" w:space="0" w:color="auto"/>
        <w:bottom w:val="none" w:sz="0" w:space="0" w:color="auto"/>
        <w:right w:val="none" w:sz="0" w:space="0" w:color="auto"/>
      </w:divBdr>
    </w:div>
    <w:div w:id="2019305207">
      <w:bodyDiv w:val="1"/>
      <w:marLeft w:val="0"/>
      <w:marRight w:val="0"/>
      <w:marTop w:val="0"/>
      <w:marBottom w:val="0"/>
      <w:divBdr>
        <w:top w:val="none" w:sz="0" w:space="0" w:color="auto"/>
        <w:left w:val="none" w:sz="0" w:space="0" w:color="auto"/>
        <w:bottom w:val="none" w:sz="0" w:space="0" w:color="auto"/>
        <w:right w:val="none" w:sz="0" w:space="0" w:color="auto"/>
      </w:divBdr>
    </w:div>
    <w:div w:id="2042438342">
      <w:bodyDiv w:val="1"/>
      <w:marLeft w:val="0"/>
      <w:marRight w:val="0"/>
      <w:marTop w:val="0"/>
      <w:marBottom w:val="0"/>
      <w:divBdr>
        <w:top w:val="none" w:sz="0" w:space="0" w:color="auto"/>
        <w:left w:val="none" w:sz="0" w:space="0" w:color="auto"/>
        <w:bottom w:val="none" w:sz="0" w:space="0" w:color="auto"/>
        <w:right w:val="none" w:sz="0" w:space="0" w:color="auto"/>
      </w:divBdr>
    </w:div>
    <w:div w:id="2058583728">
      <w:bodyDiv w:val="1"/>
      <w:marLeft w:val="0"/>
      <w:marRight w:val="0"/>
      <w:marTop w:val="0"/>
      <w:marBottom w:val="0"/>
      <w:divBdr>
        <w:top w:val="none" w:sz="0" w:space="0" w:color="auto"/>
        <w:left w:val="none" w:sz="0" w:space="0" w:color="auto"/>
        <w:bottom w:val="none" w:sz="0" w:space="0" w:color="auto"/>
        <w:right w:val="none" w:sz="0" w:space="0" w:color="auto"/>
      </w:divBdr>
    </w:div>
    <w:div w:id="2081518846">
      <w:bodyDiv w:val="1"/>
      <w:marLeft w:val="0"/>
      <w:marRight w:val="0"/>
      <w:marTop w:val="0"/>
      <w:marBottom w:val="0"/>
      <w:divBdr>
        <w:top w:val="none" w:sz="0" w:space="0" w:color="auto"/>
        <w:left w:val="none" w:sz="0" w:space="0" w:color="auto"/>
        <w:bottom w:val="none" w:sz="0" w:space="0" w:color="auto"/>
        <w:right w:val="none" w:sz="0" w:space="0" w:color="auto"/>
      </w:divBdr>
    </w:div>
    <w:div w:id="214172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8</Pages>
  <Words>3131</Words>
  <Characters>21166</Characters>
  <Application>Microsoft Office Word</Application>
  <DocSecurity>0</DocSecurity>
  <Lines>325</Lines>
  <Paragraphs>84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Keogh, Sophie</dc:creator>
  <cp:keywords/>
  <dc:description/>
  <cp:lastModifiedBy>Keogh, Sophie</cp:lastModifiedBy>
  <cp:revision>139</cp:revision>
  <dcterms:created xsi:type="dcterms:W3CDTF">2025-10-30T13:34:00Z</dcterms:created>
  <dcterms:modified xsi:type="dcterms:W3CDTF">2025-11-07T13:15:00Z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2025-10-30T13:49:30Z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384cbb76-1751-4644-8a11-7ec5f5edc0f0</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