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940090" w14:textId="22BEFA65" w:rsidR="00073299" w:rsidRDefault="004A506C">
      <w:r>
        <w:rPr>
          <w:b/>
          <w:sz w:val="24"/>
        </w:rPr>
        <w:t>NSEDA Assignment C: Solution Sheet</w:t>
      </w:r>
    </w:p>
    <w:p w14:paraId="1022FE5E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Use of this sheet</w:t>
      </w:r>
    </w:p>
    <w:p w14:paraId="29850882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 xml:space="preserve">This is an indicative staff solution. </w:t>
      </w:r>
      <w:proofErr w:type="gramStart"/>
      <w:r w:rsidRPr="00CD6F9F">
        <w:rPr>
          <w:lang w:val="en-GB"/>
        </w:rPr>
        <w:t>Credit equivalent scientifically defensible approaches,</w:t>
      </w:r>
      <w:proofErr w:type="gramEnd"/>
      <w:r w:rsidRPr="00CD6F9F">
        <w:rPr>
          <w:lang w:val="en-GB"/>
        </w:rPr>
        <w:t xml:space="preserve"> provided assumptions are clearly stated and calculations are internally consistent.</w:t>
      </w:r>
    </w:p>
    <w:p w14:paraId="6FA42B15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Order-of-magnitude correctness and well-supported reasoning are more important than exact numerical agreement.</w:t>
      </w:r>
    </w:p>
    <w:p w14:paraId="0815A5E4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18F8EBF1">
          <v:rect id="_x0000_i1025" style="width:0;height:1.5pt" o:hralign="center" o:hrstd="t" o:hr="t" fillcolor="#a0a0a0" stroked="f"/>
        </w:pict>
      </w:r>
    </w:p>
    <w:p w14:paraId="4189C69D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Key indicative numerical answers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61"/>
        <w:gridCol w:w="1699"/>
        <w:gridCol w:w="3034"/>
      </w:tblGrid>
      <w:tr w:rsidR="00CD6F9F" w:rsidRPr="00CD6F9F" w14:paraId="741D5892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D954402" w14:textId="77777777" w:rsidR="00CD6F9F" w:rsidRPr="00CD6F9F" w:rsidRDefault="00CD6F9F" w:rsidP="00CD6F9F">
            <w:pPr>
              <w:rPr>
                <w:b/>
                <w:bCs/>
                <w:lang w:val="en-GB"/>
              </w:rPr>
            </w:pPr>
            <w:r w:rsidRPr="00CD6F9F">
              <w:rPr>
                <w:b/>
                <w:bCs/>
                <w:lang w:val="en-GB"/>
              </w:rPr>
              <w:t>Quantity</w:t>
            </w:r>
          </w:p>
        </w:tc>
        <w:tc>
          <w:tcPr>
            <w:tcW w:w="0" w:type="auto"/>
            <w:vAlign w:val="center"/>
            <w:hideMark/>
          </w:tcPr>
          <w:p w14:paraId="425EEBCD" w14:textId="77777777" w:rsidR="00CD6F9F" w:rsidRPr="00CD6F9F" w:rsidRDefault="00CD6F9F" w:rsidP="00CD6F9F">
            <w:pPr>
              <w:rPr>
                <w:b/>
                <w:bCs/>
                <w:lang w:val="en-GB"/>
              </w:rPr>
            </w:pPr>
            <w:r w:rsidRPr="00CD6F9F">
              <w:rPr>
                <w:b/>
                <w:bCs/>
                <w:lang w:val="en-GB"/>
              </w:rPr>
              <w:t>Indicative value</w:t>
            </w:r>
          </w:p>
        </w:tc>
        <w:tc>
          <w:tcPr>
            <w:tcW w:w="0" w:type="auto"/>
            <w:vAlign w:val="center"/>
            <w:hideMark/>
          </w:tcPr>
          <w:p w14:paraId="4E88E09A" w14:textId="77777777" w:rsidR="00CD6F9F" w:rsidRPr="00CD6F9F" w:rsidRDefault="00CD6F9F" w:rsidP="00CD6F9F">
            <w:pPr>
              <w:rPr>
                <w:b/>
                <w:bCs/>
                <w:lang w:val="en-GB"/>
              </w:rPr>
            </w:pPr>
            <w:r w:rsidRPr="00CD6F9F">
              <w:rPr>
                <w:b/>
                <w:bCs/>
                <w:lang w:val="en-GB"/>
              </w:rPr>
              <w:t>Marker note</w:t>
            </w:r>
          </w:p>
        </w:tc>
      </w:tr>
      <w:tr w:rsidR="00CD6F9F" w:rsidRPr="00CD6F9F" w14:paraId="4332A7B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DBD712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Source activity (02 Nov 2024)</w:t>
            </w:r>
          </w:p>
        </w:tc>
        <w:tc>
          <w:tcPr>
            <w:tcW w:w="0" w:type="auto"/>
            <w:vAlign w:val="center"/>
            <w:hideMark/>
          </w:tcPr>
          <w:p w14:paraId="20D69519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 xml:space="preserve">≈ 130–135 </w:t>
            </w:r>
            <w:proofErr w:type="spellStart"/>
            <w:r w:rsidRPr="00CD6F9F">
              <w:rPr>
                <w:lang w:val="en-GB"/>
              </w:rPr>
              <w:t>PBq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322A577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Accept reasonable rounding</w:t>
            </w:r>
          </w:p>
        </w:tc>
      </w:tr>
      <w:tr w:rsidR="00CD6F9F" w:rsidRPr="00CD6F9F" w14:paraId="3A660B0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58D706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Dose rate at 2 m</w:t>
            </w:r>
          </w:p>
        </w:tc>
        <w:tc>
          <w:tcPr>
            <w:tcW w:w="0" w:type="auto"/>
            <w:vAlign w:val="center"/>
            <w:hideMark/>
          </w:tcPr>
          <w:p w14:paraId="303DB5DB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≈ 10–12 Sv h</w:t>
            </w:r>
            <w:r w:rsidRPr="00CD6F9F">
              <w:rPr>
                <w:rFonts w:ascii="Cambria Math" w:hAnsi="Cambria Math" w:cs="Cambria Math"/>
                <w:lang w:val="en-GB"/>
              </w:rPr>
              <w:t>⁻</w:t>
            </w:r>
            <w:r w:rsidRPr="00CD6F9F">
              <w:rPr>
                <w:rFonts w:cs="Arial"/>
                <w:lang w:val="en-GB"/>
              </w:rPr>
              <w:t>¹</w:t>
            </w:r>
          </w:p>
        </w:tc>
        <w:tc>
          <w:tcPr>
            <w:tcW w:w="0" w:type="auto"/>
            <w:vAlign w:val="center"/>
            <w:hideMark/>
          </w:tcPr>
          <w:p w14:paraId="4A7660A2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Point-source approximation</w:t>
            </w:r>
          </w:p>
        </w:tc>
      </w:tr>
      <w:tr w:rsidR="00CD6F9F" w:rsidRPr="00CD6F9F" w14:paraId="71390EF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C2061F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Dose rate at first maze bend</w:t>
            </w:r>
          </w:p>
        </w:tc>
        <w:tc>
          <w:tcPr>
            <w:tcW w:w="0" w:type="auto"/>
            <w:vAlign w:val="center"/>
            <w:hideMark/>
          </w:tcPr>
          <w:p w14:paraId="6971D9C1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≈ 0.5–1 Sv h</w:t>
            </w:r>
            <w:r w:rsidRPr="00CD6F9F">
              <w:rPr>
                <w:rFonts w:ascii="Cambria Math" w:hAnsi="Cambria Math" w:cs="Cambria Math"/>
                <w:lang w:val="en-GB"/>
              </w:rPr>
              <w:t>⁻</w:t>
            </w:r>
            <w:r w:rsidRPr="00CD6F9F">
              <w:rPr>
                <w:rFonts w:cs="Arial"/>
                <w:lang w:val="en-GB"/>
              </w:rPr>
              <w:t>¹</w:t>
            </w:r>
          </w:p>
        </w:tc>
        <w:tc>
          <w:tcPr>
            <w:tcW w:w="0" w:type="auto"/>
            <w:vAlign w:val="center"/>
            <w:hideMark/>
          </w:tcPr>
          <w:p w14:paraId="4FBBC31D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Consistent with ~850 mSv/h</w:t>
            </w:r>
          </w:p>
        </w:tc>
      </w:tr>
      <w:tr w:rsidR="00CD6F9F" w:rsidRPr="00CD6F9F" w14:paraId="3E1018A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010FD9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Dose rate at maze entrance</w:t>
            </w:r>
          </w:p>
        </w:tc>
        <w:tc>
          <w:tcPr>
            <w:tcW w:w="0" w:type="auto"/>
            <w:vAlign w:val="center"/>
            <w:hideMark/>
          </w:tcPr>
          <w:p w14:paraId="04C9CF21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≈ 1–3 µSv h</w:t>
            </w:r>
            <w:r w:rsidRPr="00CD6F9F">
              <w:rPr>
                <w:rFonts w:ascii="Cambria Math" w:hAnsi="Cambria Math" w:cs="Cambria Math"/>
                <w:lang w:val="en-GB"/>
              </w:rPr>
              <w:t>⁻</w:t>
            </w:r>
            <w:r w:rsidRPr="00CD6F9F">
              <w:rPr>
                <w:rFonts w:cs="Arial"/>
                <w:lang w:val="en-GB"/>
              </w:rPr>
              <w:t>¹</w:t>
            </w:r>
          </w:p>
        </w:tc>
        <w:tc>
          <w:tcPr>
            <w:tcW w:w="0" w:type="auto"/>
            <w:vAlign w:val="center"/>
            <w:hideMark/>
          </w:tcPr>
          <w:p w14:paraId="4D1BC98E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After maze attenuation</w:t>
            </w:r>
          </w:p>
        </w:tc>
      </w:tr>
      <w:tr w:rsidR="00CD6F9F" w:rsidRPr="00CD6F9F" w14:paraId="437EBCC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8E0D12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Estimated technician dose</w:t>
            </w:r>
          </w:p>
        </w:tc>
        <w:tc>
          <w:tcPr>
            <w:tcW w:w="0" w:type="auto"/>
            <w:vAlign w:val="center"/>
            <w:hideMark/>
          </w:tcPr>
          <w:p w14:paraId="06981594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≈ 20–40 mSv</w:t>
            </w:r>
          </w:p>
        </w:tc>
        <w:tc>
          <w:tcPr>
            <w:tcW w:w="0" w:type="auto"/>
            <w:vAlign w:val="center"/>
            <w:hideMark/>
          </w:tcPr>
          <w:p w14:paraId="13807E6C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Consistent with TLD 27.1 mSv</w:t>
            </w:r>
          </w:p>
        </w:tc>
      </w:tr>
    </w:tbl>
    <w:p w14:paraId="701D7D21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20803E44">
          <v:rect id="_x0000_i1026" style="width:0;height:1.5pt" o:hralign="center" o:hrstd="t" o:hr="t" fillcolor="#a0a0a0" stroked="f"/>
        </w:pict>
      </w:r>
    </w:p>
    <w:p w14:paraId="36563C79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1. Framing expected from a good report</w:t>
      </w:r>
    </w:p>
    <w:p w14:paraId="255AAD93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Strong submissions will:</w:t>
      </w:r>
    </w:p>
    <w:p w14:paraId="22C19C0C" w14:textId="77777777" w:rsidR="00CD6F9F" w:rsidRPr="00CD6F9F" w:rsidRDefault="00CD6F9F" w:rsidP="00CD6F9F">
      <w:pPr>
        <w:numPr>
          <w:ilvl w:val="0"/>
          <w:numId w:val="10"/>
        </w:numPr>
        <w:rPr>
          <w:lang w:val="en-GB"/>
        </w:rPr>
      </w:pPr>
      <w:r w:rsidRPr="00CD6F9F">
        <w:rPr>
          <w:lang w:val="en-GB"/>
        </w:rPr>
        <w:t xml:space="preserve">integrate source physics, shielding, and geometry </w:t>
      </w:r>
    </w:p>
    <w:p w14:paraId="788C424F" w14:textId="77777777" w:rsidR="00CD6F9F" w:rsidRPr="00CD6F9F" w:rsidRDefault="00CD6F9F" w:rsidP="00CD6F9F">
      <w:pPr>
        <w:numPr>
          <w:ilvl w:val="0"/>
          <w:numId w:val="10"/>
        </w:numPr>
        <w:rPr>
          <w:lang w:val="en-GB"/>
        </w:rPr>
      </w:pPr>
      <w:r w:rsidRPr="00CD6F9F">
        <w:rPr>
          <w:lang w:val="en-GB"/>
        </w:rPr>
        <w:t xml:space="preserve">justify decay correction and point-source assumptions </w:t>
      </w:r>
    </w:p>
    <w:p w14:paraId="37D8DB9E" w14:textId="77777777" w:rsidR="00CD6F9F" w:rsidRPr="00CD6F9F" w:rsidRDefault="00CD6F9F" w:rsidP="00CD6F9F">
      <w:pPr>
        <w:numPr>
          <w:ilvl w:val="0"/>
          <w:numId w:val="10"/>
        </w:numPr>
        <w:rPr>
          <w:lang w:val="en-GB"/>
        </w:rPr>
      </w:pPr>
      <w:r w:rsidRPr="00CD6F9F">
        <w:rPr>
          <w:lang w:val="en-GB"/>
        </w:rPr>
        <w:t xml:space="preserve">recognise that the maze creates a </w:t>
      </w:r>
      <w:r w:rsidRPr="00CD6F9F">
        <w:rPr>
          <w:b/>
          <w:bCs/>
          <w:lang w:val="en-GB"/>
        </w:rPr>
        <w:t>highly non-uniform scattered field</w:t>
      </w:r>
      <w:r w:rsidRPr="00CD6F9F">
        <w:rPr>
          <w:lang w:val="en-GB"/>
        </w:rPr>
        <w:t xml:space="preserve"> </w:t>
      </w:r>
    </w:p>
    <w:p w14:paraId="156E0D40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Students should explicitly state assumptions about:</w:t>
      </w:r>
    </w:p>
    <w:p w14:paraId="39FF035A" w14:textId="77777777" w:rsidR="00CD6F9F" w:rsidRPr="00CD6F9F" w:rsidRDefault="00CD6F9F" w:rsidP="00CD6F9F">
      <w:pPr>
        <w:numPr>
          <w:ilvl w:val="0"/>
          <w:numId w:val="11"/>
        </w:numPr>
        <w:rPr>
          <w:lang w:val="en-GB"/>
        </w:rPr>
      </w:pPr>
      <w:r w:rsidRPr="00CD6F9F">
        <w:rPr>
          <w:lang w:val="en-GB"/>
        </w:rPr>
        <w:t xml:space="preserve">attenuation per maze bend </w:t>
      </w:r>
    </w:p>
    <w:p w14:paraId="073068E4" w14:textId="77777777" w:rsidR="00CD6F9F" w:rsidRPr="00CD6F9F" w:rsidRDefault="00CD6F9F" w:rsidP="00CD6F9F">
      <w:pPr>
        <w:numPr>
          <w:ilvl w:val="0"/>
          <w:numId w:val="11"/>
        </w:numPr>
        <w:rPr>
          <w:lang w:val="en-GB"/>
        </w:rPr>
      </w:pPr>
      <w:r w:rsidRPr="00CD6F9F">
        <w:rPr>
          <w:lang w:val="en-GB"/>
        </w:rPr>
        <w:t xml:space="preserve">exposure time (~2 minutes) </w:t>
      </w:r>
    </w:p>
    <w:p w14:paraId="6734BA75" w14:textId="77777777" w:rsidR="00CD6F9F" w:rsidRPr="00CD6F9F" w:rsidRDefault="00CD6F9F" w:rsidP="00CD6F9F">
      <w:pPr>
        <w:numPr>
          <w:ilvl w:val="0"/>
          <w:numId w:val="11"/>
        </w:numPr>
        <w:rPr>
          <w:lang w:val="en-GB"/>
        </w:rPr>
      </w:pPr>
      <w:r w:rsidRPr="00CD6F9F">
        <w:rPr>
          <w:lang w:val="en-GB"/>
        </w:rPr>
        <w:t xml:space="preserve">technician position within the maze </w:t>
      </w:r>
    </w:p>
    <w:p w14:paraId="6CE20D37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72E175A4">
          <v:rect id="_x0000_i1027" style="width:0;height:1.5pt" o:hralign="center" o:hrstd="t" o:hr="t" fillcolor="#a0a0a0" stroked="f"/>
        </w:pict>
      </w:r>
    </w:p>
    <w:p w14:paraId="3721FAB5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2. Worked scientific solution</w:t>
      </w:r>
    </w:p>
    <w:p w14:paraId="2D9BB1D2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lastRenderedPageBreak/>
        <w:pict w14:anchorId="4E6B0498">
          <v:rect id="_x0000_i1028" style="width:0;height:1.5pt" o:hralign="center" o:hrstd="t" o:hr="t" fillcolor="#a0a0a0" stroked="f"/>
        </w:pict>
      </w:r>
    </w:p>
    <w:p w14:paraId="49018461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2.1 Suitability of cobalt-60</w:t>
      </w:r>
    </w:p>
    <w:p w14:paraId="5A4054D4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Co-60 is suitable because:</w:t>
      </w:r>
    </w:p>
    <w:p w14:paraId="71032FD1" w14:textId="77777777" w:rsidR="00CD6F9F" w:rsidRPr="00CD6F9F" w:rsidRDefault="00CD6F9F" w:rsidP="00CD6F9F">
      <w:pPr>
        <w:numPr>
          <w:ilvl w:val="0"/>
          <w:numId w:val="12"/>
        </w:numPr>
        <w:rPr>
          <w:lang w:val="en-GB"/>
        </w:rPr>
      </w:pPr>
      <w:r w:rsidRPr="00CD6F9F">
        <w:rPr>
          <w:lang w:val="en-GB"/>
        </w:rPr>
        <w:t xml:space="preserve">emits high-energy gamma rays (~1.17 and 1.33 MeV) </w:t>
      </w:r>
    </w:p>
    <w:p w14:paraId="224E46DC" w14:textId="77777777" w:rsidR="00CD6F9F" w:rsidRPr="00CD6F9F" w:rsidRDefault="00CD6F9F" w:rsidP="00CD6F9F">
      <w:pPr>
        <w:numPr>
          <w:ilvl w:val="0"/>
          <w:numId w:val="12"/>
        </w:numPr>
        <w:rPr>
          <w:lang w:val="en-GB"/>
        </w:rPr>
      </w:pPr>
      <w:r w:rsidRPr="00CD6F9F">
        <w:rPr>
          <w:lang w:val="en-GB"/>
        </w:rPr>
        <w:t xml:space="preserve">provides deep penetration for sterilisation </w:t>
      </w:r>
    </w:p>
    <w:p w14:paraId="300128FC" w14:textId="77777777" w:rsidR="00CD6F9F" w:rsidRPr="00CD6F9F" w:rsidRDefault="00CD6F9F" w:rsidP="00CD6F9F">
      <w:pPr>
        <w:numPr>
          <w:ilvl w:val="0"/>
          <w:numId w:val="12"/>
        </w:numPr>
        <w:rPr>
          <w:lang w:val="en-GB"/>
        </w:rPr>
      </w:pPr>
      <w:r w:rsidRPr="00CD6F9F">
        <w:rPr>
          <w:lang w:val="en-GB"/>
        </w:rPr>
        <w:t xml:space="preserve">relatively long half-life (~5.27 years) allows sustained operation </w:t>
      </w:r>
    </w:p>
    <w:p w14:paraId="378E14D4" w14:textId="77777777" w:rsidR="00CD6F9F" w:rsidRPr="00CD6F9F" w:rsidRDefault="00CD6F9F" w:rsidP="00CD6F9F">
      <w:pPr>
        <w:numPr>
          <w:ilvl w:val="0"/>
          <w:numId w:val="12"/>
        </w:numPr>
        <w:rPr>
          <w:lang w:val="en-GB"/>
        </w:rPr>
      </w:pPr>
      <w:r w:rsidRPr="00CD6F9F">
        <w:rPr>
          <w:lang w:val="en-GB"/>
        </w:rPr>
        <w:t xml:space="preserve">can be fabricated into sealed, high-activity source pencils </w:t>
      </w:r>
    </w:p>
    <w:p w14:paraId="60C1D537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Very high activities are required to:</w:t>
      </w:r>
    </w:p>
    <w:p w14:paraId="071D94C6" w14:textId="77777777" w:rsidR="00CD6F9F" w:rsidRPr="00CD6F9F" w:rsidRDefault="00CD6F9F" w:rsidP="00CD6F9F">
      <w:pPr>
        <w:numPr>
          <w:ilvl w:val="0"/>
          <w:numId w:val="13"/>
        </w:numPr>
        <w:rPr>
          <w:lang w:val="en-GB"/>
        </w:rPr>
      </w:pPr>
      <w:r w:rsidRPr="00CD6F9F">
        <w:rPr>
          <w:lang w:val="en-GB"/>
        </w:rPr>
        <w:t>deliver sterilisation doses (</w:t>
      </w:r>
      <w:proofErr w:type="spellStart"/>
      <w:r w:rsidRPr="00CD6F9F">
        <w:rPr>
          <w:lang w:val="en-GB"/>
        </w:rPr>
        <w:t>kGy</w:t>
      </w:r>
      <w:proofErr w:type="spellEnd"/>
      <w:r w:rsidRPr="00CD6F9F">
        <w:rPr>
          <w:lang w:val="en-GB"/>
        </w:rPr>
        <w:t xml:space="preserve"> range) </w:t>
      </w:r>
    </w:p>
    <w:p w14:paraId="14E111BA" w14:textId="77777777" w:rsidR="00CD6F9F" w:rsidRPr="00CD6F9F" w:rsidRDefault="00CD6F9F" w:rsidP="00CD6F9F">
      <w:pPr>
        <w:numPr>
          <w:ilvl w:val="0"/>
          <w:numId w:val="13"/>
        </w:numPr>
        <w:rPr>
          <w:lang w:val="en-GB"/>
        </w:rPr>
      </w:pPr>
      <w:r w:rsidRPr="00CD6F9F">
        <w:rPr>
          <w:lang w:val="en-GB"/>
        </w:rPr>
        <w:t xml:space="preserve">maintain throughput in industrial processing </w:t>
      </w:r>
    </w:p>
    <w:p w14:paraId="1971BCFA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7A9C2A56">
          <v:rect id="_x0000_i1029" style="width:0;height:1.5pt" o:hralign="center" o:hrstd="t" o:hr="t" fillcolor="#a0a0a0" stroked="f"/>
        </w:pict>
      </w:r>
    </w:p>
    <w:p w14:paraId="3B6B8356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2.2 Decay-corrected activity</w:t>
      </w:r>
    </w:p>
    <w:p w14:paraId="269A3CC8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Given:</w:t>
      </w:r>
    </w:p>
    <w:p w14:paraId="061A8386" w14:textId="77777777" w:rsidR="00CD6F9F" w:rsidRPr="00CD6F9F" w:rsidRDefault="00CD6F9F" w:rsidP="00CD6F9F">
      <w:pPr>
        <w:numPr>
          <w:ilvl w:val="0"/>
          <w:numId w:val="14"/>
        </w:numPr>
        <w:rPr>
          <w:lang w:val="en-GB"/>
        </w:rPr>
      </w:pPr>
      <w:r w:rsidRPr="00CD6F9F">
        <w:rPr>
          <w:lang w:val="en-GB"/>
        </w:rPr>
        <w:t xml:space="preserve">Initial activity = 185 </w:t>
      </w:r>
      <w:proofErr w:type="spellStart"/>
      <w:r w:rsidRPr="00CD6F9F">
        <w:rPr>
          <w:lang w:val="en-GB"/>
        </w:rPr>
        <w:t>PBq</w:t>
      </w:r>
      <w:proofErr w:type="spellEnd"/>
      <w:r w:rsidRPr="00CD6F9F">
        <w:rPr>
          <w:lang w:val="en-GB"/>
        </w:rPr>
        <w:t xml:space="preserve"> (June 2022) </w:t>
      </w:r>
    </w:p>
    <w:p w14:paraId="42346E5E" w14:textId="77777777" w:rsidR="00CD6F9F" w:rsidRPr="00CD6F9F" w:rsidRDefault="00CD6F9F" w:rsidP="00CD6F9F">
      <w:pPr>
        <w:numPr>
          <w:ilvl w:val="0"/>
          <w:numId w:val="14"/>
        </w:numPr>
        <w:rPr>
          <w:lang w:val="en-GB"/>
        </w:rPr>
      </w:pPr>
      <w:r w:rsidRPr="00CD6F9F">
        <w:rPr>
          <w:lang w:val="en-GB"/>
        </w:rPr>
        <w:t xml:space="preserve">Time elapsed ≈ 2.4 years </w:t>
      </w:r>
    </w:p>
    <w:p w14:paraId="707AD8F3" w14:textId="77777777" w:rsidR="00CD6F9F" w:rsidRPr="00CD6F9F" w:rsidRDefault="00CD6F9F" w:rsidP="00CD6F9F">
      <w:pPr>
        <w:numPr>
          <w:ilvl w:val="0"/>
          <w:numId w:val="14"/>
        </w:numPr>
        <w:rPr>
          <w:lang w:val="en-GB"/>
        </w:rPr>
      </w:pPr>
      <w:r w:rsidRPr="00CD6F9F">
        <w:rPr>
          <w:lang w:val="en-GB"/>
        </w:rPr>
        <w:t xml:space="preserve">Half-life = 5.27 years </w:t>
      </w:r>
    </w:p>
    <w:p w14:paraId="33E1C316" w14:textId="30903ED2" w:rsidR="00CD6F9F" w:rsidRPr="00CD6F9F" w:rsidRDefault="00CD6F9F" w:rsidP="00CD6F9F">
      <w:pPr>
        <w:rPr>
          <w:lang w:val="en-GB"/>
        </w:rPr>
      </w:pPr>
      <m:oMathPara>
        <m:oMath>
          <m:r>
            <w:rPr>
              <w:rFonts w:ascii="Cambria Math" w:hAnsi="Cambria Math"/>
              <w:lang w:val="en-GB"/>
            </w:rPr>
            <m:t>A=185×</m:t>
          </m:r>
          <m:sSup>
            <m:sSupPr>
              <m:ctrlPr>
                <w:rPr>
                  <w:rFonts w:ascii="Cambria Math" w:hAnsi="Cambria Math"/>
                  <w:lang w:val="en-GB"/>
                </w:rPr>
              </m:ctrlPr>
            </m:sSupPr>
            <m:e>
              <m:r>
                <w:rPr>
                  <w:rFonts w:ascii="Cambria Math" w:hAnsi="Cambria Math"/>
                  <w:lang w:val="en-GB"/>
                </w:rPr>
                <m:t>2</m:t>
              </m:r>
            </m:e>
            <m:sup>
              <m:r>
                <w:rPr>
                  <w:rFonts w:ascii="Cambria Math" w:hAnsi="Cambria Math"/>
                  <w:lang w:val="en-GB"/>
                </w:rPr>
                <m:t>-2.4</m:t>
              </m:r>
              <m:r>
                <m:rPr>
                  <m:sty m:val="p"/>
                </m:rPr>
                <w:rPr>
                  <w:rFonts w:ascii="Cambria Math" w:hAnsi="Cambria Math"/>
                  <w:lang w:val="en-GB"/>
                </w:rPr>
                <m:t>/</m:t>
              </m:r>
              <m:r>
                <w:rPr>
                  <w:rFonts w:ascii="Cambria Math" w:hAnsi="Cambria Math"/>
                  <w:lang w:val="en-GB"/>
                </w:rPr>
                <m:t>5.27</m:t>
              </m:r>
            </m:sup>
          </m:sSup>
          <m:r>
            <w:rPr>
              <w:rFonts w:ascii="Cambria Math" w:hAnsi="Cambria Math"/>
              <w:lang w:val="en-GB"/>
            </w:rPr>
            <m:t>≈133</m:t>
          </m:r>
          <m:r>
            <m:rPr>
              <m:nor/>
            </m:rPr>
            <w:rPr>
              <w:lang w:val="en-GB"/>
            </w:rPr>
            <m:t xml:space="preserve"> PBq</m:t>
          </m:r>
          <m:r>
            <m:rPr>
              <m:sty m:val="p"/>
            </m:rPr>
            <w:rPr>
              <w:lang w:val="en-GB"/>
            </w:rPr>
            <w:br/>
          </m:r>
        </m:oMath>
      </m:oMathPara>
    </w:p>
    <w:p w14:paraId="7705F08A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 xml:space="preserve">Accept </w:t>
      </w:r>
      <w:r w:rsidRPr="00CD6F9F">
        <w:rPr>
          <w:b/>
          <w:bCs/>
          <w:lang w:val="en-GB"/>
        </w:rPr>
        <w:t xml:space="preserve">130–135 </w:t>
      </w:r>
      <w:proofErr w:type="spellStart"/>
      <w:r w:rsidRPr="00CD6F9F">
        <w:rPr>
          <w:b/>
          <w:bCs/>
          <w:lang w:val="en-GB"/>
        </w:rPr>
        <w:t>PBq</w:t>
      </w:r>
      <w:proofErr w:type="spellEnd"/>
      <w:r w:rsidRPr="00CD6F9F">
        <w:rPr>
          <w:lang w:val="en-GB"/>
        </w:rPr>
        <w:t>.</w:t>
      </w:r>
    </w:p>
    <w:p w14:paraId="39E9DE43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54110D64">
          <v:rect id="_x0000_i1030" style="width:0;height:1.5pt" o:hralign="center" o:hrstd="t" o:hr="t" fillcolor="#a0a0a0" stroked="f"/>
        </w:pict>
      </w:r>
    </w:p>
    <w:p w14:paraId="5C007B31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2.3 Dose rate at 2 m</w:t>
      </w:r>
    </w:p>
    <w:p w14:paraId="1982F240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Using:</w:t>
      </w:r>
    </w:p>
    <w:p w14:paraId="4F9446DC" w14:textId="321261BA" w:rsidR="00CD6F9F" w:rsidRPr="00CD6F9F" w:rsidRDefault="00000000" w:rsidP="00CD6F9F">
      <w:pPr>
        <w:rPr>
          <w:lang w:val="en-GB"/>
        </w:rPr>
      </w:pPr>
      <m:oMathPara>
        <m:oMath>
          <m:acc>
            <m:accPr>
              <m:chr m:val="̇"/>
              <m:ctrlPr>
                <w:rPr>
                  <w:rFonts w:ascii="Cambria Math" w:hAnsi="Cambria Math"/>
                  <w:lang w:val="en-GB"/>
                </w:rPr>
              </m:ctrlPr>
            </m:accPr>
            <m:e>
              <m:r>
                <w:rPr>
                  <w:rFonts w:ascii="Cambria Math" w:hAnsi="Cambria Math"/>
                  <w:lang w:val="en-GB"/>
                </w:rPr>
                <m:t>D</m:t>
              </m:r>
            </m:e>
          </m:acc>
          <m:r>
            <w:rPr>
              <w:rFonts w:ascii="Cambria Math" w:hAnsi="Cambria Math"/>
              <w:lang w:val="en-GB"/>
            </w:rPr>
            <m:t>=</m:t>
          </m:r>
          <m:r>
            <m:rPr>
              <m:sty m:val="p"/>
            </m:rPr>
            <w:rPr>
              <w:rFonts w:ascii="Cambria Math" w:hAnsi="Cambria Math"/>
              <w:lang w:val="en-GB"/>
            </w:rPr>
            <m:t>Γ</m:t>
          </m:r>
          <m:f>
            <m:fPr>
              <m:ctrlPr>
                <w:rPr>
                  <w:rFonts w:ascii="Cambria Math" w:hAnsi="Cambria Math"/>
                  <w:lang w:val="en-GB"/>
                </w:rPr>
              </m:ctrlPr>
            </m:fPr>
            <m:num>
              <m:r>
                <w:rPr>
                  <w:rFonts w:ascii="Cambria Math" w:hAnsi="Cambria Math"/>
                  <w:lang w:val="en-GB"/>
                </w:rPr>
                <m:t>A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lang w:val="en-GB"/>
                    </w:rPr>
                  </m:ctrlPr>
                </m:sSupPr>
                <m:e>
                  <m:r>
                    <w:rPr>
                      <w:rFonts w:ascii="Cambria Math" w:hAnsi="Cambria Math"/>
                      <w:lang w:val="en-GB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  <w:lang w:val="en-GB"/>
                    </w:rPr>
                    <m:t>2</m:t>
                  </m:r>
                </m:sup>
              </m:sSup>
            </m:den>
          </m:f>
          <m:r>
            <m:rPr>
              <m:sty m:val="p"/>
            </m:rPr>
            <w:rPr>
              <w:lang w:val="en-GB"/>
            </w:rPr>
            <w:br/>
          </m:r>
        </m:oMath>
        <m:oMath>
          <m:r>
            <w:rPr>
              <w:rFonts w:ascii="Cambria Math" w:hAnsi="Cambria Math"/>
              <w:lang w:val="en-GB"/>
            </w:rPr>
            <m:t>A=1.33×</m:t>
          </m:r>
          <m:sSup>
            <m:sSupPr>
              <m:ctrlPr>
                <w:rPr>
                  <w:rFonts w:ascii="Cambria Math" w:hAnsi="Cambria Math"/>
                  <w:lang w:val="en-GB"/>
                </w:rPr>
              </m:ctrlPr>
            </m:sSupPr>
            <m:e>
              <m:r>
                <w:rPr>
                  <w:rFonts w:ascii="Cambria Math" w:hAnsi="Cambria Math"/>
                  <w:lang w:val="en-GB"/>
                </w:rPr>
                <m:t>10</m:t>
              </m:r>
            </m:e>
            <m:sup>
              <m:r>
                <w:rPr>
                  <w:rFonts w:ascii="Cambria Math" w:hAnsi="Cambria Math"/>
                  <w:lang w:val="en-GB"/>
                </w:rPr>
                <m:t>5</m:t>
              </m:r>
            </m:sup>
          </m:sSup>
          <m:r>
            <m:rPr>
              <m:nor/>
            </m:rPr>
            <w:rPr>
              <w:lang w:val="en-GB"/>
            </w:rPr>
            <m:t xml:space="preserve"> TBq</m:t>
          </m:r>
          <m:r>
            <m:rPr>
              <m:sty m:val="p"/>
            </m:rPr>
            <w:rPr>
              <w:lang w:val="en-GB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/>
                  <w:lang w:val="en-GB"/>
                </w:rPr>
              </m:ctrlPr>
            </m:accPr>
            <m:e>
              <m:r>
                <w:rPr>
                  <w:rFonts w:ascii="Cambria Math" w:hAnsi="Cambria Math"/>
                  <w:lang w:val="en-GB"/>
                </w:rPr>
                <m:t>D</m:t>
              </m:r>
            </m:e>
          </m:acc>
          <m:r>
            <w:rPr>
              <w:rFonts w:ascii="Cambria Math" w:hAnsi="Cambria Math"/>
              <w:lang w:val="en-GB"/>
            </w:rPr>
            <m:t>=</m:t>
          </m:r>
          <m:f>
            <m:fPr>
              <m:ctrlPr>
                <w:rPr>
                  <w:rFonts w:ascii="Cambria Math" w:hAnsi="Cambria Math"/>
                  <w:lang w:val="en-GB"/>
                </w:rPr>
              </m:ctrlPr>
            </m:fPr>
            <m:num>
              <m:r>
                <w:rPr>
                  <w:rFonts w:ascii="Cambria Math" w:hAnsi="Cambria Math"/>
                  <w:lang w:val="en-GB"/>
                </w:rPr>
                <m:t>0.35×1.33×</m:t>
              </m:r>
              <m:sSup>
                <m:sSupPr>
                  <m:ctrlPr>
                    <w:rPr>
                      <w:rFonts w:ascii="Cambria Math" w:hAnsi="Cambria Math"/>
                      <w:lang w:val="en-GB"/>
                    </w:rPr>
                  </m:ctrlPr>
                </m:sSupPr>
                <m:e>
                  <m:r>
                    <w:rPr>
                      <w:rFonts w:ascii="Cambria Math" w:hAnsi="Cambria Math"/>
                      <w:lang w:val="en-GB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lang w:val="en-GB"/>
                    </w:rPr>
                    <m:t>5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lang w:val="en-GB"/>
                    </w:rPr>
                  </m:ctrlPr>
                </m:sSupPr>
                <m:e>
                  <m:r>
                    <w:rPr>
                      <w:rFonts w:ascii="Cambria Math" w:hAnsi="Cambria Math"/>
                      <w:lang w:val="en-GB"/>
                    </w:rPr>
                    <m:t>2</m:t>
                  </m:r>
                </m:e>
                <m:sup>
                  <m:r>
                    <w:rPr>
                      <w:rFonts w:ascii="Cambria Math" w:hAnsi="Cambria Math"/>
                      <w:lang w:val="en-GB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lang w:val="en-GB"/>
            </w:rPr>
            <m:t>≈11</m:t>
          </m:r>
          <m:r>
            <m:rPr>
              <m:nor/>
            </m:rPr>
            <w:rPr>
              <w:lang w:val="en-GB"/>
            </w:rPr>
            <m:t>–</m:t>
          </m:r>
          <m:r>
            <w:rPr>
              <w:rFonts w:ascii="Cambria Math" w:hAnsi="Cambria Math"/>
              <w:lang w:val="en-GB"/>
            </w:rPr>
            <m:t>12</m:t>
          </m:r>
          <m:r>
            <m:rPr>
              <m:nor/>
            </m:rPr>
            <w:rPr>
              <w:lang w:val="en-GB"/>
            </w:rPr>
            <m:t xml:space="preserve"> </m:t>
          </m:r>
          <w:proofErr w:type="spellStart"/>
          <m:r>
            <m:rPr>
              <m:nor/>
            </m:rPr>
            <w:rPr>
              <w:rFonts w:ascii="Cambria Math"/>
              <w:lang w:val="en-GB"/>
            </w:rPr>
            <m:t>k</m:t>
          </m:r>
          <m:r>
            <m:rPr>
              <m:nor/>
            </m:rPr>
            <w:rPr>
              <w:lang w:val="en-GB"/>
            </w:rPr>
            <m:t>Sv</m:t>
          </m:r>
          <w:proofErr w:type="spellEnd"/>
          <m:r>
            <m:rPr>
              <m:nor/>
            </m:rPr>
            <w:rPr>
              <w:lang w:val="en-GB"/>
            </w:rPr>
            <m:t>/h</m:t>
          </m:r>
          <m:r>
            <m:rPr>
              <m:sty m:val="p"/>
            </m:rPr>
            <w:rPr>
              <w:lang w:val="en-GB"/>
            </w:rPr>
            <w:br/>
          </m:r>
        </m:oMath>
      </m:oMathPara>
    </w:p>
    <w:p w14:paraId="066F35F3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A good answer should note:</w:t>
      </w:r>
    </w:p>
    <w:p w14:paraId="73755E73" w14:textId="77777777" w:rsidR="00CD6F9F" w:rsidRPr="00CD6F9F" w:rsidRDefault="00CD6F9F" w:rsidP="00CD6F9F">
      <w:pPr>
        <w:numPr>
          <w:ilvl w:val="0"/>
          <w:numId w:val="15"/>
        </w:numPr>
        <w:rPr>
          <w:lang w:val="en-GB"/>
        </w:rPr>
      </w:pPr>
      <w:r w:rsidRPr="00CD6F9F">
        <w:rPr>
          <w:lang w:val="en-GB"/>
        </w:rPr>
        <w:lastRenderedPageBreak/>
        <w:t xml:space="preserve">the point-source approximation is crude </w:t>
      </w:r>
    </w:p>
    <w:p w14:paraId="78B5644D" w14:textId="77777777" w:rsidR="00CD6F9F" w:rsidRPr="00CD6F9F" w:rsidRDefault="00CD6F9F" w:rsidP="00CD6F9F">
      <w:pPr>
        <w:numPr>
          <w:ilvl w:val="0"/>
          <w:numId w:val="15"/>
        </w:numPr>
        <w:rPr>
          <w:lang w:val="en-GB"/>
        </w:rPr>
      </w:pPr>
      <w:r w:rsidRPr="00CD6F9F">
        <w:rPr>
          <w:lang w:val="en-GB"/>
        </w:rPr>
        <w:t xml:space="preserve">the real field is shaped by collimation and geometry </w:t>
      </w:r>
    </w:p>
    <w:p w14:paraId="61D5C7FF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2D3BA1C0">
          <v:rect id="_x0000_i1031" style="width:0;height:1.5pt" o:hralign="center" o:hrstd="t" o:hr="t" fillcolor="#a0a0a0" stroked="f"/>
        </w:pict>
      </w:r>
    </w:p>
    <w:p w14:paraId="61665C60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2.4 Maze attenuation verification</w:t>
      </w:r>
    </w:p>
    <w:p w14:paraId="2EF2A771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Given:</w:t>
      </w:r>
    </w:p>
    <w:p w14:paraId="2E0E685A" w14:textId="77777777" w:rsidR="00CD6F9F" w:rsidRPr="00CD6F9F" w:rsidRDefault="00CD6F9F" w:rsidP="00CD6F9F">
      <w:pPr>
        <w:numPr>
          <w:ilvl w:val="0"/>
          <w:numId w:val="16"/>
        </w:numPr>
        <w:rPr>
          <w:lang w:val="en-GB"/>
        </w:rPr>
      </w:pPr>
      <w:r w:rsidRPr="00CD6F9F">
        <w:rPr>
          <w:lang w:val="en-GB"/>
        </w:rPr>
        <w:t xml:space="preserve">~1000-fold reduction per 90° bend </w:t>
      </w:r>
    </w:p>
    <w:p w14:paraId="79C6176A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If:</w:t>
      </w:r>
    </w:p>
    <w:p w14:paraId="3F7D2BBA" w14:textId="77777777" w:rsidR="00CD6F9F" w:rsidRPr="00CD6F9F" w:rsidRDefault="00CD6F9F" w:rsidP="00CD6F9F">
      <w:pPr>
        <w:numPr>
          <w:ilvl w:val="0"/>
          <w:numId w:val="17"/>
        </w:numPr>
        <w:rPr>
          <w:lang w:val="en-GB"/>
        </w:rPr>
      </w:pPr>
      <w:r w:rsidRPr="00CD6F9F">
        <w:rPr>
          <w:lang w:val="en-GB"/>
        </w:rPr>
        <w:t xml:space="preserve">first bend ≈ 850 mSv/h </w:t>
      </w:r>
    </w:p>
    <w:p w14:paraId="40035FE7" w14:textId="77777777" w:rsidR="00CD6F9F" w:rsidRPr="00CD6F9F" w:rsidRDefault="00CD6F9F" w:rsidP="00CD6F9F">
      <w:pPr>
        <w:numPr>
          <w:ilvl w:val="0"/>
          <w:numId w:val="17"/>
        </w:numPr>
        <w:rPr>
          <w:lang w:val="en-GB"/>
        </w:rPr>
      </w:pPr>
      <w:r w:rsidRPr="00CD6F9F">
        <w:rPr>
          <w:lang w:val="en-GB"/>
        </w:rPr>
        <w:t xml:space="preserve">second bend ≈ 0.85 mSv/h </w:t>
      </w:r>
    </w:p>
    <w:p w14:paraId="5C82F8E2" w14:textId="77777777" w:rsidR="00CD6F9F" w:rsidRPr="00CD6F9F" w:rsidRDefault="00CD6F9F" w:rsidP="00CD6F9F">
      <w:pPr>
        <w:numPr>
          <w:ilvl w:val="0"/>
          <w:numId w:val="17"/>
        </w:numPr>
        <w:rPr>
          <w:lang w:val="en-GB"/>
        </w:rPr>
      </w:pPr>
      <w:r w:rsidRPr="00CD6F9F">
        <w:rPr>
          <w:lang w:val="en-GB"/>
        </w:rPr>
        <w:t xml:space="preserve">entrance ≈ 0.85 µSv/h </w:t>
      </w:r>
    </w:p>
    <w:p w14:paraId="2792D962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This is consistent with:</w:t>
      </w:r>
    </w:p>
    <w:p w14:paraId="47AA51ED" w14:textId="77591D62" w:rsidR="00CD6F9F" w:rsidRPr="00CD6F9F" w:rsidRDefault="00CD6F9F" w:rsidP="00CD6F9F">
      <w:pPr>
        <w:numPr>
          <w:ilvl w:val="0"/>
          <w:numId w:val="18"/>
        </w:numPr>
        <w:rPr>
          <w:lang w:val="en-GB"/>
        </w:rPr>
      </w:pPr>
      <w:r w:rsidRPr="00CD6F9F">
        <w:rPr>
          <w:lang w:val="en-GB"/>
        </w:rPr>
        <w:t xml:space="preserve">measured </w:t>
      </w:r>
      <w:r w:rsidRPr="00CD6F9F">
        <w:rPr>
          <w:b/>
          <w:bCs/>
          <w:lang w:val="en-GB"/>
        </w:rPr>
        <w:t>&lt;</w:t>
      </w:r>
      <w:r w:rsidR="00D07261">
        <w:rPr>
          <w:b/>
          <w:bCs/>
          <w:lang w:val="en-GB"/>
        </w:rPr>
        <w:t xml:space="preserve">1 </w:t>
      </w:r>
      <w:r w:rsidRPr="00CD6F9F">
        <w:rPr>
          <w:b/>
          <w:bCs/>
          <w:lang w:val="en-GB"/>
        </w:rPr>
        <w:t>µSv/h at entrance</w:t>
      </w:r>
      <w:r w:rsidRPr="00CD6F9F">
        <w:rPr>
          <w:lang w:val="en-GB"/>
        </w:rPr>
        <w:t xml:space="preserve"> </w:t>
      </w:r>
    </w:p>
    <w:p w14:paraId="6C15DC51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Thus, the attenuation assumption is reasonable.</w:t>
      </w:r>
    </w:p>
    <w:p w14:paraId="1DB20CDC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63B91638">
          <v:rect id="_x0000_i1032" style="width:0;height:1.5pt" o:hralign="center" o:hrstd="t" o:hr="t" fillcolor="#a0a0a0" stroked="f"/>
        </w:pict>
      </w:r>
    </w:p>
    <w:p w14:paraId="52A40A18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2.5 Exposure reconstruction</w:t>
      </w:r>
    </w:p>
    <w:p w14:paraId="7A242111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Technician:</w:t>
      </w:r>
    </w:p>
    <w:p w14:paraId="57158E06" w14:textId="77777777" w:rsidR="00CD6F9F" w:rsidRPr="00CD6F9F" w:rsidRDefault="00CD6F9F" w:rsidP="00CD6F9F">
      <w:pPr>
        <w:numPr>
          <w:ilvl w:val="0"/>
          <w:numId w:val="19"/>
        </w:numPr>
        <w:rPr>
          <w:lang w:val="en-GB"/>
        </w:rPr>
      </w:pPr>
      <w:r w:rsidRPr="00CD6F9F">
        <w:rPr>
          <w:lang w:val="en-GB"/>
        </w:rPr>
        <w:t xml:space="preserve">time ≈ 2 minutes </w:t>
      </w:r>
    </w:p>
    <w:p w14:paraId="70F657F7" w14:textId="77777777" w:rsidR="00CD6F9F" w:rsidRPr="00CD6F9F" w:rsidRDefault="00CD6F9F" w:rsidP="00CD6F9F">
      <w:pPr>
        <w:numPr>
          <w:ilvl w:val="0"/>
          <w:numId w:val="19"/>
        </w:numPr>
        <w:rPr>
          <w:lang w:val="en-GB"/>
        </w:rPr>
      </w:pPr>
      <w:r w:rsidRPr="00CD6F9F">
        <w:rPr>
          <w:lang w:val="en-GB"/>
        </w:rPr>
        <w:t xml:space="preserve">likely position near first or second bend </w:t>
      </w:r>
    </w:p>
    <w:p w14:paraId="35998C20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Using:</w:t>
      </w:r>
    </w:p>
    <w:p w14:paraId="5EA188F5" w14:textId="77777777" w:rsidR="00CD6F9F" w:rsidRPr="00CD6F9F" w:rsidRDefault="00CD6F9F" w:rsidP="00CD6F9F">
      <w:pPr>
        <w:numPr>
          <w:ilvl w:val="0"/>
          <w:numId w:val="20"/>
        </w:numPr>
        <w:rPr>
          <w:lang w:val="en-GB"/>
        </w:rPr>
      </w:pPr>
      <w:r w:rsidRPr="00CD6F9F">
        <w:rPr>
          <w:lang w:val="en-GB"/>
        </w:rPr>
        <w:t xml:space="preserve">~0.85 Sv/h near first bend </w:t>
      </w:r>
    </w:p>
    <w:p w14:paraId="760FF6F7" w14:textId="050AE961" w:rsidR="00CD6F9F" w:rsidRPr="00CD6F9F" w:rsidRDefault="00CD6F9F" w:rsidP="00CD6F9F">
      <w:pPr>
        <w:rPr>
          <w:lang w:val="en-GB"/>
        </w:rPr>
      </w:pPr>
      <m:oMathPara>
        <m:oMath>
          <m:r>
            <m:rPr>
              <m:nor/>
            </m:rPr>
            <w:rPr>
              <w:lang w:val="en-GB"/>
            </w:rPr>
            <m:t>Dose</m:t>
          </m:r>
          <m:r>
            <w:rPr>
              <w:rFonts w:ascii="Cambria Math" w:hAnsi="Cambria Math"/>
              <w:lang w:val="en-GB"/>
            </w:rPr>
            <m:t>≈0.85×</m:t>
          </m:r>
          <m:f>
            <m:fPr>
              <m:ctrlPr>
                <w:rPr>
                  <w:rFonts w:ascii="Cambria Math" w:hAnsi="Cambria Math"/>
                  <w:lang w:val="en-GB"/>
                </w:rPr>
              </m:ctrlPr>
            </m:fPr>
            <m:num>
              <m:r>
                <w:rPr>
                  <w:rFonts w:ascii="Cambria Math" w:hAnsi="Cambria Math"/>
                  <w:lang w:val="en-GB"/>
                </w:rPr>
                <m:t>2</m:t>
              </m:r>
            </m:num>
            <m:den>
              <m:r>
                <w:rPr>
                  <w:rFonts w:ascii="Cambria Math" w:hAnsi="Cambria Math"/>
                  <w:lang w:val="en-GB"/>
                </w:rPr>
                <m:t>60</m:t>
              </m:r>
            </m:den>
          </m:f>
          <m:r>
            <w:rPr>
              <w:rFonts w:ascii="Cambria Math" w:hAnsi="Cambria Math"/>
              <w:lang w:val="en-GB"/>
            </w:rPr>
            <m:t>≈28</m:t>
          </m:r>
          <m:r>
            <m:rPr>
              <m:nor/>
            </m:rPr>
            <w:rPr>
              <w:lang w:val="en-GB"/>
            </w:rPr>
            <m:t xml:space="preserve"> mSv</m:t>
          </m:r>
          <m:r>
            <m:rPr>
              <m:sty m:val="p"/>
            </m:rPr>
            <w:rPr>
              <w:lang w:val="en-GB"/>
            </w:rPr>
            <w:br/>
          </m:r>
        </m:oMath>
      </m:oMathPara>
    </w:p>
    <w:p w14:paraId="5D826B5F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This is consistent with:</w:t>
      </w:r>
    </w:p>
    <w:p w14:paraId="6F5E0F46" w14:textId="77777777" w:rsidR="00CD6F9F" w:rsidRPr="00CD6F9F" w:rsidRDefault="00CD6F9F" w:rsidP="00CD6F9F">
      <w:pPr>
        <w:numPr>
          <w:ilvl w:val="0"/>
          <w:numId w:val="21"/>
        </w:numPr>
        <w:rPr>
          <w:lang w:val="en-GB"/>
        </w:rPr>
      </w:pPr>
      <w:r w:rsidRPr="00CD6F9F">
        <w:rPr>
          <w:b/>
          <w:bCs/>
          <w:lang w:val="en-GB"/>
        </w:rPr>
        <w:t>TLD = 27.1 mSv</w:t>
      </w:r>
      <w:r w:rsidRPr="00CD6F9F">
        <w:rPr>
          <w:lang w:val="en-GB"/>
        </w:rPr>
        <w:t xml:space="preserve"> </w:t>
      </w:r>
    </w:p>
    <w:p w14:paraId="067CE2A0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4E964985">
          <v:rect id="_x0000_i1033" style="width:0;height:1.5pt" o:hralign="center" o:hrstd="t" o:hr="t" fillcolor="#a0a0a0" stroked="f"/>
        </w:pict>
      </w:r>
    </w:p>
    <w:p w14:paraId="000EC0B6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2.6 Geometry and movement</w:t>
      </w:r>
    </w:p>
    <w:p w14:paraId="5103BC84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lastRenderedPageBreak/>
        <w:t>The recorded dose can be explained by:</w:t>
      </w:r>
    </w:p>
    <w:p w14:paraId="1763E8DA" w14:textId="77777777" w:rsidR="00CD6F9F" w:rsidRPr="00CD6F9F" w:rsidRDefault="00CD6F9F" w:rsidP="00CD6F9F">
      <w:pPr>
        <w:numPr>
          <w:ilvl w:val="0"/>
          <w:numId w:val="22"/>
        </w:numPr>
        <w:rPr>
          <w:lang w:val="en-GB"/>
        </w:rPr>
      </w:pPr>
      <w:r w:rsidRPr="00CD6F9F">
        <w:rPr>
          <w:lang w:val="en-GB"/>
        </w:rPr>
        <w:t xml:space="preserve">movement into higher-dose regions near bends </w:t>
      </w:r>
    </w:p>
    <w:p w14:paraId="6EE8AC96" w14:textId="77777777" w:rsidR="00CD6F9F" w:rsidRPr="00CD6F9F" w:rsidRDefault="00CD6F9F" w:rsidP="00CD6F9F">
      <w:pPr>
        <w:numPr>
          <w:ilvl w:val="0"/>
          <w:numId w:val="22"/>
        </w:numPr>
        <w:rPr>
          <w:lang w:val="en-GB"/>
        </w:rPr>
      </w:pPr>
      <w:r w:rsidRPr="00CD6F9F">
        <w:rPr>
          <w:lang w:val="en-GB"/>
        </w:rPr>
        <w:t xml:space="preserve">scattered radiation dominating (no direct line of sight) </w:t>
      </w:r>
    </w:p>
    <w:p w14:paraId="6F31FBF0" w14:textId="77777777" w:rsidR="00CD6F9F" w:rsidRPr="00CD6F9F" w:rsidRDefault="00CD6F9F" w:rsidP="00CD6F9F">
      <w:pPr>
        <w:numPr>
          <w:ilvl w:val="0"/>
          <w:numId w:val="22"/>
        </w:numPr>
        <w:rPr>
          <w:lang w:val="en-GB"/>
        </w:rPr>
      </w:pPr>
      <w:r w:rsidRPr="00CD6F9F">
        <w:rPr>
          <w:lang w:val="en-GB"/>
        </w:rPr>
        <w:t xml:space="preserve">time spent closer to the first bend than initially assumed </w:t>
      </w:r>
    </w:p>
    <w:p w14:paraId="6B9B135B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A strong answer will note:</w:t>
      </w:r>
    </w:p>
    <w:p w14:paraId="37427CED" w14:textId="77777777" w:rsidR="00CD6F9F" w:rsidRPr="00CD6F9F" w:rsidRDefault="00CD6F9F" w:rsidP="00CD6F9F">
      <w:pPr>
        <w:numPr>
          <w:ilvl w:val="0"/>
          <w:numId w:val="23"/>
        </w:numPr>
        <w:rPr>
          <w:lang w:val="en-GB"/>
        </w:rPr>
      </w:pPr>
      <w:r w:rsidRPr="00CD6F9F">
        <w:rPr>
          <w:lang w:val="en-GB"/>
        </w:rPr>
        <w:t xml:space="preserve">steep gradients within the maze </w:t>
      </w:r>
    </w:p>
    <w:p w14:paraId="0CBF551C" w14:textId="77777777" w:rsidR="00CD6F9F" w:rsidRPr="00CD6F9F" w:rsidRDefault="00CD6F9F" w:rsidP="00CD6F9F">
      <w:pPr>
        <w:numPr>
          <w:ilvl w:val="0"/>
          <w:numId w:val="23"/>
        </w:numPr>
        <w:rPr>
          <w:lang w:val="en-GB"/>
        </w:rPr>
      </w:pPr>
      <w:r w:rsidRPr="00CD6F9F">
        <w:rPr>
          <w:lang w:val="en-GB"/>
        </w:rPr>
        <w:t xml:space="preserve">importance of position within the corridor </w:t>
      </w:r>
    </w:p>
    <w:p w14:paraId="2330D1D0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768F51B9">
          <v:rect id="_x0000_i1034" style="width:0;height:1.5pt" o:hralign="center" o:hrstd="t" o:hr="t" fillcolor="#a0a0a0" stroked="f"/>
        </w:pict>
      </w:r>
    </w:p>
    <w:p w14:paraId="22EDECB6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3. Comparison with dosimetry</w:t>
      </w:r>
    </w:p>
    <w:p w14:paraId="1C9EB4EC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Measured:</w:t>
      </w:r>
    </w:p>
    <w:p w14:paraId="0F8F7B0F" w14:textId="77777777" w:rsidR="00CD6F9F" w:rsidRPr="00CD6F9F" w:rsidRDefault="00CD6F9F" w:rsidP="00CD6F9F">
      <w:pPr>
        <w:numPr>
          <w:ilvl w:val="0"/>
          <w:numId w:val="24"/>
        </w:numPr>
        <w:rPr>
          <w:lang w:val="en-GB"/>
        </w:rPr>
      </w:pPr>
      <w:r w:rsidRPr="00CD6F9F">
        <w:rPr>
          <w:lang w:val="en-GB"/>
        </w:rPr>
        <w:t xml:space="preserve">Technician: 27.1 mSv </w:t>
      </w:r>
    </w:p>
    <w:p w14:paraId="0E70A034" w14:textId="77777777" w:rsidR="00CD6F9F" w:rsidRPr="00CD6F9F" w:rsidRDefault="00CD6F9F" w:rsidP="00CD6F9F">
      <w:pPr>
        <w:numPr>
          <w:ilvl w:val="0"/>
          <w:numId w:val="24"/>
        </w:numPr>
        <w:rPr>
          <w:lang w:val="en-GB"/>
        </w:rPr>
      </w:pPr>
      <w:r w:rsidRPr="00CD6F9F">
        <w:rPr>
          <w:lang w:val="en-GB"/>
        </w:rPr>
        <w:t xml:space="preserve">Supervisor: 0.1 mSv </w:t>
      </w:r>
    </w:p>
    <w:p w14:paraId="11BEB5BF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The large difference is explained by:</w:t>
      </w:r>
    </w:p>
    <w:p w14:paraId="5C4F2578" w14:textId="77777777" w:rsidR="00CD6F9F" w:rsidRPr="00CD6F9F" w:rsidRDefault="00CD6F9F" w:rsidP="00CD6F9F">
      <w:pPr>
        <w:numPr>
          <w:ilvl w:val="0"/>
          <w:numId w:val="25"/>
        </w:numPr>
        <w:rPr>
          <w:lang w:val="en-GB"/>
        </w:rPr>
      </w:pPr>
      <w:r w:rsidRPr="00CD6F9F">
        <w:rPr>
          <w:lang w:val="en-GB"/>
        </w:rPr>
        <w:t xml:space="preserve">technician entering high-dose region </w:t>
      </w:r>
    </w:p>
    <w:p w14:paraId="635D5890" w14:textId="77777777" w:rsidR="00CD6F9F" w:rsidRPr="00CD6F9F" w:rsidRDefault="00CD6F9F" w:rsidP="00CD6F9F">
      <w:pPr>
        <w:numPr>
          <w:ilvl w:val="0"/>
          <w:numId w:val="25"/>
        </w:numPr>
        <w:rPr>
          <w:lang w:val="en-GB"/>
        </w:rPr>
      </w:pPr>
      <w:r w:rsidRPr="00CD6F9F">
        <w:rPr>
          <w:lang w:val="en-GB"/>
        </w:rPr>
        <w:t xml:space="preserve">supervisor remaining near maze entrance </w:t>
      </w:r>
    </w:p>
    <w:p w14:paraId="0F1B82B4" w14:textId="77777777" w:rsidR="00CD6F9F" w:rsidRPr="00CD6F9F" w:rsidRDefault="00CD6F9F" w:rsidP="00CD6F9F">
      <w:pPr>
        <w:numPr>
          <w:ilvl w:val="0"/>
          <w:numId w:val="25"/>
        </w:numPr>
        <w:rPr>
          <w:lang w:val="en-GB"/>
        </w:rPr>
      </w:pPr>
      <w:r w:rsidRPr="00CD6F9F">
        <w:rPr>
          <w:lang w:val="en-GB"/>
        </w:rPr>
        <w:t xml:space="preserve">strong attenuation along maze length </w:t>
      </w:r>
    </w:p>
    <w:p w14:paraId="2D71E691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Agreement with calculation is good.</w:t>
      </w:r>
    </w:p>
    <w:p w14:paraId="05A724D7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733F2150">
          <v:rect id="_x0000_i1035" style="width:0;height:1.5pt" o:hralign="center" o:hrstd="t" o:hr="t" fillcolor="#a0a0a0" stroked="f"/>
        </w:pict>
      </w:r>
    </w:p>
    <w:p w14:paraId="783D0F9D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4. Health implications</w:t>
      </w:r>
    </w:p>
    <w:p w14:paraId="598CED20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At ~30 mSv:</w:t>
      </w:r>
    </w:p>
    <w:p w14:paraId="0E71BE78" w14:textId="77777777" w:rsidR="00CD6F9F" w:rsidRPr="00CD6F9F" w:rsidRDefault="00CD6F9F" w:rsidP="00CD6F9F">
      <w:pPr>
        <w:numPr>
          <w:ilvl w:val="0"/>
          <w:numId w:val="26"/>
        </w:numPr>
        <w:rPr>
          <w:lang w:val="en-GB"/>
        </w:rPr>
      </w:pPr>
      <w:r w:rsidRPr="00CD6F9F">
        <w:rPr>
          <w:lang w:val="en-GB"/>
        </w:rPr>
        <w:t xml:space="preserve">no deterministic effects expected </w:t>
      </w:r>
    </w:p>
    <w:p w14:paraId="3CA4ACE7" w14:textId="77777777" w:rsidR="00CD6F9F" w:rsidRPr="00CD6F9F" w:rsidRDefault="00CD6F9F" w:rsidP="00CD6F9F">
      <w:pPr>
        <w:numPr>
          <w:ilvl w:val="0"/>
          <w:numId w:val="26"/>
        </w:numPr>
        <w:rPr>
          <w:lang w:val="en-GB"/>
        </w:rPr>
      </w:pPr>
      <w:r w:rsidRPr="00CD6F9F">
        <w:rPr>
          <w:lang w:val="en-GB"/>
        </w:rPr>
        <w:t xml:space="preserve">increased stochastic risk </w:t>
      </w:r>
    </w:p>
    <w:p w14:paraId="1489F34F" w14:textId="77777777" w:rsidR="00CD6F9F" w:rsidRPr="00CD6F9F" w:rsidRDefault="00CD6F9F" w:rsidP="00CD6F9F">
      <w:pPr>
        <w:numPr>
          <w:ilvl w:val="0"/>
          <w:numId w:val="26"/>
        </w:numPr>
        <w:rPr>
          <w:lang w:val="en-GB"/>
        </w:rPr>
      </w:pPr>
      <w:r w:rsidRPr="00CD6F9F">
        <w:rPr>
          <w:lang w:val="en-GB"/>
        </w:rPr>
        <w:t xml:space="preserve">medically significant occupational exposure </w:t>
      </w:r>
    </w:p>
    <w:p w14:paraId="0B47EBEE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Symptoms (nausea) are unlikely to be radiation-induced at this dose and may reflect stress.</w:t>
      </w:r>
    </w:p>
    <w:p w14:paraId="6132AED9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57EDE4AF">
          <v:rect id="_x0000_i1036" style="width:0;height:1.5pt" o:hralign="center" o:hrstd="t" o:hr="t" fillcolor="#a0a0a0" stroked="f"/>
        </w:pict>
      </w:r>
    </w:p>
    <w:p w14:paraId="706AAD2C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5. IRR17 compliance</w:t>
      </w:r>
    </w:p>
    <w:p w14:paraId="478251DE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lastRenderedPageBreak/>
        <w:t>Likely failures include:</w:t>
      </w:r>
    </w:p>
    <w:p w14:paraId="6D8B863D" w14:textId="77777777" w:rsidR="00CD6F9F" w:rsidRPr="00CD6F9F" w:rsidRDefault="00CD6F9F" w:rsidP="00CD6F9F">
      <w:pPr>
        <w:numPr>
          <w:ilvl w:val="0"/>
          <w:numId w:val="27"/>
        </w:numPr>
        <w:rPr>
          <w:lang w:val="en-GB"/>
        </w:rPr>
      </w:pPr>
      <w:r w:rsidRPr="00CD6F9F">
        <w:rPr>
          <w:lang w:val="en-GB"/>
        </w:rPr>
        <w:t xml:space="preserve">override of interlock system </w:t>
      </w:r>
    </w:p>
    <w:p w14:paraId="1CA9D523" w14:textId="77777777" w:rsidR="00CD6F9F" w:rsidRPr="00CD6F9F" w:rsidRDefault="00CD6F9F" w:rsidP="00CD6F9F">
      <w:pPr>
        <w:numPr>
          <w:ilvl w:val="0"/>
          <w:numId w:val="27"/>
        </w:numPr>
        <w:rPr>
          <w:lang w:val="en-GB"/>
        </w:rPr>
      </w:pPr>
      <w:r w:rsidRPr="00CD6F9F">
        <w:rPr>
          <w:lang w:val="en-GB"/>
        </w:rPr>
        <w:t xml:space="preserve">failure to heed radiation warning indicators </w:t>
      </w:r>
    </w:p>
    <w:p w14:paraId="3A6266AC" w14:textId="77777777" w:rsidR="00CD6F9F" w:rsidRPr="00CD6F9F" w:rsidRDefault="00CD6F9F" w:rsidP="00CD6F9F">
      <w:pPr>
        <w:numPr>
          <w:ilvl w:val="0"/>
          <w:numId w:val="27"/>
        </w:numPr>
        <w:rPr>
          <w:lang w:val="en-GB"/>
        </w:rPr>
      </w:pPr>
      <w:r w:rsidRPr="00CD6F9F">
        <w:rPr>
          <w:lang w:val="en-GB"/>
        </w:rPr>
        <w:t xml:space="preserve">inadequate verification of safe source position </w:t>
      </w:r>
    </w:p>
    <w:p w14:paraId="6C09AED8" w14:textId="77777777" w:rsidR="00CD6F9F" w:rsidRPr="00CD6F9F" w:rsidRDefault="00CD6F9F" w:rsidP="00CD6F9F">
      <w:pPr>
        <w:numPr>
          <w:ilvl w:val="0"/>
          <w:numId w:val="27"/>
        </w:numPr>
        <w:rPr>
          <w:lang w:val="en-GB"/>
        </w:rPr>
      </w:pPr>
      <w:r w:rsidRPr="00CD6F9F">
        <w:rPr>
          <w:lang w:val="en-GB"/>
        </w:rPr>
        <w:t xml:space="preserve">insufficient restriction of exposure </w:t>
      </w:r>
    </w:p>
    <w:p w14:paraId="4A8596EB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Better answers will apply regulations to the scenario.</w:t>
      </w:r>
    </w:p>
    <w:p w14:paraId="01FB985B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5C6AF9B2">
          <v:rect id="_x0000_i1037" style="width:0;height:1.5pt" o:hralign="center" o:hrstd="t" o:hr="t" fillcolor="#a0a0a0" stroked="f"/>
        </w:pict>
      </w:r>
    </w:p>
    <w:p w14:paraId="2C108C83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6. ONR SAP evaluation</w:t>
      </w:r>
    </w:p>
    <w:p w14:paraId="11EB52F0" w14:textId="77777777" w:rsidR="00CD6F9F" w:rsidRPr="00CD6F9F" w:rsidRDefault="00CD6F9F" w:rsidP="00CD6F9F">
      <w:pPr>
        <w:rPr>
          <w:lang w:val="en-GB"/>
        </w:rPr>
      </w:pPr>
      <w:r w:rsidRPr="00CD6F9F">
        <w:rPr>
          <w:b/>
          <w:bCs/>
          <w:lang w:val="en-GB"/>
        </w:rPr>
        <w:t>EKP.5 Defence in Depth</w:t>
      </w:r>
    </w:p>
    <w:p w14:paraId="0BD98766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Failures include:</w:t>
      </w:r>
    </w:p>
    <w:p w14:paraId="332C0F19" w14:textId="77777777" w:rsidR="00CD6F9F" w:rsidRPr="00CD6F9F" w:rsidRDefault="00CD6F9F" w:rsidP="00CD6F9F">
      <w:pPr>
        <w:numPr>
          <w:ilvl w:val="0"/>
          <w:numId w:val="28"/>
        </w:numPr>
        <w:rPr>
          <w:lang w:val="en-GB"/>
        </w:rPr>
      </w:pPr>
      <w:r w:rsidRPr="00CD6F9F">
        <w:rPr>
          <w:lang w:val="en-GB"/>
        </w:rPr>
        <w:t xml:space="preserve">mechanical fault (source not fully lowered) </w:t>
      </w:r>
    </w:p>
    <w:p w14:paraId="3C4C1104" w14:textId="77777777" w:rsidR="00CD6F9F" w:rsidRPr="00CD6F9F" w:rsidRDefault="00CD6F9F" w:rsidP="00CD6F9F">
      <w:pPr>
        <w:numPr>
          <w:ilvl w:val="0"/>
          <w:numId w:val="28"/>
        </w:numPr>
        <w:rPr>
          <w:lang w:val="en-GB"/>
        </w:rPr>
      </w:pPr>
      <w:r w:rsidRPr="00CD6F9F">
        <w:rPr>
          <w:lang w:val="en-GB"/>
        </w:rPr>
        <w:t xml:space="preserve">misleading indicators </w:t>
      </w:r>
    </w:p>
    <w:p w14:paraId="4D35A59D" w14:textId="77777777" w:rsidR="00CD6F9F" w:rsidRPr="00CD6F9F" w:rsidRDefault="00CD6F9F" w:rsidP="00CD6F9F">
      <w:pPr>
        <w:numPr>
          <w:ilvl w:val="0"/>
          <w:numId w:val="28"/>
        </w:numPr>
        <w:rPr>
          <w:lang w:val="en-GB"/>
        </w:rPr>
      </w:pPr>
      <w:r w:rsidRPr="00CD6F9F">
        <w:rPr>
          <w:lang w:val="en-GB"/>
        </w:rPr>
        <w:t xml:space="preserve">interlock override </w:t>
      </w:r>
    </w:p>
    <w:p w14:paraId="1E1F45BD" w14:textId="77777777" w:rsidR="00CD6F9F" w:rsidRPr="00CD6F9F" w:rsidRDefault="00CD6F9F" w:rsidP="00CD6F9F">
      <w:pPr>
        <w:numPr>
          <w:ilvl w:val="0"/>
          <w:numId w:val="28"/>
        </w:numPr>
        <w:rPr>
          <w:lang w:val="en-GB"/>
        </w:rPr>
      </w:pPr>
      <w:r w:rsidRPr="00CD6F9F">
        <w:rPr>
          <w:lang w:val="en-GB"/>
        </w:rPr>
        <w:t xml:space="preserve">failure to act on radiation warning systems </w:t>
      </w:r>
    </w:p>
    <w:p w14:paraId="30C32500" w14:textId="77777777" w:rsidR="00CD6F9F" w:rsidRPr="00CD6F9F" w:rsidRDefault="00CD6F9F" w:rsidP="00CD6F9F">
      <w:pPr>
        <w:rPr>
          <w:lang w:val="en-GB"/>
        </w:rPr>
      </w:pPr>
      <w:r w:rsidRPr="00CD6F9F">
        <w:rPr>
          <w:b/>
          <w:bCs/>
          <w:lang w:val="en-GB"/>
        </w:rPr>
        <w:t>Engineering safety</w:t>
      </w:r>
    </w:p>
    <w:p w14:paraId="496F3376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Source position should be unambiguously verifiable.</w:t>
      </w:r>
    </w:p>
    <w:p w14:paraId="4A161420" w14:textId="77777777" w:rsidR="00CD6F9F" w:rsidRPr="00CD6F9F" w:rsidRDefault="00CD6F9F" w:rsidP="00CD6F9F">
      <w:pPr>
        <w:rPr>
          <w:lang w:val="en-GB"/>
        </w:rPr>
      </w:pPr>
      <w:r w:rsidRPr="00CD6F9F">
        <w:rPr>
          <w:b/>
          <w:bCs/>
          <w:lang w:val="en-GB"/>
        </w:rPr>
        <w:t>Human factors</w:t>
      </w:r>
    </w:p>
    <w:p w14:paraId="4C0EFCCC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Clear evidence of unsafe decision-making under uncertainty.</w:t>
      </w:r>
    </w:p>
    <w:p w14:paraId="7604EA89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0EF9FFA1">
          <v:rect id="_x0000_i1038" style="width:0;height:1.5pt" o:hralign="center" o:hrstd="t" o:hr="t" fillcolor="#a0a0a0" stroked="f"/>
        </w:pict>
      </w:r>
    </w:p>
    <w:p w14:paraId="35A66E19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7. ALARP improvements</w:t>
      </w:r>
    </w:p>
    <w:p w14:paraId="4CDA9750" w14:textId="77777777" w:rsidR="00CD6F9F" w:rsidRPr="00CD6F9F" w:rsidRDefault="00CD6F9F" w:rsidP="00CD6F9F">
      <w:pPr>
        <w:numPr>
          <w:ilvl w:val="0"/>
          <w:numId w:val="29"/>
        </w:numPr>
        <w:rPr>
          <w:lang w:val="en-GB"/>
        </w:rPr>
      </w:pPr>
      <w:r w:rsidRPr="00CD6F9F">
        <w:rPr>
          <w:lang w:val="en-GB"/>
        </w:rPr>
        <w:t xml:space="preserve">prohibit override without radiological confirmation </w:t>
      </w:r>
    </w:p>
    <w:p w14:paraId="78EBB6EB" w14:textId="77777777" w:rsidR="00CD6F9F" w:rsidRPr="00CD6F9F" w:rsidRDefault="00CD6F9F" w:rsidP="00CD6F9F">
      <w:pPr>
        <w:numPr>
          <w:ilvl w:val="0"/>
          <w:numId w:val="29"/>
        </w:numPr>
        <w:rPr>
          <w:lang w:val="en-GB"/>
        </w:rPr>
      </w:pPr>
      <w:r w:rsidRPr="00CD6F9F">
        <w:rPr>
          <w:lang w:val="en-GB"/>
        </w:rPr>
        <w:t xml:space="preserve">improve source position sensing redundancy </w:t>
      </w:r>
    </w:p>
    <w:p w14:paraId="05D553EE" w14:textId="77777777" w:rsidR="00CD6F9F" w:rsidRPr="00CD6F9F" w:rsidRDefault="00CD6F9F" w:rsidP="00CD6F9F">
      <w:pPr>
        <w:numPr>
          <w:ilvl w:val="0"/>
          <w:numId w:val="29"/>
        </w:numPr>
        <w:rPr>
          <w:lang w:val="en-GB"/>
        </w:rPr>
      </w:pPr>
      <w:r w:rsidRPr="00CD6F9F">
        <w:rPr>
          <w:lang w:val="en-GB"/>
        </w:rPr>
        <w:t xml:space="preserve">strengthen procedural controls for entry </w:t>
      </w:r>
    </w:p>
    <w:p w14:paraId="64017CFE" w14:textId="77777777" w:rsidR="00CD6F9F" w:rsidRPr="00CD6F9F" w:rsidRDefault="00CD6F9F" w:rsidP="00CD6F9F">
      <w:pPr>
        <w:numPr>
          <w:ilvl w:val="0"/>
          <w:numId w:val="29"/>
        </w:numPr>
        <w:rPr>
          <w:lang w:val="en-GB"/>
        </w:rPr>
      </w:pPr>
      <w:r w:rsidRPr="00CD6F9F">
        <w:rPr>
          <w:lang w:val="en-GB"/>
        </w:rPr>
        <w:t xml:space="preserve">reinforce training on warning systems </w:t>
      </w:r>
    </w:p>
    <w:p w14:paraId="28250A92" w14:textId="77777777" w:rsidR="00CD6F9F" w:rsidRPr="00CD6F9F" w:rsidRDefault="00CD6F9F" w:rsidP="00CD6F9F">
      <w:pPr>
        <w:numPr>
          <w:ilvl w:val="0"/>
          <w:numId w:val="29"/>
        </w:numPr>
        <w:rPr>
          <w:lang w:val="en-GB"/>
        </w:rPr>
      </w:pPr>
      <w:r w:rsidRPr="00CD6F9F">
        <w:rPr>
          <w:lang w:val="en-GB"/>
        </w:rPr>
        <w:t xml:space="preserve">improve fault reporting and maintenance </w:t>
      </w:r>
    </w:p>
    <w:p w14:paraId="301344E7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27D06E6D">
          <v:rect id="_x0000_i1039" style="width:0;height:1.5pt" o:hralign="center" o:hrstd="t" o:hr="t" fillcolor="#a0a0a0" stroked="f"/>
        </w:pict>
      </w:r>
    </w:p>
    <w:p w14:paraId="6E471ECB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lastRenderedPageBreak/>
        <w:t>8. Marker guidance on common errors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58"/>
        <w:gridCol w:w="2558"/>
      </w:tblGrid>
      <w:tr w:rsidR="00CD6F9F" w:rsidRPr="00CD6F9F" w14:paraId="0617532F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9753986" w14:textId="77777777" w:rsidR="00CD6F9F" w:rsidRPr="00CD6F9F" w:rsidRDefault="00CD6F9F" w:rsidP="00CD6F9F">
            <w:pPr>
              <w:rPr>
                <w:b/>
                <w:bCs/>
                <w:lang w:val="en-GB"/>
              </w:rPr>
            </w:pPr>
            <w:r w:rsidRPr="00CD6F9F">
              <w:rPr>
                <w:b/>
                <w:bCs/>
                <w:lang w:val="en-GB"/>
              </w:rPr>
              <w:t>Issue</w:t>
            </w:r>
          </w:p>
        </w:tc>
        <w:tc>
          <w:tcPr>
            <w:tcW w:w="0" w:type="auto"/>
            <w:vAlign w:val="center"/>
            <w:hideMark/>
          </w:tcPr>
          <w:p w14:paraId="612C932F" w14:textId="77777777" w:rsidR="00CD6F9F" w:rsidRPr="00CD6F9F" w:rsidRDefault="00CD6F9F" w:rsidP="00CD6F9F">
            <w:pPr>
              <w:rPr>
                <w:b/>
                <w:bCs/>
                <w:lang w:val="en-GB"/>
              </w:rPr>
            </w:pPr>
            <w:r w:rsidRPr="00CD6F9F">
              <w:rPr>
                <w:b/>
                <w:bCs/>
                <w:lang w:val="en-GB"/>
              </w:rPr>
              <w:t>Treatment</w:t>
            </w:r>
          </w:p>
        </w:tc>
      </w:tr>
      <w:tr w:rsidR="00CD6F9F" w:rsidRPr="00CD6F9F" w14:paraId="71B8EAD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DEF523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 xml:space="preserve">Failure to handle </w:t>
            </w:r>
            <w:proofErr w:type="spellStart"/>
            <w:r w:rsidRPr="00CD6F9F">
              <w:rPr>
                <w:lang w:val="en-GB"/>
              </w:rPr>
              <w:t>PBq</w:t>
            </w:r>
            <w:proofErr w:type="spellEnd"/>
            <w:r w:rsidRPr="00CD6F9F">
              <w:rPr>
                <w:lang w:val="en-GB"/>
              </w:rPr>
              <w:t xml:space="preserve"> scale correctly</w:t>
            </w:r>
          </w:p>
        </w:tc>
        <w:tc>
          <w:tcPr>
            <w:tcW w:w="0" w:type="auto"/>
            <w:vAlign w:val="center"/>
            <w:hideMark/>
          </w:tcPr>
          <w:p w14:paraId="4F6F08FE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Penalise units</w:t>
            </w:r>
          </w:p>
        </w:tc>
      </w:tr>
      <w:tr w:rsidR="00CD6F9F" w:rsidRPr="00CD6F9F" w14:paraId="3D36611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160987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Ignoring maze attenuation</w:t>
            </w:r>
          </w:p>
        </w:tc>
        <w:tc>
          <w:tcPr>
            <w:tcW w:w="0" w:type="auto"/>
            <w:vAlign w:val="center"/>
            <w:hideMark/>
          </w:tcPr>
          <w:p w14:paraId="0E786E91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Lose interpretation marks</w:t>
            </w:r>
          </w:p>
        </w:tc>
      </w:tr>
      <w:tr w:rsidR="00CD6F9F" w:rsidRPr="00CD6F9F" w14:paraId="5F67D00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372324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Treating field as uniform</w:t>
            </w:r>
          </w:p>
        </w:tc>
        <w:tc>
          <w:tcPr>
            <w:tcW w:w="0" w:type="auto"/>
            <w:vAlign w:val="center"/>
            <w:hideMark/>
          </w:tcPr>
          <w:p w14:paraId="604C04FA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Penalise understanding</w:t>
            </w:r>
          </w:p>
        </w:tc>
      </w:tr>
      <w:tr w:rsidR="00CD6F9F" w:rsidRPr="00CD6F9F" w14:paraId="3D72B9B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A54569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Overstating health effects</w:t>
            </w:r>
          </w:p>
        </w:tc>
        <w:tc>
          <w:tcPr>
            <w:tcW w:w="0" w:type="auto"/>
            <w:vAlign w:val="center"/>
            <w:hideMark/>
          </w:tcPr>
          <w:p w14:paraId="5B6499F2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Correct</w:t>
            </w:r>
          </w:p>
        </w:tc>
      </w:tr>
      <w:tr w:rsidR="00CD6F9F" w:rsidRPr="00CD6F9F" w14:paraId="38DDA46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54BBBC1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Ignoring time reconstruction</w:t>
            </w:r>
          </w:p>
        </w:tc>
        <w:tc>
          <w:tcPr>
            <w:tcW w:w="0" w:type="auto"/>
            <w:vAlign w:val="center"/>
            <w:hideMark/>
          </w:tcPr>
          <w:p w14:paraId="756EDB3D" w14:textId="77777777" w:rsidR="00CD6F9F" w:rsidRPr="00CD6F9F" w:rsidRDefault="00CD6F9F" w:rsidP="00CD6F9F">
            <w:pPr>
              <w:rPr>
                <w:lang w:val="en-GB"/>
              </w:rPr>
            </w:pPr>
            <w:r w:rsidRPr="00CD6F9F">
              <w:rPr>
                <w:lang w:val="en-GB"/>
              </w:rPr>
              <w:t>Lose marks</w:t>
            </w:r>
          </w:p>
        </w:tc>
      </w:tr>
    </w:tbl>
    <w:p w14:paraId="29F7E266" w14:textId="77777777" w:rsidR="00CD6F9F" w:rsidRPr="00CD6F9F" w:rsidRDefault="00000000" w:rsidP="00CD6F9F">
      <w:pPr>
        <w:rPr>
          <w:lang w:val="en-GB"/>
        </w:rPr>
      </w:pPr>
      <w:r>
        <w:rPr>
          <w:lang w:val="en-GB"/>
        </w:rPr>
        <w:pict w14:anchorId="02290226">
          <v:rect id="_x0000_i1040" style="width:0;height:1.5pt" o:hralign="center" o:hrstd="t" o:hr="t" fillcolor="#a0a0a0" stroked="f"/>
        </w:pict>
      </w:r>
    </w:p>
    <w:p w14:paraId="25B52FA2" w14:textId="77777777" w:rsidR="00CD6F9F" w:rsidRPr="00CD6F9F" w:rsidRDefault="00CD6F9F" w:rsidP="00CD6F9F">
      <w:pPr>
        <w:rPr>
          <w:b/>
          <w:bCs/>
          <w:lang w:val="en-GB"/>
        </w:rPr>
      </w:pPr>
      <w:r w:rsidRPr="00CD6F9F">
        <w:rPr>
          <w:b/>
          <w:bCs/>
          <w:lang w:val="en-GB"/>
        </w:rPr>
        <w:t>9. Indicative concluding judgement</w:t>
      </w:r>
    </w:p>
    <w:p w14:paraId="32F125C1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The incident resulted from a combination of mechanical failure, misleading indication systems, and inappropriate override of engineered safety controls.</w:t>
      </w:r>
    </w:p>
    <w:p w14:paraId="68423706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The technician entered a high-radiation maze environment while the source remained exposed, resulting in a significant but non-deterministic dose.</w:t>
      </w:r>
    </w:p>
    <w:p w14:paraId="4F45E02F" w14:textId="77777777" w:rsidR="00CD6F9F" w:rsidRPr="00CD6F9F" w:rsidRDefault="00CD6F9F" w:rsidP="00CD6F9F">
      <w:pPr>
        <w:rPr>
          <w:lang w:val="en-GB"/>
        </w:rPr>
      </w:pPr>
      <w:r w:rsidRPr="00CD6F9F">
        <w:rPr>
          <w:lang w:val="en-GB"/>
        </w:rPr>
        <w:t>The event represents a breakdown of defence in depth, particularly in the interaction between engineering controls, procedural discipline, and human factors.</w:t>
      </w:r>
    </w:p>
    <w:p w14:paraId="684CDF82" w14:textId="399D52E8" w:rsidR="00073299" w:rsidRDefault="00690424">
      <w:r>
        <w:t xml:space="preserve"> in a high-activity industrial irradiation facility.</w:t>
      </w:r>
    </w:p>
    <w:sectPr w:rsidR="00073299" w:rsidSect="00034616">
      <w:headerReference w:type="default" r:id="rId8"/>
      <w:footerReference w:type="default" r:id="rId9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B3BCCE" w14:textId="77777777" w:rsidR="008B182C" w:rsidRDefault="008B182C" w:rsidP="00565D0B">
      <w:pPr>
        <w:spacing w:after="0" w:line="240" w:lineRule="auto"/>
      </w:pPr>
      <w:r>
        <w:separator/>
      </w:r>
    </w:p>
  </w:endnote>
  <w:endnote w:type="continuationSeparator" w:id="0">
    <w:p w14:paraId="5F0F4956" w14:textId="77777777" w:rsidR="008B182C" w:rsidRDefault="008B182C" w:rsidP="00565D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64547368"/>
      <w:docPartObj>
        <w:docPartGallery w:val="Page Numbers (Bottom of Page)"/>
        <w:docPartUnique/>
      </w:docPartObj>
    </w:sdtPr>
    <w:sdtContent>
      <w:p w14:paraId="08C04693" w14:textId="1A0471E0" w:rsidR="00565D0B" w:rsidRDefault="00565D0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368C7A2C" w14:textId="77777777" w:rsidR="00565D0B" w:rsidRDefault="00565D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ED46C4" w14:textId="77777777" w:rsidR="008B182C" w:rsidRDefault="008B182C" w:rsidP="00565D0B">
      <w:pPr>
        <w:spacing w:after="0" w:line="240" w:lineRule="auto"/>
      </w:pPr>
      <w:r>
        <w:separator/>
      </w:r>
    </w:p>
  </w:footnote>
  <w:footnote w:type="continuationSeparator" w:id="0">
    <w:p w14:paraId="0FBBF1E0" w14:textId="77777777" w:rsidR="008B182C" w:rsidRDefault="008B182C" w:rsidP="00565D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B94A92" w14:textId="5D086C2B" w:rsidR="00565D0B" w:rsidRPr="00565D0B" w:rsidRDefault="00565D0B" w:rsidP="00565D0B">
    <w:pPr>
      <w:pStyle w:val="Header"/>
      <w:jc w:val="center"/>
      <w:rPr>
        <w:lang w:val="en-GB"/>
      </w:rPr>
    </w:pPr>
    <w:r>
      <w:rPr>
        <w:lang w:val="en-GB"/>
      </w:rPr>
      <w:t>OFFICIAL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AD2341"/>
    <w:multiLevelType w:val="multilevel"/>
    <w:tmpl w:val="73AE4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0136199F"/>
    <w:multiLevelType w:val="multilevel"/>
    <w:tmpl w:val="4704C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6383FF5"/>
    <w:multiLevelType w:val="multilevel"/>
    <w:tmpl w:val="A9E65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0B524C0"/>
    <w:multiLevelType w:val="multilevel"/>
    <w:tmpl w:val="08180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03F4152"/>
    <w:multiLevelType w:val="multilevel"/>
    <w:tmpl w:val="6A5A9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492067"/>
    <w:multiLevelType w:val="multilevel"/>
    <w:tmpl w:val="A5C4C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CD6469D"/>
    <w:multiLevelType w:val="multilevel"/>
    <w:tmpl w:val="8B582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09C0F9C"/>
    <w:multiLevelType w:val="multilevel"/>
    <w:tmpl w:val="12AC9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65B7237"/>
    <w:multiLevelType w:val="multilevel"/>
    <w:tmpl w:val="FCD623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885120A"/>
    <w:multiLevelType w:val="multilevel"/>
    <w:tmpl w:val="948E7C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964D8B"/>
    <w:multiLevelType w:val="multilevel"/>
    <w:tmpl w:val="45CC1E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7486986"/>
    <w:multiLevelType w:val="multilevel"/>
    <w:tmpl w:val="ECE23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99340E0"/>
    <w:multiLevelType w:val="multilevel"/>
    <w:tmpl w:val="10A4E2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E8452CF"/>
    <w:multiLevelType w:val="multilevel"/>
    <w:tmpl w:val="2D5A40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8DE74B4"/>
    <w:multiLevelType w:val="multilevel"/>
    <w:tmpl w:val="F0185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B576F1D"/>
    <w:multiLevelType w:val="multilevel"/>
    <w:tmpl w:val="F0209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03406FF"/>
    <w:multiLevelType w:val="multilevel"/>
    <w:tmpl w:val="2D94C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B350F1"/>
    <w:multiLevelType w:val="multilevel"/>
    <w:tmpl w:val="E53004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B1A74CD"/>
    <w:multiLevelType w:val="multilevel"/>
    <w:tmpl w:val="6DA85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DA61537"/>
    <w:multiLevelType w:val="multilevel"/>
    <w:tmpl w:val="0D2EE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08222720">
    <w:abstractNumId w:val="8"/>
  </w:num>
  <w:num w:numId="2" w16cid:durableId="1713798835">
    <w:abstractNumId w:val="6"/>
  </w:num>
  <w:num w:numId="3" w16cid:durableId="594099058">
    <w:abstractNumId w:val="5"/>
  </w:num>
  <w:num w:numId="4" w16cid:durableId="1752390492">
    <w:abstractNumId w:val="4"/>
  </w:num>
  <w:num w:numId="5" w16cid:durableId="697046458">
    <w:abstractNumId w:val="7"/>
  </w:num>
  <w:num w:numId="6" w16cid:durableId="1577714182">
    <w:abstractNumId w:val="3"/>
  </w:num>
  <w:num w:numId="7" w16cid:durableId="813832099">
    <w:abstractNumId w:val="2"/>
  </w:num>
  <w:num w:numId="8" w16cid:durableId="1389259022">
    <w:abstractNumId w:val="1"/>
  </w:num>
  <w:num w:numId="9" w16cid:durableId="1359618983">
    <w:abstractNumId w:val="0"/>
  </w:num>
  <w:num w:numId="10" w16cid:durableId="1644657863">
    <w:abstractNumId w:val="9"/>
  </w:num>
  <w:num w:numId="11" w16cid:durableId="1325428795">
    <w:abstractNumId w:val="13"/>
  </w:num>
  <w:num w:numId="12" w16cid:durableId="1564094986">
    <w:abstractNumId w:val="22"/>
  </w:num>
  <w:num w:numId="13" w16cid:durableId="1043598779">
    <w:abstractNumId w:val="24"/>
  </w:num>
  <w:num w:numId="14" w16cid:durableId="1109819061">
    <w:abstractNumId w:val="28"/>
  </w:num>
  <w:num w:numId="15" w16cid:durableId="1040665712">
    <w:abstractNumId w:val="12"/>
  </w:num>
  <w:num w:numId="16" w16cid:durableId="2007586092">
    <w:abstractNumId w:val="18"/>
  </w:num>
  <w:num w:numId="17" w16cid:durableId="1109738721">
    <w:abstractNumId w:val="21"/>
  </w:num>
  <w:num w:numId="18" w16cid:durableId="1966690490">
    <w:abstractNumId w:val="17"/>
  </w:num>
  <w:num w:numId="19" w16cid:durableId="1598246414">
    <w:abstractNumId w:val="16"/>
  </w:num>
  <w:num w:numId="20" w16cid:durableId="934365723">
    <w:abstractNumId w:val="14"/>
  </w:num>
  <w:num w:numId="21" w16cid:durableId="1436516261">
    <w:abstractNumId w:val="26"/>
  </w:num>
  <w:num w:numId="22" w16cid:durableId="652564865">
    <w:abstractNumId w:val="19"/>
  </w:num>
  <w:num w:numId="23" w16cid:durableId="1449156702">
    <w:abstractNumId w:val="10"/>
  </w:num>
  <w:num w:numId="24" w16cid:durableId="301077822">
    <w:abstractNumId w:val="20"/>
  </w:num>
  <w:num w:numId="25" w16cid:durableId="342099587">
    <w:abstractNumId w:val="15"/>
  </w:num>
  <w:num w:numId="26" w16cid:durableId="258149441">
    <w:abstractNumId w:val="27"/>
  </w:num>
  <w:num w:numId="27" w16cid:durableId="1052582185">
    <w:abstractNumId w:val="23"/>
  </w:num>
  <w:num w:numId="28" w16cid:durableId="1518809731">
    <w:abstractNumId w:val="25"/>
  </w:num>
  <w:num w:numId="29" w16cid:durableId="149884068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16C9F"/>
    <w:rsid w:val="00034616"/>
    <w:rsid w:val="0006063C"/>
    <w:rsid w:val="00073299"/>
    <w:rsid w:val="000D1E17"/>
    <w:rsid w:val="00136DAB"/>
    <w:rsid w:val="0015074B"/>
    <w:rsid w:val="001B7DEE"/>
    <w:rsid w:val="002321C2"/>
    <w:rsid w:val="00235FC1"/>
    <w:rsid w:val="0029639D"/>
    <w:rsid w:val="002D7EA2"/>
    <w:rsid w:val="00326F90"/>
    <w:rsid w:val="003D5C99"/>
    <w:rsid w:val="004A506C"/>
    <w:rsid w:val="004D3C0C"/>
    <w:rsid w:val="00530E75"/>
    <w:rsid w:val="00565D0B"/>
    <w:rsid w:val="00690424"/>
    <w:rsid w:val="00697FC9"/>
    <w:rsid w:val="006A439B"/>
    <w:rsid w:val="006E156E"/>
    <w:rsid w:val="00850E54"/>
    <w:rsid w:val="008662EE"/>
    <w:rsid w:val="00871A3B"/>
    <w:rsid w:val="00873E24"/>
    <w:rsid w:val="0089294B"/>
    <w:rsid w:val="008B182C"/>
    <w:rsid w:val="008E1BEB"/>
    <w:rsid w:val="009A1BC3"/>
    <w:rsid w:val="00A6414C"/>
    <w:rsid w:val="00A97A29"/>
    <w:rsid w:val="00AA1D8D"/>
    <w:rsid w:val="00B21A9C"/>
    <w:rsid w:val="00B23E53"/>
    <w:rsid w:val="00B43357"/>
    <w:rsid w:val="00B47730"/>
    <w:rsid w:val="00B5744E"/>
    <w:rsid w:val="00B90C00"/>
    <w:rsid w:val="00BA1041"/>
    <w:rsid w:val="00BA5E86"/>
    <w:rsid w:val="00BF06CE"/>
    <w:rsid w:val="00CB0664"/>
    <w:rsid w:val="00CD6F9F"/>
    <w:rsid w:val="00D01C05"/>
    <w:rsid w:val="00D07261"/>
    <w:rsid w:val="00D44E6B"/>
    <w:rsid w:val="00DD7A32"/>
    <w:rsid w:val="00E414D7"/>
    <w:rsid w:val="00E77605"/>
    <w:rsid w:val="00EA11E9"/>
    <w:rsid w:val="00F13A49"/>
    <w:rsid w:val="00F40F41"/>
    <w:rsid w:val="00F74777"/>
    <w:rsid w:val="00FC693F"/>
    <w:rsid w:val="00FE1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3DA881"/>
  <w14:defaultImageDpi w14:val="300"/>
  <w15:docId w15:val="{4C54B26B-9B79-4B85-8601-4E638BC1F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682</Words>
  <Characters>4229</Characters>
  <Application>Microsoft Office Word</Application>
  <DocSecurity>0</DocSecurity>
  <Lines>166</Lines>
  <Paragraphs>139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4873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Holloway, Ian Dr (NAVY PEOPLE-NUC PHYS MGR)</cp:lastModifiedBy>
  <cp:revision>6</cp:revision>
  <dcterms:created xsi:type="dcterms:W3CDTF">2026-03-24T14:55:00Z</dcterms:created>
  <dcterms:modified xsi:type="dcterms:W3CDTF">2026-03-26T15:43:00Z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2026-03-19T11:07:15Z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7a79f1db-8b9f-4971-ae86-940aec8c07ac</vt:lpwstr>
  </property>
  <property fmtid="{D5CDD505-2E9C-101B-9397-08002B2CF9AE}" pid="8" name="MSIP_Label_d8a60473-494b-4586-a1bb-b0e663054676_ContentBits">
    <vt:lpwstr>0</vt:lpwstr>
  </property>
  <property fmtid="{D5CDD505-2E9C-101B-9397-08002B2CF9AE}" pid="9" name="MSIP_Label_d8a60473-494b-4586-a1bb-b0e663054676_Tag">
    <vt:lpwstr>10, 0, 1, 1</vt:lpwstr>
  </property>
</Properties>
</file>