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b w:val="1"/>
          <w:bCs w:val="1"/>
        </w:rPr>
      </w:pPr>
    </w:p>
    <w:p>
      <w:pPr>
        <w:pStyle w:val="Body"/>
        <w:rPr>
          <w:rFonts w:ascii="Arial" w:cs="Arial" w:hAnsi="Arial" w:eastAsia="Arial"/>
          <w:b w:val="1"/>
          <w:bCs w:val="1"/>
          <w:sz w:val="24"/>
          <w:szCs w:val="24"/>
        </w:rPr>
      </w:pPr>
      <w:r>
        <w:rPr>
          <w:b w:val="1"/>
          <w:bCs w:val="1"/>
          <w:rtl w:val="0"/>
          <w:lang w:val="en-US"/>
        </w:rPr>
        <w:t xml:space="preserve">Essay 1 </w:t>
      </w:r>
    </w:p>
    <w:p>
      <w:pPr>
        <w:pStyle w:val="Body"/>
        <w:rPr>
          <w:rFonts w:ascii="Arial" w:cs="Arial" w:hAnsi="Arial" w:eastAsia="Arial"/>
          <w:b w:val="1"/>
          <w:bCs w:val="1"/>
          <w:sz w:val="24"/>
          <w:szCs w:val="24"/>
        </w:rPr>
      </w:pPr>
      <w:r>
        <w:rPr>
          <w:rFonts w:ascii="Arial" w:hAnsi="Arial"/>
          <w:b w:val="1"/>
          <w:bCs w:val="1"/>
          <w:sz w:val="24"/>
          <w:szCs w:val="24"/>
          <w:rtl w:val="0"/>
          <w:lang w:val="en-US"/>
        </w:rPr>
        <w:t>How effectively has the police service adapted to accommodate diversity within the UK? Consider the police force itself and/or the way police engage with diverse communities.</w:t>
      </w:r>
    </w:p>
    <w:p>
      <w:pPr>
        <w:pStyle w:val="Body"/>
        <w:rPr>
          <w:rFonts w:ascii="Arial" w:cs="Arial" w:hAnsi="Arial" w:eastAsia="Arial"/>
          <w:b w:val="1"/>
          <w:bCs w:val="1"/>
          <w:sz w:val="24"/>
          <w:szCs w:val="24"/>
        </w:rPr>
      </w:pPr>
    </w:p>
    <w:p>
      <w:pPr>
        <w:pStyle w:val="Body"/>
        <w:rPr>
          <w:rFonts w:ascii="Arial" w:cs="Arial" w:hAnsi="Arial" w:eastAsia="Arial"/>
          <w:sz w:val="24"/>
          <w:szCs w:val="24"/>
        </w:rPr>
      </w:pPr>
      <w:r>
        <w:rPr>
          <w:rFonts w:ascii="Arial" w:hAnsi="Arial"/>
          <w:sz w:val="24"/>
          <w:szCs w:val="24"/>
          <w:rtl w:val="0"/>
          <w:lang w:val="en-US"/>
        </w:rPr>
        <w:t>As of 2024, the top five ethnicities in the UK in terms of numbers are White (81.7%), Asian (9.6%), Black (4.2%) and mixed race (3%) (Population Pie, 2024). Due to the large number of diverse communities that we have policing has also had to adapt and evolve in order to effectively deal with the new struggle that arise from protecting and serving these communities. In this essay I will be addressing some of the concerns that have arisen around policing and diversity, as well as the research surrounding this.</w:t>
      </w:r>
    </w:p>
    <w:p>
      <w:pPr>
        <w:pStyle w:val="Body"/>
        <w:rPr>
          <w:rFonts w:ascii="Arial" w:cs="Arial" w:hAnsi="Arial" w:eastAsia="Arial"/>
          <w:sz w:val="24"/>
          <w:szCs w:val="24"/>
        </w:rPr>
      </w:pPr>
      <w:r>
        <w:rPr>
          <w:rFonts w:ascii="Arial" w:hAnsi="Arial"/>
          <w:sz w:val="24"/>
          <w:szCs w:val="24"/>
          <w:rtl w:val="0"/>
          <w:lang w:val="en-US"/>
        </w:rPr>
        <w:t xml:space="preserve">Police in the UK have been heavily scrutinised when it comes to the task of accommodating diversity, and engaging with diverse communities. There have been a number of initiatives aimed at promoting diversity and inclusion, however there is a large amount of research showing that there are still significant challenges faced by police, both within their institutions well as their engagement within the diverse communities that they police. </w:t>
      </w:r>
    </w:p>
    <w:p>
      <w:pPr>
        <w:pStyle w:val="Body"/>
        <w:rPr>
          <w:rFonts w:ascii="Arial" w:cs="Arial" w:hAnsi="Arial" w:eastAsia="Arial"/>
          <w:sz w:val="24"/>
          <w:szCs w:val="24"/>
        </w:rPr>
      </w:pPr>
      <w:r>
        <w:rPr>
          <w:rFonts w:ascii="Arial" w:hAnsi="Arial"/>
          <w:sz w:val="24"/>
          <w:szCs w:val="24"/>
          <w:rtl w:val="0"/>
          <w:lang w:val="en-US"/>
        </w:rPr>
        <w:t>One of the ways in which the UK police force has attempted to tackle diversity has been through its recruitment drives. Initiatives have been designed to support unrepresented candidates, in order to diversify police forces. The goals of which are not only to provide</w:t>
      </w:r>
      <w:r>
        <mc:AlternateContent>
          <mc:Choice Requires="wps">
            <w:drawing xmlns:a="http://schemas.openxmlformats.org/drawingml/2006/main">
              <wp:anchor distT="152400" distB="152400" distL="152400" distR="152400" simplePos="0" relativeHeight="251659264" behindDoc="0" locked="0" layoutInCell="1" allowOverlap="1">
                <wp:simplePos x="0" y="0"/>
                <wp:positionH relativeFrom="page">
                  <wp:posOffset>1317832</wp:posOffset>
                </wp:positionH>
                <wp:positionV relativeFrom="page">
                  <wp:posOffset>720000</wp:posOffset>
                </wp:positionV>
                <wp:extent cx="5179881" cy="1359669"/>
                <wp:effectExtent l="0" t="0" r="0" b="0"/>
                <wp:wrapTopAndBottom distT="152400" distB="152400"/>
                <wp:docPr id="1073741825" name="officeArt object"/>
                <wp:cNvGraphicFramePr/>
                <a:graphic xmlns:a="http://schemas.openxmlformats.org/drawingml/2006/main">
                  <a:graphicData uri="http://schemas.microsoft.com/office/word/2010/wordprocessingShape">
                    <wps:wsp>
                      <wps:cNvSpPr/>
                      <wps:spPr>
                        <a:xfrm>
                          <a:off x="0" y="0"/>
                          <a:ext cx="5179881" cy="1359669"/>
                        </a:xfrm>
                        <a:prstGeom prst="rect">
                          <a:avLst/>
                        </a:prstGeom>
                      </wps:spPr>
                      <wps:txbx>
                        <w:txbxContent>
                          <w:tbl>
                            <w:tblPr>
                              <w:tblW w:w="8147" w:type="dxa"/>
                              <w:tblInd w:w="5"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18"/>
                              <w:gridCol w:w="2704"/>
                              <w:gridCol w:w="1862"/>
                              <w:gridCol w:w="1863"/>
                            </w:tblGrid>
                            <w:tr>
                              <w:tblPrEx>
                                <w:shd w:val="clear" w:color="auto" w:fill="ced7e7"/>
                              </w:tblPrEx>
                              <w:trPr>
                                <w:trHeight w:val="483" w:hRule="atLeast"/>
                              </w:trPr>
                              <w:tc>
                                <w:tcPr>
                                  <w:tcW w:type="dxa" w:w="17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Student name:</w:t>
                                  </w:r>
                                </w:p>
                              </w:tc>
                              <w:tc>
                                <w:tcPr>
                                  <w:tcW w:type="dxa" w:w="27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rPr>
                                    <w:t>Alexander Skinner</w:t>
                                  </w:r>
                                </w:p>
                              </w:tc>
                              <w:tc>
                                <w:tcPr>
                                  <w:tcW w:type="dxa" w:w="18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Student ID number:</w:t>
                                  </w:r>
                                </w:p>
                              </w:tc>
                              <w:tc>
                                <w:tcPr>
                                  <w:tcW w:type="dxa" w:w="18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120" w:after="120" w:line="240" w:lineRule="auto"/>
                                    <w:ind w:left="0" w:right="0" w:firstLine="0"/>
                                    <w:jc w:val="both"/>
                                    <w:rPr>
                                      <w:rtl w:val="0"/>
                                    </w:rPr>
                                  </w:pPr>
                                  <w:r>
                                    <w:rPr>
                                      <w:rFonts w:ascii="Arial" w:hAnsi="Arial"/>
                                      <w:b w:val="1"/>
                                      <w:bCs w:val="1"/>
                                      <w:sz w:val="22"/>
                                      <w:szCs w:val="22"/>
                                      <w:u w:color="000000"/>
                                      <w:rtl w:val="0"/>
                                    </w:rPr>
                                    <w:t>2319908</w:t>
                                  </w:r>
                                </w:p>
                              </w:tc>
                            </w:tr>
                            <w:tr>
                              <w:tblPrEx>
                                <w:shd w:val="clear" w:color="auto" w:fill="ced7e7"/>
                              </w:tblPrEx>
                              <w:trPr>
                                <w:trHeight w:val="256" w:hRule="atLeast"/>
                              </w:trPr>
                              <w:tc>
                                <w:tcPr>
                                  <w:tcW w:type="dxa" w:w="17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Programme:</w:t>
                                  </w:r>
                                </w:p>
                              </w:tc>
                              <w:tc>
                                <w:tcPr>
                                  <w:tcW w:type="dxa" w:w="642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 xml:space="preserve">Graduate Diploma in Policing (GDIP) </w:t>
                                  </w:r>
                                </w:p>
                              </w:tc>
                            </w:tr>
                            <w:tr>
                              <w:tblPrEx>
                                <w:shd w:val="clear" w:color="auto" w:fill="ced7e7"/>
                              </w:tblPrEx>
                              <w:trPr>
                                <w:trHeight w:val="256" w:hRule="atLeast"/>
                              </w:trPr>
                              <w:tc>
                                <w:tcPr>
                                  <w:tcW w:type="dxa" w:w="17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Module:</w:t>
                                  </w:r>
                                </w:p>
                              </w:tc>
                              <w:tc>
                                <w:tcPr>
                                  <w:tcW w:type="dxa" w:w="642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 xml:space="preserve">Operational Policing Practice 3 </w:t>
                                  </w:r>
                                </w:p>
                              </w:tc>
                            </w:tr>
                            <w:tr>
                              <w:tblPrEx>
                                <w:shd w:val="clear" w:color="auto" w:fill="ced7e7"/>
                              </w:tblPrEx>
                              <w:trPr>
                                <w:trHeight w:val="503" w:hRule="atLeast"/>
                              </w:trPr>
                              <w:tc>
                                <w:tcPr>
                                  <w:tcW w:type="dxa" w:w="17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Module code:</w:t>
                                  </w:r>
                                </w:p>
                              </w:tc>
                              <w:tc>
                                <w:tcPr>
                                  <w:tcW w:type="dxa" w:w="27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BMPP6005D</w:t>
                                  </w:r>
                                </w:p>
                              </w:tc>
                              <w:tc>
                                <w:tcPr>
                                  <w:tcW w:type="dxa" w:w="18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Assignment Title:</w:t>
                                  </w:r>
                                </w:p>
                              </w:tc>
                              <w:tc>
                                <w:tcPr>
                                  <w:tcW w:type="dxa" w:w="18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Academic assignment</w:t>
                                  </w:r>
                                </w:p>
                              </w:tc>
                            </w:tr>
                          </w:tbl>
                        </w:txbxContent>
                      </wps:txbx>
                      <wps:bodyPr lIns="0" tIns="0" rIns="0" bIns="0">
                        <a:spAutoFit/>
                      </wps:bodyPr>
                    </wps:wsp>
                  </a:graphicData>
                </a:graphic>
              </wp:anchor>
            </w:drawing>
          </mc:Choice>
          <mc:Fallback>
            <w:pict>
              <v:shape id="_x0000_s1026" type="#_x0000_t202" style="visibility:visible;position:absolute;margin-left:103.8pt;margin-top:56.7pt;width:407.9pt;height:107.1pt;z-index:251659264;mso-position-horizontal:absolute;mso-position-horizontal-relative:page;mso-position-vertical:absolute;mso-position-vertical-relative:page;mso-wrap-distance-left:12.0pt;mso-wrap-distance-top:12.0pt;mso-wrap-distance-right:12.0pt;mso-wrap-distance-bottom:12.0pt;">
                <v:fill on="f"/>
                <v:stroke on="f" weight="0.8pt" dashstyle="solid" endcap="flat" joinstyle="round" linestyle="single" startarrow="none" startarrowwidth="medium" startarrowlength="medium" endarrow="none" endarrowwidth="medium" endarrowlength="medium"/>
                <v:textbox>
                  <w:txbxContent>
                    <w:tbl>
                      <w:tblPr>
                        <w:tblW w:w="8147" w:type="dxa"/>
                        <w:tblInd w:w="5"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18"/>
                        <w:gridCol w:w="2704"/>
                        <w:gridCol w:w="1862"/>
                        <w:gridCol w:w="1863"/>
                      </w:tblGrid>
                      <w:tr>
                        <w:tblPrEx>
                          <w:shd w:val="clear" w:color="auto" w:fill="ced7e7"/>
                        </w:tblPrEx>
                        <w:trPr>
                          <w:trHeight w:val="483" w:hRule="atLeast"/>
                        </w:trPr>
                        <w:tc>
                          <w:tcPr>
                            <w:tcW w:type="dxa" w:w="17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Student name:</w:t>
                            </w:r>
                          </w:p>
                        </w:tc>
                        <w:tc>
                          <w:tcPr>
                            <w:tcW w:type="dxa" w:w="27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rPr>
                              <w:t>Alexander Skinner</w:t>
                            </w:r>
                          </w:p>
                        </w:tc>
                        <w:tc>
                          <w:tcPr>
                            <w:tcW w:type="dxa" w:w="18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Student ID number:</w:t>
                            </w:r>
                          </w:p>
                        </w:tc>
                        <w:tc>
                          <w:tcPr>
                            <w:tcW w:type="dxa" w:w="18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120" w:after="120" w:line="240" w:lineRule="auto"/>
                              <w:ind w:left="0" w:right="0" w:firstLine="0"/>
                              <w:jc w:val="both"/>
                              <w:rPr>
                                <w:rtl w:val="0"/>
                              </w:rPr>
                            </w:pPr>
                            <w:r>
                              <w:rPr>
                                <w:rFonts w:ascii="Arial" w:hAnsi="Arial"/>
                                <w:b w:val="1"/>
                                <w:bCs w:val="1"/>
                                <w:sz w:val="22"/>
                                <w:szCs w:val="22"/>
                                <w:u w:color="000000"/>
                                <w:rtl w:val="0"/>
                              </w:rPr>
                              <w:t>2319908</w:t>
                            </w:r>
                          </w:p>
                        </w:tc>
                      </w:tr>
                      <w:tr>
                        <w:tblPrEx>
                          <w:shd w:val="clear" w:color="auto" w:fill="ced7e7"/>
                        </w:tblPrEx>
                        <w:trPr>
                          <w:trHeight w:val="256" w:hRule="atLeast"/>
                        </w:trPr>
                        <w:tc>
                          <w:tcPr>
                            <w:tcW w:type="dxa" w:w="17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Programme:</w:t>
                            </w:r>
                          </w:p>
                        </w:tc>
                        <w:tc>
                          <w:tcPr>
                            <w:tcW w:type="dxa" w:w="642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 xml:space="preserve">Graduate Diploma in Policing (GDIP) </w:t>
                            </w:r>
                          </w:p>
                        </w:tc>
                      </w:tr>
                      <w:tr>
                        <w:tblPrEx>
                          <w:shd w:val="clear" w:color="auto" w:fill="ced7e7"/>
                        </w:tblPrEx>
                        <w:trPr>
                          <w:trHeight w:val="256" w:hRule="atLeast"/>
                        </w:trPr>
                        <w:tc>
                          <w:tcPr>
                            <w:tcW w:type="dxa" w:w="17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Module:</w:t>
                            </w:r>
                          </w:p>
                        </w:tc>
                        <w:tc>
                          <w:tcPr>
                            <w:tcW w:type="dxa" w:w="642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 xml:space="preserve">Operational Policing Practice 3 </w:t>
                            </w:r>
                          </w:p>
                        </w:tc>
                      </w:tr>
                      <w:tr>
                        <w:tblPrEx>
                          <w:shd w:val="clear" w:color="auto" w:fill="ced7e7"/>
                        </w:tblPrEx>
                        <w:trPr>
                          <w:trHeight w:val="503" w:hRule="atLeast"/>
                        </w:trPr>
                        <w:tc>
                          <w:tcPr>
                            <w:tcW w:type="dxa" w:w="17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Module code:</w:t>
                            </w:r>
                          </w:p>
                        </w:tc>
                        <w:tc>
                          <w:tcPr>
                            <w:tcW w:type="dxa" w:w="27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BMPP6005D</w:t>
                            </w:r>
                          </w:p>
                        </w:tc>
                        <w:tc>
                          <w:tcPr>
                            <w:tcW w:type="dxa" w:w="18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Assignment Title:</w:t>
                            </w:r>
                          </w:p>
                        </w:tc>
                        <w:tc>
                          <w:tcPr>
                            <w:tcW w:type="dxa" w:w="18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Academic assignment</w:t>
                            </w:r>
                          </w:p>
                        </w:tc>
                      </w:tr>
                    </w:tbl>
                  </w:txbxContent>
                </v:textbox>
                <w10:wrap type="topAndBottom" side="bothSides" anchorx="page" anchory="page"/>
              </v:shape>
            </w:pict>
          </mc:Fallback>
        </mc:AlternateContent>
      </w:r>
      <w:r>
        <w:rPr>
          <w:rFonts w:ascii="Arial" w:hAnsi="Arial"/>
          <w:sz w:val="24"/>
          <w:szCs w:val="24"/>
          <w:rtl w:val="0"/>
          <w:lang w:val="en-US"/>
        </w:rPr>
        <w:t xml:space="preserve"> more opportunities for underrepresented communities within the force, but also to allow the police forces to evolve in a way that allows them to communicate with and support the communities that they represent more effectively. This is an admirable goal, however some researchers such as Hesketh and Stubbs (2024) have argued that the measures that have been taken often fail to address the deeper systematic issues within the police force in the uk, and therefore fall short of the goals that they have outlined for themselves. They have argued that although they may be increasing representation within the force, they are not in fact leading to any substantial changes within the organisation itself, and that in order for any meaningful changes to take place, they would require a deep overhaul of the organisational culture and their recruitment process (Hesketh and Stubbs, 2024). In addition to this study, Fielding (2024), conducted a review of the effects of diverse recruitment in the UK Police force, the findings of which showed that while the numbers of diverse candidates have risen, the effects of the increase in the numbers have not yet let to any conclusive evidence that any meaningful change has taken place in regards to the policing in diverse communities. The research concludes that recruitment alone has not yet been sufficient enough to lead to any impactful change (Fielding, 2024).</w:t>
      </w:r>
    </w:p>
    <w:p>
      <w:pPr>
        <w:pStyle w:val="Body"/>
        <w:rPr>
          <w:rFonts w:ascii="Arial" w:cs="Arial" w:hAnsi="Arial" w:eastAsia="Arial"/>
          <w:sz w:val="24"/>
          <w:szCs w:val="24"/>
        </w:rPr>
      </w:pPr>
      <w:r>
        <w:rPr>
          <w:rFonts w:ascii="Arial" w:hAnsi="Arial"/>
          <w:sz w:val="24"/>
          <w:szCs w:val="24"/>
          <w:rtl w:val="0"/>
          <w:lang w:val="en-US"/>
        </w:rPr>
        <w:t>When it comes to the Police and their engagement with diverse communities, this topic has often been a strained one, as has the relationship with police and such communities. There are a number of historical issues around the subject that have lead to mistrust from diverse communities. Bullock and Johnson (2018) explored the subject of police engagement with Muslim communities, and stated that there were a number of barriers that blocked police from effectively working with them, such as mistrust as well as a lack of understanding from the police around their culture and ways of life. Bullock and Johnson stated that in order for police to effectively work with these communities, they would need to advance, and move their organisational culture beyond superficial engagement, and they would need to adopt deeper partnerships with diverse communities, leading stronger partnerships and better policing outcomes (Bullock and Johnson, 2018).</w:t>
      </w:r>
    </w:p>
    <w:p>
      <w:pPr>
        <w:pStyle w:val="Body"/>
        <w:rPr>
          <w:rFonts w:ascii="Arial" w:cs="Arial" w:hAnsi="Arial" w:eastAsia="Arial"/>
          <w:sz w:val="24"/>
          <w:szCs w:val="24"/>
        </w:rPr>
      </w:pPr>
      <w:r>
        <w:rPr>
          <w:rFonts w:ascii="Arial" w:hAnsi="Arial"/>
          <w:sz w:val="24"/>
          <w:szCs w:val="24"/>
          <w:rtl w:val="0"/>
          <w:lang w:val="en-US"/>
        </w:rPr>
        <w:t>Charman (2024) supports this research, as they discussed the challenges facing policing diverse communities in the UK. They stated that despite there being many structural changes, there has been, on the whole, a lack of focus on cultural change within the police. They concluded that without addressing the current cultures and attitudes in the force as a whole, on a far deeper level, there will only be superficial changes to the attempt to tackle the challenges around accommodating diversity in the UK.</w:t>
      </w:r>
    </w:p>
    <w:p>
      <w:pPr>
        <w:pStyle w:val="Body"/>
        <w:rPr>
          <w:rFonts w:ascii="Arial" w:cs="Arial" w:hAnsi="Arial" w:eastAsia="Arial"/>
          <w:sz w:val="24"/>
          <w:szCs w:val="24"/>
        </w:rPr>
      </w:pPr>
      <w:r>
        <w:rPr>
          <w:rFonts w:ascii="Arial" w:hAnsi="Arial"/>
          <w:sz w:val="24"/>
          <w:szCs w:val="24"/>
          <w:rtl w:val="0"/>
          <w:lang w:val="en-US"/>
        </w:rPr>
        <w:t>In conclusion, there have clearly been strong efforts that have been made around supporting our diverse communities in the UK, however the studies that I have outlines above have made it clear that the police force in the UK still has a long way to go until they have managed to successfully integrate diversity into not only their ranks, but also in a way that gains the support of these communities as a whole. There is evidently still mistrust from these communities when it comes to police, however as these studies state, these issues will not be solved until further attempts to restructure the organisation as a whole are made, rather than the superficial attempts that have been made so far.</w:t>
      </w: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b w:val="1"/>
          <w:bCs w:val="1"/>
          <w:sz w:val="24"/>
          <w:szCs w:val="24"/>
        </w:rPr>
      </w:pPr>
      <w:r>
        <w:rPr>
          <w:rFonts w:ascii="Arial" w:hAnsi="Arial"/>
          <w:b w:val="1"/>
          <w:bCs w:val="1"/>
          <w:sz w:val="24"/>
          <w:szCs w:val="24"/>
          <w:rtl w:val="0"/>
          <w:lang w:val="en-US"/>
        </w:rPr>
        <w:t>Bibliography:</w:t>
      </w:r>
    </w:p>
    <w:p>
      <w:pPr>
        <w:pStyle w:val="Default"/>
        <w:suppressAutoHyphens w:val="1"/>
        <w:spacing w:before="0" w:after="240" w:line="240" w:lineRule="auto"/>
        <w:rPr>
          <w:rFonts w:ascii="Arial" w:cs="Arial" w:hAnsi="Arial" w:eastAsia="Arial"/>
        </w:rPr>
      </w:pPr>
      <w:r>
        <w:rPr>
          <w:rFonts w:ascii="Arial" w:hAnsi="Arial"/>
          <w:rtl w:val="0"/>
          <w:lang w:val="en-US"/>
        </w:rPr>
        <w:t xml:space="preserve">Bullock, K. and Johnson, P., 2018. Police engagement with Muslim communities: breaking out, breaking in and breaking through. </w:t>
      </w:r>
      <w:r>
        <w:rPr>
          <w:rFonts w:ascii="Arial" w:hAnsi="Arial"/>
          <w:i w:val="1"/>
          <w:iCs w:val="1"/>
          <w:rtl w:val="0"/>
          <w:lang w:val="en-US"/>
        </w:rPr>
        <w:t>Policing and Society</w:t>
      </w:r>
      <w:r>
        <w:rPr>
          <w:rFonts w:ascii="Arial" w:hAnsi="Arial"/>
          <w:rtl w:val="0"/>
        </w:rPr>
        <w:t>, 28(5), pp.556</w:t>
      </w:r>
      <w:r>
        <w:rPr>
          <w:rFonts w:ascii="Arial" w:hAnsi="Arial" w:hint="default"/>
          <w:rtl w:val="0"/>
        </w:rPr>
        <w:t>–</w:t>
      </w:r>
      <w:r>
        <w:rPr>
          <w:rFonts w:ascii="Arial" w:hAnsi="Arial"/>
          <w:rtl w:val="0"/>
          <w:lang w:val="en-US"/>
        </w:rPr>
        <w:t>570. [online] Available at: https://www.tandfonline.com/doi/abs/10.1080/10439463.2017.1339706 [Accessed 26 May 2025].</w:t>
      </w:r>
    </w:p>
    <w:p>
      <w:pPr>
        <w:pStyle w:val="Default"/>
        <w:suppressAutoHyphens w:val="1"/>
        <w:spacing w:before="0" w:after="240" w:line="240" w:lineRule="auto"/>
        <w:rPr>
          <w:rFonts w:ascii="Arial" w:cs="Arial" w:hAnsi="Arial" w:eastAsia="Arial"/>
        </w:rPr>
      </w:pPr>
      <w:r>
        <w:rPr>
          <w:rFonts w:ascii="Arial" w:hAnsi="Arial"/>
          <w:rtl w:val="0"/>
          <w:lang w:val="en-US"/>
        </w:rPr>
        <w:t>Cambridge Interfaith Programme, n.d. Effective Community Policing: Negotiating Changing Religious Identities. [online] University of Cambridge. Available at: https://www.interfaith.cam.ac.uk/resources/lecturespapersandspeeches/effectivecommunitypolicing [Accessed 26 May 2025].</w:t>
      </w:r>
    </w:p>
    <w:p>
      <w:pPr>
        <w:pStyle w:val="Default"/>
        <w:suppressAutoHyphens w:val="1"/>
        <w:spacing w:before="0" w:after="240" w:line="240" w:lineRule="auto"/>
        <w:rPr>
          <w:rFonts w:ascii="Arial" w:cs="Arial" w:hAnsi="Arial" w:eastAsia="Arial"/>
        </w:rPr>
      </w:pPr>
      <w:r>
        <w:rPr>
          <w:rFonts w:ascii="Arial" w:hAnsi="Arial"/>
          <w:rtl w:val="0"/>
          <w:lang w:val="en-US"/>
        </w:rPr>
        <w:t xml:space="preserve">Charman, S., 2024. Steering a path to cultural change: Emerging and enduring characteristics of policing cultures in the UK. </w:t>
      </w:r>
      <w:r>
        <w:rPr>
          <w:rFonts w:ascii="Arial" w:hAnsi="Arial"/>
          <w:i w:val="1"/>
          <w:iCs w:val="1"/>
          <w:rtl w:val="0"/>
          <w:lang w:val="en-US"/>
        </w:rPr>
        <w:t>Policing: A Journal of Policy and Practice</w:t>
      </w:r>
      <w:r>
        <w:rPr>
          <w:rFonts w:ascii="Arial" w:hAnsi="Arial"/>
          <w:rtl w:val="0"/>
          <w:lang w:val="en-US"/>
        </w:rPr>
        <w:t>. [online] Available at: https://journals.sagepub.com/doi/full/10.1177/14613557241298814 [Accessed 26 May 2025].</w:t>
      </w:r>
    </w:p>
    <w:p>
      <w:pPr>
        <w:pStyle w:val="Default"/>
        <w:suppressAutoHyphens w:val="1"/>
        <w:spacing w:before="0" w:after="240" w:line="240" w:lineRule="auto"/>
        <w:rPr>
          <w:rFonts w:ascii="Arial" w:cs="Arial" w:hAnsi="Arial" w:eastAsia="Arial"/>
        </w:rPr>
      </w:pPr>
      <w:r>
        <w:rPr>
          <w:rFonts w:ascii="Arial" w:hAnsi="Arial"/>
          <w:rtl w:val="0"/>
          <w:lang w:val="en-US"/>
        </w:rPr>
        <w:t xml:space="preserve">Fielding, N., 2024. Understanding minority recruitment to the police: beyond systematic review. </w:t>
      </w:r>
      <w:r>
        <w:rPr>
          <w:rFonts w:ascii="Arial" w:hAnsi="Arial"/>
          <w:i w:val="1"/>
          <w:iCs w:val="1"/>
          <w:rtl w:val="0"/>
          <w:lang w:val="en-US"/>
        </w:rPr>
        <w:t>HESA Law Journal</w:t>
      </w:r>
      <w:r>
        <w:rPr>
          <w:rFonts w:ascii="Arial" w:hAnsi="Arial"/>
          <w:rtl w:val="0"/>
          <w:lang w:val="en-US"/>
        </w:rPr>
        <w:t>. [online] Available at: https://hesalawjournal.com/2024/05/06/understanding-minority-recruitment-to-the-police-beyond-systematic-review [Accessed 26 May 2025].</w:t>
      </w:r>
    </w:p>
    <w:p>
      <w:pPr>
        <w:pStyle w:val="Default"/>
        <w:suppressAutoHyphens w:val="1"/>
        <w:spacing w:before="0" w:after="240" w:line="240" w:lineRule="auto"/>
        <w:rPr>
          <w:rFonts w:ascii="Arial" w:cs="Arial" w:hAnsi="Arial" w:eastAsia="Arial"/>
        </w:rPr>
      </w:pPr>
      <w:r>
        <w:rPr>
          <w:rFonts w:ascii="Arial" w:hAnsi="Arial"/>
          <w:rtl w:val="0"/>
          <w:lang w:val="en-US"/>
        </w:rPr>
        <w:t xml:space="preserve">Hesketh, I. and Stubbs, G., 2024. Positive action paradox in UK police recruitment: A critical perspective. </w:t>
      </w:r>
      <w:r>
        <w:rPr>
          <w:rFonts w:ascii="Arial" w:hAnsi="Arial"/>
          <w:i w:val="1"/>
          <w:iCs w:val="1"/>
          <w:rtl w:val="0"/>
          <w:lang w:val="en-US"/>
        </w:rPr>
        <w:t>The Police Journal: Theory, Practice and Principles</w:t>
      </w:r>
      <w:r>
        <w:rPr>
          <w:rFonts w:ascii="Arial" w:hAnsi="Arial"/>
          <w:rtl w:val="0"/>
          <w:lang w:val="en-US"/>
        </w:rPr>
        <w:t>. [online] Available at: https://journals.sagepub.com/doi/10.1177/0032258X231172030 [Accessed 26 May 2025].</w:t>
      </w:r>
    </w:p>
    <w:p>
      <w:pPr>
        <w:pStyle w:val="Default"/>
        <w:suppressAutoHyphens w:val="1"/>
        <w:spacing w:before="0" w:after="240" w:line="240" w:lineRule="auto"/>
        <w:rPr>
          <w:rFonts w:ascii="Arial" w:cs="Arial" w:hAnsi="Arial" w:eastAsia="Arial"/>
        </w:rPr>
      </w:pPr>
      <w:r>
        <w:rPr>
          <w:rFonts w:ascii="Arial" w:hAnsi="Arial"/>
          <w:rtl w:val="0"/>
          <w:lang w:val="en-US"/>
        </w:rPr>
        <w:t xml:space="preserve">Holdaway, S., 1991. Race relations and police recruitment. </w:t>
      </w:r>
      <w:r>
        <w:rPr>
          <w:rFonts w:ascii="Arial" w:hAnsi="Arial"/>
          <w:i w:val="1"/>
          <w:iCs w:val="1"/>
          <w:rtl w:val="0"/>
          <w:lang w:val="en-US"/>
        </w:rPr>
        <w:t>The British Journal of Criminology</w:t>
      </w:r>
      <w:r>
        <w:rPr>
          <w:rFonts w:ascii="Arial" w:hAnsi="Arial"/>
          <w:rtl w:val="0"/>
        </w:rPr>
        <w:t>, 31(4), pp.365</w:t>
      </w:r>
      <w:r>
        <w:rPr>
          <w:rFonts w:ascii="Arial" w:hAnsi="Arial" w:hint="default"/>
          <w:rtl w:val="0"/>
        </w:rPr>
        <w:t>–</w:t>
      </w:r>
      <w:r>
        <w:rPr>
          <w:rFonts w:ascii="Arial" w:hAnsi="Arial"/>
          <w:rtl w:val="0"/>
        </w:rPr>
        <w:t>381.</w:t>
      </w:r>
    </w:p>
    <w:p>
      <w:pPr>
        <w:pStyle w:val="Default"/>
        <w:suppressAutoHyphens w:val="1"/>
        <w:spacing w:before="0" w:after="240" w:line="240" w:lineRule="auto"/>
        <w:rPr>
          <w:rFonts w:ascii="Arial" w:cs="Arial" w:hAnsi="Arial" w:eastAsia="Arial"/>
        </w:rPr>
      </w:pPr>
      <w:r>
        <w:rPr>
          <w:rFonts w:ascii="Arial" w:hAnsi="Arial"/>
          <w:rtl w:val="0"/>
          <w:lang w:val="en-US"/>
        </w:rPr>
        <w:t>Holdaway, S. and O</w:t>
      </w:r>
      <w:r>
        <w:rPr>
          <w:rFonts w:ascii="Arial" w:hAnsi="Arial" w:hint="default"/>
          <w:rtl w:val="1"/>
        </w:rPr>
        <w:t>’</w:t>
      </w:r>
      <w:r>
        <w:rPr>
          <w:rFonts w:ascii="Arial" w:hAnsi="Arial"/>
          <w:rtl w:val="0"/>
          <w:lang w:val="en-US"/>
        </w:rPr>
        <w:t xml:space="preserve">Neill, M., 2006. Ethnicity and culture: thinking about </w:t>
      </w:r>
      <w:r>
        <w:rPr>
          <w:rFonts w:ascii="Arial" w:hAnsi="Arial" w:hint="default"/>
          <w:rtl w:val="1"/>
        </w:rPr>
        <w:t>‘</w:t>
      </w:r>
      <w:r>
        <w:rPr>
          <w:rFonts w:ascii="Arial" w:hAnsi="Arial"/>
          <w:rtl w:val="0"/>
          <w:lang w:val="fr-FR"/>
        </w:rPr>
        <w:t>police ethnicity</w:t>
      </w:r>
      <w:r>
        <w:rPr>
          <w:rFonts w:ascii="Arial" w:hAnsi="Arial" w:hint="default"/>
          <w:rtl w:val="1"/>
        </w:rPr>
        <w:t>’</w:t>
      </w:r>
      <w:r>
        <w:rPr>
          <w:rFonts w:ascii="Arial" w:hAnsi="Arial"/>
          <w:rtl w:val="0"/>
        </w:rPr>
        <w:t xml:space="preserve">. </w:t>
      </w:r>
      <w:r>
        <w:rPr>
          <w:rFonts w:ascii="Arial" w:hAnsi="Arial"/>
          <w:i w:val="1"/>
          <w:iCs w:val="1"/>
          <w:rtl w:val="0"/>
          <w:lang w:val="en-US"/>
        </w:rPr>
        <w:t>Policing and Society</w:t>
      </w:r>
      <w:r>
        <w:rPr>
          <w:rFonts w:ascii="Arial" w:hAnsi="Arial"/>
          <w:rtl w:val="0"/>
        </w:rPr>
        <w:t>, 16(4), pp.401</w:t>
      </w:r>
      <w:r>
        <w:rPr>
          <w:rFonts w:ascii="Arial" w:hAnsi="Arial" w:hint="default"/>
          <w:rtl w:val="0"/>
        </w:rPr>
        <w:t>–</w:t>
      </w:r>
      <w:r>
        <w:rPr>
          <w:rFonts w:ascii="Arial" w:hAnsi="Arial"/>
          <w:rtl w:val="0"/>
        </w:rPr>
        <w:t>418.</w:t>
      </w:r>
    </w:p>
    <w:p>
      <w:pPr>
        <w:pStyle w:val="Default"/>
        <w:suppressAutoHyphens w:val="1"/>
        <w:spacing w:before="0" w:after="240" w:line="240" w:lineRule="auto"/>
        <w:rPr>
          <w:rFonts w:ascii="Arial" w:cs="Arial" w:hAnsi="Arial" w:eastAsia="Arial"/>
        </w:rPr>
      </w:pPr>
      <w:r>
        <w:rPr>
          <w:rFonts w:ascii="Arial" w:hAnsi="Arial"/>
          <w:rtl w:val="0"/>
          <w:lang w:val="en-US"/>
        </w:rPr>
        <w:t>Holdaway, S. and O</w:t>
      </w:r>
      <w:r>
        <w:rPr>
          <w:rFonts w:ascii="Arial" w:hAnsi="Arial" w:hint="default"/>
          <w:rtl w:val="1"/>
        </w:rPr>
        <w:t>’</w:t>
      </w:r>
      <w:r>
        <w:rPr>
          <w:rFonts w:ascii="Arial" w:hAnsi="Arial"/>
          <w:rtl w:val="0"/>
          <w:lang w:val="en-US"/>
        </w:rPr>
        <w:t xml:space="preserve">Neill, M., 2013. Black police associations and the Lawrence report: reinforcing or changing the status quo? </w:t>
      </w:r>
      <w:r>
        <w:rPr>
          <w:rFonts w:ascii="Arial" w:hAnsi="Arial"/>
          <w:i w:val="1"/>
          <w:iCs w:val="1"/>
          <w:rtl w:val="0"/>
          <w:lang w:val="en-US"/>
        </w:rPr>
        <w:t>The Police Journal</w:t>
      </w:r>
      <w:r>
        <w:rPr>
          <w:rFonts w:ascii="Arial" w:hAnsi="Arial"/>
          <w:rtl w:val="0"/>
        </w:rPr>
        <w:t>, 86(3), pp.195</w:t>
      </w:r>
      <w:r>
        <w:rPr>
          <w:rFonts w:ascii="Arial" w:hAnsi="Arial" w:hint="default"/>
          <w:rtl w:val="0"/>
        </w:rPr>
        <w:t>–</w:t>
      </w:r>
      <w:r>
        <w:rPr>
          <w:rFonts w:ascii="Arial" w:hAnsi="Arial"/>
          <w:rtl w:val="0"/>
        </w:rPr>
        <w:t>208.</w:t>
      </w:r>
    </w:p>
    <w:p>
      <w:pPr>
        <w:pStyle w:val="Default"/>
        <w:suppressAutoHyphens w:val="1"/>
        <w:spacing w:before="0" w:line="240" w:lineRule="auto"/>
        <w:rPr>
          <w:rFonts w:ascii="Arial" w:cs="Arial" w:hAnsi="Arial" w:eastAsia="Arial"/>
        </w:rPr>
      </w:pPr>
      <w:r>
        <w:rPr>
          <w:rFonts w:ascii="Arial" w:hAnsi="Arial"/>
          <w:rtl w:val="0"/>
          <w:lang w:val="en-US"/>
        </w:rPr>
        <w:t xml:space="preserve">Population Pie, 2024. </w:t>
      </w:r>
      <w:r>
        <w:rPr>
          <w:rFonts w:ascii="Arial" w:hAnsi="Arial"/>
          <w:i w:val="1"/>
          <w:iCs w:val="1"/>
          <w:rtl w:val="0"/>
          <w:lang w:val="en-US"/>
        </w:rPr>
        <w:t>Population of England UK (Updated 2024)</w:t>
      </w:r>
      <w:r>
        <w:rPr>
          <w:rFonts w:ascii="Arial" w:hAnsi="Arial"/>
          <w:rtl w:val="0"/>
          <w:lang w:val="en-US"/>
        </w:rPr>
        <w:t>. [online] Available at:</w:t>
      </w:r>
      <w:r>
        <w:rPr>
          <w:rStyle w:val="Hyperlink.0"/>
          <w:rFonts w:ascii="Arial" w:cs="Arial" w:hAnsi="Arial" w:eastAsia="Arial"/>
        </w:rPr>
        <w:fldChar w:fldCharType="begin" w:fldLock="0"/>
      </w:r>
      <w:r>
        <w:rPr>
          <w:rStyle w:val="Hyperlink.0"/>
          <w:rFonts w:ascii="Arial" w:cs="Arial" w:hAnsi="Arial" w:eastAsia="Arial"/>
        </w:rPr>
        <w:instrText xml:space="preserve"> HYPERLINK "https://populationpie.co.uk/population-of-england-uk/"</w:instrText>
      </w:r>
      <w:r>
        <w:rPr>
          <w:rStyle w:val="Hyperlink.0"/>
          <w:rFonts w:ascii="Arial" w:cs="Arial" w:hAnsi="Arial" w:eastAsia="Arial"/>
        </w:rPr>
        <w:fldChar w:fldCharType="separate" w:fldLock="0"/>
      </w:r>
      <w:r>
        <w:rPr>
          <w:rStyle w:val="Hyperlink.0"/>
          <w:rFonts w:ascii="Arial" w:hAnsi="Arial"/>
          <w:rtl w:val="0"/>
          <w:lang w:val="en-US"/>
        </w:rPr>
        <w:t>https://populationpie.co.uk/population-of-england-uk/</w:t>
      </w:r>
      <w:r>
        <w:rPr>
          <w:rFonts w:ascii="Arial" w:cs="Arial" w:hAnsi="Arial" w:eastAsia="Arial"/>
        </w:rPr>
        <w:fldChar w:fldCharType="end" w:fldLock="0"/>
      </w:r>
      <w:r>
        <w:rPr>
          <w:rFonts w:ascii="Arial" w:hAnsi="Arial"/>
          <w:rtl w:val="0"/>
          <w:lang w:val="en-US"/>
        </w:rPr>
        <w:t xml:space="preserve"> [Accessed 26 May 2025].</w:t>
      </w:r>
    </w:p>
    <w:p>
      <w:pPr>
        <w:pStyle w:val="Default"/>
        <w:suppressAutoHyphens w:val="1"/>
        <w:spacing w:before="0" w:line="240" w:lineRule="auto"/>
        <w:rPr>
          <w:rFonts w:ascii="Arial" w:cs="Arial" w:hAnsi="Arial" w:eastAsia="Arial"/>
        </w:rPr>
      </w:pPr>
    </w:p>
    <w:p>
      <w:pPr>
        <w:pStyle w:val="Default"/>
        <w:suppressAutoHyphens w:val="1"/>
        <w:spacing w:before="0" w:after="240" w:line="240" w:lineRule="auto"/>
        <w:rPr>
          <w:rStyle w:val="None"/>
          <w:rFonts w:ascii="Arial" w:cs="Arial" w:hAnsi="Arial" w:eastAsia="Arial"/>
          <w:outline w:val="0"/>
          <w:color w:val="000000"/>
          <w:u w:val="none"/>
          <w14:textFill>
            <w14:solidFill>
              <w14:srgbClr w14:val="000000"/>
            </w14:solidFill>
          </w14:textFill>
        </w:rPr>
      </w:pPr>
      <w:r>
        <w:rPr>
          <w:rStyle w:val="None"/>
          <w:rFonts w:ascii="Arial" w:hAnsi="Arial"/>
          <w:outline w:val="0"/>
          <w:color w:val="000000"/>
          <w:u w:val="none"/>
          <w:rtl w:val="0"/>
          <w:lang w:val="en-US"/>
          <w14:textFill>
            <w14:solidFill>
              <w14:srgbClr w14:val="000000"/>
            </w14:solidFill>
          </w14:textFill>
        </w:rPr>
        <w:t xml:space="preserve">The Guardian, 2024. UK police chief who declared her force institutionally racist says culture is changing. [online] Available at: </w:t>
      </w:r>
      <w:r>
        <w:rPr>
          <w:rStyle w:val="Hyperlink.1"/>
          <w:rFonts w:ascii="Arial" w:cs="Arial" w:hAnsi="Arial" w:eastAsia="Arial"/>
          <w:outline w:val="0"/>
          <w:color w:val="0000ee"/>
          <w:u w:val="single"/>
          <w14:textFill>
            <w14:solidFill>
              <w14:srgbClr w14:val="0000EE"/>
            </w14:solidFill>
          </w14:textFill>
        </w:rPr>
        <w:fldChar w:fldCharType="begin" w:fldLock="0"/>
      </w:r>
      <w:r>
        <w:rPr>
          <w:rStyle w:val="Hyperlink.1"/>
          <w:rFonts w:ascii="Arial" w:cs="Arial" w:hAnsi="Arial" w:eastAsia="Arial"/>
          <w:outline w:val="0"/>
          <w:color w:val="0000ee"/>
          <w:u w:val="single"/>
          <w14:textFill>
            <w14:solidFill>
              <w14:srgbClr w14:val="0000EE"/>
            </w14:solidFill>
          </w14:textFill>
        </w:rPr>
        <w:instrText xml:space="preserve"> HYPERLINK "https://www.theguardian.com/uk-news/article/2024/jul/09/uk-police-chief-who-declared-her-force-institutionally-racist-says-culture-is-changing"</w:instrText>
      </w:r>
      <w:r>
        <w:rPr>
          <w:rStyle w:val="Hyperlink.1"/>
          <w:rFonts w:ascii="Arial" w:cs="Arial" w:hAnsi="Arial" w:eastAsia="Arial"/>
          <w:outline w:val="0"/>
          <w:color w:val="0000ee"/>
          <w:u w:val="single"/>
          <w14:textFill>
            <w14:solidFill>
              <w14:srgbClr w14:val="0000EE"/>
            </w14:solidFill>
          </w14:textFill>
        </w:rPr>
        <w:fldChar w:fldCharType="separate" w:fldLock="0"/>
      </w:r>
      <w:r>
        <w:rPr>
          <w:rStyle w:val="Hyperlink.1"/>
          <w:rFonts w:ascii="Arial" w:hAnsi="Arial"/>
          <w:outline w:val="0"/>
          <w:color w:val="0000ee"/>
          <w:u w:val="single"/>
          <w:rtl w:val="0"/>
          <w:lang w:val="en-US"/>
          <w14:textFill>
            <w14:solidFill>
              <w14:srgbClr w14:val="0000EE"/>
            </w14:solidFill>
          </w14:textFill>
        </w:rPr>
        <w:t>https://www.theguardian.com/uk-news/article/2024/jul/09/uk-police-chief-who-declared-her-force-institutionally-racist-says-culture-is-changing</w:t>
      </w:r>
      <w:r>
        <w:rPr>
          <w:rFonts w:ascii="Arial" w:cs="Arial" w:hAnsi="Arial" w:eastAsia="Arial"/>
          <w:outline w:val="0"/>
          <w:color w:val="0000ee"/>
          <w:u w:val="single"/>
          <w14:textFill>
            <w14:solidFill>
              <w14:srgbClr w14:val="0000EE"/>
            </w14:solidFill>
          </w14:textFill>
        </w:rPr>
        <w:fldChar w:fldCharType="end" w:fldLock="0"/>
      </w:r>
      <w:r>
        <w:rPr>
          <w:rStyle w:val="None"/>
          <w:rFonts w:ascii="Arial" w:hAnsi="Arial"/>
          <w:outline w:val="0"/>
          <w:color w:val="000000"/>
          <w:u w:val="none"/>
          <w:rtl w:val="0"/>
          <w:lang w:val="en-US"/>
          <w14:textFill>
            <w14:solidFill>
              <w14:srgbClr w14:val="000000"/>
            </w14:solidFill>
          </w14:textFill>
        </w:rPr>
        <w:t xml:space="preserve"> [Accessed 26 May 2025].</w:t>
      </w:r>
    </w:p>
    <w:p>
      <w:pPr>
        <w:pStyle w:val="Default"/>
        <w:suppressAutoHyphens w:val="1"/>
        <w:spacing w:before="0" w:after="240" w:line="240" w:lineRule="auto"/>
        <w:rPr>
          <w:rStyle w:val="None"/>
          <w:rFonts w:ascii="Arial" w:cs="Arial" w:hAnsi="Arial" w:eastAsia="Arial"/>
          <w:outline w:val="0"/>
          <w:color w:val="000000"/>
          <w:u w:val="none"/>
          <w14:textFill>
            <w14:solidFill>
              <w14:srgbClr w14:val="000000"/>
            </w14:solidFill>
          </w14:textFill>
        </w:rPr>
      </w:pPr>
      <w:r>
        <w:rPr>
          <w:rStyle w:val="None"/>
          <w:rFonts w:ascii="Arial" w:hAnsi="Arial"/>
          <w:outline w:val="0"/>
          <w:color w:val="000000"/>
          <w:u w:val="none"/>
          <w:rtl w:val="0"/>
          <w:lang w:val="en-US"/>
          <w14:textFill>
            <w14:solidFill>
              <w14:srgbClr w14:val="000000"/>
            </w14:solidFill>
          </w14:textFill>
        </w:rPr>
        <w:t xml:space="preserve">The Guardian, 2025. Only a third of recommendations to tackle endemic racism in UK implemented. [online] Available at: </w:t>
      </w:r>
      <w:r>
        <w:rPr>
          <w:rStyle w:val="Hyperlink.1"/>
          <w:rFonts w:ascii="Arial" w:cs="Arial" w:hAnsi="Arial" w:eastAsia="Arial"/>
          <w:outline w:val="0"/>
          <w:color w:val="0000ee"/>
          <w:u w:val="single"/>
          <w14:textFill>
            <w14:solidFill>
              <w14:srgbClr w14:val="0000EE"/>
            </w14:solidFill>
          </w14:textFill>
        </w:rPr>
        <w:fldChar w:fldCharType="begin" w:fldLock="0"/>
      </w:r>
      <w:r>
        <w:rPr>
          <w:rStyle w:val="Hyperlink.1"/>
          <w:rFonts w:ascii="Arial" w:cs="Arial" w:hAnsi="Arial" w:eastAsia="Arial"/>
          <w:outline w:val="0"/>
          <w:color w:val="0000ee"/>
          <w:u w:val="single"/>
          <w14:textFill>
            <w14:solidFill>
              <w14:srgbClr w14:val="0000EE"/>
            </w14:solidFill>
          </w14:textFill>
        </w:rPr>
        <w:instrText xml:space="preserve"> HYPERLINK "https://www.theguardian.com/uk-news/2025/may/25/only-a-third-of-recommendations-to-tackle-endemic-racism-in-uk-implemented"</w:instrText>
      </w:r>
      <w:r>
        <w:rPr>
          <w:rStyle w:val="Hyperlink.1"/>
          <w:rFonts w:ascii="Arial" w:cs="Arial" w:hAnsi="Arial" w:eastAsia="Arial"/>
          <w:outline w:val="0"/>
          <w:color w:val="0000ee"/>
          <w:u w:val="single"/>
          <w14:textFill>
            <w14:solidFill>
              <w14:srgbClr w14:val="0000EE"/>
            </w14:solidFill>
          </w14:textFill>
        </w:rPr>
        <w:fldChar w:fldCharType="separate" w:fldLock="0"/>
      </w:r>
      <w:r>
        <w:rPr>
          <w:rStyle w:val="Hyperlink.1"/>
          <w:rFonts w:ascii="Arial" w:hAnsi="Arial"/>
          <w:outline w:val="0"/>
          <w:color w:val="0000ee"/>
          <w:u w:val="single"/>
          <w:rtl w:val="0"/>
          <w:lang w:val="en-US"/>
          <w14:textFill>
            <w14:solidFill>
              <w14:srgbClr w14:val="0000EE"/>
            </w14:solidFill>
          </w14:textFill>
        </w:rPr>
        <w:t>https://www.theguardian.com/uk-news/2025/may/25/only-a-third-of-recommendations-to-tackle-endemic-racism-in-uk-implemented</w:t>
      </w:r>
      <w:r>
        <w:rPr>
          <w:rFonts w:ascii="Arial" w:cs="Arial" w:hAnsi="Arial" w:eastAsia="Arial"/>
          <w:outline w:val="0"/>
          <w:color w:val="0000ee"/>
          <w:u w:val="single"/>
          <w14:textFill>
            <w14:solidFill>
              <w14:srgbClr w14:val="0000EE"/>
            </w14:solidFill>
          </w14:textFill>
        </w:rPr>
        <w:fldChar w:fldCharType="end" w:fldLock="0"/>
      </w:r>
      <w:r>
        <w:rPr>
          <w:rStyle w:val="None"/>
          <w:rFonts w:ascii="Arial" w:hAnsi="Arial"/>
          <w:outline w:val="0"/>
          <w:color w:val="000000"/>
          <w:u w:val="none"/>
          <w:rtl w:val="0"/>
          <w:lang w:val="en-US"/>
          <w14:textFill>
            <w14:solidFill>
              <w14:srgbClr w14:val="000000"/>
            </w14:solidFill>
          </w14:textFill>
        </w:rPr>
        <w:t xml:space="preserve"> [Accessed 26 May 2025].</w:t>
      </w:r>
    </w:p>
    <w:p>
      <w:pPr>
        <w:pStyle w:val="Body"/>
        <w:rPr>
          <w:rStyle w:val="None"/>
          <w:rFonts w:ascii="Arial" w:cs="Arial" w:hAnsi="Arial" w:eastAsia="Arial"/>
          <w:b w:val="1"/>
          <w:bCs w:val="1"/>
          <w:outline w:val="0"/>
          <w:color w:val="000000"/>
          <w:sz w:val="24"/>
          <w:szCs w:val="24"/>
          <w:u w:val="none"/>
          <w14:textFill>
            <w14:solidFill>
              <w14:srgbClr w14:val="000000"/>
            </w14:solidFill>
          </w14:textFill>
        </w:rPr>
      </w:pPr>
    </w:p>
    <w:p>
      <w:pPr>
        <w:pStyle w:val="Body"/>
        <w:rPr>
          <w:rStyle w:val="None"/>
          <w:rFonts w:ascii="Arial" w:cs="Arial" w:hAnsi="Arial" w:eastAsia="Arial"/>
          <w:b w:val="1"/>
          <w:bCs w:val="1"/>
          <w:outline w:val="0"/>
          <w:color w:val="000000"/>
          <w:sz w:val="24"/>
          <w:szCs w:val="24"/>
          <w:u w:val="none"/>
          <w14:textFill>
            <w14:solidFill>
              <w14:srgbClr w14:val="000000"/>
            </w14:solidFill>
          </w14:textFill>
        </w:rPr>
      </w:pPr>
    </w:p>
    <w:p>
      <w:pPr>
        <w:pStyle w:val="Body"/>
        <w:rPr>
          <w:rStyle w:val="None"/>
          <w:rFonts w:ascii="Arial" w:cs="Arial" w:hAnsi="Arial" w:eastAsia="Arial"/>
          <w:b w:val="1"/>
          <w:bCs w:val="1"/>
          <w:outline w:val="0"/>
          <w:color w:val="000000"/>
          <w:sz w:val="24"/>
          <w:szCs w:val="24"/>
          <w:u w:val="none"/>
          <w14:textFill>
            <w14:solidFill>
              <w14:srgbClr w14:val="000000"/>
            </w14:solidFill>
          </w14:textFill>
        </w:rPr>
      </w:pPr>
    </w:p>
    <w:p>
      <w:pPr>
        <w:pStyle w:val="Body"/>
        <w:rPr>
          <w:rFonts w:ascii="Arial" w:cs="Arial" w:hAnsi="Arial" w:eastAsia="Arial"/>
          <w:b w:val="1"/>
          <w:bCs w:val="1"/>
          <w:sz w:val="24"/>
          <w:szCs w:val="24"/>
        </w:rPr>
      </w:pPr>
    </w:p>
    <w:p>
      <w:pPr>
        <w:pStyle w:val="Body"/>
        <w:rPr>
          <w:rFonts w:ascii="Arial" w:cs="Arial" w:hAnsi="Arial" w:eastAsia="Arial"/>
          <w:b w:val="1"/>
          <w:bCs w:val="1"/>
          <w:sz w:val="24"/>
          <w:szCs w:val="24"/>
        </w:rPr>
      </w:pPr>
      <w:r>
        <w:rPr>
          <w:rFonts w:ascii="Arial" w:hAnsi="Arial"/>
          <w:b w:val="1"/>
          <w:bCs w:val="1"/>
          <w:sz w:val="24"/>
          <w:szCs w:val="24"/>
          <w:rtl w:val="0"/>
          <w:lang w:val="en-US"/>
        </w:rPr>
        <w:t>Essay 2</w:t>
      </w:r>
    </w:p>
    <w:p>
      <w:pPr>
        <w:pStyle w:val="Body"/>
        <w:rPr>
          <w:rFonts w:ascii="Arial" w:cs="Arial" w:hAnsi="Arial" w:eastAsia="Arial"/>
          <w:b w:val="1"/>
          <w:bCs w:val="1"/>
          <w:sz w:val="24"/>
          <w:szCs w:val="24"/>
        </w:rPr>
      </w:pPr>
      <w:r>
        <w:rPr>
          <w:rFonts w:ascii="Arial" w:hAnsi="Arial"/>
          <w:b w:val="1"/>
          <w:bCs w:val="1"/>
          <w:sz w:val="24"/>
          <w:szCs w:val="24"/>
          <w:rtl w:val="0"/>
          <w:lang w:val="en-US"/>
        </w:rPr>
        <w:t xml:space="preserve">Response policing </w:t>
      </w:r>
      <w:r>
        <w:rPr>
          <w:rFonts w:ascii="Arial" w:hAnsi="Arial" w:hint="default"/>
          <w:b w:val="1"/>
          <w:bCs w:val="1"/>
          <w:sz w:val="24"/>
          <w:szCs w:val="24"/>
          <w:rtl w:val="0"/>
        </w:rPr>
        <w:t xml:space="preserve">– </w:t>
      </w:r>
      <w:r>
        <w:rPr>
          <w:rFonts w:ascii="Arial" w:hAnsi="Arial"/>
          <w:b w:val="1"/>
          <w:bCs w:val="1"/>
          <w:sz w:val="24"/>
          <w:szCs w:val="24"/>
          <w:rtl w:val="0"/>
          <w:lang w:val="en-US"/>
        </w:rPr>
        <w:t>Why is it important to manage mental wellbeing in policing? What can be the consequences if mental wellbeing is not managed appropriately?</w:t>
      </w:r>
    </w:p>
    <w:p>
      <w:pPr>
        <w:pStyle w:val="Body"/>
        <w:rPr>
          <w:rFonts w:ascii="Arial" w:cs="Arial" w:hAnsi="Arial" w:eastAsia="Arial"/>
          <w:b w:val="1"/>
          <w:bCs w:val="1"/>
          <w:sz w:val="24"/>
          <w:szCs w:val="24"/>
        </w:rPr>
      </w:pPr>
    </w:p>
    <w:p>
      <w:pPr>
        <w:pStyle w:val="Body"/>
        <w:rPr>
          <w:rFonts w:ascii="Arial" w:cs="Arial" w:hAnsi="Arial" w:eastAsia="Arial"/>
          <w:sz w:val="24"/>
          <w:szCs w:val="24"/>
        </w:rPr>
      </w:pPr>
      <w:r>
        <w:rPr>
          <w:rFonts w:ascii="Arial" w:hAnsi="Arial"/>
          <w:sz w:val="24"/>
          <w:szCs w:val="24"/>
          <w:rtl w:val="0"/>
          <w:lang w:val="en-US"/>
        </w:rPr>
        <w:t>In this essay, I shall be discussing importance of mental wellbeing in policing. The occupation can be a rewarding one, however it does not come without its challenges, which can lead to negative effects on the mental health of it</w:t>
      </w:r>
      <w:r>
        <w:rPr>
          <w:rFonts w:ascii="Arial" w:hAnsi="Arial" w:hint="default"/>
          <w:sz w:val="24"/>
          <w:szCs w:val="24"/>
          <w:rtl w:val="0"/>
          <w:lang w:val="en-US"/>
        </w:rPr>
        <w:t>’</w:t>
      </w:r>
      <w:r>
        <w:rPr>
          <w:rFonts w:ascii="Arial" w:hAnsi="Arial"/>
          <w:sz w:val="24"/>
          <w:szCs w:val="24"/>
          <w:rtl w:val="0"/>
          <w:lang w:val="en-US"/>
        </w:rPr>
        <w:t xml:space="preserve">s officers. On average, depending on the length of their career, an officer may encounter 400 - 600 traumatic incidents in their lifetime, in comparison to the average 3 - 4 traumatic incidents that are encountered by civilians during their lifetimes </w:t>
      </w:r>
      <w:r>
        <w:rPr>
          <w:rFonts w:ascii="Arial" w:hAnsi="Arial"/>
          <w:sz w:val="24"/>
          <w:szCs w:val="24"/>
          <w:rtl w:val="0"/>
          <w:lang w:val="en-US"/>
        </w:rPr>
        <w:t>(British Psychological Society</w:t>
      </w:r>
      <w:r>
        <w:rPr>
          <w:rFonts w:ascii="Arial" w:hAnsi="Arial"/>
          <w:sz w:val="24"/>
          <w:szCs w:val="24"/>
          <w:rtl w:val="0"/>
          <w:lang w:val="en-US"/>
        </w:rPr>
        <w:t xml:space="preserve">, 2022). </w:t>
      </w:r>
    </w:p>
    <w:p>
      <w:pPr>
        <w:pStyle w:val="Body"/>
        <w:rPr>
          <w:rFonts w:ascii="Arial" w:cs="Arial" w:hAnsi="Arial" w:eastAsia="Arial"/>
          <w:sz w:val="24"/>
          <w:szCs w:val="24"/>
        </w:rPr>
      </w:pPr>
      <w:r>
        <w:rPr>
          <w:rFonts w:ascii="Arial" w:hAnsi="Arial"/>
          <w:sz w:val="24"/>
          <w:szCs w:val="24"/>
          <w:rtl w:val="0"/>
          <w:lang w:val="en-US"/>
        </w:rPr>
        <w:t xml:space="preserve">A University College London led study from 2020 looked at the negative side affects of being a police officer. The stresses were found to stem from not only what they have witnessed, but also from the stress that can be induced from high workloads and pressures from the organisations they work for. The study looked at a wide range of officers, internationally, and found that mental health issues were a substantial health concern among those in the profession. They found that approximately one in four were drinking at potentially hazardous levels, and approximately one in ten met the criteria for mental health disorders and suicidal thoughts. </w:t>
      </w:r>
      <w:r>
        <w:rPr>
          <w:rFonts w:ascii="Arial" w:hAnsi="Arial"/>
          <w:sz w:val="24"/>
          <w:szCs w:val="24"/>
          <w:rtl w:val="0"/>
          <w:lang w:val="en-US"/>
        </w:rPr>
        <w:t>(University College London, 2020</w:t>
      </w:r>
      <w:r>
        <w:rPr>
          <w:rFonts w:ascii="Arial" w:hAnsi="Arial"/>
          <w:sz w:val="24"/>
          <w:szCs w:val="24"/>
          <w:rtl w:val="0"/>
          <w:lang w:val="en-US"/>
        </w:rPr>
        <w:t xml:space="preserve">). The study found that 14% of their participants met the criteria for PTSD, 14.5% met the criteria for depression, 9.5% met the criteria for anxiety disorders and 8.5% had suicidal thoughts. </w:t>
      </w:r>
      <w:r>
        <w:rPr>
          <w:rFonts w:ascii="Arial" w:hAnsi="Arial"/>
          <w:sz w:val="24"/>
          <w:szCs w:val="24"/>
          <w:rtl w:val="0"/>
          <w:lang w:val="en-US"/>
        </w:rPr>
        <w:t xml:space="preserve"> (University College London, 2020)</w:t>
      </w:r>
      <w:r>
        <w:rPr>
          <w:rFonts w:ascii="Arial" w:hAnsi="Arial"/>
          <w:sz w:val="24"/>
          <w:szCs w:val="24"/>
          <w:rtl w:val="0"/>
          <w:lang w:val="en-US"/>
        </w:rPr>
        <w:t>.</w:t>
      </w:r>
    </w:p>
    <w:p>
      <w:pPr>
        <w:pStyle w:val="Body"/>
        <w:rPr>
          <w:rFonts w:ascii="Arial" w:cs="Arial" w:hAnsi="Arial" w:eastAsia="Arial"/>
          <w:sz w:val="24"/>
          <w:szCs w:val="24"/>
        </w:rPr>
      </w:pPr>
      <w:r>
        <w:rPr>
          <w:rFonts w:ascii="Arial" w:hAnsi="Arial"/>
          <w:sz w:val="24"/>
          <w:szCs w:val="24"/>
          <w:rtl w:val="0"/>
          <w:lang w:val="en-US"/>
        </w:rPr>
        <w:t xml:space="preserve">An officer who is struggling with mental health issues, including the ones stated above, may suffer from a long term impact on their careers. The side effects of this can lead to a decrease in job performance, strains on the personal lifestyle of officers as well as their relationships with other, as well as an increase in the likelihood of suffering with their physical health (Vector Solutions, 2025) </w:t>
      </w:r>
    </w:p>
    <w:p>
      <w:pPr>
        <w:pStyle w:val="Body"/>
        <w:rPr>
          <w:rFonts w:ascii="Arial" w:cs="Arial" w:hAnsi="Arial" w:eastAsia="Arial"/>
          <w:sz w:val="24"/>
          <w:szCs w:val="24"/>
        </w:rPr>
      </w:pPr>
      <w:r>
        <w:rPr>
          <w:rFonts w:ascii="Arial" w:hAnsi="Arial"/>
          <w:sz w:val="24"/>
          <w:szCs w:val="24"/>
          <w:rtl w:val="0"/>
          <w:lang w:val="en-US"/>
        </w:rPr>
        <w:t>While the issues that can be induced from the stresses of a policing career can manifest themselves in an array of mental health disorders, these can also in turn affect an officer</w:t>
      </w:r>
      <w:r>
        <w:rPr>
          <w:rFonts w:ascii="Arial" w:hAnsi="Arial" w:hint="default"/>
          <w:sz w:val="24"/>
          <w:szCs w:val="24"/>
          <w:rtl w:val="0"/>
          <w:lang w:val="en-US"/>
        </w:rPr>
        <w:t>’</w:t>
      </w:r>
      <w:r>
        <w:rPr>
          <w:rFonts w:ascii="Arial" w:hAnsi="Arial"/>
          <w:sz w:val="24"/>
          <w:szCs w:val="24"/>
          <w:rtl w:val="0"/>
          <w:lang w:val="en-US"/>
        </w:rPr>
        <w:t>s physical health. Health Psychology Research conducted a study in 2023 on the effects of poor mental health on the physical health of police officers. The study found that these mental health issues can lead to physical ailments such as high blood pressure, gastrointestinal issues as well as an increased risk of suffering from heart disease (</w:t>
      </w:r>
      <w:r>
        <w:rPr>
          <w:rFonts w:ascii="Arial" w:hAnsi="Arial"/>
          <w:sz w:val="24"/>
          <w:szCs w:val="24"/>
          <w:rtl w:val="0"/>
          <w:lang w:val="en-US"/>
        </w:rPr>
        <w:t>Health Psychology Research, 2023</w:t>
      </w:r>
      <w:r>
        <w:rPr>
          <w:rFonts w:ascii="Arial" w:hAnsi="Arial"/>
          <w:sz w:val="24"/>
          <w:szCs w:val="24"/>
          <w:rtl w:val="0"/>
          <w:lang w:val="en-US"/>
        </w:rPr>
        <w:t xml:space="preserve">). </w:t>
      </w:r>
    </w:p>
    <w:p>
      <w:pPr>
        <w:pStyle w:val="Body"/>
        <w:rPr>
          <w:rFonts w:ascii="Arial" w:cs="Arial" w:hAnsi="Arial" w:eastAsia="Arial"/>
          <w:sz w:val="24"/>
          <w:szCs w:val="24"/>
        </w:rPr>
      </w:pPr>
      <w:r>
        <w:rPr>
          <w:rFonts w:ascii="Arial" w:hAnsi="Arial"/>
          <w:sz w:val="24"/>
          <w:szCs w:val="24"/>
          <w:rtl w:val="0"/>
          <w:lang w:val="en-US"/>
        </w:rPr>
        <w:t>Without receiving proper support for any of these issues, it can lead to a long term impact on an officer</w:t>
      </w:r>
      <w:r>
        <w:rPr>
          <w:rFonts w:ascii="Arial" w:hAnsi="Arial" w:hint="default"/>
          <w:sz w:val="24"/>
          <w:szCs w:val="24"/>
          <w:rtl w:val="0"/>
          <w:lang w:val="en-US"/>
        </w:rPr>
        <w:t>’</w:t>
      </w:r>
      <w:r>
        <w:rPr>
          <w:rFonts w:ascii="Arial" w:hAnsi="Arial"/>
          <w:sz w:val="24"/>
          <w:szCs w:val="24"/>
          <w:rtl w:val="0"/>
          <w:lang w:val="en-US"/>
        </w:rPr>
        <w:t xml:space="preserve">s career. Officers struggling with their mental health are more likely to suffer with burnout in their careers, leading to an early retirement and therefore ;ending to a lower staff retention for a police force. This can lead to increased expenditure in training new officers in order to make up for the officers that have left the job due to possibly avoidable circumstances like job-related stress (Vector Solutions, 2025). The Police Federation also backed this up in their 2024 article, noting that in the UK, over 14,500 officers in the UK had to be signed off from working due to factors such as stress, depression, anxiety or PTSD from 2023 - 2024. They also noted that this had increased by 130% from 2012 - 2013 (Police Federation, 2024). The Federation also found that within their study, that there was a large stigma around mental health in the Police, noting that  the culture within the workplace discourages officers from seeking help. They noted that many officers believe that by admitting that they are struggling with mental health issues, it may have a negative effect on their career progression, and that it may lead to them being perceived as weak by their colleagues (Police Federation, 2024). </w:t>
      </w:r>
    </w:p>
    <w:p>
      <w:pPr>
        <w:pStyle w:val="Body"/>
        <w:rPr>
          <w:rFonts w:ascii="Arial" w:cs="Arial" w:hAnsi="Arial" w:eastAsia="Arial"/>
          <w:sz w:val="24"/>
          <w:szCs w:val="24"/>
        </w:rPr>
      </w:pPr>
      <w:r>
        <w:rPr>
          <w:rFonts w:ascii="Arial" w:hAnsi="Arial"/>
          <w:sz w:val="24"/>
          <w:szCs w:val="24"/>
          <w:rtl w:val="0"/>
          <w:lang w:val="en-US"/>
        </w:rPr>
        <w:t>In response to the growing awareness around mental health issues in police officers, there have been a number of initiatives that have grown around tackling the problem. Initiatives such as the Blue Light Programme and Oscar Kilo have been created in order to assist officers struggling with their mental health issues, in an effort to tackle the issues before they become too much for the officers to bare. They provide services such as mindfulness workshops, mental health awareness programmes as well as resilience training.</w:t>
      </w:r>
    </w:p>
    <w:p>
      <w:pPr>
        <w:pStyle w:val="Body"/>
        <w:rPr>
          <w:rFonts w:ascii="Arial" w:cs="Arial" w:hAnsi="Arial" w:eastAsia="Arial"/>
          <w:sz w:val="24"/>
          <w:szCs w:val="24"/>
        </w:rPr>
      </w:pPr>
      <w:r>
        <w:rPr>
          <w:rFonts w:ascii="Arial" w:hAnsi="Arial"/>
          <w:sz w:val="24"/>
          <w:szCs w:val="24"/>
          <w:rtl w:val="0"/>
          <w:lang w:val="en-US"/>
        </w:rPr>
        <w:t>In conclusion, there is a clear need for mental health awareness within the police forces across the UK. The studies and articles that I have mentioned above have highlighted the necessity for better ways for forces to tackle these issues, not only for the benefit of the individual, but also for the benefit of the force. It can be bad enough for individual officers to be struggling with mental health issues, which have been proven to lead to more serious physical health issues later down the line, but it has also shown that the force as a whole can suffer negatively from the impact of having officers needing to take time from work in order to heal, both physically and mentally. If these issues are addressed, it will not only benefit the individual, but also the force as a whole, in regards to their reputation as well as the monetary gain that they will enjoy from higher retention rates, negating the need to retrain new officers and to provide cover for officers suffering from burnout from the role.</w:t>
      </w: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b w:val="1"/>
          <w:bCs w:val="1"/>
          <w:sz w:val="24"/>
          <w:szCs w:val="24"/>
        </w:rPr>
      </w:pPr>
      <w:r>
        <w:rPr>
          <w:rFonts w:ascii="Arial" w:hAnsi="Arial"/>
          <w:b w:val="1"/>
          <w:bCs w:val="1"/>
          <w:sz w:val="24"/>
          <w:szCs w:val="24"/>
          <w:rtl w:val="0"/>
          <w:lang w:val="en-US"/>
        </w:rPr>
        <w:t>Bibliography</w:t>
      </w:r>
    </w:p>
    <w:p>
      <w:pPr>
        <w:pStyle w:val="Default"/>
        <w:suppressAutoHyphens w:val="1"/>
        <w:spacing w:before="0" w:after="240" w:line="240" w:lineRule="auto"/>
        <w:rPr>
          <w:rFonts w:ascii="Arial" w:cs="Arial" w:hAnsi="Arial" w:eastAsia="Arial"/>
        </w:rPr>
      </w:pPr>
      <w:r>
        <w:rPr>
          <w:rFonts w:ascii="Arial" w:cs="Arial" w:hAnsi="Arial" w:eastAsia="Arial"/>
        </w:rPr>
        <w:br w:type="textWrapping"/>
      </w:r>
      <w:r>
        <w:rPr>
          <w:rFonts w:ascii="Arial" w:hAnsi="Arial"/>
          <w:rtl w:val="0"/>
          <w:lang w:val="en-US"/>
        </w:rPr>
        <w:t xml:space="preserve">American Police Training, 2022. </w:t>
      </w:r>
      <w:r>
        <w:rPr>
          <w:rStyle w:val="None"/>
          <w:rFonts w:ascii="Arial" w:hAnsi="Arial"/>
          <w:i w:val="1"/>
          <w:iCs w:val="1"/>
          <w:rtl w:val="0"/>
          <w:lang w:val="en-US"/>
        </w:rPr>
        <w:t>Mental health in law enforcement</w:t>
      </w:r>
      <w:r>
        <w:rPr>
          <w:rFonts w:ascii="Arial" w:hAnsi="Arial"/>
          <w:rtl w:val="0"/>
          <w:lang w:val="en-US"/>
        </w:rPr>
        <w:t>. [online] Available at: https://americanpolicetraining.com/blog/detail/mental-health.html [Accessed 26 May 2025].</w:t>
      </w:r>
    </w:p>
    <w:p>
      <w:pPr>
        <w:pStyle w:val="Default"/>
        <w:suppressAutoHyphens w:val="1"/>
        <w:spacing w:before="0" w:after="240" w:line="240" w:lineRule="auto"/>
        <w:rPr>
          <w:rFonts w:ascii="Arial" w:cs="Arial" w:hAnsi="Arial" w:eastAsia="Arial"/>
        </w:rPr>
      </w:pPr>
      <w:r>
        <w:rPr>
          <w:rFonts w:ascii="Arial" w:cs="Arial" w:hAnsi="Arial" w:eastAsia="Arial"/>
        </w:rPr>
        <w:br w:type="textWrapping"/>
      </w:r>
      <w:r>
        <w:rPr>
          <w:rFonts w:ascii="Arial" w:hAnsi="Arial"/>
          <w:rtl w:val="0"/>
          <w:lang w:val="en-US"/>
        </w:rPr>
        <w:t xml:space="preserve">Associated Press, 2023. </w:t>
      </w:r>
      <w:r>
        <w:rPr>
          <w:rStyle w:val="None"/>
          <w:rFonts w:ascii="Arial" w:hAnsi="Arial"/>
          <w:i w:val="1"/>
          <w:iCs w:val="1"/>
          <w:rtl w:val="0"/>
          <w:lang w:val="en-US"/>
        </w:rPr>
        <w:t>The cumulative stress of policing has public safety consequences for law enforcement officers, too</w:t>
      </w:r>
      <w:r>
        <w:rPr>
          <w:rFonts w:ascii="Arial" w:hAnsi="Arial"/>
          <w:rtl w:val="0"/>
          <w:lang w:val="en-US"/>
        </w:rPr>
        <w:t>. [online] AP News. Available at: https://apnews.com/article/12cbfbac3f683fe6f43850463e56177c [Accessed 26 May 2025].</w:t>
      </w:r>
    </w:p>
    <w:p>
      <w:pPr>
        <w:pStyle w:val="Default"/>
        <w:suppressAutoHyphens w:val="1"/>
        <w:spacing w:before="0" w:after="240" w:line="240" w:lineRule="auto"/>
        <w:rPr>
          <w:rFonts w:ascii="Arial" w:cs="Arial" w:hAnsi="Arial" w:eastAsia="Arial"/>
        </w:rPr>
      </w:pPr>
      <w:r>
        <w:rPr>
          <w:rFonts w:ascii="Arial" w:cs="Arial" w:hAnsi="Arial" w:eastAsia="Arial"/>
        </w:rPr>
        <w:br w:type="textWrapping"/>
      </w:r>
      <w:r>
        <w:rPr>
          <w:rFonts w:ascii="Arial" w:hAnsi="Arial"/>
          <w:rtl w:val="0"/>
          <w:lang w:val="en-US"/>
        </w:rPr>
        <w:t xml:space="preserve">BPS (British Psychological Society), 2022. </w:t>
      </w:r>
      <w:r>
        <w:rPr>
          <w:rStyle w:val="None"/>
          <w:rFonts w:ascii="Arial" w:hAnsi="Arial"/>
          <w:i w:val="1"/>
          <w:iCs w:val="1"/>
          <w:rtl w:val="0"/>
          <w:lang w:val="en-US"/>
        </w:rPr>
        <w:t>Police: why and how we should care</w:t>
      </w:r>
      <w:r>
        <w:rPr>
          <w:rFonts w:ascii="Arial" w:hAnsi="Arial"/>
          <w:rtl w:val="0"/>
          <w:lang w:val="en-US"/>
        </w:rPr>
        <w:t xml:space="preserve">. [online] The Psychologist.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"https://www.bps.org.uk/psychologist/police-why-and-how-we-should-care"</w:instrText>
      </w:r>
      <w:r>
        <w:rPr>
          <w:rStyle w:val="Hyperlink.0"/>
          <w:rFonts w:ascii="Arial" w:cs="Arial" w:hAnsi="Arial" w:eastAsia="Arial"/>
        </w:rPr>
        <w:fldChar w:fldCharType="separate" w:fldLock="0"/>
      </w:r>
      <w:r>
        <w:rPr>
          <w:rStyle w:val="Hyperlink.0"/>
          <w:rFonts w:ascii="Arial" w:hAnsi="Arial"/>
          <w:rtl w:val="0"/>
          <w:lang w:val="en-US"/>
        </w:rPr>
        <w:t>https://www.bps.org.uk/psychologist/police-why-and-how-we-should-care</w:t>
      </w:r>
      <w:r>
        <w:rPr>
          <w:rFonts w:ascii="Arial" w:cs="Arial" w:hAnsi="Arial" w:eastAsia="Arial"/>
        </w:rPr>
        <w:fldChar w:fldCharType="end" w:fldLock="0"/>
      </w:r>
      <w:r>
        <w:rPr>
          <w:rFonts w:ascii="Arial" w:hAnsi="Arial"/>
          <w:rtl w:val="0"/>
          <w:lang w:val="en-US"/>
        </w:rPr>
        <w:t xml:space="preserve"> [Accessed 26 May 2025].</w:t>
      </w:r>
    </w:p>
    <w:p>
      <w:pPr>
        <w:pStyle w:val="Default"/>
        <w:suppressAutoHyphens w:val="1"/>
        <w:spacing w:before="0" w:after="240" w:line="240" w:lineRule="auto"/>
        <w:rPr>
          <w:rFonts w:ascii="Arial" w:cs="Arial" w:hAnsi="Arial" w:eastAsia="Arial"/>
        </w:rPr>
      </w:pPr>
      <w:r>
        <w:rPr>
          <w:rFonts w:ascii="Arial" w:cs="Arial" w:hAnsi="Arial" w:eastAsia="Arial"/>
        </w:rPr>
        <w:br w:type="textWrapping"/>
      </w:r>
      <w:r>
        <w:rPr>
          <w:rFonts w:ascii="Arial" w:hAnsi="Arial"/>
          <w:rtl w:val="0"/>
          <w:lang w:val="en-US"/>
        </w:rPr>
        <w:t xml:space="preserve">Bullock, K. and Garland, J., 2021. </w:t>
      </w:r>
      <w:r>
        <w:rPr>
          <w:rStyle w:val="None"/>
          <w:rFonts w:ascii="Arial" w:hAnsi="Arial"/>
          <w:i w:val="1"/>
          <w:iCs w:val="1"/>
          <w:rtl w:val="0"/>
          <w:lang w:val="en-US"/>
        </w:rPr>
        <w:t>Police officers, mental health and stigma</w:t>
      </w:r>
      <w:r>
        <w:rPr>
          <w:rFonts w:ascii="Arial" w:hAnsi="Arial"/>
          <w:rtl w:val="0"/>
        </w:rPr>
        <w:t xml:space="preserve">. </w:t>
      </w:r>
      <w:r>
        <w:rPr>
          <w:rStyle w:val="None"/>
          <w:rFonts w:ascii="Arial" w:hAnsi="Arial"/>
          <w:i w:val="1"/>
          <w:iCs w:val="1"/>
          <w:rtl w:val="0"/>
          <w:lang w:val="en-US"/>
        </w:rPr>
        <w:t>The Police Journal: Theory, Practice and Principles</w:t>
      </w:r>
      <w:r>
        <w:rPr>
          <w:rFonts w:ascii="Arial" w:hAnsi="Arial"/>
          <w:rtl w:val="0"/>
          <w:lang w:val="pt-PT"/>
        </w:rPr>
        <w:t>, [online] 94(4), pp.427</w:t>
      </w:r>
      <w:r>
        <w:rPr>
          <w:rFonts w:ascii="Arial" w:hAnsi="Arial" w:hint="default"/>
          <w:rtl w:val="0"/>
        </w:rPr>
        <w:t>–</w:t>
      </w:r>
      <w:r>
        <w:rPr>
          <w:rFonts w:ascii="Arial" w:hAnsi="Arial"/>
          <w:rtl w:val="0"/>
          <w:lang w:val="en-US"/>
        </w:rPr>
        <w:t>446. Available at: https://journals.sagepub.com/doi/full/10.1177/0032258X211049009[Accessed 26 May 2025].</w:t>
      </w:r>
    </w:p>
    <w:p>
      <w:pPr>
        <w:pStyle w:val="Default"/>
        <w:suppressAutoHyphens w:val="1"/>
        <w:spacing w:before="0" w:after="240" w:line="240" w:lineRule="auto"/>
        <w:rPr>
          <w:rFonts w:ascii="Arial" w:cs="Arial" w:hAnsi="Arial" w:eastAsia="Arial"/>
        </w:rPr>
      </w:pPr>
      <w:r>
        <w:rPr>
          <w:rFonts w:ascii="Arial" w:cs="Arial" w:hAnsi="Arial" w:eastAsia="Arial"/>
        </w:rPr>
        <w:br w:type="textWrapping"/>
      </w:r>
      <w:r>
        <w:rPr>
          <w:rFonts w:ascii="Arial" w:hAnsi="Arial"/>
          <w:rtl w:val="0"/>
          <w:lang w:val="en-US"/>
        </w:rPr>
        <w:t xml:space="preserve">Health Psychology Research, 2023. </w:t>
      </w:r>
      <w:r>
        <w:rPr>
          <w:rStyle w:val="None"/>
          <w:rFonts w:ascii="Arial" w:hAnsi="Arial"/>
          <w:i w:val="1"/>
          <w:iCs w:val="1"/>
          <w:rtl w:val="0"/>
          <w:lang w:val="en-US"/>
        </w:rPr>
        <w:t>Mental health in law enforcement: A review of psychological impacts and interventions</w:t>
      </w:r>
      <w:r>
        <w:rPr>
          <w:rFonts w:ascii="Arial" w:hAnsi="Arial"/>
          <w:rtl w:val="0"/>
          <w:lang w:val="en-US"/>
        </w:rPr>
        <w:t>. [online] Health Psychology Research. Available at: https://healthpsychologyresearch.openmedicalpublishing.org/article/93904-mental- [Accessed 26 May 2025].</w:t>
      </w:r>
    </w:p>
    <w:p>
      <w:pPr>
        <w:pStyle w:val="Default"/>
        <w:suppressAutoHyphens w:val="1"/>
        <w:spacing w:before="0" w:after="240" w:line="240" w:lineRule="auto"/>
        <w:rPr>
          <w:rFonts w:ascii="Arial" w:cs="Arial" w:hAnsi="Arial" w:eastAsia="Arial"/>
        </w:rPr>
      </w:pPr>
      <w:r>
        <w:rPr>
          <w:rFonts w:ascii="Arial" w:cs="Arial" w:hAnsi="Arial" w:eastAsia="Arial"/>
        </w:rPr>
        <w:br w:type="textWrapping"/>
      </w:r>
      <w:r>
        <w:rPr>
          <w:rFonts w:ascii="Arial" w:hAnsi="Arial"/>
          <w:rtl w:val="0"/>
          <w:lang w:val="en-US"/>
        </w:rPr>
        <w:t xml:space="preserve">Personnel Today, 2024. </w:t>
      </w:r>
      <w:r>
        <w:rPr>
          <w:rStyle w:val="None"/>
          <w:rFonts w:ascii="Arial" w:hAnsi="Arial"/>
          <w:i w:val="1"/>
          <w:iCs w:val="1"/>
          <w:rtl w:val="0"/>
          <w:lang w:val="en-US"/>
        </w:rPr>
        <w:t>Three-quarters of police admit to wellbeing difficulties</w:t>
      </w:r>
      <w:r>
        <w:rPr>
          <w:rFonts w:ascii="Arial" w:hAnsi="Arial"/>
          <w:rtl w:val="0"/>
          <w:lang w:val="en-US"/>
        </w:rPr>
        <w:t>. [online] Available at: https://www.personneltoday.com/hr/three-quarters-of-police-admit-to-wellbeing-difficulties/ [Accessed 26 May 2025].</w:t>
      </w:r>
    </w:p>
    <w:p>
      <w:pPr>
        <w:pStyle w:val="Default"/>
        <w:suppressAutoHyphens w:val="1"/>
        <w:spacing w:before="0" w:after="240" w:line="240" w:lineRule="auto"/>
        <w:rPr>
          <w:rFonts w:ascii="Arial" w:cs="Arial" w:hAnsi="Arial" w:eastAsia="Arial"/>
        </w:rPr>
      </w:pPr>
      <w:r>
        <w:rPr>
          <w:rFonts w:ascii="Arial" w:cs="Arial" w:hAnsi="Arial" w:eastAsia="Arial"/>
        </w:rPr>
        <w:br w:type="textWrapping"/>
      </w:r>
      <w:r>
        <w:rPr>
          <w:rFonts w:ascii="Arial" w:hAnsi="Arial"/>
          <w:rtl w:val="0"/>
          <w:lang w:val="en-US"/>
        </w:rPr>
        <w:t xml:space="preserve">Police Federation, 2024. </w:t>
      </w:r>
      <w:r>
        <w:rPr>
          <w:rStyle w:val="None"/>
          <w:rFonts w:ascii="Arial" w:hAnsi="Arial"/>
          <w:i w:val="1"/>
          <w:iCs w:val="1"/>
          <w:rtl w:val="0"/>
          <w:lang w:val="en-US"/>
        </w:rPr>
        <w:t>Record 14,508 officers signed off with poor mental health in past year</w:t>
      </w:r>
      <w:r>
        <w:rPr>
          <w:rFonts w:ascii="Arial" w:hAnsi="Arial"/>
          <w:rtl w:val="0"/>
          <w:lang w:val="en-US"/>
        </w:rPr>
        <w:t>. [online] Police Federation. Available at: https://www.polfed.org/news/latest-news/2024/record-14-508-officers-signed-off-with-poor-mental-health-in-past-year/ [Accessed 26 May 2025].</w:t>
      </w:r>
    </w:p>
    <w:p>
      <w:pPr>
        <w:pStyle w:val="Default"/>
        <w:suppressAutoHyphens w:val="1"/>
        <w:spacing w:before="0" w:after="240" w:line="240" w:lineRule="auto"/>
        <w:rPr>
          <w:rFonts w:ascii="Arial" w:cs="Arial" w:hAnsi="Arial" w:eastAsia="Arial"/>
        </w:rPr>
      </w:pPr>
      <w:r>
        <w:rPr>
          <w:rFonts w:ascii="Arial" w:cs="Arial" w:hAnsi="Arial" w:eastAsia="Arial"/>
        </w:rPr>
        <w:br w:type="textWrapping"/>
      </w:r>
      <w:r>
        <w:rPr>
          <w:rFonts w:ascii="Arial" w:hAnsi="Arial"/>
          <w:rtl w:val="0"/>
          <w:lang w:val="en-US"/>
        </w:rPr>
        <w:t xml:space="preserve">Times of India, 2024. </w:t>
      </w:r>
      <w:r>
        <w:rPr>
          <w:rStyle w:val="None"/>
          <w:rFonts w:ascii="Arial" w:hAnsi="Arial"/>
          <w:i w:val="1"/>
          <w:iCs w:val="1"/>
          <w:rtl w:val="0"/>
          <w:lang w:val="en-US"/>
        </w:rPr>
        <w:t>Mental well-being programme launched in west zones for Tamil Nadu cops</w:t>
      </w:r>
      <w:r>
        <w:rPr>
          <w:rFonts w:ascii="Arial" w:hAnsi="Arial"/>
          <w:rtl w:val="0"/>
          <w:lang w:val="en-US"/>
        </w:rPr>
        <w:t>. [online] Available at: https://timesofindia.indiatimes.com/city/coimbatore/mental-well-being-programme-launched-in-west-zones-for-tamil-nadu-cops/articleshow/121385540.cms [Accessed 26 May 2025].</w:t>
      </w:r>
    </w:p>
    <w:p>
      <w:pPr>
        <w:pStyle w:val="Default"/>
        <w:suppressAutoHyphens w:val="1"/>
        <w:spacing w:before="0" w:after="240" w:line="240" w:lineRule="auto"/>
        <w:rPr>
          <w:rStyle w:val="None"/>
          <w:rFonts w:ascii="Arial" w:cs="Arial" w:hAnsi="Arial" w:eastAsia="Arial"/>
          <w:i w:val="0"/>
          <w:iCs w:val="0"/>
        </w:rPr>
      </w:pPr>
      <w:r>
        <w:rPr>
          <w:rStyle w:val="None"/>
          <w:rFonts w:ascii="Arial" w:cs="Arial" w:hAnsi="Arial" w:eastAsia="Arial"/>
          <w:i w:val="0"/>
          <w:iCs w:val="0"/>
        </w:rPr>
        <w:br w:type="textWrapping"/>
      </w:r>
      <w:r>
        <w:rPr>
          <w:rStyle w:val="None"/>
          <w:rFonts w:ascii="Arial" w:hAnsi="Arial"/>
          <w:i w:val="0"/>
          <w:iCs w:val="0"/>
          <w:rtl w:val="0"/>
          <w:lang w:val="en-US"/>
        </w:rPr>
        <w:t xml:space="preserve">UCL (University College London), 2020. </w:t>
      </w:r>
      <w:r>
        <w:rPr>
          <w:rFonts w:ascii="Arial" w:hAnsi="Arial"/>
          <w:i w:val="1"/>
          <w:iCs w:val="1"/>
          <w:rtl w:val="0"/>
          <w:lang w:val="en-US"/>
        </w:rPr>
        <w:t>Mental health issues a substantial health concern among police internationally</w:t>
      </w:r>
      <w:r>
        <w:rPr>
          <w:rStyle w:val="None"/>
          <w:rFonts w:ascii="Arial" w:hAnsi="Arial"/>
          <w:i w:val="0"/>
          <w:iCs w:val="0"/>
          <w:rtl w:val="0"/>
          <w:lang w:val="pt-PT"/>
        </w:rPr>
        <w:t>. [online] UCL News.</w:t>
      </w:r>
    </w:p>
    <w:p>
      <w:pPr>
        <w:pStyle w:val="Default"/>
        <w:suppressAutoHyphens w:val="1"/>
        <w:spacing w:before="0" w:line="240" w:lineRule="auto"/>
        <w:rPr>
          <w:rStyle w:val="None"/>
          <w:rFonts w:ascii="Arial" w:cs="Arial" w:hAnsi="Arial" w:eastAsia="Arial"/>
        </w:rPr>
      </w:pPr>
    </w:p>
    <w:p>
      <w:pPr>
        <w:pStyle w:val="Default"/>
        <w:suppressAutoHyphens w:val="1"/>
        <w:spacing w:before="0" w:line="240" w:lineRule="auto"/>
        <w:rPr>
          <w:rStyle w:val="None"/>
          <w:rFonts w:ascii="Arial" w:cs="Arial" w:hAnsi="Arial" w:eastAsia="Arial"/>
        </w:rPr>
      </w:pPr>
    </w:p>
    <w:p>
      <w:pPr>
        <w:pStyle w:val="Default"/>
        <w:suppressAutoHyphens w:val="1"/>
        <w:spacing w:before="0" w:line="240" w:lineRule="auto"/>
        <w:rPr>
          <w:rStyle w:val="None"/>
          <w:rFonts w:ascii="Arial" w:cs="Arial" w:hAnsi="Arial" w:eastAsia="Arial"/>
        </w:rPr>
      </w:pPr>
    </w:p>
    <w:p>
      <w:pPr>
        <w:pStyle w:val="Default"/>
        <w:suppressAutoHyphens w:val="1"/>
        <w:spacing w:before="0" w:line="240" w:lineRule="auto"/>
        <w:rPr>
          <w:rStyle w:val="None"/>
          <w:rFonts w:ascii="Arial" w:cs="Arial" w:hAnsi="Arial" w:eastAsia="Arial"/>
        </w:rPr>
      </w:pPr>
    </w:p>
    <w:p>
      <w:pPr>
        <w:pStyle w:val="Default"/>
        <w:suppressAutoHyphens w:val="1"/>
        <w:spacing w:before="0" w:line="240" w:lineRule="auto"/>
        <w:rPr>
          <w:rStyle w:val="None"/>
          <w:rFonts w:ascii="Arial" w:cs="Arial" w:hAnsi="Arial" w:eastAsia="Arial"/>
        </w:rPr>
      </w:pPr>
    </w:p>
    <w:p>
      <w:pPr>
        <w:pStyle w:val="Default"/>
        <w:suppressAutoHyphens w:val="1"/>
        <w:spacing w:before="0" w:line="240" w:lineRule="auto"/>
        <w:rPr>
          <w:rStyle w:val="None"/>
          <w:rFonts w:ascii="Arial" w:cs="Arial" w:hAnsi="Arial" w:eastAsia="Arial"/>
        </w:rPr>
      </w:pPr>
    </w:p>
    <w:p>
      <w:pPr>
        <w:pStyle w:val="Default"/>
        <w:suppressAutoHyphens w:val="1"/>
        <w:spacing w:before="0" w:line="240" w:lineRule="auto"/>
        <w:rPr>
          <w:rStyle w:val="None"/>
          <w:rFonts w:ascii="Arial" w:cs="Arial" w:hAnsi="Arial" w:eastAsia="Arial"/>
        </w:rPr>
      </w:pPr>
    </w:p>
    <w:p>
      <w:pPr>
        <w:pStyle w:val="Default"/>
        <w:suppressAutoHyphens w:val="1"/>
        <w:spacing w:before="0" w:line="240" w:lineRule="auto"/>
        <w:rPr>
          <w:rStyle w:val="None"/>
          <w:rFonts w:ascii="Arial" w:cs="Arial" w:hAnsi="Arial" w:eastAsia="Arial"/>
        </w:rPr>
      </w:pPr>
    </w:p>
    <w:p>
      <w:pPr>
        <w:pStyle w:val="Default"/>
        <w:suppressAutoHyphens w:val="1"/>
        <w:spacing w:before="0" w:line="240" w:lineRule="auto"/>
        <w:rPr>
          <w:rStyle w:val="None"/>
          <w:rFonts w:ascii="Arial" w:cs="Arial" w:hAnsi="Arial" w:eastAsia="Arial"/>
        </w:rPr>
      </w:pPr>
    </w:p>
    <w:p>
      <w:pPr>
        <w:pStyle w:val="Default"/>
        <w:suppressAutoHyphens w:val="1"/>
        <w:spacing w:before="0" w:line="240" w:lineRule="auto"/>
        <w:rPr>
          <w:rStyle w:val="None"/>
          <w:rFonts w:ascii="Arial" w:cs="Arial" w:hAnsi="Arial" w:eastAsia="Arial"/>
        </w:rPr>
      </w:pPr>
    </w:p>
    <w:p>
      <w:pPr>
        <w:pStyle w:val="Default"/>
        <w:suppressAutoHyphens w:val="1"/>
        <w:spacing w:before="0" w:line="240" w:lineRule="auto"/>
        <w:rPr>
          <w:rStyle w:val="None"/>
          <w:rFonts w:ascii="Arial" w:cs="Arial" w:hAnsi="Arial" w:eastAsia="Arial"/>
        </w:rPr>
      </w:pPr>
    </w:p>
    <w:p>
      <w:pPr>
        <w:pStyle w:val="Default"/>
        <w:suppressAutoHyphens w:val="1"/>
        <w:spacing w:before="0" w:line="240" w:lineRule="auto"/>
        <w:rPr>
          <w:rStyle w:val="None"/>
          <w:rFonts w:ascii="Arial" w:cs="Arial" w:hAnsi="Arial" w:eastAsia="Arial"/>
        </w:rPr>
      </w:pPr>
    </w:p>
    <w:p>
      <w:pPr>
        <w:pStyle w:val="Default"/>
        <w:suppressAutoHyphens w:val="1"/>
        <w:spacing w:before="0" w:line="240" w:lineRule="auto"/>
        <w:rPr>
          <w:rStyle w:val="None"/>
          <w:rFonts w:ascii="Arial" w:cs="Arial" w:hAnsi="Arial" w:eastAsia="Arial"/>
        </w:rPr>
      </w:pPr>
    </w:p>
    <w:p>
      <w:pPr>
        <w:pStyle w:val="Default"/>
        <w:suppressAutoHyphens w:val="1"/>
        <w:spacing w:before="0" w:line="240" w:lineRule="auto"/>
        <w:rPr>
          <w:rStyle w:val="None"/>
          <w:rFonts w:ascii="Arial" w:cs="Arial" w:hAnsi="Arial" w:eastAsia="Arial"/>
        </w:rPr>
      </w:pPr>
    </w:p>
    <w:p>
      <w:pPr>
        <w:pStyle w:val="Default"/>
        <w:suppressAutoHyphens w:val="1"/>
        <w:spacing w:before="0" w:line="240" w:lineRule="auto"/>
        <w:rPr>
          <w:rStyle w:val="None"/>
          <w:rFonts w:ascii="Arial" w:cs="Arial" w:hAnsi="Arial" w:eastAsia="Arial"/>
        </w:rPr>
      </w:pPr>
    </w:p>
    <w:p>
      <w:pPr>
        <w:pStyle w:val="Default"/>
        <w:suppressAutoHyphens w:val="1"/>
        <w:spacing w:before="0" w:line="240" w:lineRule="auto"/>
        <w:rPr>
          <w:rStyle w:val="None"/>
          <w:rFonts w:ascii="Arial" w:cs="Arial" w:hAnsi="Arial" w:eastAsia="Arial"/>
        </w:rPr>
      </w:pPr>
    </w:p>
    <w:p>
      <w:pPr>
        <w:pStyle w:val="Default"/>
        <w:suppressAutoHyphens w:val="1"/>
        <w:spacing w:before="0" w:line="240" w:lineRule="auto"/>
        <w:rPr>
          <w:rStyle w:val="None"/>
          <w:rFonts w:ascii="Arial" w:cs="Arial" w:hAnsi="Arial" w:eastAsia="Arial"/>
        </w:rPr>
      </w:pPr>
    </w:p>
    <w:p>
      <w:pPr>
        <w:pStyle w:val="Default"/>
        <w:suppressAutoHyphens w:val="1"/>
        <w:spacing w:before="0" w:line="240" w:lineRule="auto"/>
        <w:rPr>
          <w:rStyle w:val="None"/>
          <w:rFonts w:ascii="Arial" w:cs="Arial" w:hAnsi="Arial" w:eastAsia="Arial"/>
        </w:rPr>
      </w:pPr>
    </w:p>
    <w:p>
      <w:pPr>
        <w:pStyle w:val="Default"/>
        <w:suppressAutoHyphens w:val="1"/>
        <w:spacing w:before="0" w:line="240" w:lineRule="auto"/>
        <w:rPr>
          <w:rStyle w:val="None"/>
          <w:rFonts w:ascii="Arial" w:cs="Arial" w:hAnsi="Arial" w:eastAsia="Arial"/>
        </w:rPr>
      </w:pPr>
    </w:p>
    <w:p>
      <w:pPr>
        <w:pStyle w:val="Default"/>
        <w:suppressAutoHyphens w:val="1"/>
        <w:spacing w:before="0" w:line="240" w:lineRule="auto"/>
        <w:rPr>
          <w:rStyle w:val="None"/>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b w:val="1"/>
          <w:bCs w:val="1"/>
        </w:rPr>
      </w:pPr>
      <w:r>
        <w:rPr>
          <w:rFonts w:ascii="Arial" w:hAnsi="Arial"/>
          <w:b w:val="1"/>
          <w:bCs w:val="1"/>
          <w:rtl w:val="0"/>
          <w:lang w:val="en-US"/>
        </w:rPr>
        <w:t>Essay 3</w:t>
      </w:r>
    </w:p>
    <w:p>
      <w:pPr>
        <w:pStyle w:val="Default"/>
        <w:suppressAutoHyphens w:val="1"/>
        <w:spacing w:before="0" w:line="240" w:lineRule="auto"/>
        <w:rPr>
          <w:rFonts w:ascii="Arial" w:cs="Arial" w:hAnsi="Arial" w:eastAsia="Arial"/>
          <w:b w:val="1"/>
          <w:bCs w:val="1"/>
        </w:rPr>
      </w:pPr>
      <w:r>
        <w:rPr>
          <w:rFonts w:ascii="Arial" w:hAnsi="Arial"/>
          <w:b w:val="1"/>
          <w:bCs w:val="1"/>
          <w:rtl w:val="0"/>
          <w:lang w:val="en-US"/>
        </w:rPr>
        <w:t>Outline potential links between serious and organised crime and public protection issues. What characteristics make some people more vulnerable to exploitation by serious and organised crime gangs?</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r>
        <w:rPr>
          <w:rFonts w:ascii="Arial" w:hAnsi="Arial"/>
          <w:rtl w:val="0"/>
          <w:lang w:val="en-US"/>
        </w:rPr>
        <w:t xml:space="preserve">Within this essay, I shall be looking into serious organised crime in relation to the issues it causes to public protection. Organised crime has far reaching consequences when it come to public protection. These groups are often known to target and exploit those in financial distress, offering them assistance and services in exchange for them to use vulnerable people and their homes in order to carry out illegal and illicit activities. Exploitation such as this is detrimental to not only the vulnerable individuals at the receiving end of it, but also the communities around them, where it can often lead to an erosion of their safety and trust in public services (Scottish Government, 2018). People from lower socio-economic backgrounds are also more susceptible to being recruited by organised crime groups. The attraction of financial gain that they can provide to people from these backgrounds can also be a factor in their allure. Avenues such as this tend to lend the promise of potential to advance and gain more money and power in communities where they would otherwise being extremely limited. This attractive goal is even more prevalent in organised crime gangs who are targeting and grooming youths into their ranks. Youths are at a heightened risk - especially those who are already living in lower socioeconomic areas. This issue can also be more likely to occur for those who have family members who are already taking part in working for these gangs (Scottish Government, 2018). </w:t>
      </w:r>
    </w:p>
    <w:p>
      <w:pPr>
        <w:pStyle w:val="Default"/>
        <w:suppressAutoHyphens w:val="1"/>
        <w:spacing w:before="0" w:line="240" w:lineRule="auto"/>
        <w:rPr>
          <w:rFonts w:ascii="Arial" w:cs="Arial" w:hAnsi="Arial" w:eastAsia="Arial"/>
        </w:rPr>
      </w:pPr>
      <w:r>
        <w:rPr>
          <w:rFonts w:ascii="Arial" w:hAnsi="Arial"/>
          <w:rtl w:val="0"/>
          <w:lang w:val="en-US"/>
        </w:rPr>
        <w:t>Criminal gangs often target young children, and often these children can be as young as 11, in order to use them to smuggle drugs across the country, in what is known as County Lines Drug Trafficking. These activities can often expose them to violent criminal activities, whereby they are not only forced or coerced to take part in them, but are also victim to criminal activities themselves (</w:t>
      </w:r>
      <w:r>
        <w:rPr>
          <w:rFonts w:ascii="Arial" w:hAnsi="Arial"/>
          <w:rtl w:val="0"/>
          <w:lang w:val="en-US"/>
        </w:rPr>
        <w:t>HM Inspectorate of Probatio</w:t>
      </w:r>
      <w:r>
        <w:rPr>
          <w:rFonts w:ascii="Arial" w:hAnsi="Arial"/>
          <w:rtl w:val="0"/>
          <w:lang w:val="en-US"/>
        </w:rPr>
        <w:t xml:space="preserve">n, </w:t>
      </w:r>
      <w:r>
        <w:rPr>
          <w:rFonts w:ascii="Arial" w:hAnsi="Arial"/>
          <w:rtl w:val="0"/>
          <w:lang w:val="en-US"/>
        </w:rPr>
        <w:t>2024).</w:t>
      </w:r>
    </w:p>
    <w:p>
      <w:pPr>
        <w:pStyle w:val="Default"/>
        <w:suppressAutoHyphens w:val="1"/>
        <w:spacing w:before="0" w:line="240" w:lineRule="auto"/>
        <w:rPr>
          <w:rFonts w:ascii="Arial" w:cs="Arial" w:hAnsi="Arial" w:eastAsia="Arial"/>
        </w:rPr>
      </w:pPr>
      <w:r>
        <w:rPr>
          <w:rFonts w:ascii="Arial" w:hAnsi="Arial"/>
          <w:rtl w:val="0"/>
        </w:rPr>
        <w:t>G</w:t>
      </w:r>
      <w:r>
        <w:rPr>
          <w:rFonts w:ascii="Arial" w:hAnsi="Arial" w:hint="default"/>
          <w:rtl w:val="0"/>
          <w:lang w:val="da-DK"/>
        </w:rPr>
        <w:t>ø</w:t>
      </w:r>
      <w:r>
        <w:rPr>
          <w:rFonts w:ascii="Arial" w:hAnsi="Arial"/>
          <w:rtl w:val="0"/>
          <w:lang w:val="da-DK"/>
        </w:rPr>
        <w:t>tzsche-Astrup, O</w:t>
      </w:r>
      <w:r>
        <w:rPr>
          <w:rFonts w:ascii="Arial" w:hAnsi="Arial"/>
          <w:rtl w:val="0"/>
          <w:lang w:val="en-US"/>
        </w:rPr>
        <w:t xml:space="preserve"> et al (2022) conducted a study on personality traits that are often displayed in individuals who take part or are groomed into taking part in organised crime. They noted that these individuals may present certain traits such leading to emotional instability and vulnerability, and in turn leading them to be less likely to pursue conventional lifestyles like the majority of society, and therefore making them more likely to follow paths in organised crime (</w:t>
      </w:r>
      <w:r>
        <w:rPr>
          <w:rFonts w:ascii="Arial" w:hAnsi="Arial"/>
          <w:rtl w:val="0"/>
        </w:rPr>
        <w:t>G</w:t>
      </w:r>
      <w:r>
        <w:rPr>
          <w:rFonts w:ascii="Arial" w:hAnsi="Arial" w:hint="default"/>
          <w:rtl w:val="0"/>
          <w:lang w:val="da-DK"/>
        </w:rPr>
        <w:t>ø</w:t>
      </w:r>
      <w:r>
        <w:rPr>
          <w:rFonts w:ascii="Arial" w:hAnsi="Arial"/>
          <w:rtl w:val="0"/>
          <w:lang w:val="da-DK"/>
        </w:rPr>
        <w:t>tzsche-Astrup, O</w:t>
      </w:r>
      <w:r>
        <w:rPr>
          <w:rFonts w:ascii="Arial" w:hAnsi="Arial"/>
          <w:rtl w:val="0"/>
          <w:lang w:val="en-US"/>
        </w:rPr>
        <w:t xml:space="preserve"> et al (2022). Early intervention in the lives of these youths can assist in them avoiding these paths. Programmes such as the Violence Reduction Unit and Redthread are making efforts in this area, whereby they aim to work with police and hospitals in order to build a rapport with vulnerable individuals, especially those who have been arrested. Their interventions have shown a positive effect in reducing the rates of youths reoffending by engaging with them at critical moments in their lives and steering them on a legitimate path (</w:t>
      </w:r>
      <w:r>
        <w:rPr>
          <w:rFonts w:ascii="Arial" w:hAnsi="Arial"/>
          <w:rtl w:val="0"/>
          <w:lang w:val="en-US"/>
        </w:rPr>
        <w:t>Local Government Association</w:t>
      </w:r>
      <w:r>
        <w:rPr>
          <w:rFonts w:ascii="Arial" w:hAnsi="Arial"/>
          <w:rtl w:val="0"/>
          <w:lang w:val="en-US"/>
        </w:rPr>
        <w:t>, 2022).</w:t>
      </w:r>
    </w:p>
    <w:p>
      <w:pPr>
        <w:pStyle w:val="Default"/>
        <w:suppressAutoHyphens w:val="1"/>
        <w:spacing w:before="0" w:line="240" w:lineRule="auto"/>
        <w:rPr>
          <w:rFonts w:ascii="Arial" w:cs="Arial" w:hAnsi="Arial" w:eastAsia="Arial"/>
        </w:rPr>
      </w:pPr>
      <w:r>
        <w:rPr>
          <w:rFonts w:ascii="Arial" w:hAnsi="Arial"/>
          <w:rtl w:val="0"/>
          <w:lang w:val="en-US"/>
        </w:rPr>
        <w:t>The UK Government also has what they call a Serious Violence Strategy, whereby they have described violence as being a public health issue. They also agree that it is of high importance that early intervention is at the heart of stopping organised crime, as youths caught up in the cycle of it are the ones most susceptible to carrying it on in the future, and therefore grooming future young people into the lifestyles as well. They agree that a multi-agency approach is necessary in the attempt to limit organised crime (</w:t>
      </w:r>
      <w:r>
        <w:rPr>
          <w:rFonts w:ascii="Arial" w:hAnsi="Arial"/>
          <w:rtl w:val="0"/>
          <w:lang w:val="en-US"/>
        </w:rPr>
        <w:t>HM Government</w:t>
      </w:r>
      <w:r>
        <w:rPr>
          <w:rFonts w:ascii="Arial" w:hAnsi="Arial"/>
          <w:rtl w:val="0"/>
          <w:lang w:val="en-US"/>
        </w:rPr>
        <w:t xml:space="preserve">, </w:t>
      </w:r>
      <w:r>
        <w:rPr>
          <w:rFonts w:ascii="Arial" w:hAnsi="Arial"/>
          <w:rtl w:val="0"/>
        </w:rPr>
        <w:t>2023)</w:t>
      </w:r>
      <w:r>
        <w:rPr>
          <w:rFonts w:ascii="Arial" w:hAnsi="Arial"/>
          <w:rtl w:val="0"/>
          <w:lang w:val="en-US"/>
        </w:rPr>
        <w:t>.</w:t>
      </w:r>
    </w:p>
    <w:p>
      <w:pPr>
        <w:pStyle w:val="Default"/>
        <w:suppressAutoHyphens w:val="1"/>
        <w:spacing w:before="0" w:line="240" w:lineRule="auto"/>
        <w:rPr>
          <w:rFonts w:ascii="Arial" w:cs="Arial" w:hAnsi="Arial" w:eastAsia="Arial"/>
        </w:rPr>
      </w:pPr>
      <w:r>
        <w:rPr>
          <w:rFonts w:ascii="Arial" w:hAnsi="Arial"/>
          <w:rtl w:val="0"/>
          <w:lang w:val="en-US"/>
        </w:rPr>
        <w:t>Young people are not the only targets of organised crime, as there are other predatory practices such as cuckooing that are used to target vulnerable people. Police have taken measures in order to identify and tackle the practice of cuckooing but it is still prevalent today. Cuckooing is where organised crime members will target a vulnerable individual</w:t>
      </w:r>
      <w:r>
        <w:rPr>
          <w:rFonts w:ascii="Arial" w:hAnsi="Arial" w:hint="default"/>
          <w:rtl w:val="0"/>
          <w:lang w:val="en-US"/>
        </w:rPr>
        <w:t>’</w:t>
      </w:r>
      <w:r>
        <w:rPr>
          <w:rFonts w:ascii="Arial" w:hAnsi="Arial"/>
          <w:rtl w:val="0"/>
          <w:lang w:val="en-US"/>
        </w:rPr>
        <w:t>s home, whether they are socioeconomically vulnerable, mentally vulnerable or vulnerable due to old age. They will use the home for various criminal activities that can span from using the property to store drugs or stolen items, or for facilitating sex work, or to take over the property in order to exploit the individual for their benefits and therefore financially abusing the victim. They may even just use the property to take it over for a place for them to live, against the wishes of the tenant (</w:t>
      </w:r>
      <w:r>
        <w:rPr>
          <w:rFonts w:ascii="Arial" w:hAnsi="Arial"/>
          <w:rtl w:val="0"/>
        </w:rPr>
        <w:t>Darby, P</w:t>
      </w:r>
      <w:r>
        <w:rPr>
          <w:rFonts w:ascii="Arial" w:hAnsi="Arial"/>
          <w:rtl w:val="0"/>
          <w:lang w:val="en-US"/>
        </w:rPr>
        <w:t xml:space="preserve">, </w:t>
      </w:r>
      <w:r>
        <w:rPr>
          <w:rFonts w:ascii="Arial" w:hAnsi="Arial"/>
          <w:rtl w:val="0"/>
        </w:rPr>
        <w:t>2020)</w:t>
      </w:r>
      <w:r>
        <w:rPr>
          <w:rFonts w:ascii="Arial" w:hAnsi="Arial"/>
          <w:rtl w:val="0"/>
          <w:lang w:val="en-US"/>
        </w:rPr>
        <w:t>.</w:t>
      </w:r>
    </w:p>
    <w:p>
      <w:pPr>
        <w:pStyle w:val="Default"/>
        <w:suppressAutoHyphens w:val="1"/>
        <w:spacing w:before="0" w:line="240" w:lineRule="auto"/>
        <w:rPr>
          <w:rFonts w:ascii="Arial" w:cs="Arial" w:hAnsi="Arial" w:eastAsia="Arial"/>
        </w:rPr>
      </w:pPr>
      <w:r>
        <w:rPr>
          <w:rFonts w:ascii="Arial" w:hAnsi="Arial"/>
          <w:rtl w:val="0"/>
          <w:lang w:val="en-US"/>
        </w:rPr>
        <w:t>They will often start this by luring the victim into a false sense of security, through befriending them, eventually moving into the individual</w:t>
      </w:r>
      <w:r>
        <w:rPr>
          <w:rFonts w:ascii="Arial" w:hAnsi="Arial" w:hint="default"/>
          <w:rtl w:val="0"/>
          <w:lang w:val="en-US"/>
        </w:rPr>
        <w:t>’</w:t>
      </w:r>
      <w:r>
        <w:rPr>
          <w:rFonts w:ascii="Arial" w:hAnsi="Arial"/>
          <w:rtl w:val="0"/>
          <w:lang w:val="en-US"/>
        </w:rPr>
        <w:t>s home. They often alienate this person from their support networks, threatening them with violence if there is any sign of them not cooperating. Signs of cuckooing often include a large number of people entering and leaving the individual</w:t>
      </w:r>
      <w:r>
        <w:rPr>
          <w:rFonts w:ascii="Arial" w:hAnsi="Arial" w:hint="default"/>
          <w:rtl w:val="0"/>
          <w:lang w:val="en-US"/>
        </w:rPr>
        <w:t>’</w:t>
      </w:r>
      <w:r>
        <w:rPr>
          <w:rFonts w:ascii="Arial" w:hAnsi="Arial"/>
          <w:rtl w:val="0"/>
          <w:lang w:val="en-US"/>
        </w:rPr>
        <w:t>s home, signs of drug use in the home, an increase in antisocial behaviour and a lack of healthcare visitors to name a few (</w:t>
      </w:r>
      <w:r>
        <w:rPr>
          <w:rFonts w:ascii="Arial" w:hAnsi="Arial"/>
          <w:rtl w:val="0"/>
        </w:rPr>
        <w:t>Darby, P</w:t>
      </w:r>
      <w:r>
        <w:rPr>
          <w:rFonts w:ascii="Arial" w:hAnsi="Arial"/>
          <w:rtl w:val="0"/>
          <w:lang w:val="en-US"/>
        </w:rPr>
        <w:t xml:space="preserve">, </w:t>
      </w:r>
      <w:r>
        <w:rPr>
          <w:rFonts w:ascii="Arial" w:hAnsi="Arial"/>
          <w:rtl w:val="0"/>
        </w:rPr>
        <w:t>2020)</w:t>
      </w:r>
      <w:r>
        <w:rPr>
          <w:rFonts w:ascii="Arial" w:hAnsi="Arial"/>
          <w:rtl w:val="0"/>
          <w:lang w:val="en-US"/>
        </w:rPr>
        <w:t>. Due to the nature of cuckooing, it can often be hard for law enforcement to identify, or even stop. The efforts to do so often require a multi-agency effort in order to identify victims and to support them (College of Policing, n.d).</w:t>
      </w:r>
    </w:p>
    <w:p>
      <w:pPr>
        <w:pStyle w:val="Default"/>
        <w:suppressAutoHyphens w:val="1"/>
        <w:spacing w:before="0" w:line="240" w:lineRule="auto"/>
        <w:rPr>
          <w:rFonts w:ascii="Arial" w:cs="Arial" w:hAnsi="Arial" w:eastAsia="Arial"/>
        </w:rPr>
      </w:pPr>
      <w:r>
        <w:rPr>
          <w:rFonts w:ascii="Arial" w:hAnsi="Arial"/>
          <w:rtl w:val="0"/>
          <w:lang w:val="en-US"/>
        </w:rPr>
        <w:t>In conclusion, organised crime can have devastating effects on not only the individuals suffering the hands of these gangs, but also the communities around them. The studies that I have looked at in this essay have shown that there are many avenues and victims targeted by these criminal gangs, and that there are clearly efforts that have been made by police and partner agencies in order to identify and tackle the issues in this area, however there is clearly more that needs to be done in educating communities and local authorities in ways of identifying and limiting these activities.</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b w:val="1"/>
          <w:bCs w:val="1"/>
        </w:rPr>
      </w:pPr>
      <w:r>
        <w:rPr>
          <w:rFonts w:ascii="Arial" w:hAnsi="Arial"/>
          <w:b w:val="1"/>
          <w:bCs w:val="1"/>
          <w:rtl w:val="0"/>
          <w:lang w:val="en-US"/>
        </w:rPr>
        <w:t>Bibliography</w:t>
      </w:r>
    </w:p>
    <w:p>
      <w:pPr>
        <w:pStyle w:val="Default"/>
        <w:suppressAutoHyphens w:val="1"/>
        <w:spacing w:before="0" w:line="240" w:lineRule="auto"/>
        <w:rPr>
          <w:rFonts w:ascii="Arial" w:cs="Arial" w:hAnsi="Arial" w:eastAsia="Arial"/>
          <w:b w:val="1"/>
          <w:bCs w:val="1"/>
        </w:rPr>
      </w:pPr>
    </w:p>
    <w:p>
      <w:pPr>
        <w:pStyle w:val="Default"/>
        <w:suppressAutoHyphens w:val="1"/>
        <w:spacing w:before="0" w:line="240" w:lineRule="auto"/>
        <w:rPr>
          <w:rStyle w:val="None"/>
          <w:rFonts w:ascii="Arial" w:cs="Arial" w:hAnsi="Arial" w:eastAsia="Arial"/>
          <w:outline w:val="0"/>
          <w:color w:val="000000"/>
          <w:u w:val="none"/>
          <w14:textFill>
            <w14:solidFill>
              <w14:srgbClr w14:val="000000"/>
            </w14:solidFill>
          </w14:textFill>
        </w:rPr>
      </w:pPr>
      <w:r>
        <w:rPr>
          <w:rStyle w:val="None"/>
          <w:rFonts w:ascii="Arial" w:hAnsi="Arial"/>
          <w:outline w:val="0"/>
          <w:color w:val="000000"/>
          <w:u w:val="none"/>
          <w:rtl w:val="0"/>
          <w:lang w:val="en-US"/>
          <w14:textFill>
            <w14:solidFill>
              <w14:srgbClr w14:val="000000"/>
            </w14:solidFill>
          </w14:textFill>
        </w:rPr>
        <w:t xml:space="preserve">College of Policing. (n.d.). </w:t>
      </w:r>
      <w:r>
        <w:rPr>
          <w:rStyle w:val="None"/>
          <w:rFonts w:ascii="Arial" w:hAnsi="Arial"/>
          <w:i w:val="1"/>
          <w:iCs w:val="1"/>
          <w:outline w:val="0"/>
          <w:color w:val="000000"/>
          <w:u w:val="none"/>
          <w:rtl w:val="0"/>
          <w:lang w:val="en-US"/>
          <w14:textFill>
            <w14:solidFill>
              <w14:srgbClr w14:val="000000"/>
            </w14:solidFill>
          </w14:textFill>
        </w:rPr>
        <w:t>Understanding and preventing 'cuckooing' victimisation</w:t>
      </w:r>
      <w:r>
        <w:rPr>
          <w:rStyle w:val="None"/>
          <w:rFonts w:ascii="Arial" w:hAnsi="Arial"/>
          <w:outline w:val="0"/>
          <w:color w:val="000000"/>
          <w:u w:val="none"/>
          <w:rtl w:val="0"/>
          <w:lang w:val="en-US"/>
          <w14:textFill>
            <w14:solidFill>
              <w14:srgbClr w14:val="000000"/>
            </w14:solidFill>
          </w14:textFill>
        </w:rPr>
        <w:t xml:space="preserve">. Available at: </w:t>
      </w:r>
      <w:r>
        <w:rPr>
          <w:rStyle w:val="Hyperlink.1"/>
          <w:rFonts w:ascii="Arial" w:cs="Arial" w:hAnsi="Arial" w:eastAsia="Arial"/>
          <w:outline w:val="0"/>
          <w:color w:val="0000ee"/>
          <w:u w:val="single"/>
          <w14:textFill>
            <w14:solidFill>
              <w14:srgbClr w14:val="0000EE"/>
            </w14:solidFill>
          </w14:textFill>
        </w:rPr>
        <w:fldChar w:fldCharType="begin" w:fldLock="0"/>
      </w:r>
      <w:r>
        <w:rPr>
          <w:rStyle w:val="Hyperlink.1"/>
          <w:rFonts w:ascii="Arial" w:cs="Arial" w:hAnsi="Arial" w:eastAsia="Arial"/>
          <w:outline w:val="0"/>
          <w:color w:val="0000ee"/>
          <w:u w:val="single"/>
          <w14:textFill>
            <w14:solidFill>
              <w14:srgbClr w14:val="0000EE"/>
            </w14:solidFill>
          </w14:textFill>
        </w:rPr>
        <w:instrText xml:space="preserve"> HYPERLINK "https://www.college.police.uk/research/projects/understanding-and-preventing-cuckooing-victimisation"</w:instrText>
      </w:r>
      <w:r>
        <w:rPr>
          <w:rStyle w:val="Hyperlink.1"/>
          <w:rFonts w:ascii="Arial" w:cs="Arial" w:hAnsi="Arial" w:eastAsia="Arial"/>
          <w:outline w:val="0"/>
          <w:color w:val="0000ee"/>
          <w:u w:val="single"/>
          <w14:textFill>
            <w14:solidFill>
              <w14:srgbClr w14:val="0000EE"/>
            </w14:solidFill>
          </w14:textFill>
        </w:rPr>
        <w:fldChar w:fldCharType="separate" w:fldLock="0"/>
      </w:r>
      <w:r>
        <w:rPr>
          <w:rStyle w:val="Hyperlink.1"/>
          <w:rFonts w:ascii="Arial" w:hAnsi="Arial"/>
          <w:outline w:val="0"/>
          <w:color w:val="0000ee"/>
          <w:u w:val="single"/>
          <w:rtl w:val="0"/>
          <w:lang w:val="en-US"/>
          <w14:textFill>
            <w14:solidFill>
              <w14:srgbClr w14:val="0000EE"/>
            </w14:solidFill>
          </w14:textFill>
        </w:rPr>
        <w:t>https://www.college.police.uk/research/projects/understanding-and-preventing-cuckooing-victimisation</w:t>
      </w:r>
      <w:r>
        <w:rPr>
          <w:rFonts w:ascii="Arial" w:cs="Arial" w:hAnsi="Arial" w:eastAsia="Arial"/>
          <w:outline w:val="0"/>
          <w:color w:val="0000ee"/>
          <w:u w:val="single"/>
          <w14:textFill>
            <w14:solidFill>
              <w14:srgbClr w14:val="0000EE"/>
            </w14:solidFill>
          </w14:textFill>
        </w:rPr>
        <w:fldChar w:fldCharType="end" w:fldLock="0"/>
      </w:r>
      <w:r>
        <w:rPr>
          <w:rStyle w:val="None"/>
          <w:rFonts w:ascii="Arial" w:hAnsi="Arial"/>
          <w:outline w:val="0"/>
          <w:color w:val="000000"/>
          <w:u w:val="none"/>
          <w:rtl w:val="0"/>
          <w:lang w:val="en-US"/>
          <w14:textFill>
            <w14:solidFill>
              <w14:srgbClr w14:val="000000"/>
            </w14:solidFill>
          </w14:textFill>
        </w:rPr>
        <w:t xml:space="preserve"> [Accessed 26 May 2025].</w:t>
      </w:r>
    </w:p>
    <w:p>
      <w:pPr>
        <w:pStyle w:val="Default"/>
        <w:suppressAutoHyphens w:val="1"/>
        <w:spacing w:before="0" w:line="240" w:lineRule="auto"/>
        <w:rPr>
          <w:rFonts w:ascii="Arial" w:cs="Arial" w:hAnsi="Arial" w:eastAsia="Arial"/>
          <w:outline w:val="0"/>
          <w:color w:val="0000ee"/>
          <w:u w:val="single"/>
          <w14:textFill>
            <w14:solidFill>
              <w14:srgbClr w14:val="0000EE"/>
            </w14:solidFill>
          </w14:textFill>
        </w:rPr>
      </w:pPr>
    </w:p>
    <w:p>
      <w:pPr>
        <w:pStyle w:val="Default"/>
        <w:suppressAutoHyphens w:val="1"/>
        <w:spacing w:before="0" w:line="240" w:lineRule="auto"/>
        <w:jc w:val="left"/>
        <w:rPr>
          <w:rStyle w:val="None"/>
          <w:rFonts w:ascii="Arial" w:cs="Arial" w:hAnsi="Arial" w:eastAsia="Arial"/>
          <w:outline w:val="0"/>
          <w:color w:val="000000"/>
          <w:shd w:val="clear" w:color="auto" w:fill="ffffff"/>
          <w14:textFill>
            <w14:solidFill>
              <w14:srgbClr w14:val="000000"/>
            </w14:solidFill>
          </w14:textFill>
        </w:rPr>
      </w:pPr>
      <w:r>
        <w:rPr>
          <w:rFonts w:ascii="Arial" w:hAnsi="Arial"/>
          <w:outline w:val="0"/>
          <w:color w:val="2c3e50"/>
          <w:shd w:val="clear" w:color="auto" w:fill="ffffff"/>
          <w:rtl w:val="0"/>
          <w14:textFill>
            <w14:solidFill>
              <w14:srgbClr w14:val="2C3E50"/>
            </w14:solidFill>
          </w14:textFill>
        </w:rPr>
        <w:t xml:space="preserve">Darby, P. (2020). </w:t>
      </w:r>
      <w:r>
        <w:rPr>
          <w:rStyle w:val="None"/>
          <w:rFonts w:ascii="Arial" w:hAnsi="Arial"/>
          <w:i w:val="1"/>
          <w:iCs w:val="1"/>
          <w:outline w:val="0"/>
          <w:color w:val="2c3e50"/>
          <w:shd w:val="clear" w:color="auto" w:fill="ffffff"/>
          <w:rtl w:val="0"/>
          <w:lang w:val="en-US"/>
          <w14:textFill>
            <w14:solidFill>
              <w14:srgbClr w14:val="2C3E50"/>
            </w14:solidFill>
          </w14:textFill>
        </w:rPr>
        <w:t xml:space="preserve">Cuckooing </w:t>
      </w:r>
      <w:r>
        <w:rPr>
          <w:rStyle w:val="None"/>
          <w:rFonts w:ascii="Arial" w:hAnsi="Arial" w:hint="default"/>
          <w:i w:val="1"/>
          <w:iCs w:val="1"/>
          <w:outline w:val="0"/>
          <w:color w:val="2c3e50"/>
          <w:shd w:val="clear" w:color="auto" w:fill="ffffff"/>
          <w:rtl w:val="0"/>
          <w14:textFill>
            <w14:solidFill>
              <w14:srgbClr w14:val="2C3E50"/>
            </w14:solidFill>
          </w14:textFill>
        </w:rPr>
        <w:t xml:space="preserve">– </w:t>
      </w:r>
      <w:r>
        <w:rPr>
          <w:rStyle w:val="None"/>
          <w:rFonts w:ascii="Arial" w:hAnsi="Arial"/>
          <w:i w:val="1"/>
          <w:iCs w:val="1"/>
          <w:outline w:val="0"/>
          <w:color w:val="2c3e50"/>
          <w:shd w:val="clear" w:color="auto" w:fill="ffffff"/>
          <w:rtl w:val="0"/>
          <w:lang w:val="en-US"/>
          <w14:textFill>
            <w14:solidFill>
              <w14:srgbClr w14:val="2C3E50"/>
            </w14:solidFill>
          </w14:textFill>
        </w:rPr>
        <w:t>Redbridge Safeguarding Adults Board</w:t>
      </w:r>
      <w:r>
        <w:rPr>
          <w:rFonts w:ascii="Arial" w:hAnsi="Arial"/>
          <w:outline w:val="0"/>
          <w:color w:val="2c3e50"/>
          <w:shd w:val="clear" w:color="auto" w:fill="ffffff"/>
          <w:rtl w:val="0"/>
          <w:lang w:val="en-US"/>
          <w14:textFill>
            <w14:solidFill>
              <w14:srgbClr w14:val="2C3E50"/>
            </w14:solidFill>
          </w14:textFill>
        </w:rPr>
        <w:t>. [online] Redbridgesab.org.uk. Available at: https://www.redbridgesab.org.uk/for-professionals/types-of-abuse/exploitation/cuckooing/? [Accessed 26 May 2025].</w:t>
      </w:r>
    </w:p>
    <w:p>
      <w:pPr>
        <w:pStyle w:val="Default"/>
        <w:suppressAutoHyphens w:val="1"/>
        <w:spacing w:before="0" w:line="240" w:lineRule="auto"/>
        <w:jc w:val="left"/>
        <w:rPr>
          <w:rFonts w:ascii="Arial" w:cs="Arial" w:hAnsi="Arial" w:eastAsia="Arial"/>
          <w:outline w:val="0"/>
          <w:color w:val="2c3e50"/>
          <w:shd w:val="clear" w:color="auto" w:fill="ffffff"/>
          <w14:textFill>
            <w14:solidFill>
              <w14:srgbClr w14:val="2C3E50"/>
            </w14:solidFill>
          </w14:textFill>
        </w:rPr>
      </w:pPr>
    </w:p>
    <w:p>
      <w:pPr>
        <w:pStyle w:val="Default"/>
        <w:suppressAutoHyphens w:val="1"/>
        <w:spacing w:before="0" w:line="240" w:lineRule="auto"/>
        <w:rPr>
          <w:rFonts w:ascii="Arial" w:cs="Arial" w:hAnsi="Arial" w:eastAsia="Arial"/>
        </w:rPr>
      </w:pPr>
      <w:r>
        <w:rPr>
          <w:rFonts w:ascii="Arial" w:hAnsi="Arial"/>
          <w:rtl w:val="0"/>
          <w:lang w:val="en-US"/>
        </w:rPr>
        <w:t xml:space="preserve">Havard, T.E., Densley, J.A., Whittaker, A. and Wills, J. (2023). Street gangs and coercive control: The gendered exploitation of young women and girls in county lines. </w:t>
      </w:r>
      <w:r>
        <w:rPr>
          <w:rStyle w:val="None"/>
          <w:rFonts w:ascii="Arial" w:hAnsi="Arial"/>
          <w:i w:val="1"/>
          <w:iCs w:val="1"/>
          <w:rtl w:val="0"/>
          <w:lang w:val="en-US"/>
        </w:rPr>
        <w:t>Criminology &amp; Criminal Justice</w:t>
      </w:r>
      <w:r>
        <w:rPr>
          <w:rFonts w:ascii="Arial" w:hAnsi="Arial"/>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"https://journals.sagepub.com/doi/full/10.1177/17488958211051513"</w:instrText>
      </w:r>
      <w:r>
        <w:rPr>
          <w:rStyle w:val="Hyperlink.0"/>
          <w:rFonts w:ascii="Arial" w:cs="Arial" w:hAnsi="Arial" w:eastAsia="Arial"/>
        </w:rPr>
        <w:fldChar w:fldCharType="separate" w:fldLock="0"/>
      </w:r>
      <w:r>
        <w:rPr>
          <w:rStyle w:val="Hyperlink.0"/>
          <w:rFonts w:ascii="Arial" w:hAnsi="Arial"/>
          <w:rtl w:val="0"/>
          <w:lang w:val="en-US"/>
        </w:rPr>
        <w:t>https://journals.sagepub.com/doi/full/10.1177/17488958211051513</w:t>
      </w:r>
      <w:r>
        <w:rPr>
          <w:rFonts w:ascii="Arial" w:cs="Arial" w:hAnsi="Arial" w:eastAsia="Arial"/>
        </w:rPr>
        <w:fldChar w:fldCharType="end" w:fldLock="0"/>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r>
        <w:rPr>
          <w:rFonts w:ascii="Arial" w:hAnsi="Arial"/>
          <w:rtl w:val="0"/>
          <w:lang w:val="en-US"/>
        </w:rPr>
        <w:t xml:space="preserve">HM Government. (2013). </w:t>
      </w:r>
      <w:r>
        <w:rPr>
          <w:rStyle w:val="None"/>
          <w:rFonts w:ascii="Arial" w:hAnsi="Arial"/>
          <w:i w:val="1"/>
          <w:iCs w:val="1"/>
          <w:rtl w:val="0"/>
          <w:lang w:val="en-US"/>
        </w:rPr>
        <w:t>Serious and organised crime strategy</w:t>
      </w:r>
      <w:r>
        <w:rPr>
          <w:rFonts w:ascii="Arial" w:hAnsi="Arial"/>
          <w:rtl w:val="0"/>
          <w:lang w:val="en-US"/>
        </w:rPr>
        <w:t xml:space="preserve">. Home Office.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"https://www.gov.uk/government/publications/serious-organised-crime-strategy"</w:instrText>
      </w:r>
      <w:r>
        <w:rPr>
          <w:rStyle w:val="Hyperlink.0"/>
          <w:rFonts w:ascii="Arial" w:cs="Arial" w:hAnsi="Arial" w:eastAsia="Arial"/>
        </w:rPr>
        <w:fldChar w:fldCharType="separate" w:fldLock="0"/>
      </w:r>
      <w:r>
        <w:rPr>
          <w:rStyle w:val="Hyperlink.0"/>
          <w:rFonts w:ascii="Arial" w:hAnsi="Arial"/>
          <w:rtl w:val="0"/>
          <w:lang w:val="en-US"/>
        </w:rPr>
        <w:t>https://www.gov.uk/government/publications/serious-organised-crime-strategy</w:t>
      </w:r>
      <w:r>
        <w:rPr>
          <w:rFonts w:ascii="Arial" w:cs="Arial" w:hAnsi="Arial" w:eastAsia="Arial"/>
        </w:rPr>
        <w:fldChar w:fldCharType="end" w:fldLock="0"/>
      </w:r>
      <w:r>
        <w:rPr>
          <w:rFonts w:ascii="Arial" w:hAnsi="Arial"/>
          <w:rtl w:val="0"/>
          <w:lang w:val="en-US"/>
        </w:rPr>
        <w:t xml:space="preserve"> [Accessed 26 May 2025].</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outline w:val="0"/>
          <w:color w:val="0000ee"/>
          <w:u w:val="single"/>
          <w14:textFill>
            <w14:solidFill>
              <w14:srgbClr w14:val="0000EE"/>
            </w14:solidFill>
          </w14:textFill>
        </w:rPr>
      </w:pPr>
      <w:r>
        <w:rPr>
          <w:rStyle w:val="None"/>
          <w:rFonts w:ascii="Arial" w:hAnsi="Arial"/>
          <w:outline w:val="0"/>
          <w:color w:val="000000"/>
          <w:u w:val="none"/>
          <w:rtl w:val="0"/>
          <w:lang w:val="en-US"/>
          <w14:textFill>
            <w14:solidFill>
              <w14:srgbClr w14:val="000000"/>
            </w14:solidFill>
          </w14:textFill>
        </w:rPr>
        <w:t xml:space="preserve">HM Government. (2023). </w:t>
      </w:r>
      <w:r>
        <w:rPr>
          <w:rStyle w:val="None"/>
          <w:rFonts w:ascii="Arial" w:hAnsi="Arial"/>
          <w:i w:val="1"/>
          <w:iCs w:val="1"/>
          <w:outline w:val="0"/>
          <w:color w:val="000000"/>
          <w:u w:val="none"/>
          <w:rtl w:val="0"/>
          <w:lang w:val="en-US"/>
          <w14:textFill>
            <w14:solidFill>
              <w14:srgbClr w14:val="000000"/>
            </w14:solidFill>
          </w14:textFill>
        </w:rPr>
        <w:t xml:space="preserve">Preventing serious violence: a multi-agency approach </w:t>
      </w:r>
      <w:r>
        <w:rPr>
          <w:rStyle w:val="None"/>
          <w:rFonts w:ascii="Arial" w:hAnsi="Arial" w:hint="default"/>
          <w:i w:val="1"/>
          <w:iCs w:val="1"/>
          <w:outline w:val="0"/>
          <w:color w:val="000000"/>
          <w:u w:val="none"/>
          <w:rtl w:val="0"/>
          <w14:textFill>
            <w14:solidFill>
              <w14:srgbClr w14:val="000000"/>
            </w14:solidFill>
          </w14:textFill>
        </w:rPr>
        <w:t xml:space="preserve">– </w:t>
      </w:r>
      <w:r>
        <w:rPr>
          <w:rStyle w:val="None"/>
          <w:rFonts w:ascii="Arial" w:hAnsi="Arial"/>
          <w:i w:val="1"/>
          <w:iCs w:val="1"/>
          <w:outline w:val="0"/>
          <w:color w:val="000000"/>
          <w:u w:val="none"/>
          <w:rtl w:val="0"/>
          <w:lang w:val="en-US"/>
          <w14:textFill>
            <w14:solidFill>
              <w14:srgbClr w14:val="000000"/>
            </w14:solidFill>
          </w14:textFill>
        </w:rPr>
        <w:t>Summary</w:t>
      </w:r>
      <w:r>
        <w:rPr>
          <w:rStyle w:val="None"/>
          <w:rFonts w:ascii="Arial" w:hAnsi="Arial"/>
          <w:outline w:val="0"/>
          <w:color w:val="000000"/>
          <w:u w:val="none"/>
          <w:rtl w:val="0"/>
          <w:lang w:val="en-US"/>
          <w14:textFill>
            <w14:solidFill>
              <w14:srgbClr w14:val="000000"/>
            </w14:solidFill>
          </w14:textFill>
        </w:rPr>
        <w:t xml:space="preserve">. Available at: </w:t>
      </w:r>
      <w:r>
        <w:rPr>
          <w:rStyle w:val="Hyperlink.1"/>
          <w:rFonts w:ascii="Arial" w:cs="Arial" w:hAnsi="Arial" w:eastAsia="Arial"/>
          <w:outline w:val="0"/>
          <w:color w:val="0000ee"/>
          <w:u w:val="single"/>
          <w14:textFill>
            <w14:solidFill>
              <w14:srgbClr w14:val="0000EE"/>
            </w14:solidFill>
          </w14:textFill>
        </w:rPr>
        <w:fldChar w:fldCharType="begin" w:fldLock="0"/>
      </w:r>
      <w:r>
        <w:rPr>
          <w:rStyle w:val="Hyperlink.1"/>
          <w:rFonts w:ascii="Arial" w:cs="Arial" w:hAnsi="Arial" w:eastAsia="Arial"/>
          <w:outline w:val="0"/>
          <w:color w:val="0000ee"/>
          <w:u w:val="single"/>
          <w14:textFill>
            <w14:solidFill>
              <w14:srgbClr w14:val="0000EE"/>
            </w14:solidFill>
          </w14:textFill>
        </w:rPr>
        <w:instrText xml:space="preserve"> HYPERLINK "https://www.gov.uk/government/publications/preventing-serious-violence-a-multi-agency-approach/preventing-serious-violence-summary"</w:instrText>
      </w:r>
      <w:r>
        <w:rPr>
          <w:rStyle w:val="Hyperlink.1"/>
          <w:rFonts w:ascii="Arial" w:cs="Arial" w:hAnsi="Arial" w:eastAsia="Arial"/>
          <w:outline w:val="0"/>
          <w:color w:val="0000ee"/>
          <w:u w:val="single"/>
          <w14:textFill>
            <w14:solidFill>
              <w14:srgbClr w14:val="0000EE"/>
            </w14:solidFill>
          </w14:textFill>
        </w:rPr>
        <w:fldChar w:fldCharType="separate" w:fldLock="0"/>
      </w:r>
      <w:r>
        <w:rPr>
          <w:rStyle w:val="Hyperlink.1"/>
          <w:rFonts w:ascii="Arial" w:hAnsi="Arial"/>
          <w:outline w:val="0"/>
          <w:color w:val="0000ee"/>
          <w:u w:val="single"/>
          <w:rtl w:val="0"/>
          <w:lang w:val="en-US"/>
          <w14:textFill>
            <w14:solidFill>
              <w14:srgbClr w14:val="0000EE"/>
            </w14:solidFill>
          </w14:textFill>
        </w:rPr>
        <w:t>https://www.gov.uk/government/publications/preventing-serious-violence-a-multi-agency-approach/preventing-serious-violence-summary</w:t>
      </w:r>
      <w:r>
        <w:rPr>
          <w:rFonts w:ascii="Arial" w:cs="Arial" w:hAnsi="Arial" w:eastAsia="Arial"/>
          <w:outline w:val="0"/>
          <w:color w:val="0000ee"/>
          <w:u w:val="single"/>
          <w14:textFill>
            <w14:solidFill>
              <w14:srgbClr w14:val="0000EE"/>
            </w14:solidFill>
          </w14:textFill>
        </w:rPr>
        <w:fldChar w:fldCharType="end" w:fldLock="0"/>
      </w:r>
      <w:r>
        <w:rPr>
          <w:rStyle w:val="None"/>
          <w:rFonts w:ascii="Arial" w:hAnsi="Arial"/>
          <w:outline w:val="0"/>
          <w:color w:val="000000"/>
          <w:u w:val="none"/>
          <w:rtl w:val="0"/>
          <w:lang w:val="en-US"/>
          <w14:textFill>
            <w14:solidFill>
              <w14:srgbClr w14:val="000000"/>
            </w14:solidFill>
          </w14:textFill>
        </w:rPr>
        <w:t xml:space="preserve"> [Accessed 26 May 2025].</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r>
        <w:rPr>
          <w:rFonts w:ascii="Arial" w:hAnsi="Arial"/>
          <w:rtl w:val="0"/>
        </w:rPr>
        <w:t>G</w:t>
      </w:r>
      <w:r>
        <w:rPr>
          <w:rFonts w:ascii="Arial" w:hAnsi="Arial" w:hint="default"/>
          <w:rtl w:val="0"/>
          <w:lang w:val="da-DK"/>
        </w:rPr>
        <w:t>ø</w:t>
      </w:r>
      <w:r>
        <w:rPr>
          <w:rFonts w:ascii="Arial" w:hAnsi="Arial"/>
          <w:rtl w:val="0"/>
          <w:lang w:val="nl-NL"/>
        </w:rPr>
        <w:t xml:space="preserve">tzsche-Astrup, O., Overgaard, B. and Lindekilde, L. (2022) 'Vulnerable and dominant: Bright and dark side personality traits and values of individuals in organized crime in Denmark', </w:t>
      </w:r>
      <w:r>
        <w:rPr>
          <w:rStyle w:val="None"/>
          <w:rFonts w:ascii="Arial" w:hAnsi="Arial"/>
          <w:i w:val="1"/>
          <w:iCs w:val="1"/>
          <w:rtl w:val="0"/>
          <w:lang w:val="en-US"/>
        </w:rPr>
        <w:t>Scandinavian Journal of Psychology</w:t>
      </w:r>
      <w:r>
        <w:rPr>
          <w:rFonts w:ascii="Arial" w:hAnsi="Arial"/>
          <w:rtl w:val="0"/>
        </w:rPr>
        <w:t>, 63(5), pp. 536</w:t>
      </w:r>
      <w:r>
        <w:rPr>
          <w:rFonts w:ascii="Arial" w:hAnsi="Arial" w:hint="default"/>
          <w:rtl w:val="0"/>
        </w:rPr>
        <w:t>–</w:t>
      </w:r>
      <w:r>
        <w:rPr>
          <w:rFonts w:ascii="Arial" w:hAnsi="Arial"/>
          <w:rtl w:val="0"/>
        </w:rPr>
        <w:t>544. doi: 10.1111/sjop.12831</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r>
        <w:rPr>
          <w:rFonts w:ascii="Arial" w:hAnsi="Arial"/>
          <w:rtl w:val="0"/>
          <w:lang w:val="it-IT"/>
        </w:rPr>
        <w:t xml:space="preserve">Positive Change. (2014). </w:t>
      </w:r>
      <w:r>
        <w:rPr>
          <w:rStyle w:val="None"/>
          <w:rFonts w:ascii="Arial" w:hAnsi="Arial"/>
          <w:i w:val="1"/>
          <w:iCs w:val="1"/>
          <w:rtl w:val="0"/>
          <w:lang w:val="en-US"/>
        </w:rPr>
        <w:t>Written evidence submitted to the Home Affairs Committee: Gangs and youth crime (GYC0008)</w:t>
      </w:r>
      <w:r>
        <w:rPr>
          <w:rFonts w:ascii="Arial" w:hAnsi="Arial"/>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"https://committees.parliament.uk/writtenevidence/50980/html/"</w:instrText>
      </w:r>
      <w:r>
        <w:rPr>
          <w:rStyle w:val="Hyperlink.0"/>
          <w:rFonts w:ascii="Arial" w:cs="Arial" w:hAnsi="Arial" w:eastAsia="Arial"/>
        </w:rPr>
        <w:fldChar w:fldCharType="separate" w:fldLock="0"/>
      </w:r>
      <w:r>
        <w:rPr>
          <w:rStyle w:val="Hyperlink.0"/>
          <w:rFonts w:ascii="Arial" w:hAnsi="Arial"/>
          <w:rtl w:val="0"/>
          <w:lang w:val="en-US"/>
        </w:rPr>
        <w:t>https://committees.parliament.uk/writtenevidence/50980/html/</w:t>
      </w:r>
      <w:r>
        <w:rPr>
          <w:rFonts w:ascii="Arial" w:cs="Arial" w:hAnsi="Arial" w:eastAsia="Arial"/>
        </w:rPr>
        <w:fldChar w:fldCharType="end" w:fldLock="0"/>
      </w:r>
      <w:r>
        <w:rPr>
          <w:rFonts w:ascii="Arial" w:hAnsi="Arial"/>
          <w:rtl w:val="0"/>
          <w:lang w:val="en-US"/>
        </w:rPr>
        <w:t xml:space="preserve"> [Accessed 26 May 2025].</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r>
        <w:rPr>
          <w:rFonts w:ascii="Arial" w:hAnsi="Arial"/>
          <w:rtl w:val="0"/>
          <w:lang w:val="en-US"/>
        </w:rPr>
        <w:t xml:space="preserve">Scottish Government. (2018). </w:t>
      </w:r>
      <w:r>
        <w:rPr>
          <w:rStyle w:val="None"/>
          <w:rFonts w:ascii="Arial" w:hAnsi="Arial"/>
          <w:i w:val="1"/>
          <w:iCs w:val="1"/>
          <w:rtl w:val="0"/>
          <w:lang w:val="en-US"/>
        </w:rPr>
        <w:t>Community experiences of serious organised crime in Scotland: research report</w:t>
      </w:r>
      <w:r>
        <w:rPr>
          <w:rFonts w:ascii="Arial" w:hAnsi="Arial"/>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"https://www.gov.scot/publications/community-experiences-serious-organised-crime-scotland/pages/1/"</w:instrText>
      </w:r>
      <w:r>
        <w:rPr>
          <w:rStyle w:val="Hyperlink.0"/>
          <w:rFonts w:ascii="Arial" w:cs="Arial" w:hAnsi="Arial" w:eastAsia="Arial"/>
        </w:rPr>
        <w:fldChar w:fldCharType="separate" w:fldLock="0"/>
      </w:r>
      <w:r>
        <w:rPr>
          <w:rStyle w:val="Hyperlink.0"/>
          <w:rFonts w:ascii="Arial" w:hAnsi="Arial"/>
          <w:rtl w:val="0"/>
          <w:lang w:val="en-US"/>
        </w:rPr>
        <w:t>https://www.gov.scot/publications/community-experiences-serious-organised-crime-scotland/pages/1/</w:t>
      </w:r>
      <w:r>
        <w:rPr>
          <w:rFonts w:ascii="Arial" w:cs="Arial" w:hAnsi="Arial" w:eastAsia="Arial"/>
        </w:rPr>
        <w:fldChar w:fldCharType="end" w:fldLock="0"/>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r>
        <w:rPr>
          <w:rFonts w:ascii="Arial" w:hAnsi="Arial"/>
          <w:rtl w:val="0"/>
          <w:lang w:val="en-US"/>
        </w:rPr>
        <w:t>Local Government Association. (</w:t>
      </w:r>
      <w:r>
        <w:rPr>
          <w:rFonts w:ascii="Arial" w:hAnsi="Arial"/>
          <w:rtl w:val="0"/>
          <w:lang w:val="en-US"/>
        </w:rPr>
        <w:t>2022</w:t>
      </w:r>
      <w:r>
        <w:rPr>
          <w:rFonts w:ascii="Arial" w:hAnsi="Arial"/>
          <w:rtl w:val="0"/>
        </w:rPr>
        <w:t xml:space="preserve">). </w:t>
      </w:r>
      <w:r>
        <w:rPr>
          <w:rStyle w:val="None"/>
          <w:rFonts w:ascii="Arial" w:hAnsi="Arial"/>
          <w:i w:val="1"/>
          <w:iCs w:val="1"/>
          <w:rtl w:val="0"/>
          <w:lang w:val="en-US"/>
        </w:rPr>
        <w:t>Supporting the youngest children in the youth justice system: what works to reduce offending and improve outcomes?</w:t>
      </w:r>
      <w:r>
        <w:rPr>
          <w:rFonts w:ascii="Arial" w:hAnsi="Arial"/>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"https://www.local.gov.uk/publications/supporting-youngest-children-youth-justice-system-what-works-reduce-offending-and"</w:instrText>
      </w:r>
      <w:r>
        <w:rPr>
          <w:rStyle w:val="Hyperlink.0"/>
          <w:rFonts w:ascii="Arial" w:cs="Arial" w:hAnsi="Arial" w:eastAsia="Arial"/>
        </w:rPr>
        <w:fldChar w:fldCharType="separate" w:fldLock="0"/>
      </w:r>
      <w:r>
        <w:rPr>
          <w:rStyle w:val="Hyperlink.0"/>
          <w:rFonts w:ascii="Arial" w:hAnsi="Arial"/>
          <w:rtl w:val="0"/>
          <w:lang w:val="en-US"/>
        </w:rPr>
        <w:t>https://www.local.gov.uk/publications/supporting-youngest-children-youth-justice-system-what-works-reduce-offending-and</w:t>
      </w:r>
      <w:r>
        <w:rPr>
          <w:rFonts w:ascii="Arial" w:cs="Arial" w:hAnsi="Arial" w:eastAsia="Arial"/>
        </w:rPr>
        <w:fldChar w:fldCharType="end" w:fldLock="0"/>
      </w:r>
      <w:r>
        <w:rPr>
          <w:rFonts w:ascii="Arial" w:hAnsi="Arial"/>
          <w:rtl w:val="0"/>
          <w:lang w:val="en-US"/>
        </w:rPr>
        <w:t xml:space="preserve"> [Accessed 26 May 2025].</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b w:val="1"/>
          <w:bCs w:val="1"/>
        </w:rPr>
      </w:pPr>
      <w:r>
        <w:rPr>
          <w:rFonts w:ascii="Arial" w:hAnsi="Arial"/>
          <w:b w:val="1"/>
          <w:bCs w:val="1"/>
          <w:rtl w:val="0"/>
          <w:lang w:val="en-US"/>
        </w:rPr>
        <w:t>Essay 4</w:t>
      </w:r>
    </w:p>
    <w:p>
      <w:pPr>
        <w:pStyle w:val="Default"/>
        <w:suppressAutoHyphens w:val="1"/>
        <w:spacing w:before="0" w:line="240" w:lineRule="auto"/>
        <w:rPr>
          <w:rFonts w:ascii="Arial" w:cs="Arial" w:hAnsi="Arial" w:eastAsia="Arial"/>
          <w:b w:val="1"/>
          <w:bCs w:val="1"/>
        </w:rPr>
      </w:pPr>
      <w:r>
        <w:rPr>
          <w:rFonts w:ascii="Arial" w:hAnsi="Arial"/>
          <w:b w:val="1"/>
          <w:bCs w:val="1"/>
          <w:rtl w:val="0"/>
          <w:lang w:val="en-US"/>
        </w:rPr>
        <w:t>How effective is early intervention an effective means of preventing young people from offending or re-offending?</w:t>
      </w:r>
    </w:p>
    <w:p>
      <w:pPr>
        <w:pStyle w:val="Default"/>
        <w:suppressAutoHyphens w:val="1"/>
        <w:spacing w:before="0" w:line="240" w:lineRule="auto"/>
        <w:rPr>
          <w:rFonts w:ascii="Arial" w:cs="Arial" w:hAnsi="Arial" w:eastAsia="Arial"/>
          <w:b w:val="1"/>
          <w:bCs w:val="1"/>
        </w:rPr>
      </w:pPr>
    </w:p>
    <w:p>
      <w:pPr>
        <w:pStyle w:val="Default"/>
        <w:suppressAutoHyphens w:val="1"/>
        <w:spacing w:before="0" w:line="240" w:lineRule="auto"/>
        <w:rPr>
          <w:rFonts w:ascii="Arial" w:cs="Arial" w:hAnsi="Arial" w:eastAsia="Arial"/>
        </w:rPr>
      </w:pPr>
      <w:r>
        <w:rPr>
          <w:rFonts w:ascii="Arial" w:hAnsi="Arial"/>
          <w:rtl w:val="0"/>
          <w:lang w:val="en-US"/>
        </w:rPr>
        <w:t>This essay will look into early intervention as an effective means of preventing young people from offending or reoffending. Early intervention has had a positive effect in this area, as a useful strategy in limiting and eliminating the opportunity for youths to take part in criminal activity. In the UK, the average age in which individuals are first recognised as taking part in criminal activity is around 24 years old, however the most common age for these individuals to actually start engaging in criminal; activity is around 15 years old (</w:t>
      </w:r>
      <w:r>
        <w:rPr>
          <w:rFonts w:ascii="Arial" w:hAnsi="Arial"/>
          <w:rtl w:val="0"/>
          <w:lang w:val="en-US"/>
        </w:rPr>
        <w:t>Dawes, W.</w:t>
      </w:r>
      <w:r>
        <w:rPr>
          <w:rFonts w:ascii="Arial" w:hAnsi="Arial"/>
          <w:rtl w:val="0"/>
          <w:lang w:val="en-US"/>
        </w:rPr>
        <w:t xml:space="preserve"> et al, </w:t>
      </w:r>
      <w:r>
        <w:rPr>
          <w:rFonts w:ascii="Arial" w:hAnsi="Arial"/>
          <w:rtl w:val="0"/>
        </w:rPr>
        <w:t>2017</w:t>
      </w:r>
      <w:r>
        <w:rPr>
          <w:rFonts w:ascii="Arial" w:hAnsi="Arial"/>
          <w:rtl w:val="0"/>
          <w:lang w:val="en-US"/>
        </w:rPr>
        <w:t>).</w:t>
      </w:r>
    </w:p>
    <w:p>
      <w:pPr>
        <w:pStyle w:val="Default"/>
        <w:suppressAutoHyphens w:val="1"/>
        <w:spacing w:before="0" w:line="240" w:lineRule="auto"/>
        <w:rPr>
          <w:rFonts w:ascii="Arial" w:cs="Arial" w:hAnsi="Arial" w:eastAsia="Arial"/>
        </w:rPr>
      </w:pPr>
      <w:r>
        <w:rPr>
          <w:rFonts w:ascii="Arial" w:hAnsi="Arial"/>
          <w:rtl w:val="0"/>
          <w:lang w:val="en-US"/>
        </w:rPr>
        <w:t xml:space="preserve">Early intervention programmes tend to have roots in developmental psychology and criminological theory, and aim to limit criminal behaviour in youths before it takes root in their lives leading into adulthood. Once they become adults, these behaviours become much harder to eliminate. </w:t>
      </w:r>
    </w:p>
    <w:p>
      <w:pPr>
        <w:pStyle w:val="Default"/>
        <w:suppressAutoHyphens w:val="1"/>
        <w:spacing w:before="0" w:line="240" w:lineRule="auto"/>
        <w:rPr>
          <w:rFonts w:ascii="Arial" w:cs="Arial" w:hAnsi="Arial" w:eastAsia="Arial"/>
        </w:rPr>
      </w:pPr>
      <w:r>
        <w:rPr>
          <w:rFonts w:ascii="Arial" w:hAnsi="Arial"/>
          <w:rtl w:val="0"/>
          <w:lang w:val="en-US"/>
        </w:rPr>
        <w:t>Developmental and life-course criminology is one theory that supports the notion that criminal behaviour should be addressed at a young age. Moffitt noted in their 1993 study that early intervention can disrupt this behaviour (Moffitt, 1993).</w:t>
      </w:r>
    </w:p>
    <w:p>
      <w:pPr>
        <w:pStyle w:val="Default"/>
        <w:suppressAutoHyphens w:val="1"/>
        <w:spacing w:before="0" w:line="240" w:lineRule="auto"/>
        <w:rPr>
          <w:rFonts w:ascii="Arial" w:cs="Arial" w:hAnsi="Arial" w:eastAsia="Arial"/>
        </w:rPr>
      </w:pPr>
      <w:r>
        <w:rPr>
          <w:rFonts w:ascii="Arial" w:hAnsi="Arial"/>
          <w:rtl w:val="0"/>
          <w:lang w:val="en-US"/>
        </w:rPr>
        <w:t>A UK based case study from 2005 form the Youth Inclusion Panels devised a scheme that identifies and supports children aged 8 to 13 that are considered to be of higher risk of taking part in antisocial behaviour, offending or reoffending. The panels brought together multiple different partner agencies in order to tackle the issues surrounding this, from police and social services. They have developed schemes in order to tackle the issues through mentoring the individuals, family support, education and mental health support. They have also found that recreational activities such as taking part in sports and clubs have also had a positive effect in steering youths away from antisocial behaviours and criminal activities, as they have provided a positive distraction for these youths to take part in (</w:t>
      </w:r>
      <w:r>
        <w:rPr>
          <w:rFonts w:ascii="Arial" w:hAnsi="Arial"/>
          <w:rtl w:val="0"/>
          <w:lang w:val="en-US"/>
        </w:rPr>
        <w:t>Youth Justice Board (YJB), 2005</w:t>
      </w:r>
      <w:r>
        <w:rPr>
          <w:rFonts w:ascii="Arial" w:hAnsi="Arial"/>
          <w:rtl w:val="0"/>
          <w:lang w:val="en-US"/>
        </w:rPr>
        <w:t>). The individuals who have taken part in these activities have also been proven to have reduced rates of reoffending, when compared to youths who were in similar positions who had not taken part in the scheme. Continued support is needed in these areas however, as without consistent efforts, there is a likelihood that the individuals may continue down paths to reoffending. There are also issues surrounding how this scheme and ones like it are implemented across the country, as different local authorities are in consisted in how they implement these methods, leading to varied outcomes. The outcomes also tend to be varied in relation to how engaged some of the families of the offenders can be, as some tend to be disengaged and unwilling to take part.</w:t>
      </w:r>
    </w:p>
    <w:p>
      <w:pPr>
        <w:pStyle w:val="Default"/>
        <w:suppressAutoHyphens w:val="1"/>
        <w:spacing w:before="0" w:line="240" w:lineRule="auto"/>
        <w:rPr>
          <w:rFonts w:ascii="Arial" w:cs="Arial" w:hAnsi="Arial" w:eastAsia="Arial"/>
        </w:rPr>
      </w:pPr>
      <w:r>
        <w:rPr>
          <w:rFonts w:ascii="Arial" w:hAnsi="Arial"/>
          <w:rtl w:val="0"/>
          <w:lang w:val="en-US"/>
        </w:rPr>
        <w:t xml:space="preserve">There are also programmes such as the Triple P - Positive Parenting Programme, that have researched and implemented early intervention programmes aimed at tackling offending behaviour in youths. This has been implemented internationally, with positive results. They have tailored their support to parents, in order to to promote positive relationships between parents and their children, as well as equipping parents in disciplining strategies that they might not otherwise have, and in doing so they have been able to provide a positive impact in the homes of offending youths and therefore tackling the issue at an early stage, and by assisting the parents, who are the adults who take primary care in shaping the lives of these youths. This programme has had a positive impact in reducing some of the behavioural issues that face many children who end up taking part in criminal activities, such as aggression and defiance of authority figures, which have often been linked to enhancing future criminal behaviour </w:t>
      </w:r>
      <w:r>
        <w:rPr>
          <w:rFonts w:ascii="Arial" w:hAnsi="Arial"/>
          <w:rtl w:val="0"/>
          <w:lang w:val="nl-NL"/>
        </w:rPr>
        <w:t>Sanders, M.R.,</w:t>
      </w:r>
      <w:r>
        <w:rPr>
          <w:rFonts w:ascii="Arial" w:hAnsi="Arial"/>
          <w:rtl w:val="0"/>
          <w:lang w:val="en-US"/>
        </w:rPr>
        <w:t xml:space="preserve"> et al, 2008).</w:t>
      </w:r>
    </w:p>
    <w:p>
      <w:pPr>
        <w:pStyle w:val="Default"/>
        <w:suppressAutoHyphens w:val="1"/>
        <w:spacing w:before="0" w:line="240" w:lineRule="auto"/>
        <w:rPr>
          <w:rFonts w:ascii="Arial" w:cs="Arial" w:hAnsi="Arial" w:eastAsia="Arial"/>
        </w:rPr>
      </w:pPr>
      <w:r>
        <w:rPr>
          <w:rFonts w:ascii="Arial" w:hAnsi="Arial"/>
          <w:rtl w:val="0"/>
          <w:lang w:val="en-US"/>
        </w:rPr>
        <w:t>Police in the UK also taken part in the shaping of youth in regards to offending and reoffending. Youth Offending Teams, also known as YOTS, are multi-agency initiatives that were created by the Crime and Disorder Act of 1998, and they work with agencies such as social services and schools in order to tackle criminal behaviour in youths (</w:t>
      </w:r>
      <w:r>
        <w:rPr>
          <w:rFonts w:ascii="Arial" w:hAnsi="Arial"/>
          <w:rtl w:val="0"/>
          <w:lang w:val="en-US"/>
        </w:rPr>
        <w:t>Youth Justice Board (YJB), 2010</w:t>
      </w:r>
      <w:r>
        <w:rPr>
          <w:rFonts w:ascii="Arial" w:hAnsi="Arial"/>
          <w:rtl w:val="0"/>
          <w:lang w:val="en-US"/>
        </w:rPr>
        <w:t>).</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r>
        <w:rPr>
          <w:rFonts w:ascii="Arial" w:hAnsi="Arial"/>
          <w:rtl w:val="0"/>
          <w:lang w:val="en-US"/>
        </w:rPr>
        <w:t>In conclusion, there have been many initiatives that have shown a positive impact on the offending and reoffending rates in youths. They have shown that there is not only a necessity for early intervention in the lives of these individuals, but also that these efforts have been highly effective. The issues that can arise from these interventions mainly tend to stem from the individual</w:t>
      </w:r>
      <w:r>
        <w:rPr>
          <w:rFonts w:ascii="Arial" w:hAnsi="Arial" w:hint="default"/>
          <w:rtl w:val="0"/>
          <w:lang w:val="en-US"/>
        </w:rPr>
        <w:t>’</w:t>
      </w:r>
      <w:r>
        <w:rPr>
          <w:rFonts w:ascii="Arial" w:hAnsi="Arial"/>
          <w:rtl w:val="0"/>
          <w:lang w:val="en-US"/>
        </w:rPr>
        <w:t>s willingness to participate, as well as how well these initiatives have been implemented across the Local Authorities. This being said, all the research and studies show that offending rates can be limited through early intervention, taking the negative behaviours that test youths may have, as well as giving them alternative avenues for them to spend their time on, such as extra curricular activities.</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b w:val="1"/>
          <w:bCs w:val="1"/>
        </w:rPr>
      </w:pPr>
      <w:r>
        <w:rPr>
          <w:rFonts w:ascii="Arial" w:hAnsi="Arial"/>
          <w:b w:val="1"/>
          <w:bCs w:val="1"/>
          <w:rtl w:val="0"/>
          <w:lang w:val="en-US"/>
        </w:rPr>
        <w:t>Bibliography:</w:t>
      </w:r>
    </w:p>
    <w:p>
      <w:pPr>
        <w:pStyle w:val="Default"/>
        <w:suppressAutoHyphens w:val="1"/>
        <w:spacing w:before="0" w:line="240" w:lineRule="auto"/>
        <w:rPr>
          <w:rFonts w:ascii="Arial" w:cs="Arial" w:hAnsi="Arial" w:eastAsia="Arial"/>
        </w:rPr>
      </w:pPr>
      <w:r>
        <w:rPr>
          <w:rFonts w:ascii="Arial" w:hAnsi="Arial"/>
          <w:rtl w:val="0"/>
          <w:lang w:val="en-US"/>
        </w:rPr>
        <w:t xml:space="preserve">Dawes, W., Howard, P. and Lloyd, C., 2017. </w:t>
      </w:r>
      <w:r>
        <w:rPr>
          <w:rStyle w:val="None"/>
          <w:rFonts w:ascii="Arial" w:hAnsi="Arial"/>
          <w:i w:val="1"/>
          <w:iCs w:val="1"/>
          <w:rtl w:val="0"/>
          <w:lang w:val="en-US"/>
        </w:rPr>
        <w:t>Understanding the educational background of young offenders: Summary report</w:t>
      </w:r>
      <w:r>
        <w:rPr>
          <w:rFonts w:ascii="Arial" w:hAnsi="Arial"/>
          <w:rtl w:val="0"/>
          <w:lang w:val="en-US"/>
        </w:rPr>
        <w:t xml:space="preserve">. Home Office Research Report 77. London: Home Office.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"https://assets.publishing.service.gov.uk/media/5a74c511e5274a3f93b48abb/horr77.pdf"</w:instrText>
      </w:r>
      <w:r>
        <w:rPr>
          <w:rStyle w:val="Hyperlink.0"/>
          <w:rFonts w:ascii="Arial" w:cs="Arial" w:hAnsi="Arial" w:eastAsia="Arial"/>
        </w:rPr>
        <w:fldChar w:fldCharType="separate" w:fldLock="0"/>
      </w:r>
      <w:r>
        <w:rPr>
          <w:rStyle w:val="Hyperlink.0"/>
          <w:rFonts w:ascii="Arial" w:hAnsi="Arial"/>
          <w:rtl w:val="0"/>
        </w:rPr>
        <w:t>https://assets.publishing.service.gov.uk/media/5a74c511e5274a3f93b48abb/horr77.pdf</w:t>
      </w:r>
      <w:r>
        <w:rPr>
          <w:rFonts w:ascii="Arial" w:cs="Arial" w:hAnsi="Arial" w:eastAsia="Arial"/>
        </w:rPr>
        <w:fldChar w:fldCharType="end" w:fldLock="0"/>
      </w:r>
      <w:r>
        <w:rPr>
          <w:rFonts w:ascii="Arial" w:hAnsi="Arial"/>
          <w:rtl w:val="0"/>
          <w:lang w:val="en-US"/>
        </w:rPr>
        <w:t xml:space="preserve"> [Accessed 26 May 2025].</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r>
        <w:rPr>
          <w:rFonts w:ascii="Arial" w:hAnsi="Arial"/>
          <w:rtl w:val="0"/>
          <w:lang w:val="en-US"/>
        </w:rPr>
        <w:t xml:space="preserve">Moffitt, T.E., 1993. Adolescence-limited and life-course-persistent antisocial behavior: A developmental taxonomy. </w:t>
      </w:r>
      <w:r>
        <w:rPr>
          <w:rStyle w:val="None"/>
          <w:rFonts w:ascii="Arial" w:hAnsi="Arial"/>
          <w:i w:val="1"/>
          <w:iCs w:val="1"/>
          <w:rtl w:val="0"/>
          <w:lang w:val="en-US"/>
        </w:rPr>
        <w:t>Psychological Review</w:t>
      </w:r>
      <w:r>
        <w:rPr>
          <w:rFonts w:ascii="Arial" w:hAnsi="Arial"/>
          <w:rtl w:val="0"/>
          <w:lang w:val="it-IT"/>
        </w:rPr>
        <w:t>, 100(4), pp.674</w:t>
      </w:r>
      <w:r>
        <w:rPr>
          <w:rFonts w:ascii="Arial" w:hAnsi="Arial" w:hint="default"/>
          <w:rtl w:val="0"/>
        </w:rPr>
        <w:t>–</w:t>
      </w:r>
      <w:r>
        <w:rPr>
          <w:rFonts w:ascii="Arial" w:hAnsi="Arial"/>
          <w:rtl w:val="0"/>
        </w:rPr>
        <w:t>701.</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r>
        <w:rPr>
          <w:rFonts w:ascii="Arial" w:hAnsi="Arial"/>
          <w:rtl w:val="0"/>
          <w:lang w:val="en-US"/>
        </w:rPr>
        <w:t xml:space="preserve">Sanders, M.R., Turner, K.M.T. and Markie-Dadds, C., 2008. The development and dissemination of the Triple P </w:t>
      </w:r>
      <w:r>
        <w:rPr>
          <w:rFonts w:ascii="Arial" w:hAnsi="Arial" w:hint="default"/>
          <w:rtl w:val="0"/>
        </w:rPr>
        <w:t xml:space="preserve">– </w:t>
      </w:r>
      <w:r>
        <w:rPr>
          <w:rFonts w:ascii="Arial" w:hAnsi="Arial"/>
          <w:rtl w:val="0"/>
          <w:lang w:val="en-US"/>
        </w:rPr>
        <w:t xml:space="preserve">Positive Parenting Program: A multilevel, evidence-based system of parenting and family support. </w:t>
      </w:r>
      <w:r>
        <w:rPr>
          <w:rStyle w:val="None"/>
          <w:rFonts w:ascii="Arial" w:hAnsi="Arial"/>
          <w:i w:val="1"/>
          <w:iCs w:val="1"/>
          <w:rtl w:val="0"/>
          <w:lang w:val="en-US"/>
        </w:rPr>
        <w:t>Prevention Science</w:t>
      </w:r>
      <w:r>
        <w:rPr>
          <w:rFonts w:ascii="Arial" w:hAnsi="Arial"/>
          <w:rtl w:val="0"/>
        </w:rPr>
        <w:t>, 9(3), pp.173</w:t>
      </w:r>
      <w:r>
        <w:rPr>
          <w:rFonts w:ascii="Arial" w:hAnsi="Arial" w:hint="default"/>
          <w:rtl w:val="0"/>
        </w:rPr>
        <w:t>–</w:t>
      </w:r>
      <w:r>
        <w:rPr>
          <w:rFonts w:ascii="Arial" w:hAnsi="Arial"/>
          <w:rtl w:val="0"/>
        </w:rPr>
        <w:t>186.</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Style w:val="None"/>
          <w:rFonts w:ascii="Arial" w:cs="Arial" w:hAnsi="Arial" w:eastAsia="Arial"/>
          <w:i w:val="0"/>
          <w:iCs w:val="0"/>
        </w:rPr>
      </w:pPr>
      <w:r>
        <w:rPr>
          <w:rStyle w:val="None"/>
          <w:rFonts w:ascii="Arial" w:hAnsi="Arial"/>
          <w:i w:val="0"/>
          <w:iCs w:val="0"/>
          <w:rtl w:val="0"/>
          <w:lang w:val="en-US"/>
        </w:rPr>
        <w:t xml:space="preserve">Youth Justice Board (YJB), 2005. </w:t>
      </w:r>
      <w:r>
        <w:rPr>
          <w:rFonts w:ascii="Arial" w:hAnsi="Arial"/>
          <w:i w:val="1"/>
          <w:iCs w:val="1"/>
          <w:rtl w:val="0"/>
          <w:lang w:val="en-US"/>
        </w:rPr>
        <w:t>Youth Inclusion and Support Panels: Preventing crime and anti-social behaviour</w:t>
      </w:r>
      <w:r>
        <w:rPr>
          <w:rStyle w:val="None"/>
          <w:rFonts w:ascii="Arial" w:hAnsi="Arial"/>
          <w:i w:val="0"/>
          <w:iCs w:val="0"/>
          <w:rtl w:val="0"/>
          <w:lang w:val="en-US"/>
        </w:rPr>
        <w:t>. London: Youth Justice Board for England and Wales.</w:t>
      </w:r>
    </w:p>
    <w:p>
      <w:pPr>
        <w:pStyle w:val="Default"/>
        <w:suppressAutoHyphens w:val="1"/>
        <w:spacing w:before="0" w:line="240" w:lineRule="auto"/>
        <w:rPr>
          <w:rStyle w:val="None"/>
          <w:rFonts w:ascii="Arial" w:cs="Arial" w:hAnsi="Arial" w:eastAsia="Arial"/>
          <w:i w:val="0"/>
          <w:iCs w:val="0"/>
        </w:rPr>
      </w:pPr>
    </w:p>
    <w:p>
      <w:pPr>
        <w:pStyle w:val="Default"/>
        <w:suppressAutoHyphens w:val="1"/>
        <w:spacing w:before="0" w:line="240" w:lineRule="auto"/>
      </w:pPr>
      <w:r>
        <w:rPr>
          <w:rStyle w:val="None"/>
          <w:rFonts w:ascii="Arial" w:hAnsi="Arial"/>
          <w:i w:val="0"/>
          <w:iCs w:val="0"/>
          <w:rtl w:val="0"/>
          <w:lang w:val="en-US"/>
        </w:rPr>
        <w:t xml:space="preserve">Youth Justice Board (YJB), 2010. </w:t>
      </w:r>
      <w:r>
        <w:rPr>
          <w:rFonts w:ascii="Arial" w:hAnsi="Arial"/>
          <w:i w:val="1"/>
          <w:iCs w:val="1"/>
          <w:rtl w:val="0"/>
          <w:lang w:val="en-US"/>
        </w:rPr>
        <w:t>Modern Youth Offending Partnerships: Guidance on effective practice</w:t>
      </w:r>
      <w:r>
        <w:rPr>
          <w:rStyle w:val="None"/>
          <w:rFonts w:ascii="Arial" w:hAnsi="Arial"/>
          <w:i w:val="0"/>
          <w:iCs w:val="0"/>
          <w:rtl w:val="0"/>
          <w:lang w:val="en-US"/>
        </w:rPr>
        <w:t>. London: Youth Justice Board.</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0000ee"/>
      <w:u w:val="single"/>
      <w14:textFill>
        <w14:solidFill>
          <w14:srgbClr w14:val="0000EE"/>
        </w14:solidFill>
      </w14:textFill>
    </w:rPr>
  </w:style>
  <w:style w:type="character" w:styleId="Hyperlink.1">
    <w:name w:val="Hyperlink.1"/>
    <w:basedOn w:val="Hyperlink"/>
    <w:next w:val="Hyperlink.1"/>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