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BB50CF" w:rsidRDefault="00BB50CF">
      <w:pPr>
        <w:pStyle w:val="Title"/>
      </w:pPr>
      <w:bookmarkStart w:id="0" w:name="_w6dm15ifndlr" w:colFirst="0" w:colLast="0"/>
      <w:bookmarkEnd w:id="0"/>
    </w:p>
    <w:p w14:paraId="00000002" w14:textId="77777777" w:rsidR="00BB50CF" w:rsidRDefault="00BB50CF">
      <w:pPr>
        <w:pStyle w:val="Title"/>
      </w:pPr>
      <w:bookmarkStart w:id="1" w:name="_w2a7sf9osv9l" w:colFirst="0" w:colLast="0"/>
      <w:bookmarkEnd w:id="1"/>
    </w:p>
    <w:p w14:paraId="00000003" w14:textId="77777777" w:rsidR="00BB50CF" w:rsidRDefault="00BB50CF">
      <w:pPr>
        <w:pStyle w:val="Title"/>
      </w:pPr>
      <w:bookmarkStart w:id="2" w:name="_jr6fo5p1qc3p" w:colFirst="0" w:colLast="0"/>
      <w:bookmarkEnd w:id="2"/>
    </w:p>
    <w:p w14:paraId="00000004" w14:textId="77777777" w:rsidR="00BB50CF" w:rsidRDefault="00BB50CF">
      <w:pPr>
        <w:pStyle w:val="Title"/>
      </w:pPr>
      <w:bookmarkStart w:id="3" w:name="_12tou6jiuo0v" w:colFirst="0" w:colLast="0"/>
      <w:bookmarkEnd w:id="3"/>
    </w:p>
    <w:p w14:paraId="00000005" w14:textId="6B648F8F" w:rsidR="00BB50CF" w:rsidRDefault="004E25EE">
      <w:pPr>
        <w:pStyle w:val="Title"/>
      </w:pPr>
      <w:bookmarkStart w:id="4" w:name="_685dghun4kpu" w:colFirst="0" w:colLast="0"/>
      <w:bookmarkEnd w:id="4"/>
      <w:r>
        <w:t>Community Engagement</w:t>
      </w:r>
    </w:p>
    <w:p w14:paraId="00000006" w14:textId="77777777" w:rsidR="00BB50CF" w:rsidRDefault="00000000">
      <w:pPr>
        <w:pStyle w:val="Title"/>
      </w:pPr>
      <w:r>
        <w:t>LCBB4002</w:t>
      </w:r>
    </w:p>
    <w:p w14:paraId="00000007" w14:textId="77777777" w:rsidR="00BB50CF" w:rsidRDefault="00000000">
      <w:pPr>
        <w:pStyle w:val="Title"/>
      </w:pPr>
      <w:bookmarkStart w:id="5" w:name="_f0ij8lkdu32w" w:colFirst="0" w:colLast="0"/>
      <w:bookmarkEnd w:id="5"/>
      <w:r>
        <w:t>Component 1:</w:t>
      </w:r>
    </w:p>
    <w:p w14:paraId="00000008" w14:textId="77777777" w:rsidR="00BB50CF" w:rsidRDefault="00000000">
      <w:pPr>
        <w:pStyle w:val="Title"/>
      </w:pPr>
      <w:bookmarkStart w:id="6" w:name="_94tvq8anj7jg" w:colFirst="0" w:colLast="0"/>
      <w:bookmarkEnd w:id="6"/>
      <w:r>
        <w:t>Coursework: Essay</w:t>
      </w:r>
    </w:p>
    <w:p w14:paraId="536A32B6" w14:textId="77777777" w:rsidR="004E25EE" w:rsidRDefault="004E25EE" w:rsidP="004E25EE"/>
    <w:p w14:paraId="22B81603" w14:textId="77777777" w:rsidR="004E25EE" w:rsidRDefault="004E25EE" w:rsidP="004E25EE"/>
    <w:p w14:paraId="793A6A7D" w14:textId="77777777" w:rsidR="004E25EE" w:rsidRDefault="004E25EE" w:rsidP="004E25EE"/>
    <w:p w14:paraId="0F982CDA" w14:textId="77777777" w:rsidR="004E25EE" w:rsidRDefault="004E25EE" w:rsidP="004E25EE"/>
    <w:p w14:paraId="24524A37" w14:textId="77777777" w:rsidR="004E25EE" w:rsidRDefault="004E25EE" w:rsidP="004E25EE"/>
    <w:p w14:paraId="0B5BC30C" w14:textId="77777777" w:rsidR="004E25EE" w:rsidRDefault="004E25EE" w:rsidP="004E25EE"/>
    <w:p w14:paraId="3D11C421" w14:textId="77777777" w:rsidR="004E25EE" w:rsidRDefault="004E25EE" w:rsidP="004E25EE"/>
    <w:p w14:paraId="62D38985" w14:textId="77777777" w:rsidR="004E25EE" w:rsidRDefault="004E25EE" w:rsidP="004E25EE"/>
    <w:p w14:paraId="5222E3F5" w14:textId="64D4691F" w:rsidR="004E25EE" w:rsidRPr="004E25EE" w:rsidRDefault="004E25EE" w:rsidP="004E25EE">
      <w:pPr>
        <w:rPr>
          <w:b/>
          <w:bCs/>
        </w:rPr>
      </w:pPr>
      <w:r>
        <w:t xml:space="preserve">Name: </w:t>
      </w:r>
      <w:r w:rsidRPr="004E25EE">
        <w:rPr>
          <w:b/>
          <w:bCs/>
        </w:rPr>
        <w:t>Mihaela Ruxandra Iancu</w:t>
      </w:r>
    </w:p>
    <w:p w14:paraId="610F1763" w14:textId="18470FEE" w:rsidR="004E25EE" w:rsidRPr="004E25EE" w:rsidRDefault="004E25EE" w:rsidP="004E25EE">
      <w:r>
        <w:t xml:space="preserve">Student ID: </w:t>
      </w:r>
      <w:r w:rsidRPr="004E25EE">
        <w:rPr>
          <w:b/>
          <w:bCs/>
        </w:rPr>
        <w:t>2133740</w:t>
      </w:r>
    </w:p>
    <w:p w14:paraId="00000009" w14:textId="77777777" w:rsidR="00BB50CF" w:rsidRDefault="00BB50CF">
      <w:pPr>
        <w:pStyle w:val="Heading1"/>
      </w:pPr>
      <w:bookmarkStart w:id="7" w:name="_jyjavqf57tma" w:colFirst="0" w:colLast="0"/>
      <w:bookmarkEnd w:id="7"/>
    </w:p>
    <w:p w14:paraId="0000000A" w14:textId="77777777" w:rsidR="00BB50CF" w:rsidRDefault="00000000">
      <w:pPr>
        <w:pStyle w:val="Heading1"/>
      </w:pPr>
      <w:bookmarkStart w:id="8" w:name="_jlcsrk82qmxh" w:colFirst="0" w:colLast="0"/>
      <w:bookmarkEnd w:id="8"/>
      <w:r>
        <w:br w:type="page"/>
      </w:r>
    </w:p>
    <w:p w14:paraId="0000000B" w14:textId="77777777" w:rsidR="00BB50CF" w:rsidRDefault="00000000">
      <w:pPr>
        <w:pStyle w:val="Heading1"/>
      </w:pPr>
      <w:bookmarkStart w:id="9" w:name="_bd10k9bxuiun" w:colFirst="0" w:colLast="0"/>
      <w:bookmarkEnd w:id="9"/>
      <w:r>
        <w:lastRenderedPageBreak/>
        <w:t>Introduction</w:t>
      </w:r>
    </w:p>
    <w:p w14:paraId="0000000C" w14:textId="77777777" w:rsidR="00BB50CF" w:rsidRDefault="00000000">
      <w:r>
        <w:t xml:space="preserve">Community development projects affect regional social fabric, long-standing issues, and inclusive growth. Docklands 2.0 in East London shows how community engagement can </w:t>
      </w:r>
      <w:proofErr w:type="spellStart"/>
      <w:r>
        <w:t>revitalise</w:t>
      </w:r>
      <w:proofErr w:type="spellEnd"/>
      <w:r>
        <w:t xml:space="preserve"> idle land, strengthen </w:t>
      </w:r>
      <w:proofErr w:type="spellStart"/>
      <w:r>
        <w:t>neighbourhoods</w:t>
      </w:r>
      <w:proofErr w:type="spellEnd"/>
      <w:r>
        <w:t xml:space="preserve">, and encourage sustainable development. This article examines Docklands 2.0's aims, community involvement, takeaways, and </w:t>
      </w:r>
      <w:proofErr w:type="gramStart"/>
      <w:r>
        <w:t>future plans</w:t>
      </w:r>
      <w:proofErr w:type="gramEnd"/>
      <w:r>
        <w:t xml:space="preserve">. This paper analyses the project's complete community engagement strategy to learn about effective practices that promote inclusive participation and sustainable development in local communities. Docklands 2.0 was more than urban renewal—it was a unified vision to address East London's complicated concerns. This essay examines the project's community involvement strategies to learn about effective engagement techniques, how they affected inclusivity, and what lessons may be learnt for future community-based </w:t>
      </w:r>
      <w:proofErr w:type="spellStart"/>
      <w:r>
        <w:t>endeavours</w:t>
      </w:r>
      <w:proofErr w:type="spellEnd"/>
      <w:r>
        <w:t>. Reflections on engagement strategies, lessons learned, and post-project involvement underpin the need for active community participation in transformative social development initiatives.</w:t>
      </w:r>
    </w:p>
    <w:p w14:paraId="0000000D" w14:textId="77777777" w:rsidR="00BB50CF" w:rsidRDefault="00BB50CF"/>
    <w:p w14:paraId="0000000E" w14:textId="77777777" w:rsidR="00BB50CF" w:rsidRDefault="00BB50CF"/>
    <w:p w14:paraId="0000000F" w14:textId="77777777" w:rsidR="00BB50CF" w:rsidRDefault="00000000">
      <w:r>
        <w:t xml:space="preserve">The Docklands 2.0 project became a symbol of redevelopment in East London after its extensive attempt to revive a </w:t>
      </w:r>
      <w:proofErr w:type="spellStart"/>
      <w:r>
        <w:t>neighbourhood</w:t>
      </w:r>
      <w:proofErr w:type="spellEnd"/>
      <w:r>
        <w:t xml:space="preserve"> plagued by several problems. The aspirational objective of transforming the undeveloped territory into a flourishing hub meeting residential, commercial, and recreational needs was </w:t>
      </w:r>
      <w:proofErr w:type="spellStart"/>
      <w:r>
        <w:t>realised</w:t>
      </w:r>
      <w:proofErr w:type="spellEnd"/>
      <w:r>
        <w:t xml:space="preserve"> by this revitalization effort, which sought to enhance the community.</w:t>
      </w:r>
    </w:p>
    <w:p w14:paraId="00000010" w14:textId="77777777" w:rsidR="00BB50CF" w:rsidRDefault="00000000">
      <w:r>
        <w:t>The major objective of the project was to deal with long-standing issues that have plagued the Docklands area. The underutilization of space, which results in a lot of potential sitting idle and untapped, is one of the most significant difficulties that communities face (Mellor</w:t>
      </w:r>
      <w:r>
        <w:rPr>
          <w:i/>
        </w:rPr>
        <w:t xml:space="preserve"> et al</w:t>
      </w:r>
      <w:r>
        <w:t>., 2021). A persistent concern for many residents, the lack of adequate housing was another area of emphasis, with the hope of providing practical answers.</w:t>
      </w:r>
    </w:p>
    <w:p w14:paraId="00000011" w14:textId="77777777" w:rsidR="00BB50CF" w:rsidRDefault="00000000">
      <w:r>
        <w:t>Resolving connection concerns was another critical component of the project's objectives. Due to insufficient transportation connections, both inside and beyond the area were difficult to reach. The initiative's stated goal was to bridge these gaps by improving transit networks and making it easier for individuals and businesses to travel and remain in touch.</w:t>
      </w:r>
    </w:p>
    <w:p w14:paraId="00000012" w14:textId="77777777" w:rsidR="00BB50CF" w:rsidRDefault="00000000">
      <w:r>
        <w:t>The area's markedly expanding economic inequalities were also very important. In addition to encouraging development and progress across the community, the initiative sought to create a more equal economic climate. The objective was to raise people's economic standing, provide employment opportunities, and level the playing field so that everyone could live comfortably.</w:t>
      </w:r>
    </w:p>
    <w:p w14:paraId="00000013" w14:textId="77777777" w:rsidR="00BB50CF" w:rsidRDefault="00000000">
      <w:r>
        <w:lastRenderedPageBreak/>
        <w:t xml:space="preserve">The overarching objective of Docklands 2.0 was to advocate for a transformation in spirit as well as in form. It aimed to revive the </w:t>
      </w:r>
      <w:proofErr w:type="spellStart"/>
      <w:r>
        <w:t>neighbourhood</w:t>
      </w:r>
      <w:proofErr w:type="spellEnd"/>
      <w:r>
        <w:t xml:space="preserve"> by reinventing the community as a place where people might live, work, and play peacefully. By addressing issues including underutilization, housing shortages, connectivity constraints, and economic disparities, the goal was to revive Docklands so that it might thrive and have a big impact on the local and regional environment (UA, 2023). A diverse group of stakeholders, each with its own set of duties and interests, had to be actively involved for the Docklands 2.0 project to be a success. Residents' genuine interest in the community's prosperity, housing affordability, and quality of life made them invaluable members of the stakeholder group. Commercial growth, infrastructural development, and investment opportunities were expected by corporations and real estate developers, making them important players. Local authorities built the project's legislative and governance structure to align it with broader goals for urban expansion. Community </w:t>
      </w:r>
      <w:proofErr w:type="spellStart"/>
      <w:r>
        <w:t>organisations</w:t>
      </w:r>
      <w:proofErr w:type="spellEnd"/>
      <w:r>
        <w:t xml:space="preserve"> advocated for social welfare, inclusivity, and initiatives directed by the community, representing a variety of interest groups. </w:t>
      </w:r>
      <w:proofErr w:type="spellStart"/>
      <w:r>
        <w:t>Organisations</w:t>
      </w:r>
      <w:proofErr w:type="spellEnd"/>
      <w:r>
        <w:t xml:space="preserve"> concerned with sustainability and the environment advocated for green spaces, environmentally friendly </w:t>
      </w:r>
      <w:proofErr w:type="spellStart"/>
      <w:r>
        <w:t>practises</w:t>
      </w:r>
      <w:proofErr w:type="spellEnd"/>
      <w:r>
        <w:t xml:space="preserve">, and the reduction of environmental harm (NI Business, 2023). </w:t>
      </w:r>
    </w:p>
    <w:p w14:paraId="00000014" w14:textId="77777777" w:rsidR="00BB50CF" w:rsidRDefault="00000000">
      <w:r>
        <w:t xml:space="preserve">The many stakeholder groups encouraged an in-depth discussion that shaped the project's trajectory by bringing their own perspectives, concerns, and objectives to the table. Involving the community's varied needs and interests in the restoration process and encouraging collaborative decision-making were two of the main goals of the Docklands 2.0 project's comprehensive stakeholder participation. With great optimism for the future of the town, the Docklands 2.0 project set out to implement several constructive changes: The primary objective of the initiative was to enhance people's quality of life by expanding housing options and community amenities. The building of recreational spaces and modern, environmentally friendly homes are two ways to improve the quality of life in the area. The expansion of existing commercial areas was another economic stimulus strategy employed by the project. The declared purpose of the </w:t>
      </w:r>
      <w:proofErr w:type="spellStart"/>
      <w:r>
        <w:t>programme</w:t>
      </w:r>
      <w:proofErr w:type="spellEnd"/>
      <w:r>
        <w:t xml:space="preserve"> was to boost the regional economy by fostering business growth, entrepreneurship, and the addition of new employment opportunities (Galvão </w:t>
      </w:r>
      <w:r>
        <w:rPr>
          <w:i/>
        </w:rPr>
        <w:t>et al</w:t>
      </w:r>
      <w:r>
        <w:t xml:space="preserve">., 2020). Connectivity, which sought to enhance the region's transport infrastructure for greater accessibility and simpler mobility, was an important aspect of the project. It improved connectivity, commuting, and accessibility. Project sustainability aims included green space expansion and environmental benefits. By </w:t>
      </w:r>
      <w:proofErr w:type="spellStart"/>
      <w:r>
        <w:t>prioritising</w:t>
      </w:r>
      <w:proofErr w:type="spellEnd"/>
      <w:r>
        <w:t xml:space="preserve"> sustainability, the strategy aspired to make the world </w:t>
      </w:r>
      <w:proofErr w:type="gramStart"/>
      <w:r>
        <w:t>more peaceful and eco-friendly</w:t>
      </w:r>
      <w:proofErr w:type="gramEnd"/>
      <w:r>
        <w:t>.</w:t>
      </w:r>
    </w:p>
    <w:p w14:paraId="00000015" w14:textId="77777777" w:rsidR="00BB50CF" w:rsidRDefault="00000000">
      <w:r>
        <w:lastRenderedPageBreak/>
        <w:t xml:space="preserve">Docklands 2.0's community participation concept fostered transparency, inclusion, and local engagement with amazing outcomes. Active participation required a detailed needs assessment. Project planners solicited community input via questionnaires, focus groups, town halls, and more. Participation gives </w:t>
      </w:r>
      <w:proofErr w:type="spellStart"/>
      <w:r>
        <w:t>organisers</w:t>
      </w:r>
      <w:proofErr w:type="spellEnd"/>
      <w:r>
        <w:t xml:space="preserve"> intimate knowledge of community needs, interests, and concerns. By actively seeking and implementing community feedback, the project ensured development plans suited people's needs and goals. Community involvement in design consultation was another example of inclusive decision-making (CPD, 2021). These talks helped residents exchange, assess, and develop their ideas. The involvement of the locals in the planning process gave them a sense of pride in the project and ensured that the finished designs reflected the values held by the </w:t>
      </w:r>
      <w:proofErr w:type="spellStart"/>
      <w:r>
        <w:t>neighbourhood</w:t>
      </w:r>
      <w:proofErr w:type="spellEnd"/>
      <w:r>
        <w:t xml:space="preserve">. One hallmark of productive community engagement in Docklands 2.0 was the establishment of reliable routes of communication. Regular and honest communication kept the community </w:t>
      </w:r>
      <w:proofErr w:type="gramStart"/>
      <w:r>
        <w:t>up-to-date</w:t>
      </w:r>
      <w:proofErr w:type="gramEnd"/>
      <w:r>
        <w:t xml:space="preserve"> on the project's status, due dates, and major milestones. </w:t>
      </w:r>
      <w:proofErr w:type="gramStart"/>
      <w:r>
        <w:t>In order to</w:t>
      </w:r>
      <w:proofErr w:type="gramEnd"/>
      <w:r>
        <w:t xml:space="preserve"> facilitate more collaborative decision-making, the project </w:t>
      </w:r>
      <w:proofErr w:type="spellStart"/>
      <w:r>
        <w:t>organisers</w:t>
      </w:r>
      <w:proofErr w:type="spellEnd"/>
      <w:r>
        <w:t xml:space="preserve"> were transparent and honest in their dealings with the community. This helped to debunk </w:t>
      </w:r>
      <w:proofErr w:type="spellStart"/>
      <w:r>
        <w:t>rumours</w:t>
      </w:r>
      <w:proofErr w:type="spellEnd"/>
      <w:r>
        <w:t xml:space="preserve"> and establish trust.</w:t>
      </w:r>
    </w:p>
    <w:p w14:paraId="00000016" w14:textId="77777777" w:rsidR="00BB50CF" w:rsidRDefault="00000000">
      <w:r>
        <w:t xml:space="preserve">Crucially, the engagement strategy sought to promote diversity and inclusion by including members of the whole community. Intentional efforts were made to recruit members of various age groups, ethnicities, socioeconomic backgrounds, and community groups. Incorporating a wide variety of perspectives and experiences into the decision-making process was the goal of this addition. However, the evaluation does reveal areas where community involvement may need improvement. Participatory approaches should be improved from needs assessment to design debates and all the way to execution, notwithstanding the high level of engagement in those areas (Harrington, </w:t>
      </w:r>
      <w:proofErr w:type="spellStart"/>
      <w:r>
        <w:t>Erete</w:t>
      </w:r>
      <w:proofErr w:type="spellEnd"/>
      <w:r>
        <w:t xml:space="preserve">, and Piper, 2019). Promoting ongoing engagement and feedback loops throughout the project's execution is one approach to staying up with the community's evolving needs and integrate them into development plans. While many people in the community were contacted throughout the engagement process, it would be fantastic if we could maintain contact with </w:t>
      </w:r>
      <w:proofErr w:type="spellStart"/>
      <w:r>
        <w:t>marginalised</w:t>
      </w:r>
      <w:proofErr w:type="spellEnd"/>
      <w:r>
        <w:t xml:space="preserve"> or underrepresented groups to guarantee that they are all included in the project. </w:t>
      </w:r>
      <w:proofErr w:type="gramStart"/>
      <w:r>
        <w:t>In order to</w:t>
      </w:r>
      <w:proofErr w:type="gramEnd"/>
      <w:r>
        <w:t xml:space="preserve"> do this, it can be important to use tailored engagement strategies that consider the specific difficulties faced by different groups. This way, we can find ways to help them overcome these problems and include them in the decision-making process. Lastly, the design meetings, information exchange, requirements assessment, and inclusivity of the Docklands 2.0 project's community engagement strategy were outstanding (London Assembly, 2023). By acknowledging these strengths and resolving the identified areas </w:t>
      </w:r>
      <w:r>
        <w:lastRenderedPageBreak/>
        <w:t>for improvement, we can enhance the engagement process and promote more inclusive, community-driven development in the Docklands region.</w:t>
      </w:r>
    </w:p>
    <w:p w14:paraId="00000017" w14:textId="77777777" w:rsidR="00BB50CF" w:rsidRDefault="00000000">
      <w:r>
        <w:t xml:space="preserve">The multi-pronged approach to fostering meaningful and inclusive community engagement in the Docklands 2.0 project included a range of strategies to ensure local engagement and comprehension. An important strategy was the </w:t>
      </w:r>
      <w:proofErr w:type="spellStart"/>
      <w:r>
        <w:t>utilisation</w:t>
      </w:r>
      <w:proofErr w:type="spellEnd"/>
      <w:r>
        <w:t xml:space="preserve"> of many channels of communication. Understanding the importance of involvement, the initiative's </w:t>
      </w:r>
      <w:proofErr w:type="spellStart"/>
      <w:r>
        <w:t>organisers</w:t>
      </w:r>
      <w:proofErr w:type="spellEnd"/>
      <w:r>
        <w:t xml:space="preserve"> employed a wide range of communication channels to spread the word (Silva </w:t>
      </w:r>
      <w:r>
        <w:rPr>
          <w:i/>
        </w:rPr>
        <w:t>et al</w:t>
      </w:r>
      <w:r>
        <w:t xml:space="preserve">., 2020). Part of this was holding traditional meetings and consultations so that </w:t>
      </w:r>
      <w:proofErr w:type="spellStart"/>
      <w:r>
        <w:t>organisers</w:t>
      </w:r>
      <w:proofErr w:type="spellEnd"/>
      <w:r>
        <w:t xml:space="preserve"> and residents could talk to one another face-to-face. Concurrently, we were able to reach a wider audience and accommodate their varying communication styles by using online forums, newsletters, and social media. This multichannel approach ensured that all members of the community could participate and stay informed, regardless of their accessibility or preferred method of communication. Facilitated conversations were also a significant aspect of the partnership approach (Qureshi </w:t>
      </w:r>
      <w:r>
        <w:rPr>
          <w:i/>
        </w:rPr>
        <w:t>et al</w:t>
      </w:r>
      <w:r>
        <w:t>., 2023). Community leaders, influencers, and dedicated facilitators played a crucial role in making sure that all perspectives were heard and represented in the talks. People from various walks of life were able to express their frustrations and provide ideas during these discussions, which helped us understand the community's aspirations and priorities better.</w:t>
      </w:r>
    </w:p>
    <w:p w14:paraId="00000018" w14:textId="77777777" w:rsidR="00BB50CF" w:rsidRDefault="00000000">
      <w:r>
        <w:t xml:space="preserve">The project team also made good use of presentations and visual aids to simplify and clarify certain challenging ideas. The designs were presented with the use of visual aids to simplify the complex details and make them easier for the community members to grasp. By integrating visual aids like maps and diagrams, the project team simplified the technical aspects of the designs. The people were able to comprehend the proposed changes and provide constructive criticism because of this. All things considered, the goals of these approaches were to simplify complex facts for the community, streamline the dissemination of information, and provide different perspectives a platform to be heard throughout the engagement process (Davies </w:t>
      </w:r>
      <w:r>
        <w:rPr>
          <w:i/>
        </w:rPr>
        <w:t>et al</w:t>
      </w:r>
      <w:r>
        <w:t>., 2023). The Docklands 2.0 initiative uses a variety of communication methods, guided talks, and visual aids to make the community participation process more inclusive and engaging. As a result, locals felt more comfortable speaking up, sharing information, and getting a feel for the project.</w:t>
      </w:r>
    </w:p>
    <w:p w14:paraId="00000019" w14:textId="77777777" w:rsidR="00BB50CF" w:rsidRDefault="00000000">
      <w:r>
        <w:t xml:space="preserve">Community participation in the Docklands 2.0 project was supported by a range of effective strategies and initiatives that encouraged active involvement, inclusivity, and continual communication throughout the planning process. Early involvement, inclusion, continuous communication, flexible approaches, and post-project considerations were all crucial to the project's success and provided valuable lessons for future social development initiatives (Khan, </w:t>
      </w:r>
      <w:r>
        <w:lastRenderedPageBreak/>
        <w:t xml:space="preserve">and Emenike, 2023). One important tactic was holding community workshops so residents could share ideas, provide feedback, and shape the final design. Workshops like these provide a safe space for residents to share their thoughts, feelings, and concerns while also encouraging collaborative problem-solving. By disseminating surveys and questionnaires to gather feedback on certain project components at the same time, project managers made sure a wider audience could participate and gave locals the opportunity to express their opinions whenever they liked. </w:t>
      </w:r>
      <w:proofErr w:type="gramStart"/>
      <w:r>
        <w:t>In order to</w:t>
      </w:r>
      <w:proofErr w:type="gramEnd"/>
      <w:r>
        <w:t xml:space="preserve"> go more deeply into key subjects, focus groups were also established. Our participation in these groups allowed us to get a more detailed understanding of the needs and desires of the locals.</w:t>
      </w:r>
    </w:p>
    <w:p w14:paraId="0000001A" w14:textId="77777777" w:rsidR="00BB50CF" w:rsidRDefault="00000000">
      <w:r>
        <w:t>One of the most important things we learned from the Docklands 2.0 project was the value of getting in early. An atmosphere of confidence and collaboration was established by including the locals from the very beginning of the project. Involving people from the beginning ensures that their opinions will be valued and taken into consideration throughout the whole planning process (</w:t>
      </w:r>
      <w:proofErr w:type="spellStart"/>
      <w:r>
        <w:t>Lasserson</w:t>
      </w:r>
      <w:proofErr w:type="spellEnd"/>
      <w:r>
        <w:t xml:space="preserve">, Thomas, and Higgins, 2019). Through bringing together members of the community and historically underrepresented groups for dialogue, the </w:t>
      </w:r>
      <w:proofErr w:type="spellStart"/>
      <w:r>
        <w:t>programme</w:t>
      </w:r>
      <w:proofErr w:type="spellEnd"/>
      <w:r>
        <w:t xml:space="preserve"> also brought attention to the value of inclusion. This approach aimed to foster a comprehensive vision of development by amplifying many viewpoints and increasing the project's relevance to the </w:t>
      </w:r>
      <w:proofErr w:type="gramStart"/>
      <w:r>
        <w:t>community as a whole</w:t>
      </w:r>
      <w:proofErr w:type="gramEnd"/>
      <w:r>
        <w:t xml:space="preserve">. Sticking in touch </w:t>
      </w:r>
      <w:proofErr w:type="gramStart"/>
      <w:r>
        <w:t>at all times</w:t>
      </w:r>
      <w:proofErr w:type="gramEnd"/>
      <w:r>
        <w:t xml:space="preserve"> is crucial for successful community engagement. Consistent communication, including regular updates and open disclosure of information, kept the community interested and involved. It was also evident that they could modify their engagement tactics to suit the needs of a diverse audience (</w:t>
      </w:r>
      <w:proofErr w:type="spellStart"/>
      <w:r>
        <w:t>Garritty</w:t>
      </w:r>
      <w:proofErr w:type="spellEnd"/>
      <w:r>
        <w:t xml:space="preserve"> </w:t>
      </w:r>
      <w:r>
        <w:rPr>
          <w:i/>
        </w:rPr>
        <w:t>et al</w:t>
      </w:r>
      <w:r>
        <w:t xml:space="preserve">., 2020). It was important to modify engagement strategies to cater to different demographics so that everyone could participate. A more substantial and representative participation was facilitated by this. In addition, the project planners considered post-project concerns to ensure that the community would be involved and that plans would be made for the legacy. We proposed methods for monitoring and evaluating the project's outcomes so that we may continue to hear from the community long after it has ended. Furthermore, we investigated potential means of making an enduring impression by establishing community forums or activities that go on beyond the completion of the project. As a result, participation will remain high, which boosts pride in the community and a sense of ownership over its future. Lastly, the Docklands 2.0 project demonstrated excellent community involvement </w:t>
      </w:r>
      <w:proofErr w:type="spellStart"/>
      <w:r>
        <w:t>practises</w:t>
      </w:r>
      <w:proofErr w:type="spellEnd"/>
      <w:r>
        <w:t xml:space="preserve"> by placing an emphasis on diversity and inclusion, encouraging open communication, and being flexible with their methodology (Dan-</w:t>
      </w:r>
      <w:proofErr w:type="spellStart"/>
      <w:r>
        <w:t>Ogosi</w:t>
      </w:r>
      <w:proofErr w:type="spellEnd"/>
      <w:r>
        <w:t xml:space="preserve">, 2023). Because it addressed urgent development needs while also encouraging community pride and a sense of personal engagement, the project was a success </w:t>
      </w:r>
      <w:r>
        <w:lastRenderedPageBreak/>
        <w:t xml:space="preserve">and served as a model for future </w:t>
      </w:r>
      <w:proofErr w:type="spellStart"/>
      <w:r>
        <w:t>endeavours</w:t>
      </w:r>
      <w:proofErr w:type="spellEnd"/>
      <w:r>
        <w:t xml:space="preserve"> in the United Kingdom's social development sector. The importance of being proactive, and inclusive, and maintaining an open line of communication with the community in developing impactful social development activities was highlighted throughout this project.</w:t>
      </w:r>
    </w:p>
    <w:p w14:paraId="0000001B" w14:textId="77777777" w:rsidR="00BB50CF" w:rsidRDefault="00BB50CF"/>
    <w:p w14:paraId="0000001C" w14:textId="77777777" w:rsidR="00BB50CF" w:rsidRDefault="00000000">
      <w:pPr>
        <w:pStyle w:val="Heading1"/>
      </w:pPr>
      <w:bookmarkStart w:id="10" w:name="_f6b6ilysb0mk" w:colFirst="0" w:colLast="0"/>
      <w:bookmarkEnd w:id="10"/>
      <w:r>
        <w:t>Conclusion</w:t>
      </w:r>
    </w:p>
    <w:p w14:paraId="0000001D" w14:textId="77777777" w:rsidR="00BB50CF" w:rsidRDefault="00000000">
      <w:r>
        <w:t xml:space="preserve">Community engagement in Docklands 2.0 shows how inclusive planning may improve things. The project's holistic strategy stressed early engagement, inclusivity, continual communication, adaptive methods, and post-project considerations for meaningful community participation. This article examined the project's engagement strategies and stressed the need to involve diverse stakeholders, ensure their representation, and communicate throughout the project. Docklands 2.0 shows the importance of communities in shaping their own development. Inclusivity was a major </w:t>
      </w:r>
      <w:proofErr w:type="gramStart"/>
      <w:r>
        <w:t>priority,</w:t>
      </w:r>
      <w:proofErr w:type="gramEnd"/>
      <w:r>
        <w:t xml:space="preserve"> therefore underrepresented groups' ideas were included throughout project planning. To stress the necessity for flexibility to suit the needs of a diverse society, open communication and flexible interaction strategies were </w:t>
      </w:r>
      <w:proofErr w:type="spellStart"/>
      <w:r>
        <w:t>emphasised</w:t>
      </w:r>
      <w:proofErr w:type="spellEnd"/>
      <w:r>
        <w:t>.</w:t>
      </w:r>
    </w:p>
    <w:p w14:paraId="0000001E" w14:textId="77777777" w:rsidR="00BB50CF" w:rsidRDefault="00000000">
      <w:r>
        <w:t xml:space="preserve">The planners </w:t>
      </w:r>
      <w:proofErr w:type="spellStart"/>
      <w:r>
        <w:t>prioritised</w:t>
      </w:r>
      <w:proofErr w:type="spellEnd"/>
      <w:r>
        <w:t xml:space="preserve"> legacy planning and post-project engagement to keep the community involved and make a mark. To support community-driven sustainable development, continuing participation and legacy planning were established. Docklands 2.0 demonstrated how community engagement can reshape areas. Future social development initiatives may learn from this project's appeal for community-driven solutions to current social challenges and more proactive, inclusive community participation.</w:t>
      </w:r>
    </w:p>
    <w:p w14:paraId="0000001F" w14:textId="77777777" w:rsidR="00BB50CF" w:rsidRDefault="00BB50CF"/>
    <w:p w14:paraId="00000020" w14:textId="77777777" w:rsidR="00BB50CF" w:rsidRDefault="00000000">
      <w:pPr>
        <w:rPr>
          <w:b/>
        </w:rPr>
      </w:pPr>
      <w:r>
        <w:br w:type="page"/>
      </w:r>
    </w:p>
    <w:p w14:paraId="00000021" w14:textId="77777777" w:rsidR="00BB50CF" w:rsidRDefault="00000000">
      <w:pPr>
        <w:pStyle w:val="Heading1"/>
      </w:pPr>
      <w:bookmarkStart w:id="11" w:name="_fda1ty880es" w:colFirst="0" w:colLast="0"/>
      <w:bookmarkEnd w:id="11"/>
      <w:r>
        <w:lastRenderedPageBreak/>
        <w:t>Reference</w:t>
      </w:r>
    </w:p>
    <w:p w14:paraId="00000022" w14:textId="77777777" w:rsidR="00BB50CF" w:rsidRDefault="00000000">
      <w:pPr>
        <w:spacing w:before="240" w:line="276" w:lineRule="auto"/>
        <w:rPr>
          <w:color w:val="222222"/>
          <w:highlight w:val="white"/>
        </w:rPr>
      </w:pPr>
      <w:r>
        <w:rPr>
          <w:color w:val="222222"/>
          <w:highlight w:val="white"/>
        </w:rPr>
        <w:t>CPD, 2021, “</w:t>
      </w:r>
      <w:r>
        <w:rPr>
          <w:i/>
          <w:color w:val="222222"/>
          <w:highlight w:val="white"/>
        </w:rPr>
        <w:t>What is Inclusive Practice?</w:t>
      </w:r>
      <w:r>
        <w:rPr>
          <w:color w:val="222222"/>
          <w:highlight w:val="white"/>
        </w:rPr>
        <w:t>”, Available at:</w:t>
      </w:r>
      <w:hyperlink r:id="rId4">
        <w:r>
          <w:rPr>
            <w:color w:val="222222"/>
            <w:highlight w:val="white"/>
          </w:rPr>
          <w:t xml:space="preserve"> </w:t>
        </w:r>
      </w:hyperlink>
      <w:hyperlink r:id="rId5">
        <w:r>
          <w:rPr>
            <w:color w:val="1155CC"/>
            <w:highlight w:val="white"/>
            <w:u w:val="single"/>
          </w:rPr>
          <w:t>https://cpdonline.co.uk/knowledge-base/safeguarding/inclusive-practice/</w:t>
        </w:r>
      </w:hyperlink>
      <w:r>
        <w:rPr>
          <w:color w:val="222222"/>
          <w:highlight w:val="white"/>
        </w:rPr>
        <w:t xml:space="preserve"> [Accessed on 19th November 2023]</w:t>
      </w:r>
    </w:p>
    <w:p w14:paraId="00000023" w14:textId="77777777" w:rsidR="00BB50CF" w:rsidRDefault="00000000">
      <w:pPr>
        <w:spacing w:before="240" w:after="240"/>
        <w:rPr>
          <w:color w:val="222222"/>
          <w:highlight w:val="white"/>
        </w:rPr>
      </w:pPr>
      <w:r>
        <w:rPr>
          <w:color w:val="222222"/>
          <w:highlight w:val="white"/>
        </w:rPr>
        <w:t>Dan-</w:t>
      </w:r>
      <w:proofErr w:type="spellStart"/>
      <w:r>
        <w:rPr>
          <w:color w:val="222222"/>
          <w:highlight w:val="white"/>
        </w:rPr>
        <w:t>Ogosi</w:t>
      </w:r>
      <w:proofErr w:type="spellEnd"/>
      <w:r>
        <w:rPr>
          <w:color w:val="222222"/>
          <w:highlight w:val="white"/>
        </w:rPr>
        <w:t xml:space="preserve">, I., 2023. </w:t>
      </w:r>
      <w:r>
        <w:rPr>
          <w:i/>
          <w:color w:val="222222"/>
          <w:highlight w:val="white"/>
        </w:rPr>
        <w:t>The impact of participatory budgeting on health and well-being: a qualitative case study of a deprived community in London</w:t>
      </w:r>
      <w:r>
        <w:rPr>
          <w:color w:val="222222"/>
          <w:highlight w:val="white"/>
        </w:rPr>
        <w:t xml:space="preserve"> (Doctoral dissertation, University of East London).</w:t>
      </w:r>
    </w:p>
    <w:p w14:paraId="00000024" w14:textId="77777777" w:rsidR="00BB50CF" w:rsidRDefault="00000000">
      <w:pPr>
        <w:spacing w:before="240" w:line="276" w:lineRule="auto"/>
        <w:rPr>
          <w:color w:val="222222"/>
          <w:highlight w:val="white"/>
        </w:rPr>
      </w:pPr>
      <w:r>
        <w:rPr>
          <w:color w:val="222222"/>
          <w:highlight w:val="white"/>
        </w:rPr>
        <w:t xml:space="preserve">Davies, A., </w:t>
      </w:r>
      <w:proofErr w:type="spellStart"/>
      <w:r>
        <w:rPr>
          <w:color w:val="222222"/>
          <w:highlight w:val="white"/>
        </w:rPr>
        <w:t>Ormel</w:t>
      </w:r>
      <w:proofErr w:type="spellEnd"/>
      <w:r>
        <w:rPr>
          <w:color w:val="222222"/>
          <w:highlight w:val="white"/>
        </w:rPr>
        <w:t xml:space="preserve">, I., Bernier, A., Harriss, E., Mumba, N., Gobat, N., Schwartz, L. and Cheah, P.Y., 2023. A rapid review of community engagement and informed consent processes for adaptive platform trials and alternative design trials for public health emergencies. </w:t>
      </w:r>
      <w:proofErr w:type="spellStart"/>
      <w:r>
        <w:rPr>
          <w:i/>
          <w:color w:val="222222"/>
          <w:highlight w:val="white"/>
        </w:rPr>
        <w:t>Wellcome</w:t>
      </w:r>
      <w:proofErr w:type="spellEnd"/>
      <w:r>
        <w:rPr>
          <w:i/>
          <w:color w:val="222222"/>
          <w:highlight w:val="white"/>
        </w:rPr>
        <w:t xml:space="preserve"> Open Research</w:t>
      </w:r>
      <w:r>
        <w:rPr>
          <w:color w:val="222222"/>
          <w:highlight w:val="white"/>
        </w:rPr>
        <w:t xml:space="preserve">, </w:t>
      </w:r>
      <w:r>
        <w:rPr>
          <w:i/>
          <w:color w:val="222222"/>
          <w:highlight w:val="white"/>
        </w:rPr>
        <w:t>8</w:t>
      </w:r>
      <w:r>
        <w:rPr>
          <w:color w:val="222222"/>
          <w:highlight w:val="white"/>
        </w:rPr>
        <w:t>(194), p.194.</w:t>
      </w:r>
    </w:p>
    <w:p w14:paraId="00000025" w14:textId="77777777" w:rsidR="00BB50CF" w:rsidRDefault="00000000">
      <w:pPr>
        <w:spacing w:before="240" w:line="276" w:lineRule="auto"/>
        <w:rPr>
          <w:color w:val="222222"/>
          <w:highlight w:val="white"/>
        </w:rPr>
      </w:pPr>
      <w:r>
        <w:rPr>
          <w:color w:val="222222"/>
          <w:highlight w:val="white"/>
        </w:rPr>
        <w:t xml:space="preserve">Galvão, A.R., Marques, C.S., Ferreira, J.J. and Braga, V., 2020. Stakeholders’ role in entrepreneurship education and training </w:t>
      </w:r>
      <w:proofErr w:type="spellStart"/>
      <w:r>
        <w:rPr>
          <w:color w:val="222222"/>
          <w:highlight w:val="white"/>
        </w:rPr>
        <w:t>programmes</w:t>
      </w:r>
      <w:proofErr w:type="spellEnd"/>
      <w:r>
        <w:rPr>
          <w:color w:val="222222"/>
          <w:highlight w:val="white"/>
        </w:rPr>
        <w:t xml:space="preserve"> with impacts on regional development. </w:t>
      </w:r>
      <w:r>
        <w:rPr>
          <w:i/>
          <w:color w:val="222222"/>
          <w:highlight w:val="white"/>
        </w:rPr>
        <w:t>Journal of Rural Studies</w:t>
      </w:r>
      <w:r>
        <w:rPr>
          <w:color w:val="222222"/>
          <w:highlight w:val="white"/>
        </w:rPr>
        <w:t xml:space="preserve">, </w:t>
      </w:r>
      <w:r>
        <w:rPr>
          <w:i/>
          <w:color w:val="222222"/>
          <w:highlight w:val="white"/>
        </w:rPr>
        <w:t>74</w:t>
      </w:r>
      <w:r>
        <w:rPr>
          <w:color w:val="222222"/>
          <w:highlight w:val="white"/>
        </w:rPr>
        <w:t>, pp.169-179.</w:t>
      </w:r>
    </w:p>
    <w:p w14:paraId="00000026" w14:textId="77777777" w:rsidR="00BB50CF" w:rsidRDefault="00000000">
      <w:pPr>
        <w:spacing w:before="240" w:line="276" w:lineRule="auto"/>
        <w:rPr>
          <w:color w:val="222222"/>
          <w:highlight w:val="white"/>
        </w:rPr>
      </w:pPr>
      <w:proofErr w:type="spellStart"/>
      <w:r>
        <w:rPr>
          <w:color w:val="222222"/>
          <w:highlight w:val="white"/>
        </w:rPr>
        <w:t>Garritty</w:t>
      </w:r>
      <w:proofErr w:type="spellEnd"/>
      <w:r>
        <w:rPr>
          <w:color w:val="222222"/>
          <w:highlight w:val="white"/>
        </w:rPr>
        <w:t xml:space="preserve">, C., Hamel, C., Hersi, M., Butler, C., </w:t>
      </w:r>
      <w:proofErr w:type="spellStart"/>
      <w:r>
        <w:rPr>
          <w:color w:val="222222"/>
          <w:highlight w:val="white"/>
        </w:rPr>
        <w:t>Monfaredi</w:t>
      </w:r>
      <w:proofErr w:type="spellEnd"/>
      <w:r>
        <w:rPr>
          <w:color w:val="222222"/>
          <w:highlight w:val="white"/>
        </w:rPr>
        <w:t xml:space="preserve">, Z., Stevens, A., Nussbaumer-Streit, B., Cheng, W. and Moher, D., 2020. Assessing how information is packaged in rapid reviews for </w:t>
      </w:r>
      <w:proofErr w:type="gramStart"/>
      <w:r>
        <w:rPr>
          <w:color w:val="222222"/>
          <w:highlight w:val="white"/>
        </w:rPr>
        <w:t>policy-makers</w:t>
      </w:r>
      <w:proofErr w:type="gramEnd"/>
      <w:r>
        <w:rPr>
          <w:color w:val="222222"/>
          <w:highlight w:val="white"/>
        </w:rPr>
        <w:t xml:space="preserve"> and other stakeholders: a cross-sectional study. </w:t>
      </w:r>
      <w:r>
        <w:rPr>
          <w:i/>
          <w:color w:val="222222"/>
          <w:highlight w:val="white"/>
        </w:rPr>
        <w:t>Health Research Policy and Systems</w:t>
      </w:r>
      <w:r>
        <w:rPr>
          <w:color w:val="222222"/>
          <w:highlight w:val="white"/>
        </w:rPr>
        <w:t xml:space="preserve">, </w:t>
      </w:r>
      <w:r>
        <w:rPr>
          <w:i/>
          <w:color w:val="222222"/>
          <w:highlight w:val="white"/>
        </w:rPr>
        <w:t>18</w:t>
      </w:r>
      <w:r>
        <w:rPr>
          <w:color w:val="222222"/>
          <w:highlight w:val="white"/>
        </w:rPr>
        <w:t>, pp.1-17.</w:t>
      </w:r>
    </w:p>
    <w:p w14:paraId="00000027" w14:textId="77777777" w:rsidR="00BB50CF" w:rsidRDefault="00000000">
      <w:pPr>
        <w:spacing w:before="240" w:line="276" w:lineRule="auto"/>
        <w:rPr>
          <w:color w:val="222222"/>
          <w:highlight w:val="white"/>
        </w:rPr>
      </w:pPr>
      <w:r>
        <w:rPr>
          <w:color w:val="222222"/>
          <w:highlight w:val="white"/>
        </w:rPr>
        <w:t xml:space="preserve">Harrington, C., </w:t>
      </w:r>
      <w:proofErr w:type="spellStart"/>
      <w:r>
        <w:rPr>
          <w:color w:val="222222"/>
          <w:highlight w:val="white"/>
        </w:rPr>
        <w:t>Erete</w:t>
      </w:r>
      <w:proofErr w:type="spellEnd"/>
      <w:r>
        <w:rPr>
          <w:color w:val="222222"/>
          <w:highlight w:val="white"/>
        </w:rPr>
        <w:t xml:space="preserve">, S. and Piper, A.M., 2019. Deconstructing community-based collaborative design: Towards more equitable participatory design engagements. </w:t>
      </w:r>
      <w:r>
        <w:rPr>
          <w:i/>
          <w:color w:val="222222"/>
          <w:highlight w:val="white"/>
        </w:rPr>
        <w:t>Proceedings of the ACM on Human-Computer Interaction</w:t>
      </w:r>
      <w:r>
        <w:rPr>
          <w:color w:val="222222"/>
          <w:highlight w:val="white"/>
        </w:rPr>
        <w:t xml:space="preserve">, </w:t>
      </w:r>
      <w:r>
        <w:rPr>
          <w:i/>
          <w:color w:val="222222"/>
          <w:highlight w:val="white"/>
        </w:rPr>
        <w:t>3</w:t>
      </w:r>
      <w:r>
        <w:rPr>
          <w:color w:val="222222"/>
          <w:highlight w:val="white"/>
        </w:rPr>
        <w:t>(CSCW), pp.1-25.</w:t>
      </w:r>
    </w:p>
    <w:p w14:paraId="00000028" w14:textId="77777777" w:rsidR="00BB50CF" w:rsidRDefault="00000000">
      <w:pPr>
        <w:spacing w:before="240" w:line="276" w:lineRule="auto"/>
        <w:rPr>
          <w:color w:val="222222"/>
          <w:highlight w:val="white"/>
        </w:rPr>
      </w:pPr>
      <w:r>
        <w:rPr>
          <w:color w:val="222222"/>
          <w:highlight w:val="white"/>
        </w:rPr>
        <w:t>Khan, S. and Emenike, S.U., 2023. IT Project Management in a Remote Work Environment-Benefits and Challenges.</w:t>
      </w:r>
    </w:p>
    <w:p w14:paraId="00000029" w14:textId="77777777" w:rsidR="00BB50CF" w:rsidRDefault="00000000">
      <w:pPr>
        <w:spacing w:before="240" w:line="276" w:lineRule="auto"/>
        <w:rPr>
          <w:color w:val="222222"/>
          <w:highlight w:val="white"/>
        </w:rPr>
      </w:pPr>
      <w:proofErr w:type="spellStart"/>
      <w:r>
        <w:rPr>
          <w:color w:val="222222"/>
          <w:highlight w:val="white"/>
        </w:rPr>
        <w:t>Lasserson</w:t>
      </w:r>
      <w:proofErr w:type="spellEnd"/>
      <w:r>
        <w:rPr>
          <w:color w:val="222222"/>
          <w:highlight w:val="white"/>
        </w:rPr>
        <w:t xml:space="preserve">, T.J., Thomas, J. and Higgins, J.P., 2019. Starting a review. </w:t>
      </w:r>
      <w:r>
        <w:rPr>
          <w:i/>
          <w:color w:val="222222"/>
          <w:highlight w:val="white"/>
        </w:rPr>
        <w:t>Cochrane handbook for systematic reviews of interventions</w:t>
      </w:r>
      <w:r>
        <w:rPr>
          <w:color w:val="222222"/>
          <w:highlight w:val="white"/>
        </w:rPr>
        <w:t>, pp.1-12.</w:t>
      </w:r>
    </w:p>
    <w:p w14:paraId="0000002A" w14:textId="77777777" w:rsidR="00BB50CF" w:rsidRDefault="00000000">
      <w:pPr>
        <w:spacing w:before="240" w:line="276" w:lineRule="auto"/>
        <w:rPr>
          <w:color w:val="222222"/>
          <w:highlight w:val="white"/>
        </w:rPr>
      </w:pPr>
      <w:r>
        <w:rPr>
          <w:color w:val="222222"/>
          <w:highlight w:val="white"/>
        </w:rPr>
        <w:t>London Assembly, 2023, “LONDON ASSEMBLY: Docklands 2.0”</w:t>
      </w:r>
      <w:hyperlink r:id="rId6">
        <w:r>
          <w:rPr>
            <w:color w:val="222222"/>
            <w:highlight w:val="white"/>
          </w:rPr>
          <w:t xml:space="preserve"> </w:t>
        </w:r>
      </w:hyperlink>
      <w:hyperlink r:id="rId7">
        <w:r>
          <w:rPr>
            <w:color w:val="1155CC"/>
            <w:highlight w:val="white"/>
            <w:u w:val="single"/>
          </w:rPr>
          <w:t>https://www.london.gov.uk/who-we-are/what-london-assembly-does/questions-mayor/find-an-answer/docklands-20</w:t>
        </w:r>
      </w:hyperlink>
      <w:r>
        <w:rPr>
          <w:color w:val="222222"/>
          <w:highlight w:val="white"/>
        </w:rPr>
        <w:t xml:space="preserve"> [Accessed on 19th November 2023]</w:t>
      </w:r>
    </w:p>
    <w:p w14:paraId="0000002B" w14:textId="77777777" w:rsidR="00BB50CF" w:rsidRDefault="00000000">
      <w:pPr>
        <w:spacing w:before="240" w:line="276" w:lineRule="auto"/>
        <w:rPr>
          <w:color w:val="222222"/>
          <w:highlight w:val="white"/>
        </w:rPr>
      </w:pPr>
      <w:r>
        <w:rPr>
          <w:color w:val="222222"/>
          <w:highlight w:val="white"/>
        </w:rPr>
        <w:t xml:space="preserve">Mellor, P., Lord, R.A., João, E., Thomas, R. and </w:t>
      </w:r>
      <w:proofErr w:type="spellStart"/>
      <w:r>
        <w:rPr>
          <w:color w:val="222222"/>
          <w:highlight w:val="white"/>
        </w:rPr>
        <w:t>Hursthouse</w:t>
      </w:r>
      <w:proofErr w:type="spellEnd"/>
      <w:r>
        <w:rPr>
          <w:color w:val="222222"/>
          <w:highlight w:val="white"/>
        </w:rPr>
        <w:t xml:space="preserve">, A., 2021. Identifying non-agricultural marginal lands as a route to sustainable bioenergy provision-a review and holistic definition. </w:t>
      </w:r>
      <w:r>
        <w:rPr>
          <w:i/>
          <w:color w:val="222222"/>
          <w:highlight w:val="white"/>
        </w:rPr>
        <w:t>Renewable and Sustainable Energy Reviews</w:t>
      </w:r>
      <w:r>
        <w:rPr>
          <w:color w:val="222222"/>
          <w:highlight w:val="white"/>
        </w:rPr>
        <w:t xml:space="preserve">, </w:t>
      </w:r>
      <w:r>
        <w:rPr>
          <w:i/>
          <w:color w:val="222222"/>
          <w:highlight w:val="white"/>
        </w:rPr>
        <w:t>135</w:t>
      </w:r>
      <w:r>
        <w:rPr>
          <w:color w:val="222222"/>
          <w:highlight w:val="white"/>
        </w:rPr>
        <w:t>, p.110220.</w:t>
      </w:r>
    </w:p>
    <w:p w14:paraId="0000002C" w14:textId="77777777" w:rsidR="00BB50CF" w:rsidRDefault="00000000">
      <w:pPr>
        <w:spacing w:before="240" w:line="276" w:lineRule="auto"/>
        <w:rPr>
          <w:color w:val="222222"/>
          <w:highlight w:val="white"/>
        </w:rPr>
      </w:pPr>
      <w:r>
        <w:rPr>
          <w:color w:val="222222"/>
          <w:highlight w:val="white"/>
        </w:rPr>
        <w:t>NI Business, 2023, “</w:t>
      </w:r>
      <w:r>
        <w:rPr>
          <w:i/>
          <w:color w:val="222222"/>
          <w:highlight w:val="white"/>
        </w:rPr>
        <w:t>Corporate social responsibility (CSR)</w:t>
      </w:r>
      <w:r>
        <w:rPr>
          <w:color w:val="222222"/>
          <w:highlight w:val="white"/>
        </w:rPr>
        <w:t>”, Available at:</w:t>
      </w:r>
      <w:hyperlink r:id="rId8">
        <w:r>
          <w:rPr>
            <w:color w:val="222222"/>
            <w:highlight w:val="white"/>
          </w:rPr>
          <w:t xml:space="preserve"> </w:t>
        </w:r>
      </w:hyperlink>
      <w:hyperlink r:id="rId9">
        <w:r>
          <w:rPr>
            <w:color w:val="1155CC"/>
            <w:highlight w:val="white"/>
            <w:u w:val="single"/>
          </w:rPr>
          <w:t>https://www.nibusinessinfo.co.uk/content/corporate-social-responsibility-environmental-impact</w:t>
        </w:r>
      </w:hyperlink>
      <w:r>
        <w:rPr>
          <w:color w:val="222222"/>
          <w:highlight w:val="white"/>
        </w:rPr>
        <w:t xml:space="preserve">  [Accessed on 19th November 2023]</w:t>
      </w:r>
    </w:p>
    <w:p w14:paraId="0000002D" w14:textId="77777777" w:rsidR="00BB50CF" w:rsidRDefault="00000000">
      <w:pPr>
        <w:spacing w:before="240" w:line="276" w:lineRule="auto"/>
        <w:rPr>
          <w:color w:val="222222"/>
          <w:highlight w:val="white"/>
        </w:rPr>
      </w:pPr>
      <w:r>
        <w:rPr>
          <w:color w:val="222222"/>
          <w:highlight w:val="white"/>
        </w:rPr>
        <w:lastRenderedPageBreak/>
        <w:t xml:space="preserve">Qureshi, M.A., Khaskheli, A., Qureshi, J.A., Raza, S.A. and </w:t>
      </w:r>
      <w:proofErr w:type="spellStart"/>
      <w:r>
        <w:rPr>
          <w:color w:val="222222"/>
          <w:highlight w:val="white"/>
        </w:rPr>
        <w:t>Yousufi</w:t>
      </w:r>
      <w:proofErr w:type="spellEnd"/>
      <w:r>
        <w:rPr>
          <w:color w:val="222222"/>
          <w:highlight w:val="white"/>
        </w:rPr>
        <w:t xml:space="preserve">, S.Q., 2023. Factors affecting students’ learning performance through collaborative learning and engagement. </w:t>
      </w:r>
      <w:r>
        <w:rPr>
          <w:i/>
          <w:color w:val="222222"/>
          <w:highlight w:val="white"/>
        </w:rPr>
        <w:t>Interactive Learning Environments</w:t>
      </w:r>
      <w:r>
        <w:rPr>
          <w:color w:val="222222"/>
          <w:highlight w:val="white"/>
        </w:rPr>
        <w:t xml:space="preserve">, </w:t>
      </w:r>
      <w:r>
        <w:rPr>
          <w:i/>
          <w:color w:val="222222"/>
          <w:highlight w:val="white"/>
        </w:rPr>
        <w:t>31</w:t>
      </w:r>
      <w:r>
        <w:rPr>
          <w:color w:val="222222"/>
          <w:highlight w:val="white"/>
        </w:rPr>
        <w:t>(4), pp.2371-2391.</w:t>
      </w:r>
    </w:p>
    <w:p w14:paraId="0000002E" w14:textId="77777777" w:rsidR="00BB50CF" w:rsidRDefault="00000000">
      <w:pPr>
        <w:spacing w:before="240" w:line="276" w:lineRule="auto"/>
        <w:rPr>
          <w:color w:val="222222"/>
          <w:highlight w:val="white"/>
        </w:rPr>
      </w:pPr>
      <w:r>
        <w:rPr>
          <w:color w:val="222222"/>
          <w:highlight w:val="white"/>
        </w:rPr>
        <w:t xml:space="preserve">Silva, P.A., Antunes, M.J., Tymoshchuk, O., Pedro, L., Almeida, M. and Ramos, F., 2020. Understanding the role of communication and mediation strategies in community-led territorial innovation: a systematic review. </w:t>
      </w:r>
      <w:r>
        <w:rPr>
          <w:i/>
          <w:color w:val="222222"/>
          <w:highlight w:val="white"/>
        </w:rPr>
        <w:t>Interaction Design and Architecture (s) Journal (</w:t>
      </w:r>
      <w:proofErr w:type="spellStart"/>
      <w:r>
        <w:rPr>
          <w:i/>
          <w:color w:val="222222"/>
          <w:highlight w:val="white"/>
        </w:rPr>
        <w:t>IxD&amp;A</w:t>
      </w:r>
      <w:proofErr w:type="spellEnd"/>
      <w:r>
        <w:rPr>
          <w:i/>
          <w:color w:val="222222"/>
          <w:highlight w:val="white"/>
        </w:rPr>
        <w:t>)</w:t>
      </w:r>
      <w:r>
        <w:rPr>
          <w:color w:val="222222"/>
          <w:highlight w:val="white"/>
        </w:rPr>
        <w:t xml:space="preserve">, </w:t>
      </w:r>
      <w:r>
        <w:rPr>
          <w:i/>
          <w:color w:val="222222"/>
          <w:highlight w:val="white"/>
        </w:rPr>
        <w:t>44</w:t>
      </w:r>
      <w:r>
        <w:rPr>
          <w:color w:val="222222"/>
          <w:highlight w:val="white"/>
        </w:rPr>
        <w:t>, pp.7-28.</w:t>
      </w:r>
    </w:p>
    <w:p w14:paraId="0000002F" w14:textId="77777777" w:rsidR="00BB50CF" w:rsidRDefault="00000000">
      <w:pPr>
        <w:spacing w:before="240" w:line="276" w:lineRule="auto"/>
        <w:rPr>
          <w:color w:val="222222"/>
          <w:highlight w:val="white"/>
        </w:rPr>
      </w:pPr>
      <w:r>
        <w:rPr>
          <w:color w:val="222222"/>
          <w:highlight w:val="white"/>
        </w:rPr>
        <w:t>UA, 2023, “</w:t>
      </w:r>
      <w:r>
        <w:rPr>
          <w:i/>
          <w:color w:val="222222"/>
          <w:highlight w:val="white"/>
        </w:rPr>
        <w:t xml:space="preserve">Why Green Belt land development </w:t>
      </w:r>
      <w:proofErr w:type="spellStart"/>
      <w:r>
        <w:rPr>
          <w:i/>
          <w:color w:val="222222"/>
          <w:highlight w:val="white"/>
        </w:rPr>
        <w:t>iskey</w:t>
      </w:r>
      <w:proofErr w:type="spellEnd"/>
      <w:r>
        <w:rPr>
          <w:i/>
          <w:color w:val="222222"/>
          <w:highlight w:val="white"/>
        </w:rPr>
        <w:t xml:space="preserve"> to meeting the UK's </w:t>
      </w:r>
      <w:proofErr w:type="spellStart"/>
      <w:r>
        <w:rPr>
          <w:i/>
          <w:color w:val="222222"/>
          <w:highlight w:val="white"/>
        </w:rPr>
        <w:t>growinghousing</w:t>
      </w:r>
      <w:proofErr w:type="spellEnd"/>
      <w:r>
        <w:rPr>
          <w:i/>
          <w:color w:val="222222"/>
          <w:highlight w:val="white"/>
        </w:rPr>
        <w:t xml:space="preserve"> demand</w:t>
      </w:r>
      <w:r>
        <w:rPr>
          <w:color w:val="222222"/>
          <w:highlight w:val="white"/>
        </w:rPr>
        <w:t>”, Available at:</w:t>
      </w:r>
      <w:hyperlink r:id="rId10">
        <w:r>
          <w:rPr>
            <w:color w:val="222222"/>
            <w:highlight w:val="white"/>
          </w:rPr>
          <w:t xml:space="preserve"> </w:t>
        </w:r>
      </w:hyperlink>
      <w:hyperlink r:id="rId11">
        <w:r>
          <w:rPr>
            <w:color w:val="1155CC"/>
            <w:highlight w:val="white"/>
            <w:u w:val="single"/>
          </w:rPr>
          <w:t>https://urbanistarchitecture.co.uk/green-belt-land-housing-shortage/</w:t>
        </w:r>
      </w:hyperlink>
      <w:r>
        <w:rPr>
          <w:color w:val="222222"/>
          <w:highlight w:val="white"/>
        </w:rPr>
        <w:t xml:space="preserve"> [Accessed on 19th November 2023]</w:t>
      </w:r>
    </w:p>
    <w:p w14:paraId="00000030" w14:textId="77777777" w:rsidR="00BB50CF" w:rsidRDefault="00BB50CF"/>
    <w:p w14:paraId="00000031" w14:textId="77777777" w:rsidR="00BB50CF" w:rsidRDefault="00BB50CF">
      <w:pPr>
        <w:rPr>
          <w:rFonts w:ascii="Arial" w:eastAsia="Arial" w:hAnsi="Arial" w:cs="Arial"/>
          <w:color w:val="222222"/>
          <w:sz w:val="20"/>
          <w:szCs w:val="20"/>
          <w:highlight w:val="white"/>
        </w:rPr>
      </w:pPr>
    </w:p>
    <w:p w14:paraId="00000032" w14:textId="77777777" w:rsidR="00BB50CF" w:rsidRDefault="00BB50CF">
      <w:pPr>
        <w:rPr>
          <w:rFonts w:ascii="Arial" w:eastAsia="Arial" w:hAnsi="Arial" w:cs="Arial"/>
          <w:color w:val="222222"/>
          <w:sz w:val="20"/>
          <w:szCs w:val="20"/>
          <w:highlight w:val="white"/>
        </w:rPr>
      </w:pPr>
    </w:p>
    <w:sectPr w:rsidR="00BB50CF" w:rsidSect="00EA35F1">
      <w:pgSz w:w="11906" w:h="16838"/>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0CF"/>
    <w:rsid w:val="004E25EE"/>
    <w:rsid w:val="00BB50CF"/>
    <w:rsid w:val="00EA35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6D166"/>
  <w15:docId w15:val="{65C1BA56-5A66-427C-87E4-9CBB17AAA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nibusinessinfo.co.uk/content/corporate-social-responsibility-environmental-impac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ondon.gov.uk/who-we-are/what-london-assembly-does/questions-mayor/find-an-answer/docklands-2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ondon.gov.uk/who-we-are/what-london-assembly-does/questions-mayor/find-an-answer/docklands-20" TargetMode="External"/><Relationship Id="rId11" Type="http://schemas.openxmlformats.org/officeDocument/2006/relationships/hyperlink" Target="https://urbanistarchitecture.co.uk/green-belt-land-housing-shortage/" TargetMode="External"/><Relationship Id="rId5" Type="http://schemas.openxmlformats.org/officeDocument/2006/relationships/hyperlink" Target="https://cpdonline.co.uk/knowledge-base/safeguarding/inclusive-practice/" TargetMode="External"/><Relationship Id="rId10" Type="http://schemas.openxmlformats.org/officeDocument/2006/relationships/hyperlink" Target="https://urbanistarchitecture.co.uk/green-belt-land-housing-shortage/" TargetMode="External"/><Relationship Id="rId4" Type="http://schemas.openxmlformats.org/officeDocument/2006/relationships/hyperlink" Target="https://cpdonline.co.uk/knowledge-base/safeguarding/inclusive-practice/" TargetMode="External"/><Relationship Id="rId9" Type="http://schemas.openxmlformats.org/officeDocument/2006/relationships/hyperlink" Target="https://www.nibusinessinfo.co.uk/content/corporate-social-responsibility-environmental-imp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3016</Words>
  <Characters>17194</Characters>
  <Application>Microsoft Office Word</Application>
  <DocSecurity>0</DocSecurity>
  <Lines>143</Lines>
  <Paragraphs>40</Paragraphs>
  <ScaleCrop>false</ScaleCrop>
  <Company/>
  <LinksUpToDate>false</LinksUpToDate>
  <CharactersWithSpaces>20170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alexi</dc:creator>
  <cp:lastModifiedBy>Mihaela-Ruxandra Iancu (2133740)</cp:lastModifiedBy>
  <cp:revision>2</cp:revision>
  <dcterms:created xsi:type="dcterms:W3CDTF">2023-11-25T21:07:00Z</dcterms:created>
  <dcterms:modified xsi:type="dcterms:W3CDTF">2023-11-25T21:07:00Z</dcterms:modified>
</cp:coreProperties>
</file>