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5D996" w14:textId="4BF4B1A5" w:rsidR="009B0CE2" w:rsidRPr="008B22E7" w:rsidRDefault="00AA677E" w:rsidP="00DC3B5B">
      <w:pPr>
        <w:ind w:left="2880" w:firstLine="720"/>
      </w:pPr>
      <w:r w:rsidRPr="008B22E7">
        <w:t>Task</w:t>
      </w:r>
      <w:r w:rsidR="00514A51">
        <w:t xml:space="preserve"> </w:t>
      </w:r>
      <w:r w:rsidRPr="008B22E7">
        <w:t>4</w:t>
      </w:r>
      <w:r w:rsidR="00E91CCC" w:rsidRPr="008B22E7">
        <w:t>A</w:t>
      </w:r>
    </w:p>
    <w:p w14:paraId="332345FB" w14:textId="77777777" w:rsidR="00E91CCC" w:rsidRPr="008B22E7" w:rsidRDefault="00E91CCC"/>
    <w:p w14:paraId="30B092FC" w14:textId="61A85AE0" w:rsidR="00E66157" w:rsidRPr="008B22E7" w:rsidRDefault="00587E9C" w:rsidP="00E13211">
      <w:pPr>
        <w:spacing w:line="360" w:lineRule="auto"/>
        <w:jc w:val="both"/>
      </w:pPr>
      <w:r w:rsidRPr="00587E9C">
        <w:t>Social workers often support children at risk of harm or abuse.</w:t>
      </w:r>
      <w:r>
        <w:t xml:space="preserve"> </w:t>
      </w:r>
      <w:r w:rsidR="0066209C">
        <w:t>Accordingly</w:t>
      </w:r>
      <w:r w:rsidR="00765D7C" w:rsidRPr="008B22E7">
        <w:t>, professionals have a duty to respond promptly and effectively to protect</w:t>
      </w:r>
      <w:r w:rsidR="0035115F" w:rsidRPr="008B22E7">
        <w:t xml:space="preserve"> </w:t>
      </w:r>
      <w:r w:rsidR="00765D7C" w:rsidRPr="008B22E7">
        <w:t>child</w:t>
      </w:r>
      <w:r w:rsidR="0035115F" w:rsidRPr="008B22E7">
        <w:t>ren</w:t>
      </w:r>
      <w:r w:rsidR="00A7418F">
        <w:t xml:space="preserve"> from any form of abuse</w:t>
      </w:r>
      <w:r w:rsidR="00765D7C" w:rsidRPr="008B22E7">
        <w:t xml:space="preserve">. Fulfilling this responsibility requires a </w:t>
      </w:r>
      <w:r w:rsidR="005655EA" w:rsidRPr="008B22E7">
        <w:t>thorough</w:t>
      </w:r>
      <w:r w:rsidR="00765D7C" w:rsidRPr="008B22E7">
        <w:t xml:space="preserve"> understanding of the legislation that underpins safeguarding practice, along with the national</w:t>
      </w:r>
      <w:r w:rsidR="00C93344" w:rsidRPr="008B22E7">
        <w:t>,</w:t>
      </w:r>
      <w:r w:rsidR="00765D7C" w:rsidRPr="008B22E7">
        <w:t xml:space="preserve"> local</w:t>
      </w:r>
      <w:r w:rsidR="00C93344" w:rsidRPr="008B22E7">
        <w:t xml:space="preserve"> and organisational</w:t>
      </w:r>
      <w:r w:rsidR="00765D7C" w:rsidRPr="008B22E7">
        <w:t xml:space="preserve"> policies that guide its implementation.</w:t>
      </w:r>
    </w:p>
    <w:p w14:paraId="49CC230F" w14:textId="686939F1" w:rsidR="0011729C" w:rsidRDefault="00E66157" w:rsidP="00E13211">
      <w:pPr>
        <w:spacing w:line="360" w:lineRule="auto"/>
        <w:jc w:val="both"/>
      </w:pPr>
      <w:r w:rsidRPr="008B22E7">
        <w:t xml:space="preserve">Safeguarding children in Wales is </w:t>
      </w:r>
      <w:r w:rsidR="002345F6" w:rsidRPr="008B22E7">
        <w:t>shaped</w:t>
      </w:r>
      <w:r w:rsidRPr="008B22E7">
        <w:t xml:space="preserve"> by a combination of legal frameworks and guidance that work together to protect children from any</w:t>
      </w:r>
      <w:r w:rsidR="00FA30F3" w:rsidRPr="008B22E7">
        <w:t xml:space="preserve"> significant</w:t>
      </w:r>
      <w:r w:rsidRPr="008B22E7">
        <w:t xml:space="preserve"> harm.</w:t>
      </w:r>
      <w:r w:rsidR="0096292C" w:rsidRPr="008B22E7">
        <w:t xml:space="preserve"> The</w:t>
      </w:r>
      <w:r w:rsidR="00025244" w:rsidRPr="008B22E7">
        <w:t xml:space="preserve"> </w:t>
      </w:r>
      <w:r w:rsidR="00C724FA" w:rsidRPr="008B22E7">
        <w:rPr>
          <w:i/>
          <w:iCs/>
        </w:rPr>
        <w:t>Social Services and Well-being (Wales) Act 2014</w:t>
      </w:r>
      <w:r w:rsidR="00BA7648" w:rsidRPr="008B22E7">
        <w:t xml:space="preserve"> </w:t>
      </w:r>
      <w:r w:rsidR="0096292C" w:rsidRPr="008B22E7">
        <w:t xml:space="preserve">defines a “child at risk” </w:t>
      </w:r>
      <w:r w:rsidR="00087AC4">
        <w:t>a</w:t>
      </w:r>
      <w:r w:rsidR="00864B08" w:rsidRPr="00864B08">
        <w:t>s one experiencing or likely to experience abuse or neglect</w:t>
      </w:r>
      <w:r w:rsidR="00087AC4">
        <w:t xml:space="preserve"> </w:t>
      </w:r>
      <w:r w:rsidR="0096292C" w:rsidRPr="008B22E7">
        <w:t>and who has care and support needs.</w:t>
      </w:r>
      <w:r w:rsidR="006C21F4" w:rsidRPr="008B22E7">
        <w:t xml:space="preserve"> </w:t>
      </w:r>
      <w:r w:rsidR="00761FAF" w:rsidRPr="00761FAF">
        <w:t xml:space="preserve">The Act places a legal duty on professionals to report any safeguarding concerns to the police or local authority, promoting early and effective intervention. This process requires the application of professional judgement to assess risk, determine appropriate </w:t>
      </w:r>
      <w:r w:rsidR="00567ADC">
        <w:t>intervention</w:t>
      </w:r>
      <w:r w:rsidR="00761FAF" w:rsidRPr="00761FAF">
        <w:t xml:space="preserve">, and ensure that the child’s well-being remains central to all decisions </w:t>
      </w:r>
      <w:r w:rsidR="00121ACA" w:rsidRPr="008B22E7">
        <w:t>(Welsh Government, 2014</w:t>
      </w:r>
      <w:r w:rsidR="00E91760">
        <w:t>)</w:t>
      </w:r>
      <w:r w:rsidR="006C21F4" w:rsidRPr="008B22E7">
        <w:t>.</w:t>
      </w:r>
      <w:r w:rsidR="00DD6F77" w:rsidRPr="008B22E7">
        <w:t xml:space="preserve"> </w:t>
      </w:r>
      <w:r w:rsidR="00CA7336" w:rsidRPr="00CA7336">
        <w:t xml:space="preserve">Effective safeguarding also relies on analytical assessment, enabling </w:t>
      </w:r>
      <w:r w:rsidR="00996233">
        <w:t>p</w:t>
      </w:r>
      <w:r w:rsidR="00AB68B6">
        <w:t>ractitioners</w:t>
      </w:r>
      <w:r w:rsidR="00CA7336" w:rsidRPr="00CA7336">
        <w:t xml:space="preserve"> to deliver timely, evidence-based interventions </w:t>
      </w:r>
      <w:r w:rsidR="00CD22C7" w:rsidRPr="00CD22C7">
        <w:t>aligned with each child’s needs</w:t>
      </w:r>
      <w:r w:rsidR="00CD22C7">
        <w:t>.</w:t>
      </w:r>
    </w:p>
    <w:p w14:paraId="333B142C" w14:textId="0B8D4DE4" w:rsidR="00A56274" w:rsidRPr="008B22E7" w:rsidRDefault="00691702" w:rsidP="00E13211">
      <w:pPr>
        <w:spacing w:line="360" w:lineRule="auto"/>
        <w:jc w:val="both"/>
      </w:pPr>
      <w:r w:rsidRPr="00691702">
        <w:t xml:space="preserve">When harm is suspected, Section 47 of the </w:t>
      </w:r>
      <w:r w:rsidRPr="00691702">
        <w:rPr>
          <w:i/>
          <w:iCs/>
        </w:rPr>
        <w:t>Children Act 1989</w:t>
      </w:r>
      <w:r w:rsidRPr="00691702">
        <w:t xml:space="preserve"> is initiated.</w:t>
      </w:r>
      <w:r>
        <w:t xml:space="preserve"> </w:t>
      </w:r>
      <w:r w:rsidR="000A1242">
        <w:t>It</w:t>
      </w:r>
      <w:r w:rsidR="00F35CA9" w:rsidRPr="008B22E7">
        <w:t xml:space="preserve"> gives local authorities the legal power to undertake child protection investigations and take appropriate measures to safeguard the child, including initiating child protection plan or</w:t>
      </w:r>
      <w:r w:rsidR="00DB27E4" w:rsidRPr="008B22E7">
        <w:t xml:space="preserve"> purs</w:t>
      </w:r>
      <w:r w:rsidR="00853E2B" w:rsidRPr="008B22E7">
        <w:t>uing</w:t>
      </w:r>
      <w:r w:rsidR="00F35CA9" w:rsidRPr="008B22E7">
        <w:t xml:space="preserve"> legal proceedings</w:t>
      </w:r>
      <w:r w:rsidR="00853E2B" w:rsidRPr="008B22E7">
        <w:t xml:space="preserve"> where necessary (HM Government, 1989)</w:t>
      </w:r>
      <w:r w:rsidR="00F35CA9" w:rsidRPr="008B22E7">
        <w:t>.</w:t>
      </w:r>
      <w:r w:rsidR="00A966F1">
        <w:t xml:space="preserve"> </w:t>
      </w:r>
      <w:r w:rsidR="004A3565" w:rsidRPr="004A3565">
        <w:t xml:space="preserve">To ensure consistent application of legal procedures, the </w:t>
      </w:r>
      <w:r w:rsidR="004A3565" w:rsidRPr="00A212F1">
        <w:rPr>
          <w:i/>
          <w:iCs/>
        </w:rPr>
        <w:t>Wales Safeguarding Procedures</w:t>
      </w:r>
      <w:r w:rsidR="004A3565" w:rsidRPr="004A3565">
        <w:t xml:space="preserve"> (Welsh Government, 20</w:t>
      </w:r>
      <w:r w:rsidR="0091094C">
        <w:t>1</w:t>
      </w:r>
      <w:r w:rsidR="004A3565" w:rsidRPr="004A3565">
        <w:t>9) offer clear guidance for professionals handling safeguarding concerns. They outline how to respond, assess, hold strategy meetings, and coordinate.</w:t>
      </w:r>
      <w:r w:rsidR="00390588">
        <w:t xml:space="preserve"> </w:t>
      </w:r>
      <w:r w:rsidR="001A7F16" w:rsidRPr="008B22E7">
        <w:t xml:space="preserve">These pillars </w:t>
      </w:r>
      <w:r w:rsidR="0083469A" w:rsidRPr="008B22E7">
        <w:t>form a comprehensive safeguarding s</w:t>
      </w:r>
      <w:r w:rsidR="00687B1D" w:rsidRPr="008B22E7">
        <w:t>ystem</w:t>
      </w:r>
      <w:r w:rsidR="00803460" w:rsidRPr="008B22E7">
        <w:t xml:space="preserve">: </w:t>
      </w:r>
      <w:r w:rsidR="00D13AA7" w:rsidRPr="008B22E7">
        <w:t xml:space="preserve">the </w:t>
      </w:r>
      <w:r w:rsidR="00D13AA7" w:rsidRPr="00CC0DB6">
        <w:rPr>
          <w:i/>
          <w:iCs/>
        </w:rPr>
        <w:t>S</w:t>
      </w:r>
      <w:r w:rsidR="00C7319B" w:rsidRPr="00CC0DB6">
        <w:rPr>
          <w:i/>
          <w:iCs/>
        </w:rPr>
        <w:t xml:space="preserve">ocial </w:t>
      </w:r>
      <w:r w:rsidR="00D13AA7" w:rsidRPr="00CC0DB6">
        <w:rPr>
          <w:i/>
          <w:iCs/>
        </w:rPr>
        <w:t>S</w:t>
      </w:r>
      <w:r w:rsidR="00C7319B" w:rsidRPr="00CC0DB6">
        <w:rPr>
          <w:i/>
          <w:iCs/>
        </w:rPr>
        <w:t xml:space="preserve">ervices </w:t>
      </w:r>
      <w:r w:rsidR="00D13AA7" w:rsidRPr="00CC0DB6">
        <w:rPr>
          <w:i/>
          <w:iCs/>
        </w:rPr>
        <w:t>W</w:t>
      </w:r>
      <w:r w:rsidR="00D57A28" w:rsidRPr="00CC0DB6">
        <w:rPr>
          <w:i/>
          <w:iCs/>
        </w:rPr>
        <w:t xml:space="preserve">ell-being (Wales) </w:t>
      </w:r>
      <w:r w:rsidR="00D13AA7" w:rsidRPr="00CC0DB6">
        <w:rPr>
          <w:i/>
          <w:iCs/>
        </w:rPr>
        <w:t>A</w:t>
      </w:r>
      <w:r w:rsidR="00D57A28" w:rsidRPr="00CC0DB6">
        <w:rPr>
          <w:i/>
          <w:iCs/>
        </w:rPr>
        <w:t>ct</w:t>
      </w:r>
      <w:r w:rsidR="00D13AA7" w:rsidRPr="00CC0DB6">
        <w:rPr>
          <w:i/>
          <w:iCs/>
        </w:rPr>
        <w:t xml:space="preserve"> 2014</w:t>
      </w:r>
      <w:r w:rsidR="00D13AA7" w:rsidRPr="008B22E7">
        <w:t xml:space="preserve"> </w:t>
      </w:r>
      <w:r w:rsidR="00F24884" w:rsidRPr="008B22E7">
        <w:t xml:space="preserve">defines </w:t>
      </w:r>
      <w:r w:rsidR="00433486" w:rsidRPr="008B22E7">
        <w:t>the statutory duties and</w:t>
      </w:r>
      <w:r w:rsidR="00EA4900" w:rsidRPr="008B22E7">
        <w:t xml:space="preserve"> key</w:t>
      </w:r>
      <w:r w:rsidR="00433486" w:rsidRPr="008B22E7">
        <w:t xml:space="preserve"> definitions</w:t>
      </w:r>
      <w:r w:rsidR="00FE28B4" w:rsidRPr="008B22E7">
        <w:t>;</w:t>
      </w:r>
      <w:r w:rsidR="00433486" w:rsidRPr="008B22E7">
        <w:t xml:space="preserve"> </w:t>
      </w:r>
      <w:r w:rsidR="001C0A7F" w:rsidRPr="008B22E7">
        <w:t>Section 47</w:t>
      </w:r>
      <w:r w:rsidR="00FE28B4" w:rsidRPr="008B22E7">
        <w:t xml:space="preserve"> of the </w:t>
      </w:r>
      <w:r w:rsidR="00FE28B4" w:rsidRPr="00CC0DB6">
        <w:rPr>
          <w:i/>
          <w:iCs/>
        </w:rPr>
        <w:t>Children Act</w:t>
      </w:r>
      <w:r w:rsidR="00636BB2" w:rsidRPr="00CC0DB6">
        <w:rPr>
          <w:i/>
          <w:iCs/>
        </w:rPr>
        <w:t xml:space="preserve"> 1989</w:t>
      </w:r>
      <w:r w:rsidR="001C0A7F" w:rsidRPr="008B22E7">
        <w:t xml:space="preserve"> provides the </w:t>
      </w:r>
      <w:r w:rsidR="004D5EB7" w:rsidRPr="008B22E7">
        <w:t>power to investigate</w:t>
      </w:r>
      <w:r w:rsidR="00636BB2" w:rsidRPr="008B22E7">
        <w:t>;</w:t>
      </w:r>
      <w:r w:rsidR="001F2217" w:rsidRPr="008B22E7">
        <w:t xml:space="preserve"> and the</w:t>
      </w:r>
      <w:r w:rsidR="00D95059" w:rsidRPr="008B22E7">
        <w:t xml:space="preserve"> </w:t>
      </w:r>
      <w:r w:rsidR="002B1382" w:rsidRPr="00AC16F3">
        <w:rPr>
          <w:i/>
          <w:iCs/>
        </w:rPr>
        <w:t>Wales Safeguarding</w:t>
      </w:r>
      <w:r w:rsidR="00115EC2" w:rsidRPr="00AC16F3">
        <w:rPr>
          <w:i/>
          <w:iCs/>
        </w:rPr>
        <w:t xml:space="preserve"> </w:t>
      </w:r>
      <w:r w:rsidR="00D95059" w:rsidRPr="00AC16F3">
        <w:rPr>
          <w:i/>
          <w:iCs/>
        </w:rPr>
        <w:t>P</w:t>
      </w:r>
      <w:r w:rsidR="00115EC2" w:rsidRPr="00AC16F3">
        <w:rPr>
          <w:i/>
          <w:iCs/>
        </w:rPr>
        <w:t>ro</w:t>
      </w:r>
      <w:r w:rsidR="000A1F79" w:rsidRPr="00AC16F3">
        <w:rPr>
          <w:i/>
          <w:iCs/>
        </w:rPr>
        <w:t>cedures</w:t>
      </w:r>
      <w:r w:rsidR="000C4AA2" w:rsidRPr="008B22E7">
        <w:t xml:space="preserve"> 2019 set out the </w:t>
      </w:r>
      <w:r w:rsidR="008A1DAE" w:rsidRPr="008B22E7">
        <w:t>safeguarding process to be followed</w:t>
      </w:r>
      <w:r w:rsidR="00837FD8" w:rsidRPr="008B22E7">
        <w:t xml:space="preserve"> (Welsh Government, 20</w:t>
      </w:r>
      <w:r w:rsidR="003C2731">
        <w:t>1</w:t>
      </w:r>
      <w:r w:rsidR="00837FD8" w:rsidRPr="008B22E7">
        <w:t>9; HM Government, 1</w:t>
      </w:r>
      <w:r w:rsidR="002B1382" w:rsidRPr="008B22E7">
        <w:t>989)</w:t>
      </w:r>
      <w:r w:rsidR="006A478C" w:rsidRPr="008B22E7">
        <w:t>.</w:t>
      </w:r>
      <w:r w:rsidR="000A1F79" w:rsidRPr="008B22E7">
        <w:t xml:space="preserve"> </w:t>
      </w:r>
      <w:r w:rsidR="00FD1361" w:rsidRPr="008B22E7">
        <w:t xml:space="preserve"> </w:t>
      </w:r>
    </w:p>
    <w:p w14:paraId="6D469834" w14:textId="7BCD0273" w:rsidR="005F1C34" w:rsidRDefault="00A52E1E" w:rsidP="00E13211">
      <w:pPr>
        <w:spacing w:line="360" w:lineRule="auto"/>
        <w:jc w:val="both"/>
      </w:pPr>
      <w:r w:rsidRPr="00A52E1E">
        <w:t xml:space="preserve">The 2014 Act </w:t>
      </w:r>
      <w:r w:rsidR="00C656BE">
        <w:t>outlines</w:t>
      </w:r>
      <w:r w:rsidRPr="00A52E1E">
        <w:t xml:space="preserve"> statutory duties, with Section 47 </w:t>
      </w:r>
      <w:r w:rsidR="005D45C0" w:rsidRPr="00E14F9D">
        <w:t>granting investigative powers to local authorities.</w:t>
      </w:r>
      <w:r w:rsidR="005D45C0">
        <w:t xml:space="preserve"> </w:t>
      </w:r>
      <w:r w:rsidRPr="00A52E1E">
        <w:t xml:space="preserve">The 2019 Procedures guide practitioners through safeguarding </w:t>
      </w:r>
      <w:r w:rsidRPr="00A52E1E">
        <w:lastRenderedPageBreak/>
        <w:t>steps, ensuring timely and coordinated support for children</w:t>
      </w:r>
      <w:r w:rsidR="0087077B">
        <w:t xml:space="preserve"> at risk</w:t>
      </w:r>
      <w:r w:rsidRPr="00A52E1E">
        <w:t xml:space="preserve"> (Welsh Government, 2019</w:t>
      </w:r>
      <w:r w:rsidRPr="008360BA">
        <w:t xml:space="preserve">). </w:t>
      </w:r>
      <w:r w:rsidR="00677866" w:rsidRPr="008360BA">
        <w:t xml:space="preserve">Statutory guidance like </w:t>
      </w:r>
      <w:r w:rsidR="00677866" w:rsidRPr="008360BA">
        <w:rPr>
          <w:i/>
          <w:iCs/>
        </w:rPr>
        <w:t>Working Together to Safeguard Children</w:t>
      </w:r>
      <w:r w:rsidR="00677866" w:rsidRPr="008360BA">
        <w:t xml:space="preserve"> plays a key role in promoting multi-agency collaboration, encouraging professionals to work </w:t>
      </w:r>
      <w:r w:rsidR="00ED301F">
        <w:t>collaboratively</w:t>
      </w:r>
      <w:r w:rsidR="00677866" w:rsidRPr="008360BA">
        <w:t xml:space="preserve"> with individuals</w:t>
      </w:r>
      <w:r w:rsidR="00455EAA">
        <w:t xml:space="preserve">, </w:t>
      </w:r>
      <w:r w:rsidR="00677866" w:rsidRPr="008360BA">
        <w:t>their carers, and other agencies</w:t>
      </w:r>
      <w:r w:rsidR="008360BA">
        <w:rPr>
          <w:b/>
          <w:bCs/>
        </w:rPr>
        <w:t xml:space="preserve"> </w:t>
      </w:r>
      <w:r w:rsidRPr="00A52E1E">
        <w:t>(Welsh Government, 2016).</w:t>
      </w:r>
      <w:r w:rsidR="00B20454">
        <w:t xml:space="preserve"> </w:t>
      </w:r>
      <w:r w:rsidR="002F425E">
        <w:t>T</w:t>
      </w:r>
      <w:r w:rsidR="00471BC3" w:rsidRPr="008B22E7">
        <w:t>hese legislative frameworks are designed to place the child at the centre of safeguarding practice</w:t>
      </w:r>
      <w:r w:rsidR="003C66B0">
        <w:t xml:space="preserve">. </w:t>
      </w:r>
      <w:r w:rsidR="004E22DA" w:rsidRPr="004E22DA">
        <w:t>However, despite these frameworks, many children still face serious risks: nearly 2,000 entered care by March 2024, with 54.4% due to abuse or neglect (Welsh Government, 2024).</w:t>
      </w:r>
    </w:p>
    <w:p w14:paraId="1FAEAC09" w14:textId="027C914B" w:rsidR="001668BD" w:rsidRDefault="008155C4" w:rsidP="004F3774">
      <w:pPr>
        <w:spacing w:line="360" w:lineRule="auto"/>
        <w:jc w:val="both"/>
      </w:pPr>
      <w:r w:rsidRPr="008155C4">
        <w:t xml:space="preserve">Safeguarding children in Wales is a shared responsibility and core duty for all professionals and organisations. It involves protecting children from harm and promoting well-being through both policy and ethical practice. The </w:t>
      </w:r>
      <w:r w:rsidRPr="008155C4">
        <w:rPr>
          <w:i/>
          <w:iCs/>
        </w:rPr>
        <w:t>Code of Professional Practice</w:t>
      </w:r>
      <w:r w:rsidRPr="008155C4">
        <w:t xml:space="preserve"> emphasises the importance of building trust, communicating effectively, and engaging with children in ways that respect their voice</w:t>
      </w:r>
      <w:r w:rsidR="004A68FA">
        <w:t xml:space="preserve"> and</w:t>
      </w:r>
      <w:r w:rsidRPr="008155C4">
        <w:t xml:space="preserve"> rights</w:t>
      </w:r>
      <w:r w:rsidR="004A68FA">
        <w:t xml:space="preserve"> </w:t>
      </w:r>
      <w:r w:rsidRPr="008155C4">
        <w:t>(Social Care Wales,</w:t>
      </w:r>
      <w:r w:rsidR="004A68FA">
        <w:t xml:space="preserve"> </w:t>
      </w:r>
      <w:r w:rsidRPr="008155C4">
        <w:t>2017).</w:t>
      </w:r>
      <w:r w:rsidR="00516667">
        <w:t xml:space="preserve"> </w:t>
      </w:r>
      <w:r w:rsidR="004F3774" w:rsidRPr="004F3774">
        <w:t xml:space="preserve">Alongside national and local frameworks, international legislation is vital to safeguarding. The UNCRC affirms every child’s right to protection, participation, and provision (United Nations, 1989). </w:t>
      </w:r>
      <w:r w:rsidR="004F3774" w:rsidRPr="00D056C4">
        <w:rPr>
          <w:i/>
          <w:iCs/>
        </w:rPr>
        <w:t>The Human Rights Act 1998</w:t>
      </w:r>
      <w:r w:rsidR="004F3774" w:rsidRPr="004F3774">
        <w:t xml:space="preserve"> protects against harm, while the </w:t>
      </w:r>
      <w:r w:rsidR="004F3774" w:rsidRPr="00D056C4">
        <w:rPr>
          <w:i/>
          <w:iCs/>
        </w:rPr>
        <w:t>Equality Act 2010</w:t>
      </w:r>
      <w:r w:rsidR="004F3774" w:rsidRPr="004F3774">
        <w:t xml:space="preserve"> guards against discrimination. Together, these laws form a strong foundation for safeguarding practice, ensuring children’s rights and safety are upheld across Wales (UK Government, 1998; UK Government, 2010).</w:t>
      </w:r>
    </w:p>
    <w:p w14:paraId="3146355E" w14:textId="77777777" w:rsidR="001668BD" w:rsidRDefault="001668BD" w:rsidP="004F3774">
      <w:pPr>
        <w:spacing w:line="360" w:lineRule="auto"/>
        <w:jc w:val="both"/>
      </w:pPr>
    </w:p>
    <w:p w14:paraId="7FEA974A" w14:textId="1B63B3AA" w:rsidR="001668BD" w:rsidRDefault="00A05C21" w:rsidP="004F3774">
      <w:pPr>
        <w:spacing w:line="360" w:lineRule="auto"/>
        <w:jc w:val="both"/>
      </w:pPr>
      <w:r>
        <w:t>Word count: 547</w:t>
      </w:r>
    </w:p>
    <w:p w14:paraId="519AF415" w14:textId="77777777" w:rsidR="001668BD" w:rsidRDefault="001668BD" w:rsidP="004F3774">
      <w:pPr>
        <w:spacing w:line="360" w:lineRule="auto"/>
        <w:jc w:val="both"/>
      </w:pPr>
    </w:p>
    <w:p w14:paraId="53AD2EBD" w14:textId="77777777" w:rsidR="001668BD" w:rsidRDefault="001668BD" w:rsidP="004F3774">
      <w:pPr>
        <w:spacing w:line="360" w:lineRule="auto"/>
        <w:jc w:val="both"/>
      </w:pPr>
    </w:p>
    <w:p w14:paraId="7982CC84" w14:textId="77777777" w:rsidR="001668BD" w:rsidRDefault="001668BD" w:rsidP="004F3774">
      <w:pPr>
        <w:spacing w:line="360" w:lineRule="auto"/>
        <w:jc w:val="both"/>
      </w:pPr>
    </w:p>
    <w:p w14:paraId="005E3FD5" w14:textId="77777777" w:rsidR="001668BD" w:rsidRDefault="001668BD" w:rsidP="004F3774">
      <w:pPr>
        <w:spacing w:line="360" w:lineRule="auto"/>
        <w:jc w:val="both"/>
      </w:pPr>
    </w:p>
    <w:p w14:paraId="2F770BF5" w14:textId="77777777" w:rsidR="001C5297" w:rsidRDefault="001C5297" w:rsidP="004F3774">
      <w:pPr>
        <w:spacing w:line="360" w:lineRule="auto"/>
        <w:jc w:val="both"/>
      </w:pPr>
    </w:p>
    <w:p w14:paraId="7700BB42" w14:textId="77777777" w:rsidR="001668BD" w:rsidRDefault="001668BD" w:rsidP="004F3774">
      <w:pPr>
        <w:spacing w:line="360" w:lineRule="auto"/>
        <w:jc w:val="both"/>
      </w:pPr>
    </w:p>
    <w:p w14:paraId="3DC429C7" w14:textId="77777777" w:rsidR="00A05C21" w:rsidRDefault="00A05C21" w:rsidP="004F3774">
      <w:pPr>
        <w:spacing w:line="360" w:lineRule="auto"/>
        <w:jc w:val="both"/>
      </w:pPr>
    </w:p>
    <w:p w14:paraId="55CD49AB" w14:textId="34DAA890" w:rsidR="001668BD" w:rsidRDefault="001668BD" w:rsidP="001668BD">
      <w:pPr>
        <w:spacing w:line="360" w:lineRule="auto"/>
        <w:ind w:left="2880" w:firstLine="720"/>
        <w:jc w:val="both"/>
      </w:pPr>
      <w:r>
        <w:lastRenderedPageBreak/>
        <w:t>Reference list</w:t>
      </w:r>
    </w:p>
    <w:p w14:paraId="12EA5CCA" w14:textId="77777777" w:rsidR="00F925A3" w:rsidRDefault="00F925A3" w:rsidP="001668BD">
      <w:pPr>
        <w:spacing w:line="360" w:lineRule="auto"/>
        <w:ind w:left="2880" w:firstLine="720"/>
        <w:jc w:val="both"/>
      </w:pPr>
    </w:p>
    <w:p w14:paraId="6951D97D" w14:textId="3BD20C23" w:rsidR="002F1C91" w:rsidRPr="001668BD" w:rsidRDefault="00D73FAF" w:rsidP="002F1C91">
      <w:pPr>
        <w:spacing w:line="480" w:lineRule="auto"/>
        <w:ind w:left="720" w:hanging="720"/>
        <w:jc w:val="both"/>
      </w:pPr>
      <w:r w:rsidRPr="001668BD">
        <w:t xml:space="preserve">HM Government (1989). </w:t>
      </w:r>
      <w:r w:rsidRPr="001668BD">
        <w:rPr>
          <w:i/>
          <w:iCs/>
        </w:rPr>
        <w:t>Children Act 1989</w:t>
      </w:r>
      <w:r w:rsidRPr="001668BD">
        <w:t xml:space="preserve">. [online] Available at: </w:t>
      </w:r>
      <w:r w:rsidRPr="002F1C91">
        <w:rPr>
          <w:rStyle w:val="Hyperlink"/>
        </w:rPr>
        <w:t>https://www.legislation.gov.uk/ukpga/1989/41/contents</w:t>
      </w:r>
      <w:r w:rsidRPr="001668BD">
        <w:t xml:space="preserve"> [Accessed 4 Oct. 2025].</w:t>
      </w:r>
    </w:p>
    <w:p w14:paraId="6AB6C1BD" w14:textId="77777777" w:rsidR="00D73FAF" w:rsidRPr="00E94763" w:rsidRDefault="00D73FAF" w:rsidP="00D73FAF">
      <w:pPr>
        <w:spacing w:line="480" w:lineRule="auto"/>
        <w:ind w:left="833" w:hanging="720"/>
        <w:jc w:val="both"/>
      </w:pPr>
      <w:r w:rsidRPr="00E94763">
        <w:t xml:space="preserve">Social Care Wales (2017). Code of professional practice for social care. Wales: Social Care Wales. [online] Available at: </w:t>
      </w:r>
      <w:r w:rsidRPr="002F1C91">
        <w:rPr>
          <w:rStyle w:val="Hyperlink"/>
        </w:rPr>
        <w:t>https://socialcare.wales/codes-of-practice-and-guidance</w:t>
      </w:r>
      <w:r w:rsidRPr="00E94763">
        <w:t xml:space="preserve"> [Accessed 4 Oct. 2025].</w:t>
      </w:r>
    </w:p>
    <w:p w14:paraId="4EED1340" w14:textId="77777777" w:rsidR="00D73FAF" w:rsidRPr="001668BD" w:rsidRDefault="00D73FAF" w:rsidP="00D73FAF">
      <w:pPr>
        <w:spacing w:line="480" w:lineRule="auto"/>
        <w:ind w:left="720" w:hanging="720"/>
        <w:jc w:val="both"/>
      </w:pPr>
      <w:r w:rsidRPr="001668BD">
        <w:t xml:space="preserve">UK Government (1998). </w:t>
      </w:r>
      <w:r w:rsidRPr="001668BD">
        <w:rPr>
          <w:i/>
          <w:iCs/>
        </w:rPr>
        <w:t>Human Rights Act 1998</w:t>
      </w:r>
      <w:r w:rsidRPr="001668BD">
        <w:t xml:space="preserve">. [online] Available at: </w:t>
      </w:r>
      <w:r w:rsidRPr="002F1C91">
        <w:rPr>
          <w:rStyle w:val="Hyperlink"/>
        </w:rPr>
        <w:t>https://www.legislation.gov.uk/ukpga/1998/42/contents</w:t>
      </w:r>
      <w:r w:rsidRPr="001668BD">
        <w:t xml:space="preserve"> [Accessed 4 Oct. 2025].</w:t>
      </w:r>
    </w:p>
    <w:p w14:paraId="78086C2B" w14:textId="77777777" w:rsidR="00D73FAF" w:rsidRPr="001668BD" w:rsidRDefault="00D73FAF" w:rsidP="00D73FAF">
      <w:pPr>
        <w:spacing w:line="480" w:lineRule="auto"/>
        <w:ind w:left="720" w:hanging="720"/>
        <w:jc w:val="both"/>
      </w:pPr>
      <w:r w:rsidRPr="001668BD">
        <w:t xml:space="preserve">UK Government (2010). </w:t>
      </w:r>
      <w:r w:rsidRPr="001668BD">
        <w:rPr>
          <w:i/>
          <w:iCs/>
        </w:rPr>
        <w:t>Equality Act 2010</w:t>
      </w:r>
      <w:r w:rsidRPr="001668BD">
        <w:t xml:space="preserve">. [online] Available at: </w:t>
      </w:r>
      <w:r w:rsidRPr="002F1C91">
        <w:rPr>
          <w:rStyle w:val="Hyperlink"/>
        </w:rPr>
        <w:t>https://www.legislation.gov.uk/ukpga/2010/15/contents</w:t>
      </w:r>
      <w:r w:rsidRPr="001668BD">
        <w:t xml:space="preserve"> [Accessed 4 Oct. 2025].</w:t>
      </w:r>
    </w:p>
    <w:p w14:paraId="762AA7C0" w14:textId="77777777" w:rsidR="00D73FAF" w:rsidRPr="001668BD" w:rsidRDefault="00D73FAF" w:rsidP="00D73FAF">
      <w:pPr>
        <w:spacing w:line="480" w:lineRule="auto"/>
        <w:ind w:left="720" w:hanging="720"/>
        <w:jc w:val="both"/>
      </w:pPr>
      <w:r w:rsidRPr="001668BD">
        <w:t xml:space="preserve">United Nations (1989). </w:t>
      </w:r>
      <w:r w:rsidRPr="001668BD">
        <w:rPr>
          <w:i/>
          <w:iCs/>
        </w:rPr>
        <w:t>Convention on the Rights of the Child</w:t>
      </w:r>
      <w:r w:rsidRPr="001668BD">
        <w:t xml:space="preserve">. New York: United Nations General Assembly. [online] Available at: </w:t>
      </w:r>
      <w:r w:rsidRPr="002F1C91">
        <w:rPr>
          <w:rStyle w:val="Hyperlink"/>
        </w:rPr>
        <w:t>https://www.ohchr.org/en/instruments-mechanisms/instruments/convention-rights-child</w:t>
      </w:r>
      <w:r w:rsidRPr="001668BD">
        <w:t xml:space="preserve"> [Accessed 4 Oct. 2025].</w:t>
      </w:r>
    </w:p>
    <w:p w14:paraId="5D7273F3" w14:textId="77777777" w:rsidR="00D73FAF" w:rsidRDefault="00D73FAF" w:rsidP="00D73FAF">
      <w:pPr>
        <w:spacing w:line="480" w:lineRule="auto"/>
        <w:ind w:left="720" w:hanging="720"/>
        <w:jc w:val="both"/>
      </w:pPr>
      <w:r w:rsidRPr="001668BD">
        <w:t xml:space="preserve">Welsh Government (2014). </w:t>
      </w:r>
      <w:r w:rsidRPr="001668BD">
        <w:rPr>
          <w:i/>
          <w:iCs/>
        </w:rPr>
        <w:t>Social Services and Well-being (Wales) Act 2014</w:t>
      </w:r>
      <w:r w:rsidRPr="001668BD">
        <w:t xml:space="preserve">. Cardiff: Welsh Government. [online] Available at: </w:t>
      </w:r>
      <w:r w:rsidRPr="002F1C91">
        <w:rPr>
          <w:rStyle w:val="Hyperlink"/>
        </w:rPr>
        <w:t>https://www.legislation.gov.uk/anaw/2014/4/contents/enacted</w:t>
      </w:r>
      <w:r w:rsidRPr="001668BD">
        <w:t xml:space="preserve"> [Accessed 4 Oct. 2025].</w:t>
      </w:r>
    </w:p>
    <w:p w14:paraId="0AD70D38" w14:textId="77777777" w:rsidR="00D73FAF" w:rsidRPr="001668BD" w:rsidRDefault="00D73FAF" w:rsidP="00D73FAF">
      <w:pPr>
        <w:spacing w:line="480" w:lineRule="auto"/>
        <w:ind w:left="720" w:hanging="720"/>
        <w:jc w:val="both"/>
      </w:pPr>
      <w:r w:rsidRPr="001668BD">
        <w:t xml:space="preserve">Welsh Government (2016). </w:t>
      </w:r>
      <w:r w:rsidRPr="001668BD">
        <w:rPr>
          <w:i/>
          <w:iCs/>
        </w:rPr>
        <w:t>Working together to safeguard children</w:t>
      </w:r>
      <w:r w:rsidRPr="001668BD">
        <w:t>. Cardiff: Welsh Government.</w:t>
      </w:r>
    </w:p>
    <w:p w14:paraId="0CF7025F" w14:textId="77777777" w:rsidR="00D73FAF" w:rsidRPr="001668BD" w:rsidRDefault="00D73FAF" w:rsidP="00D73FAF">
      <w:pPr>
        <w:spacing w:line="480" w:lineRule="auto"/>
        <w:ind w:left="720" w:hanging="720"/>
        <w:jc w:val="both"/>
      </w:pPr>
      <w:r w:rsidRPr="001668BD">
        <w:t xml:space="preserve">Welsh Government (2024). </w:t>
      </w:r>
      <w:r w:rsidRPr="001668BD">
        <w:rPr>
          <w:i/>
          <w:iCs/>
        </w:rPr>
        <w:t>Children looked after by local authorities: Year ending March 2024</w:t>
      </w:r>
      <w:r w:rsidRPr="001668BD">
        <w:t>. Cardiff: Welsh Government.</w:t>
      </w:r>
    </w:p>
    <w:p w14:paraId="7872B2D2" w14:textId="6FB787ED" w:rsidR="00DF29A6" w:rsidRPr="005451C5" w:rsidRDefault="005451C5" w:rsidP="00D73FAF">
      <w:pPr>
        <w:spacing w:line="480" w:lineRule="auto"/>
        <w:ind w:left="720" w:hanging="720"/>
        <w:jc w:val="both"/>
      </w:pPr>
      <w:r w:rsidRPr="005451C5">
        <w:lastRenderedPageBreak/>
        <w:t xml:space="preserve">Welsh Government, 2019. </w:t>
      </w:r>
      <w:r w:rsidRPr="005451C5">
        <w:rPr>
          <w:i/>
          <w:iCs/>
        </w:rPr>
        <w:t>Wales Safeguarding Procedures</w:t>
      </w:r>
      <w:r w:rsidRPr="005451C5">
        <w:t xml:space="preserve">. [online] Cardiff: Welsh Government. Available at: </w:t>
      </w:r>
      <w:r w:rsidRPr="005451C5">
        <w:rPr>
          <w:rStyle w:val="Hyperlink"/>
        </w:rPr>
        <w:t>&lt;https://www.safeguarding.wales/&gt;</w:t>
      </w:r>
      <w:r w:rsidRPr="005451C5">
        <w:t xml:space="preserve"> [Accessed 1 Oct. 2025].</w:t>
      </w:r>
    </w:p>
    <w:p w14:paraId="1E6751F0" w14:textId="77777777" w:rsidR="00DF29A6" w:rsidRDefault="00DF29A6" w:rsidP="00D73FAF">
      <w:pPr>
        <w:spacing w:line="480" w:lineRule="auto"/>
        <w:ind w:left="720" w:hanging="720"/>
        <w:jc w:val="both"/>
      </w:pPr>
    </w:p>
    <w:p w14:paraId="4D1222DD" w14:textId="77777777" w:rsidR="00DF29A6" w:rsidRDefault="00DF29A6" w:rsidP="00D73FAF">
      <w:pPr>
        <w:spacing w:line="480" w:lineRule="auto"/>
        <w:ind w:left="720" w:hanging="720"/>
        <w:jc w:val="both"/>
      </w:pPr>
    </w:p>
    <w:p w14:paraId="1480898E" w14:textId="77777777" w:rsidR="00DF29A6" w:rsidRDefault="00DF29A6" w:rsidP="00D73FAF">
      <w:pPr>
        <w:spacing w:line="480" w:lineRule="auto"/>
        <w:ind w:left="720" w:hanging="720"/>
        <w:jc w:val="both"/>
      </w:pPr>
    </w:p>
    <w:p w14:paraId="3857E4DD" w14:textId="77777777" w:rsidR="00DF29A6" w:rsidRDefault="00DF29A6" w:rsidP="00D73FAF">
      <w:pPr>
        <w:spacing w:line="480" w:lineRule="auto"/>
        <w:ind w:left="720" w:hanging="720"/>
        <w:jc w:val="both"/>
      </w:pPr>
    </w:p>
    <w:p w14:paraId="0727991D" w14:textId="77777777" w:rsidR="00DF29A6" w:rsidRDefault="00DF29A6" w:rsidP="00D73FAF">
      <w:pPr>
        <w:spacing w:line="480" w:lineRule="auto"/>
        <w:ind w:left="720" w:hanging="720"/>
        <w:jc w:val="both"/>
      </w:pPr>
    </w:p>
    <w:p w14:paraId="7B742657" w14:textId="77777777" w:rsidR="00DF29A6" w:rsidRDefault="00DF29A6" w:rsidP="00D73FAF">
      <w:pPr>
        <w:spacing w:line="480" w:lineRule="auto"/>
        <w:ind w:left="720" w:hanging="720"/>
        <w:jc w:val="both"/>
      </w:pPr>
    </w:p>
    <w:p w14:paraId="5A7323B8" w14:textId="77777777" w:rsidR="00DF29A6" w:rsidRDefault="00DF29A6" w:rsidP="00D73FAF">
      <w:pPr>
        <w:spacing w:line="480" w:lineRule="auto"/>
        <w:ind w:left="720" w:hanging="720"/>
        <w:jc w:val="both"/>
      </w:pPr>
    </w:p>
    <w:p w14:paraId="1D240AD7" w14:textId="77777777" w:rsidR="00DF29A6" w:rsidRDefault="00DF29A6" w:rsidP="00D73FAF">
      <w:pPr>
        <w:spacing w:line="480" w:lineRule="auto"/>
        <w:ind w:left="720" w:hanging="720"/>
        <w:jc w:val="both"/>
      </w:pPr>
    </w:p>
    <w:p w14:paraId="1B265AB9" w14:textId="77777777" w:rsidR="00DF29A6" w:rsidRDefault="00DF29A6" w:rsidP="00D73FAF">
      <w:pPr>
        <w:spacing w:line="480" w:lineRule="auto"/>
        <w:ind w:left="720" w:hanging="720"/>
        <w:jc w:val="both"/>
      </w:pPr>
    </w:p>
    <w:p w14:paraId="4086D015" w14:textId="77777777" w:rsidR="00DF29A6" w:rsidRDefault="00DF29A6" w:rsidP="00D73FAF">
      <w:pPr>
        <w:spacing w:line="480" w:lineRule="auto"/>
        <w:ind w:left="720" w:hanging="720"/>
        <w:jc w:val="both"/>
      </w:pPr>
    </w:p>
    <w:p w14:paraId="31515ED8" w14:textId="77777777" w:rsidR="00DF29A6" w:rsidRDefault="00DF29A6" w:rsidP="00D73FAF">
      <w:pPr>
        <w:spacing w:line="480" w:lineRule="auto"/>
        <w:ind w:left="720" w:hanging="720"/>
        <w:jc w:val="both"/>
      </w:pPr>
    </w:p>
    <w:p w14:paraId="1D023B2D" w14:textId="77777777" w:rsidR="00DF29A6" w:rsidRDefault="00DF29A6" w:rsidP="00D73FAF">
      <w:pPr>
        <w:spacing w:line="480" w:lineRule="auto"/>
        <w:ind w:left="720" w:hanging="720"/>
        <w:jc w:val="both"/>
      </w:pPr>
    </w:p>
    <w:p w14:paraId="7C7EDC9E" w14:textId="77777777" w:rsidR="006B2A77" w:rsidRDefault="006B2A77" w:rsidP="00D73FAF">
      <w:pPr>
        <w:spacing w:line="480" w:lineRule="auto"/>
        <w:ind w:left="720" w:hanging="720"/>
        <w:jc w:val="both"/>
      </w:pPr>
    </w:p>
    <w:p w14:paraId="7496016A" w14:textId="77777777" w:rsidR="006B2A77" w:rsidRDefault="006B2A77" w:rsidP="00D73FAF">
      <w:pPr>
        <w:spacing w:line="480" w:lineRule="auto"/>
        <w:ind w:left="720" w:hanging="720"/>
        <w:jc w:val="both"/>
      </w:pPr>
    </w:p>
    <w:p w14:paraId="48E6C712" w14:textId="77777777" w:rsidR="00DF29A6" w:rsidRDefault="00DF29A6" w:rsidP="00D73FAF">
      <w:pPr>
        <w:spacing w:line="480" w:lineRule="auto"/>
        <w:ind w:left="720" w:hanging="720"/>
        <w:jc w:val="both"/>
      </w:pPr>
    </w:p>
    <w:p w14:paraId="647B96A6" w14:textId="77777777" w:rsidR="00DB35C9" w:rsidRDefault="00DB35C9" w:rsidP="00D73FAF">
      <w:pPr>
        <w:spacing w:line="480" w:lineRule="auto"/>
        <w:ind w:left="720" w:hanging="720"/>
        <w:jc w:val="both"/>
      </w:pPr>
    </w:p>
    <w:p w14:paraId="1F886556" w14:textId="77777777" w:rsidR="00DB35C9" w:rsidRDefault="00DB35C9" w:rsidP="00D73FAF">
      <w:pPr>
        <w:spacing w:line="480" w:lineRule="auto"/>
        <w:ind w:left="720" w:hanging="720"/>
        <w:jc w:val="both"/>
      </w:pPr>
    </w:p>
    <w:p w14:paraId="42F7888F" w14:textId="429ADB72" w:rsidR="00DF29A6" w:rsidRDefault="00DF29A6" w:rsidP="00DF29A6">
      <w:pPr>
        <w:spacing w:line="240" w:lineRule="auto"/>
        <w:ind w:left="2880" w:firstLine="720"/>
      </w:pPr>
      <w:r>
        <w:lastRenderedPageBreak/>
        <w:t xml:space="preserve">Task </w:t>
      </w:r>
      <w:r w:rsidR="00C876EF">
        <w:t xml:space="preserve">4 </w:t>
      </w:r>
      <w:r>
        <w:t>B</w:t>
      </w:r>
    </w:p>
    <w:p w14:paraId="2D3EBBB4" w14:textId="77777777" w:rsidR="00DF29A6" w:rsidRDefault="00DF29A6" w:rsidP="00DF29A6">
      <w:pPr>
        <w:spacing w:line="240" w:lineRule="auto"/>
      </w:pPr>
    </w:p>
    <w:p w14:paraId="5AB3B57E" w14:textId="77777777" w:rsidR="00DF29A6" w:rsidRPr="005817A8" w:rsidRDefault="00DF29A6" w:rsidP="00DF29A6">
      <w:pPr>
        <w:spacing w:line="360" w:lineRule="auto"/>
        <w:jc w:val="both"/>
      </w:pPr>
      <w:r w:rsidRPr="005817A8">
        <w:t xml:space="preserve">Safeguarding in Wales is covered by a combined framework under the </w:t>
      </w:r>
      <w:r w:rsidRPr="00406C85">
        <w:rPr>
          <w:i/>
          <w:iCs/>
        </w:rPr>
        <w:t>Social Services and Well-being (Wales) Act 2014</w:t>
      </w:r>
      <w:r w:rsidRPr="005817A8">
        <w:t>. However, this safeguarding approach varies significantly between adults and children due to their separate legal frameworks, support needs, and areas of concern. Both groups are safeguarded under Part 7 of the Act, which emphasises the duties of professionals to report concerns, initiate enquiries, and work collaboratively with other agencies (Welsh Government, 2014).</w:t>
      </w:r>
      <w:r w:rsidRPr="00B022A4">
        <w:t xml:space="preserve"> </w:t>
      </w:r>
      <w:r w:rsidRPr="005817A8">
        <w:t xml:space="preserve">In addition, the </w:t>
      </w:r>
      <w:r w:rsidRPr="003E3AC1">
        <w:rPr>
          <w:i/>
          <w:iCs/>
        </w:rPr>
        <w:t>Children Act 1989</w:t>
      </w:r>
      <w:r w:rsidRPr="005817A8">
        <w:t xml:space="preserve"> is considered one of the cornerstones of child protection, particularly in cases involving significant harm, care proceedings, and parental responsibility (Law Wales, 2024</w:t>
      </w:r>
      <w:r>
        <w:t>; NSPCC, 2023</w:t>
      </w:r>
      <w:r w:rsidRPr="005817A8">
        <w:t>).</w:t>
      </w:r>
    </w:p>
    <w:p w14:paraId="3B467917" w14:textId="77777777" w:rsidR="00DF29A6" w:rsidRPr="00B022A4" w:rsidRDefault="00DF29A6" w:rsidP="00DF29A6">
      <w:pPr>
        <w:spacing w:line="360" w:lineRule="auto"/>
        <w:jc w:val="both"/>
      </w:pPr>
      <w:r w:rsidRPr="00B022A4">
        <w:t>One of the key distinctions between adult and child safeguarding is the concept of c</w:t>
      </w:r>
      <w:r w:rsidRPr="00B659C9">
        <w:t>apacity and autonomy</w:t>
      </w:r>
      <w:r>
        <w:t>, which</w:t>
      </w:r>
      <w:r w:rsidRPr="00B659C9">
        <w:t xml:space="preserve"> represent</w:t>
      </w:r>
      <w:r>
        <w:t>s</w:t>
      </w:r>
      <w:r w:rsidRPr="00B659C9">
        <w:t xml:space="preserve"> a central point of difference. Adults are presumed to have capacity and the right to make unwise decisions unless proven otherwise, as outlined in the </w:t>
      </w:r>
      <w:r w:rsidRPr="003E3AC1">
        <w:rPr>
          <w:i/>
          <w:iCs/>
        </w:rPr>
        <w:t>Mental Capacity Act 2005</w:t>
      </w:r>
      <w:r>
        <w:rPr>
          <w:i/>
          <w:iCs/>
        </w:rPr>
        <w:t xml:space="preserve"> </w:t>
      </w:r>
      <w:r w:rsidRPr="00C740E3">
        <w:t>(UK Government, 2005)</w:t>
      </w:r>
      <w:r w:rsidRPr="00B659C9">
        <w:t>. In practice, this means that safeguarding adults requires a careful balance between protection and self-determination</w:t>
      </w:r>
      <w:r>
        <w:t xml:space="preserve"> (SCIE, 2022)</w:t>
      </w:r>
      <w:r w:rsidRPr="00B659C9">
        <w:t>.</w:t>
      </w:r>
      <w:r w:rsidRPr="00B022A4">
        <w:t xml:space="preserve"> </w:t>
      </w:r>
      <w:r w:rsidRPr="00B659C9">
        <w:t xml:space="preserve">For example, some individuals may misuse substances and expose themselves to various risks. However, if they are assessed as having capacity, </w:t>
      </w:r>
      <w:r>
        <w:t>the</w:t>
      </w:r>
      <w:r w:rsidRPr="00B659C9">
        <w:t xml:space="preserve"> ability</w:t>
      </w:r>
      <w:r>
        <w:t xml:space="preserve"> of professionals</w:t>
      </w:r>
      <w:r w:rsidRPr="00B659C9">
        <w:t xml:space="preserve"> to intervene is limited without their formal consent. We must respect their choices and personal privacy, which can make maintaining safety while promoting autonomy </w:t>
      </w:r>
      <w:r w:rsidRPr="00B022A4">
        <w:t xml:space="preserve">sometimes </w:t>
      </w:r>
      <w:r w:rsidRPr="00B659C9">
        <w:t>a significant dilemma</w:t>
      </w:r>
      <w:r>
        <w:t xml:space="preserve"> (Care Inspectorate Wales, 2021; Social Care Wales, 2017)</w:t>
      </w:r>
      <w:r w:rsidRPr="00B659C9">
        <w:t>.</w:t>
      </w:r>
      <w:r w:rsidRPr="00B022A4">
        <w:t xml:space="preserve"> </w:t>
      </w:r>
    </w:p>
    <w:p w14:paraId="19A04ACA" w14:textId="77777777" w:rsidR="00DF29A6" w:rsidRDefault="00DF29A6" w:rsidP="00DF29A6">
      <w:pPr>
        <w:spacing w:line="360" w:lineRule="auto"/>
        <w:jc w:val="both"/>
      </w:pPr>
      <w:r w:rsidRPr="00656477">
        <w:t xml:space="preserve">Children are generally more vulnerable and dependent than adults due to their physical, emotional, and developmental needs. They rely on adults for care and protection and often lack the capacity to make informed decisions or </w:t>
      </w:r>
      <w:r>
        <w:t>advocate for themselves</w:t>
      </w:r>
      <w:r w:rsidRPr="00656477">
        <w:t xml:space="preserve">. However, some under sixteen may be deemed </w:t>
      </w:r>
      <w:r w:rsidRPr="004A6A12">
        <w:rPr>
          <w:i/>
          <w:iCs/>
        </w:rPr>
        <w:t>Gillick competent</w:t>
      </w:r>
      <w:r w:rsidRPr="00656477">
        <w:t xml:space="preserve">, meaning they can make decisions about medical treatment, contraception, or mental health support (Department of Health and Social Care, 1985). Still, safeguarding thresholds require intervention regardless of competence when a child faces significant harm, including abuse, exploitation, trafficking, forced marriage, radicalisation, or online grooming. In such cases, professionals have a legal and ethical duty to act in the child’s best interests. These factors reinforce that the child’s </w:t>
      </w:r>
      <w:r w:rsidRPr="00656477">
        <w:lastRenderedPageBreak/>
        <w:t>welfare must remain paramount in all safeguarding decisions, as outlined in the Children Act 1989 (Law Wales, 2024).</w:t>
      </w:r>
    </w:p>
    <w:p w14:paraId="3561DC48" w14:textId="77777777" w:rsidR="00DF29A6" w:rsidRDefault="00DF29A6" w:rsidP="00DF29A6">
      <w:pPr>
        <w:spacing w:line="360" w:lineRule="auto"/>
        <w:jc w:val="both"/>
      </w:pPr>
      <w:r w:rsidRPr="00B022A4">
        <w:t xml:space="preserve">Safeguarding adults and children in Wales </w:t>
      </w:r>
      <w:r>
        <w:t>are</w:t>
      </w:r>
      <w:r w:rsidRPr="00B022A4">
        <w:t xml:space="preserve"> underpinned by shared principles, including multi-agency working, person-centred practice, and timely, effective intervention. For adults, the safeguarding procedures prioritise involvement, consent, and recognising the individual's autonomy. In contrast, child safeguarding focuses on protection, risk assessment, and meeting legal thresholds for statutory intervention, reflecting the vulnerability and dependency of children (Safeguarding Wales, 2025).</w:t>
      </w:r>
    </w:p>
    <w:p w14:paraId="2BF660D2" w14:textId="77777777" w:rsidR="00DF29A6" w:rsidRDefault="00DF29A6" w:rsidP="00DF29A6">
      <w:pPr>
        <w:spacing w:line="360" w:lineRule="auto"/>
        <w:jc w:val="both"/>
      </w:pPr>
    </w:p>
    <w:p w14:paraId="128A28A3" w14:textId="227545F8" w:rsidR="00DF29A6" w:rsidRDefault="00DF29A6" w:rsidP="00DF29A6">
      <w:pPr>
        <w:spacing w:line="360" w:lineRule="auto"/>
        <w:jc w:val="both"/>
      </w:pPr>
      <w:r>
        <w:t>Word count: 4</w:t>
      </w:r>
      <w:r w:rsidR="000B4563">
        <w:t>21 words</w:t>
      </w:r>
    </w:p>
    <w:p w14:paraId="064C9924" w14:textId="77777777" w:rsidR="00DF29A6" w:rsidRDefault="00DF29A6" w:rsidP="00DF29A6">
      <w:pPr>
        <w:spacing w:line="240" w:lineRule="auto"/>
        <w:jc w:val="both"/>
      </w:pPr>
    </w:p>
    <w:p w14:paraId="439BAB88" w14:textId="77777777" w:rsidR="00DF29A6" w:rsidRDefault="00DF29A6" w:rsidP="00DF29A6">
      <w:pPr>
        <w:spacing w:line="240" w:lineRule="auto"/>
        <w:jc w:val="both"/>
      </w:pPr>
    </w:p>
    <w:p w14:paraId="461055C0" w14:textId="77777777" w:rsidR="00DF29A6" w:rsidRDefault="00DF29A6" w:rsidP="00DF29A6">
      <w:pPr>
        <w:spacing w:line="240" w:lineRule="auto"/>
        <w:jc w:val="both"/>
      </w:pPr>
    </w:p>
    <w:p w14:paraId="7BB67C51" w14:textId="77777777" w:rsidR="00DF29A6" w:rsidRDefault="00DF29A6" w:rsidP="00DF29A6">
      <w:pPr>
        <w:spacing w:line="240" w:lineRule="auto"/>
        <w:jc w:val="both"/>
      </w:pPr>
    </w:p>
    <w:p w14:paraId="22CC19E7" w14:textId="77777777" w:rsidR="00DF29A6" w:rsidRDefault="00DF29A6" w:rsidP="00DF29A6">
      <w:pPr>
        <w:spacing w:line="240" w:lineRule="auto"/>
        <w:jc w:val="both"/>
      </w:pPr>
    </w:p>
    <w:p w14:paraId="0B0A6ABE" w14:textId="77777777" w:rsidR="00DF29A6" w:rsidRDefault="00DF29A6" w:rsidP="00DF29A6">
      <w:pPr>
        <w:spacing w:line="240" w:lineRule="auto"/>
        <w:jc w:val="both"/>
      </w:pPr>
    </w:p>
    <w:p w14:paraId="29ADBADD" w14:textId="77777777" w:rsidR="00DF29A6" w:rsidRDefault="00DF29A6" w:rsidP="00DF29A6">
      <w:pPr>
        <w:spacing w:line="240" w:lineRule="auto"/>
        <w:jc w:val="both"/>
      </w:pPr>
    </w:p>
    <w:p w14:paraId="08E680D6" w14:textId="77777777" w:rsidR="00DF29A6" w:rsidRDefault="00DF29A6" w:rsidP="00DF29A6">
      <w:pPr>
        <w:spacing w:line="240" w:lineRule="auto"/>
        <w:jc w:val="both"/>
      </w:pPr>
    </w:p>
    <w:p w14:paraId="0DE94F56" w14:textId="77777777" w:rsidR="00DF29A6" w:rsidRDefault="00DF29A6" w:rsidP="00DF29A6">
      <w:pPr>
        <w:spacing w:line="240" w:lineRule="auto"/>
        <w:jc w:val="both"/>
      </w:pPr>
    </w:p>
    <w:p w14:paraId="4A95558E" w14:textId="77777777" w:rsidR="00DF29A6" w:rsidRDefault="00DF29A6" w:rsidP="00DF29A6">
      <w:pPr>
        <w:spacing w:line="240" w:lineRule="auto"/>
        <w:jc w:val="both"/>
      </w:pPr>
    </w:p>
    <w:p w14:paraId="5E001515" w14:textId="77777777" w:rsidR="00DF29A6" w:rsidRDefault="00DF29A6" w:rsidP="00DF29A6">
      <w:pPr>
        <w:spacing w:line="240" w:lineRule="auto"/>
        <w:jc w:val="both"/>
      </w:pPr>
    </w:p>
    <w:p w14:paraId="4435A111" w14:textId="77777777" w:rsidR="00DF29A6" w:rsidRDefault="00DF29A6" w:rsidP="00DF29A6">
      <w:pPr>
        <w:spacing w:line="240" w:lineRule="auto"/>
        <w:jc w:val="both"/>
      </w:pPr>
    </w:p>
    <w:p w14:paraId="5870EC3B" w14:textId="77777777" w:rsidR="00DF29A6" w:rsidRDefault="00DF29A6" w:rsidP="00DF29A6">
      <w:pPr>
        <w:spacing w:line="240" w:lineRule="auto"/>
        <w:jc w:val="both"/>
      </w:pPr>
    </w:p>
    <w:p w14:paraId="7F237237" w14:textId="77777777" w:rsidR="00DF29A6" w:rsidRDefault="00DF29A6" w:rsidP="00DF29A6">
      <w:pPr>
        <w:spacing w:line="240" w:lineRule="auto"/>
        <w:jc w:val="both"/>
      </w:pPr>
    </w:p>
    <w:p w14:paraId="0DE19F92" w14:textId="77777777" w:rsidR="00DF29A6" w:rsidRDefault="00DF29A6" w:rsidP="00DF29A6">
      <w:pPr>
        <w:spacing w:line="240" w:lineRule="auto"/>
        <w:jc w:val="both"/>
      </w:pPr>
    </w:p>
    <w:p w14:paraId="23B3539F" w14:textId="77777777" w:rsidR="00DF29A6" w:rsidRDefault="00DF29A6" w:rsidP="00DF29A6">
      <w:pPr>
        <w:spacing w:line="240" w:lineRule="auto"/>
        <w:jc w:val="both"/>
      </w:pPr>
    </w:p>
    <w:p w14:paraId="319BBB5A" w14:textId="77777777" w:rsidR="00DF29A6" w:rsidRDefault="00DF29A6" w:rsidP="00DF29A6">
      <w:pPr>
        <w:spacing w:line="240" w:lineRule="auto"/>
        <w:jc w:val="both"/>
      </w:pPr>
    </w:p>
    <w:p w14:paraId="3E6F3533" w14:textId="77777777" w:rsidR="00DF29A6" w:rsidRDefault="00DF29A6" w:rsidP="00DF29A6">
      <w:pPr>
        <w:spacing w:line="240" w:lineRule="auto"/>
        <w:jc w:val="both"/>
      </w:pPr>
    </w:p>
    <w:p w14:paraId="4B58C6A2" w14:textId="77777777" w:rsidR="00DF29A6" w:rsidRDefault="00DF29A6" w:rsidP="00DF29A6">
      <w:pPr>
        <w:spacing w:line="240" w:lineRule="auto"/>
        <w:jc w:val="both"/>
      </w:pPr>
    </w:p>
    <w:p w14:paraId="27C91E47" w14:textId="77777777" w:rsidR="00DF29A6" w:rsidRDefault="00DF29A6" w:rsidP="00DF29A6">
      <w:pPr>
        <w:spacing w:line="240" w:lineRule="auto"/>
        <w:jc w:val="both"/>
      </w:pPr>
    </w:p>
    <w:p w14:paraId="29B180F4" w14:textId="77777777" w:rsidR="00DF29A6" w:rsidRDefault="00DF29A6" w:rsidP="00DF29A6">
      <w:pPr>
        <w:spacing w:line="240" w:lineRule="auto"/>
        <w:jc w:val="both"/>
      </w:pPr>
    </w:p>
    <w:p w14:paraId="193667A9" w14:textId="7A6E89D9" w:rsidR="00DF29A6" w:rsidRDefault="00DF29A6" w:rsidP="00FA3FC8">
      <w:pPr>
        <w:spacing w:line="240" w:lineRule="auto"/>
        <w:ind w:left="2880" w:firstLine="720"/>
        <w:jc w:val="both"/>
      </w:pPr>
      <w:r>
        <w:lastRenderedPageBreak/>
        <w:t>Reference list</w:t>
      </w:r>
    </w:p>
    <w:p w14:paraId="573380EE" w14:textId="77777777" w:rsidR="00DF29A6" w:rsidRDefault="00DF29A6" w:rsidP="00DF29A6">
      <w:pPr>
        <w:spacing w:line="240" w:lineRule="auto"/>
        <w:jc w:val="both"/>
      </w:pPr>
    </w:p>
    <w:p w14:paraId="6DE60FB0" w14:textId="77777777" w:rsidR="00DF29A6" w:rsidRPr="008E0DE8" w:rsidRDefault="00DF29A6" w:rsidP="00DF29A6">
      <w:pPr>
        <w:spacing w:line="360" w:lineRule="auto"/>
        <w:ind w:left="720" w:hanging="720"/>
        <w:jc w:val="both"/>
      </w:pPr>
      <w:r w:rsidRPr="008E0DE8">
        <w:t xml:space="preserve">Department of Health and Social Care (1985). </w:t>
      </w:r>
      <w:r w:rsidRPr="008E0DE8">
        <w:rPr>
          <w:i/>
          <w:iCs/>
        </w:rPr>
        <w:t>Gillick v West Norfolk and Wisbech Area Health Authority [1985] UKHL 7</w:t>
      </w:r>
      <w:r w:rsidRPr="008E0DE8">
        <w:t>. London: HMSO.</w:t>
      </w:r>
    </w:p>
    <w:p w14:paraId="2DF4BBFD" w14:textId="77777777" w:rsidR="00DF29A6" w:rsidRPr="008E0DE8" w:rsidRDefault="00DF29A6" w:rsidP="00DF29A6">
      <w:pPr>
        <w:spacing w:line="360" w:lineRule="auto"/>
        <w:ind w:left="720" w:hanging="720"/>
        <w:jc w:val="both"/>
      </w:pPr>
      <w:r w:rsidRPr="008E0DE8">
        <w:t xml:space="preserve">Law Wales (2024). </w:t>
      </w:r>
      <w:r w:rsidRPr="008E0DE8">
        <w:rPr>
          <w:i/>
          <w:iCs/>
        </w:rPr>
        <w:t>Children Act 1989</w:t>
      </w:r>
      <w:r w:rsidRPr="008E0DE8">
        <w:t xml:space="preserve">. Cardiff: Law Wales. Available at: </w:t>
      </w:r>
      <w:r w:rsidRPr="002F1C91">
        <w:rPr>
          <w:rStyle w:val="Hyperlink"/>
        </w:rPr>
        <w:t>https://law.gov.wales</w:t>
      </w:r>
      <w:r w:rsidRPr="008E0DE8">
        <w:t xml:space="preserve"> [Accessed 4 Oct. 2025].</w:t>
      </w:r>
    </w:p>
    <w:p w14:paraId="20DCA5DD" w14:textId="77777777" w:rsidR="00DF29A6" w:rsidRPr="008E0DE8" w:rsidRDefault="00DF29A6" w:rsidP="00DF29A6">
      <w:pPr>
        <w:spacing w:line="360" w:lineRule="auto"/>
        <w:ind w:left="720" w:hanging="720"/>
        <w:jc w:val="both"/>
      </w:pPr>
      <w:r w:rsidRPr="008E0DE8">
        <w:t xml:space="preserve">NSPCC (2023). </w:t>
      </w:r>
      <w:r w:rsidRPr="008E0DE8">
        <w:rPr>
          <w:i/>
          <w:iCs/>
        </w:rPr>
        <w:t>Child protection system in the UK</w:t>
      </w:r>
      <w:r w:rsidRPr="008E0DE8">
        <w:t xml:space="preserve">. London: NSPCC. Available at: </w:t>
      </w:r>
      <w:r w:rsidRPr="002F1C91">
        <w:rPr>
          <w:rStyle w:val="Hyperlink"/>
        </w:rPr>
        <w:t>https://www.nspcc.org.uk</w:t>
      </w:r>
      <w:r w:rsidRPr="008E0DE8">
        <w:t xml:space="preserve"> [Accessed 4 Oct. 2025].</w:t>
      </w:r>
    </w:p>
    <w:p w14:paraId="4BD3D7AA" w14:textId="77777777" w:rsidR="00DF29A6" w:rsidRPr="008E0DE8" w:rsidRDefault="00DF29A6" w:rsidP="00DF29A6">
      <w:pPr>
        <w:spacing w:line="360" w:lineRule="auto"/>
        <w:ind w:left="720" w:hanging="720"/>
        <w:jc w:val="both"/>
      </w:pPr>
      <w:r w:rsidRPr="008E0DE8">
        <w:t xml:space="preserve">Safeguarding Wales (2025). </w:t>
      </w:r>
      <w:r w:rsidRPr="008E0DE8">
        <w:rPr>
          <w:i/>
          <w:iCs/>
        </w:rPr>
        <w:t>Safeguarding Procedures and Guidance</w:t>
      </w:r>
      <w:r w:rsidRPr="008E0DE8">
        <w:t xml:space="preserve">. Cardiff: Welsh Government. Available at: </w:t>
      </w:r>
      <w:r w:rsidRPr="002F1C91">
        <w:rPr>
          <w:rStyle w:val="Hyperlink"/>
        </w:rPr>
        <w:t>https://safeguarding.wales</w:t>
      </w:r>
      <w:r w:rsidRPr="008E0DE8">
        <w:t xml:space="preserve"> [Accessed 4 Oct. 2025].</w:t>
      </w:r>
    </w:p>
    <w:p w14:paraId="1905806F" w14:textId="77777777" w:rsidR="00DF29A6" w:rsidRPr="008E0DE8" w:rsidRDefault="00DF29A6" w:rsidP="00DF29A6">
      <w:pPr>
        <w:spacing w:line="360" w:lineRule="auto"/>
        <w:ind w:left="720" w:hanging="720"/>
        <w:jc w:val="both"/>
      </w:pPr>
      <w:r w:rsidRPr="008E0DE8">
        <w:t xml:space="preserve">SCIE (2022). </w:t>
      </w:r>
      <w:r w:rsidRPr="008E0DE8">
        <w:rPr>
          <w:i/>
          <w:iCs/>
        </w:rPr>
        <w:t>Adult safeguarding practice questions</w:t>
      </w:r>
      <w:r w:rsidRPr="008E0DE8">
        <w:t xml:space="preserve">. London: Social Care Institute for Excellence. Available at: </w:t>
      </w:r>
      <w:r w:rsidRPr="00552A90">
        <w:rPr>
          <w:rStyle w:val="Hyperlink"/>
        </w:rPr>
        <w:t>https://www.scie.org.uk</w:t>
      </w:r>
      <w:r w:rsidRPr="008E0DE8">
        <w:t xml:space="preserve"> [Accessed 4 Oct. 2025].</w:t>
      </w:r>
    </w:p>
    <w:p w14:paraId="031CD67A" w14:textId="488F3B29" w:rsidR="00DF29A6" w:rsidRPr="008E0DE8" w:rsidRDefault="00DF29A6" w:rsidP="00DF29A6">
      <w:pPr>
        <w:spacing w:line="360" w:lineRule="auto"/>
        <w:ind w:left="720" w:hanging="720"/>
        <w:jc w:val="both"/>
      </w:pPr>
      <w:r w:rsidRPr="008E0DE8">
        <w:t xml:space="preserve">Social Care Wales (2017). </w:t>
      </w:r>
      <w:r w:rsidRPr="008E0DE8">
        <w:rPr>
          <w:i/>
          <w:iCs/>
        </w:rPr>
        <w:t xml:space="preserve">Code of </w:t>
      </w:r>
      <w:r w:rsidR="002F1C91">
        <w:rPr>
          <w:i/>
          <w:iCs/>
        </w:rPr>
        <w:t>P</w:t>
      </w:r>
      <w:r w:rsidRPr="008E0DE8">
        <w:rPr>
          <w:i/>
          <w:iCs/>
        </w:rPr>
        <w:t xml:space="preserve">rofessional </w:t>
      </w:r>
      <w:r w:rsidR="002F1C91">
        <w:rPr>
          <w:i/>
          <w:iCs/>
        </w:rPr>
        <w:t>P</w:t>
      </w:r>
      <w:r w:rsidRPr="008E0DE8">
        <w:rPr>
          <w:i/>
          <w:iCs/>
        </w:rPr>
        <w:t xml:space="preserve">ractice for </w:t>
      </w:r>
      <w:r w:rsidR="002F1C91">
        <w:rPr>
          <w:i/>
          <w:iCs/>
        </w:rPr>
        <w:t>S</w:t>
      </w:r>
      <w:r w:rsidRPr="008E0DE8">
        <w:rPr>
          <w:i/>
          <w:iCs/>
        </w:rPr>
        <w:t xml:space="preserve">ocial </w:t>
      </w:r>
      <w:r w:rsidR="002F1C91">
        <w:rPr>
          <w:i/>
          <w:iCs/>
        </w:rPr>
        <w:t>C</w:t>
      </w:r>
      <w:r w:rsidRPr="008E0DE8">
        <w:rPr>
          <w:i/>
          <w:iCs/>
        </w:rPr>
        <w:t xml:space="preserve">are </w:t>
      </w:r>
      <w:r w:rsidR="002F1C91">
        <w:rPr>
          <w:i/>
          <w:iCs/>
        </w:rPr>
        <w:t>W</w:t>
      </w:r>
      <w:r w:rsidRPr="008E0DE8">
        <w:rPr>
          <w:i/>
          <w:iCs/>
        </w:rPr>
        <w:t>orkers</w:t>
      </w:r>
      <w:r w:rsidRPr="008E0DE8">
        <w:t xml:space="preserve">. Wales: Social Care Wales. Available at: </w:t>
      </w:r>
      <w:r w:rsidRPr="002F1C91">
        <w:rPr>
          <w:rStyle w:val="Hyperlink"/>
        </w:rPr>
        <w:t xml:space="preserve">https://socialcare.wales/codes-of-practice-and-guidance </w:t>
      </w:r>
      <w:r w:rsidRPr="008E0DE8">
        <w:t>[Accessed 4 Oct. 2025].</w:t>
      </w:r>
    </w:p>
    <w:p w14:paraId="045CC9FC" w14:textId="77777777" w:rsidR="00DF29A6" w:rsidRPr="008E0DE8" w:rsidRDefault="00DF29A6" w:rsidP="00DF29A6">
      <w:pPr>
        <w:spacing w:line="360" w:lineRule="auto"/>
        <w:ind w:left="720" w:hanging="720"/>
        <w:jc w:val="both"/>
      </w:pPr>
      <w:r w:rsidRPr="008E0DE8">
        <w:t xml:space="preserve">UK Government (2005). </w:t>
      </w:r>
      <w:r w:rsidRPr="008E0DE8">
        <w:rPr>
          <w:i/>
          <w:iCs/>
        </w:rPr>
        <w:t>Mental Capacity Act 2005</w:t>
      </w:r>
      <w:r w:rsidRPr="008E0DE8">
        <w:t xml:space="preserve">. London: The Stationery Office. Available at: </w:t>
      </w:r>
      <w:r w:rsidRPr="002F1C91">
        <w:rPr>
          <w:rStyle w:val="Hyperlink"/>
        </w:rPr>
        <w:t>https://www.legislation.gov.uk/ukpga/2005/9/contents</w:t>
      </w:r>
      <w:r w:rsidRPr="008E0DE8">
        <w:t xml:space="preserve"> [Accessed 4 Oct. 2025].</w:t>
      </w:r>
    </w:p>
    <w:p w14:paraId="76BD7CD9" w14:textId="77777777" w:rsidR="00DF29A6" w:rsidRPr="008E0DE8" w:rsidRDefault="00DF29A6" w:rsidP="00DF29A6">
      <w:pPr>
        <w:spacing w:line="360" w:lineRule="auto"/>
        <w:ind w:left="720" w:hanging="720"/>
        <w:jc w:val="both"/>
      </w:pPr>
      <w:r w:rsidRPr="008E0DE8">
        <w:t xml:space="preserve">Welsh Government (2014). </w:t>
      </w:r>
      <w:r w:rsidRPr="008E0DE8">
        <w:rPr>
          <w:i/>
          <w:iCs/>
        </w:rPr>
        <w:t>Social Services and Well-being (Wales) Act 2014</w:t>
      </w:r>
      <w:r w:rsidRPr="008E0DE8">
        <w:t xml:space="preserve">. Cardiff: Welsh Government. Available at: </w:t>
      </w:r>
      <w:r w:rsidRPr="002F1C91">
        <w:rPr>
          <w:rStyle w:val="Hyperlink"/>
        </w:rPr>
        <w:t>https://www.legislation.gov.uk/anaw/2014/4/contents</w:t>
      </w:r>
      <w:r w:rsidRPr="008E0DE8">
        <w:t xml:space="preserve"> [Accessed 4 Oct. 2025].</w:t>
      </w:r>
    </w:p>
    <w:p w14:paraId="5E6B796C" w14:textId="77777777" w:rsidR="00DF29A6" w:rsidRPr="00054C4F" w:rsidRDefault="00DF29A6" w:rsidP="00DF29A6">
      <w:pPr>
        <w:spacing w:line="240" w:lineRule="auto"/>
        <w:jc w:val="both"/>
      </w:pPr>
    </w:p>
    <w:p w14:paraId="5C1E04D1" w14:textId="77777777" w:rsidR="00DF29A6" w:rsidRPr="00B022A4" w:rsidRDefault="00DF29A6" w:rsidP="00DF29A6">
      <w:pPr>
        <w:spacing w:line="240" w:lineRule="auto"/>
        <w:jc w:val="both"/>
      </w:pPr>
    </w:p>
    <w:p w14:paraId="06ABA4F0" w14:textId="77777777" w:rsidR="00DF29A6" w:rsidRPr="0025553D" w:rsidRDefault="00DF29A6" w:rsidP="00DF29A6">
      <w:pPr>
        <w:spacing w:line="240" w:lineRule="auto"/>
      </w:pPr>
    </w:p>
    <w:p w14:paraId="540E4846" w14:textId="77777777" w:rsidR="00DF29A6" w:rsidRPr="001668BD" w:rsidRDefault="00DF29A6" w:rsidP="00D73FAF">
      <w:pPr>
        <w:spacing w:line="480" w:lineRule="auto"/>
        <w:ind w:left="720" w:hanging="720"/>
        <w:jc w:val="both"/>
      </w:pPr>
    </w:p>
    <w:p w14:paraId="1354681C" w14:textId="77777777" w:rsidR="001668BD" w:rsidRPr="008B22E7" w:rsidRDefault="001668BD" w:rsidP="004F3774">
      <w:pPr>
        <w:spacing w:line="360" w:lineRule="auto"/>
        <w:jc w:val="both"/>
      </w:pPr>
    </w:p>
    <w:p w14:paraId="4C1600E4" w14:textId="77777777" w:rsidR="003853E8" w:rsidRPr="008B22E7" w:rsidRDefault="003853E8"/>
    <w:p w14:paraId="1E69B5DA" w14:textId="77777777" w:rsidR="008F7F1C" w:rsidRPr="008B22E7" w:rsidRDefault="008F7F1C"/>
    <w:p w14:paraId="2F5AE275" w14:textId="77777777" w:rsidR="008F7F1C" w:rsidRPr="008B22E7" w:rsidRDefault="008F7F1C"/>
    <w:p w14:paraId="59DA10B0" w14:textId="77777777" w:rsidR="008F7F1C" w:rsidRPr="008B22E7" w:rsidRDefault="008F7F1C"/>
    <w:p w14:paraId="4579825F" w14:textId="77777777" w:rsidR="008F7F1C" w:rsidRPr="008B22E7" w:rsidRDefault="008F7F1C"/>
    <w:sectPr w:rsidR="008F7F1C" w:rsidRPr="008B22E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061C3" w14:textId="77777777" w:rsidR="004E2C04" w:rsidRDefault="004E2C04" w:rsidP="00D056C4">
      <w:pPr>
        <w:spacing w:after="0" w:line="240" w:lineRule="auto"/>
      </w:pPr>
      <w:r>
        <w:separator/>
      </w:r>
    </w:p>
  </w:endnote>
  <w:endnote w:type="continuationSeparator" w:id="0">
    <w:p w14:paraId="03B87AEB" w14:textId="77777777" w:rsidR="004E2C04" w:rsidRDefault="004E2C04" w:rsidP="00D0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537805"/>
      <w:docPartObj>
        <w:docPartGallery w:val="Page Numbers (Bottom of Page)"/>
        <w:docPartUnique/>
      </w:docPartObj>
    </w:sdtPr>
    <w:sdtEndPr>
      <w:rPr>
        <w:noProof/>
      </w:rPr>
    </w:sdtEndPr>
    <w:sdtContent>
      <w:p w14:paraId="33984DAA" w14:textId="641F6270" w:rsidR="00D056C4" w:rsidRDefault="00D056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2C17F9" w14:textId="77777777" w:rsidR="00D056C4" w:rsidRDefault="00D05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5D91A" w14:textId="77777777" w:rsidR="004E2C04" w:rsidRDefault="004E2C04" w:rsidP="00D056C4">
      <w:pPr>
        <w:spacing w:after="0" w:line="240" w:lineRule="auto"/>
      </w:pPr>
      <w:r>
        <w:separator/>
      </w:r>
    </w:p>
  </w:footnote>
  <w:footnote w:type="continuationSeparator" w:id="0">
    <w:p w14:paraId="10D2366B" w14:textId="77777777" w:rsidR="004E2C04" w:rsidRDefault="004E2C04" w:rsidP="00D05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D1177" w14:textId="07F402A5" w:rsidR="000B4563" w:rsidRDefault="000B4563">
    <w:pPr>
      <w:pStyle w:val="Header"/>
    </w:pPr>
    <w:r>
      <w:t>Student No 241</w:t>
    </w:r>
    <w:r w:rsidR="00EA21E4">
      <w:t>8600</w:t>
    </w:r>
  </w:p>
  <w:p w14:paraId="4FC0CFAC" w14:textId="77777777" w:rsidR="000B4563" w:rsidRDefault="000B4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31303"/>
    <w:multiLevelType w:val="multilevel"/>
    <w:tmpl w:val="F722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48995852">
    <w:abstractNumId w:val="0"/>
  </w:num>
  <w:num w:numId="2" w16cid:durableId="1616595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77E"/>
    <w:rsid w:val="00000049"/>
    <w:rsid w:val="0000462F"/>
    <w:rsid w:val="00007D23"/>
    <w:rsid w:val="000103DD"/>
    <w:rsid w:val="00015151"/>
    <w:rsid w:val="00025244"/>
    <w:rsid w:val="00041112"/>
    <w:rsid w:val="000455FC"/>
    <w:rsid w:val="00045E59"/>
    <w:rsid w:val="00061DA9"/>
    <w:rsid w:val="000667F7"/>
    <w:rsid w:val="0008107E"/>
    <w:rsid w:val="00087AC4"/>
    <w:rsid w:val="000900BB"/>
    <w:rsid w:val="00090D54"/>
    <w:rsid w:val="0009138B"/>
    <w:rsid w:val="00095643"/>
    <w:rsid w:val="00097B51"/>
    <w:rsid w:val="000A1242"/>
    <w:rsid w:val="000A1F79"/>
    <w:rsid w:val="000A4510"/>
    <w:rsid w:val="000B4563"/>
    <w:rsid w:val="000C073D"/>
    <w:rsid w:val="000C4AA2"/>
    <w:rsid w:val="000C4B67"/>
    <w:rsid w:val="000E5014"/>
    <w:rsid w:val="000F6910"/>
    <w:rsid w:val="00100E15"/>
    <w:rsid w:val="00101F5D"/>
    <w:rsid w:val="00104033"/>
    <w:rsid w:val="00115EC2"/>
    <w:rsid w:val="00116EB8"/>
    <w:rsid w:val="0011729C"/>
    <w:rsid w:val="00120621"/>
    <w:rsid w:val="00121ACA"/>
    <w:rsid w:val="00124298"/>
    <w:rsid w:val="00131738"/>
    <w:rsid w:val="001377D9"/>
    <w:rsid w:val="001413F1"/>
    <w:rsid w:val="001529FE"/>
    <w:rsid w:val="0015447B"/>
    <w:rsid w:val="001604A3"/>
    <w:rsid w:val="001668BD"/>
    <w:rsid w:val="001669D0"/>
    <w:rsid w:val="00186AB2"/>
    <w:rsid w:val="001875FB"/>
    <w:rsid w:val="00190E0A"/>
    <w:rsid w:val="0019784A"/>
    <w:rsid w:val="00197CE6"/>
    <w:rsid w:val="001A7F16"/>
    <w:rsid w:val="001B31EA"/>
    <w:rsid w:val="001C0A7F"/>
    <w:rsid w:val="001C35BB"/>
    <w:rsid w:val="001C51A9"/>
    <w:rsid w:val="001C5297"/>
    <w:rsid w:val="001C5350"/>
    <w:rsid w:val="001F2217"/>
    <w:rsid w:val="001F6789"/>
    <w:rsid w:val="002017FD"/>
    <w:rsid w:val="00204AA0"/>
    <w:rsid w:val="0022095B"/>
    <w:rsid w:val="00223E8A"/>
    <w:rsid w:val="002309D0"/>
    <w:rsid w:val="002345F6"/>
    <w:rsid w:val="00250908"/>
    <w:rsid w:val="002546D1"/>
    <w:rsid w:val="0025553D"/>
    <w:rsid w:val="002578E8"/>
    <w:rsid w:val="00264B86"/>
    <w:rsid w:val="002654E4"/>
    <w:rsid w:val="00266BA6"/>
    <w:rsid w:val="00271212"/>
    <w:rsid w:val="00283B81"/>
    <w:rsid w:val="00295FF4"/>
    <w:rsid w:val="0029671D"/>
    <w:rsid w:val="002A7770"/>
    <w:rsid w:val="002A7A04"/>
    <w:rsid w:val="002B1382"/>
    <w:rsid w:val="002D7442"/>
    <w:rsid w:val="002D78DF"/>
    <w:rsid w:val="002E4BCC"/>
    <w:rsid w:val="002F1C91"/>
    <w:rsid w:val="002F425E"/>
    <w:rsid w:val="00314572"/>
    <w:rsid w:val="00315DE4"/>
    <w:rsid w:val="00321600"/>
    <w:rsid w:val="00322670"/>
    <w:rsid w:val="003312A4"/>
    <w:rsid w:val="0033616C"/>
    <w:rsid w:val="00343B8D"/>
    <w:rsid w:val="003500D1"/>
    <w:rsid w:val="0035115F"/>
    <w:rsid w:val="00351B7D"/>
    <w:rsid w:val="00354ECA"/>
    <w:rsid w:val="0035576E"/>
    <w:rsid w:val="00364B62"/>
    <w:rsid w:val="0037325E"/>
    <w:rsid w:val="00381771"/>
    <w:rsid w:val="00384AE1"/>
    <w:rsid w:val="003853E8"/>
    <w:rsid w:val="00390588"/>
    <w:rsid w:val="0039274D"/>
    <w:rsid w:val="003A7589"/>
    <w:rsid w:val="003B054C"/>
    <w:rsid w:val="003C2731"/>
    <w:rsid w:val="003C66B0"/>
    <w:rsid w:val="003D4565"/>
    <w:rsid w:val="003D64CA"/>
    <w:rsid w:val="003E5428"/>
    <w:rsid w:val="003E5D43"/>
    <w:rsid w:val="003F02A8"/>
    <w:rsid w:val="004041A3"/>
    <w:rsid w:val="00411607"/>
    <w:rsid w:val="00413A2C"/>
    <w:rsid w:val="00415EB4"/>
    <w:rsid w:val="004239F8"/>
    <w:rsid w:val="00433486"/>
    <w:rsid w:val="004334E3"/>
    <w:rsid w:val="00443EF6"/>
    <w:rsid w:val="00446EE4"/>
    <w:rsid w:val="00451221"/>
    <w:rsid w:val="004519DE"/>
    <w:rsid w:val="00455EAA"/>
    <w:rsid w:val="00466C0E"/>
    <w:rsid w:val="00471BC3"/>
    <w:rsid w:val="00486236"/>
    <w:rsid w:val="0049157B"/>
    <w:rsid w:val="00497B60"/>
    <w:rsid w:val="004A2697"/>
    <w:rsid w:val="004A3565"/>
    <w:rsid w:val="004A45B5"/>
    <w:rsid w:val="004A68FA"/>
    <w:rsid w:val="004B2BA8"/>
    <w:rsid w:val="004B5760"/>
    <w:rsid w:val="004C1EB4"/>
    <w:rsid w:val="004D3A3D"/>
    <w:rsid w:val="004D5EB7"/>
    <w:rsid w:val="004E22DA"/>
    <w:rsid w:val="004E2C04"/>
    <w:rsid w:val="004E5E1E"/>
    <w:rsid w:val="004E7D33"/>
    <w:rsid w:val="004F3774"/>
    <w:rsid w:val="00502E5D"/>
    <w:rsid w:val="00510D1B"/>
    <w:rsid w:val="00514A51"/>
    <w:rsid w:val="00515114"/>
    <w:rsid w:val="00515122"/>
    <w:rsid w:val="00516667"/>
    <w:rsid w:val="00523AF1"/>
    <w:rsid w:val="00526708"/>
    <w:rsid w:val="00534FF6"/>
    <w:rsid w:val="005451C5"/>
    <w:rsid w:val="005519A2"/>
    <w:rsid w:val="00551A4C"/>
    <w:rsid w:val="00552A90"/>
    <w:rsid w:val="00562362"/>
    <w:rsid w:val="0056484E"/>
    <w:rsid w:val="005655EA"/>
    <w:rsid w:val="00567ADC"/>
    <w:rsid w:val="00572F19"/>
    <w:rsid w:val="00573AA6"/>
    <w:rsid w:val="005805CE"/>
    <w:rsid w:val="005817A8"/>
    <w:rsid w:val="00582980"/>
    <w:rsid w:val="00585BD2"/>
    <w:rsid w:val="00586127"/>
    <w:rsid w:val="00587E9C"/>
    <w:rsid w:val="00597C1C"/>
    <w:rsid w:val="005A2C07"/>
    <w:rsid w:val="005A70E4"/>
    <w:rsid w:val="005B4F1D"/>
    <w:rsid w:val="005B5507"/>
    <w:rsid w:val="005C19C3"/>
    <w:rsid w:val="005C6DD9"/>
    <w:rsid w:val="005C7D74"/>
    <w:rsid w:val="005D45C0"/>
    <w:rsid w:val="005D4705"/>
    <w:rsid w:val="005D531F"/>
    <w:rsid w:val="005E75CC"/>
    <w:rsid w:val="005F1C34"/>
    <w:rsid w:val="005F4ACE"/>
    <w:rsid w:val="005F687C"/>
    <w:rsid w:val="006224A7"/>
    <w:rsid w:val="006232E1"/>
    <w:rsid w:val="00623336"/>
    <w:rsid w:val="00626819"/>
    <w:rsid w:val="00632781"/>
    <w:rsid w:val="00636BB2"/>
    <w:rsid w:val="00643D4B"/>
    <w:rsid w:val="00644F21"/>
    <w:rsid w:val="00655179"/>
    <w:rsid w:val="006564F2"/>
    <w:rsid w:val="00656E05"/>
    <w:rsid w:val="00657193"/>
    <w:rsid w:val="0066209C"/>
    <w:rsid w:val="00674E19"/>
    <w:rsid w:val="00677866"/>
    <w:rsid w:val="00687B1D"/>
    <w:rsid w:val="00690614"/>
    <w:rsid w:val="0069127A"/>
    <w:rsid w:val="00691702"/>
    <w:rsid w:val="00694DDF"/>
    <w:rsid w:val="006A478C"/>
    <w:rsid w:val="006B11E7"/>
    <w:rsid w:val="006B1E22"/>
    <w:rsid w:val="006B2A77"/>
    <w:rsid w:val="006B2DEF"/>
    <w:rsid w:val="006B4276"/>
    <w:rsid w:val="006B525F"/>
    <w:rsid w:val="006C21F4"/>
    <w:rsid w:val="006D0425"/>
    <w:rsid w:val="006D2D41"/>
    <w:rsid w:val="006D4A08"/>
    <w:rsid w:val="006D6E27"/>
    <w:rsid w:val="006E3B91"/>
    <w:rsid w:val="006E3F1C"/>
    <w:rsid w:val="006E4D2D"/>
    <w:rsid w:val="006F02E0"/>
    <w:rsid w:val="006F3CB9"/>
    <w:rsid w:val="006F4DA4"/>
    <w:rsid w:val="00717489"/>
    <w:rsid w:val="00726717"/>
    <w:rsid w:val="00733235"/>
    <w:rsid w:val="00734A06"/>
    <w:rsid w:val="00741D0F"/>
    <w:rsid w:val="00747B58"/>
    <w:rsid w:val="00752D65"/>
    <w:rsid w:val="007572CA"/>
    <w:rsid w:val="00761FAF"/>
    <w:rsid w:val="0076595D"/>
    <w:rsid w:val="00765D7C"/>
    <w:rsid w:val="0077056D"/>
    <w:rsid w:val="00770BD2"/>
    <w:rsid w:val="00771602"/>
    <w:rsid w:val="00774115"/>
    <w:rsid w:val="00774C13"/>
    <w:rsid w:val="00776180"/>
    <w:rsid w:val="00782F84"/>
    <w:rsid w:val="00786B9D"/>
    <w:rsid w:val="007901F6"/>
    <w:rsid w:val="0079037E"/>
    <w:rsid w:val="00792317"/>
    <w:rsid w:val="007973E1"/>
    <w:rsid w:val="007978AF"/>
    <w:rsid w:val="007A07BC"/>
    <w:rsid w:val="007A1ABC"/>
    <w:rsid w:val="007A48F1"/>
    <w:rsid w:val="007A797B"/>
    <w:rsid w:val="007B745D"/>
    <w:rsid w:val="007C301E"/>
    <w:rsid w:val="007C3AE9"/>
    <w:rsid w:val="007C5ED7"/>
    <w:rsid w:val="007D270C"/>
    <w:rsid w:val="007D4452"/>
    <w:rsid w:val="007E0CB6"/>
    <w:rsid w:val="007E3BE9"/>
    <w:rsid w:val="00803460"/>
    <w:rsid w:val="008039B0"/>
    <w:rsid w:val="008062B7"/>
    <w:rsid w:val="00811293"/>
    <w:rsid w:val="0081273D"/>
    <w:rsid w:val="00814EA6"/>
    <w:rsid w:val="008155C4"/>
    <w:rsid w:val="0082019E"/>
    <w:rsid w:val="00822496"/>
    <w:rsid w:val="00824189"/>
    <w:rsid w:val="008319FE"/>
    <w:rsid w:val="0083469A"/>
    <w:rsid w:val="008360BA"/>
    <w:rsid w:val="00837FD8"/>
    <w:rsid w:val="0084128B"/>
    <w:rsid w:val="0084140B"/>
    <w:rsid w:val="008418AF"/>
    <w:rsid w:val="0084357D"/>
    <w:rsid w:val="008462B4"/>
    <w:rsid w:val="008473B4"/>
    <w:rsid w:val="00847F3F"/>
    <w:rsid w:val="00853E2B"/>
    <w:rsid w:val="008609FE"/>
    <w:rsid w:val="00864B08"/>
    <w:rsid w:val="00865AD5"/>
    <w:rsid w:val="0087077B"/>
    <w:rsid w:val="008747DB"/>
    <w:rsid w:val="008761CA"/>
    <w:rsid w:val="0088725B"/>
    <w:rsid w:val="008917DE"/>
    <w:rsid w:val="00892976"/>
    <w:rsid w:val="0089646A"/>
    <w:rsid w:val="00897203"/>
    <w:rsid w:val="008A1DAE"/>
    <w:rsid w:val="008A226E"/>
    <w:rsid w:val="008B22E7"/>
    <w:rsid w:val="008B4B0D"/>
    <w:rsid w:val="008B5EA7"/>
    <w:rsid w:val="008C60FF"/>
    <w:rsid w:val="008C7837"/>
    <w:rsid w:val="008D1724"/>
    <w:rsid w:val="008D61DE"/>
    <w:rsid w:val="008F7F1C"/>
    <w:rsid w:val="00903C25"/>
    <w:rsid w:val="0091094C"/>
    <w:rsid w:val="009136E1"/>
    <w:rsid w:val="00930384"/>
    <w:rsid w:val="0094570A"/>
    <w:rsid w:val="00951412"/>
    <w:rsid w:val="0095513A"/>
    <w:rsid w:val="00956555"/>
    <w:rsid w:val="0096292C"/>
    <w:rsid w:val="0096437E"/>
    <w:rsid w:val="00964497"/>
    <w:rsid w:val="009706A7"/>
    <w:rsid w:val="00970E88"/>
    <w:rsid w:val="009724BF"/>
    <w:rsid w:val="00973C54"/>
    <w:rsid w:val="009857EA"/>
    <w:rsid w:val="00986C90"/>
    <w:rsid w:val="0099111D"/>
    <w:rsid w:val="00996233"/>
    <w:rsid w:val="009A4D36"/>
    <w:rsid w:val="009B0CE2"/>
    <w:rsid w:val="009B2632"/>
    <w:rsid w:val="009B4C13"/>
    <w:rsid w:val="009D6E5D"/>
    <w:rsid w:val="009E2693"/>
    <w:rsid w:val="009E5641"/>
    <w:rsid w:val="009E69A3"/>
    <w:rsid w:val="009F2CF9"/>
    <w:rsid w:val="009F7859"/>
    <w:rsid w:val="00A03C08"/>
    <w:rsid w:val="00A05C21"/>
    <w:rsid w:val="00A1082A"/>
    <w:rsid w:val="00A142F1"/>
    <w:rsid w:val="00A212F1"/>
    <w:rsid w:val="00A234D3"/>
    <w:rsid w:val="00A24E76"/>
    <w:rsid w:val="00A319D8"/>
    <w:rsid w:val="00A3417F"/>
    <w:rsid w:val="00A43453"/>
    <w:rsid w:val="00A5116D"/>
    <w:rsid w:val="00A5141D"/>
    <w:rsid w:val="00A52E1E"/>
    <w:rsid w:val="00A56274"/>
    <w:rsid w:val="00A64ED6"/>
    <w:rsid w:val="00A65C01"/>
    <w:rsid w:val="00A65F1B"/>
    <w:rsid w:val="00A73DCD"/>
    <w:rsid w:val="00A7418F"/>
    <w:rsid w:val="00A76582"/>
    <w:rsid w:val="00A77047"/>
    <w:rsid w:val="00A8099B"/>
    <w:rsid w:val="00A824D3"/>
    <w:rsid w:val="00A82828"/>
    <w:rsid w:val="00A86D66"/>
    <w:rsid w:val="00A9573C"/>
    <w:rsid w:val="00A966F1"/>
    <w:rsid w:val="00AA0410"/>
    <w:rsid w:val="00AA677E"/>
    <w:rsid w:val="00AB68B6"/>
    <w:rsid w:val="00AC16F3"/>
    <w:rsid w:val="00AC1F7E"/>
    <w:rsid w:val="00AC46E8"/>
    <w:rsid w:val="00AC72C5"/>
    <w:rsid w:val="00AC73F6"/>
    <w:rsid w:val="00AD23D9"/>
    <w:rsid w:val="00AD7367"/>
    <w:rsid w:val="00AE05B1"/>
    <w:rsid w:val="00AE1785"/>
    <w:rsid w:val="00AF1BF4"/>
    <w:rsid w:val="00AF7EBB"/>
    <w:rsid w:val="00B022A4"/>
    <w:rsid w:val="00B119A6"/>
    <w:rsid w:val="00B147B9"/>
    <w:rsid w:val="00B20454"/>
    <w:rsid w:val="00B23737"/>
    <w:rsid w:val="00B2614E"/>
    <w:rsid w:val="00B304E5"/>
    <w:rsid w:val="00B30E4E"/>
    <w:rsid w:val="00B3764D"/>
    <w:rsid w:val="00B40345"/>
    <w:rsid w:val="00B41BD4"/>
    <w:rsid w:val="00B524D2"/>
    <w:rsid w:val="00B53504"/>
    <w:rsid w:val="00B57988"/>
    <w:rsid w:val="00B6514C"/>
    <w:rsid w:val="00B65745"/>
    <w:rsid w:val="00B659C9"/>
    <w:rsid w:val="00B67FEB"/>
    <w:rsid w:val="00B707D8"/>
    <w:rsid w:val="00B71F92"/>
    <w:rsid w:val="00B829CF"/>
    <w:rsid w:val="00B8486C"/>
    <w:rsid w:val="00B86448"/>
    <w:rsid w:val="00B87648"/>
    <w:rsid w:val="00B92221"/>
    <w:rsid w:val="00B95806"/>
    <w:rsid w:val="00BA0949"/>
    <w:rsid w:val="00BA5585"/>
    <w:rsid w:val="00BA7648"/>
    <w:rsid w:val="00BB2E8E"/>
    <w:rsid w:val="00BC18EB"/>
    <w:rsid w:val="00BC3737"/>
    <w:rsid w:val="00BC4C7F"/>
    <w:rsid w:val="00BD1880"/>
    <w:rsid w:val="00BE4E5F"/>
    <w:rsid w:val="00BF42D6"/>
    <w:rsid w:val="00C026CB"/>
    <w:rsid w:val="00C04A4D"/>
    <w:rsid w:val="00C0555A"/>
    <w:rsid w:val="00C0684F"/>
    <w:rsid w:val="00C135E8"/>
    <w:rsid w:val="00C25EAC"/>
    <w:rsid w:val="00C30957"/>
    <w:rsid w:val="00C30CC6"/>
    <w:rsid w:val="00C32E47"/>
    <w:rsid w:val="00C34517"/>
    <w:rsid w:val="00C46F1F"/>
    <w:rsid w:val="00C63447"/>
    <w:rsid w:val="00C649D1"/>
    <w:rsid w:val="00C656BE"/>
    <w:rsid w:val="00C66D62"/>
    <w:rsid w:val="00C71634"/>
    <w:rsid w:val="00C724FA"/>
    <w:rsid w:val="00C7319B"/>
    <w:rsid w:val="00C750AC"/>
    <w:rsid w:val="00C8445F"/>
    <w:rsid w:val="00C876EF"/>
    <w:rsid w:val="00C9056C"/>
    <w:rsid w:val="00C91A36"/>
    <w:rsid w:val="00C91B4C"/>
    <w:rsid w:val="00C93344"/>
    <w:rsid w:val="00C96DFE"/>
    <w:rsid w:val="00CA13FE"/>
    <w:rsid w:val="00CA166B"/>
    <w:rsid w:val="00CA7336"/>
    <w:rsid w:val="00CC0DB6"/>
    <w:rsid w:val="00CD22C7"/>
    <w:rsid w:val="00CE0057"/>
    <w:rsid w:val="00CE2B45"/>
    <w:rsid w:val="00CE3470"/>
    <w:rsid w:val="00CE4CA3"/>
    <w:rsid w:val="00CE587C"/>
    <w:rsid w:val="00CE6869"/>
    <w:rsid w:val="00CE6BB5"/>
    <w:rsid w:val="00CE781C"/>
    <w:rsid w:val="00CF0655"/>
    <w:rsid w:val="00CF3245"/>
    <w:rsid w:val="00CF4444"/>
    <w:rsid w:val="00CF718B"/>
    <w:rsid w:val="00D056C4"/>
    <w:rsid w:val="00D10DC4"/>
    <w:rsid w:val="00D13AA3"/>
    <w:rsid w:val="00D13AA7"/>
    <w:rsid w:val="00D200F6"/>
    <w:rsid w:val="00D201D4"/>
    <w:rsid w:val="00D26A01"/>
    <w:rsid w:val="00D30A36"/>
    <w:rsid w:val="00D33247"/>
    <w:rsid w:val="00D3356E"/>
    <w:rsid w:val="00D4229E"/>
    <w:rsid w:val="00D53AA5"/>
    <w:rsid w:val="00D57A28"/>
    <w:rsid w:val="00D57AF7"/>
    <w:rsid w:val="00D61B7A"/>
    <w:rsid w:val="00D713EB"/>
    <w:rsid w:val="00D71F6F"/>
    <w:rsid w:val="00D73FAF"/>
    <w:rsid w:val="00D8739F"/>
    <w:rsid w:val="00D93AB9"/>
    <w:rsid w:val="00D95059"/>
    <w:rsid w:val="00DB27E4"/>
    <w:rsid w:val="00DB35C9"/>
    <w:rsid w:val="00DB428E"/>
    <w:rsid w:val="00DB6400"/>
    <w:rsid w:val="00DC0C6D"/>
    <w:rsid w:val="00DC3B5B"/>
    <w:rsid w:val="00DC535E"/>
    <w:rsid w:val="00DC7AAB"/>
    <w:rsid w:val="00DD1A45"/>
    <w:rsid w:val="00DD6864"/>
    <w:rsid w:val="00DD6F77"/>
    <w:rsid w:val="00DE05B2"/>
    <w:rsid w:val="00DE349D"/>
    <w:rsid w:val="00DE5CFF"/>
    <w:rsid w:val="00DE75F5"/>
    <w:rsid w:val="00DF29A6"/>
    <w:rsid w:val="00DF4AE1"/>
    <w:rsid w:val="00DF5AB9"/>
    <w:rsid w:val="00E00043"/>
    <w:rsid w:val="00E0037E"/>
    <w:rsid w:val="00E03C42"/>
    <w:rsid w:val="00E12307"/>
    <w:rsid w:val="00E12892"/>
    <w:rsid w:val="00E13211"/>
    <w:rsid w:val="00E14F9D"/>
    <w:rsid w:val="00E4008C"/>
    <w:rsid w:val="00E42B40"/>
    <w:rsid w:val="00E43F37"/>
    <w:rsid w:val="00E44F23"/>
    <w:rsid w:val="00E57AB1"/>
    <w:rsid w:val="00E66157"/>
    <w:rsid w:val="00E724D5"/>
    <w:rsid w:val="00E77B09"/>
    <w:rsid w:val="00E85E10"/>
    <w:rsid w:val="00E860EB"/>
    <w:rsid w:val="00E91760"/>
    <w:rsid w:val="00E91CCC"/>
    <w:rsid w:val="00E942A5"/>
    <w:rsid w:val="00EA21E4"/>
    <w:rsid w:val="00EA4900"/>
    <w:rsid w:val="00EA6147"/>
    <w:rsid w:val="00EA792C"/>
    <w:rsid w:val="00EB1B09"/>
    <w:rsid w:val="00EB516B"/>
    <w:rsid w:val="00EC178E"/>
    <w:rsid w:val="00EC23E4"/>
    <w:rsid w:val="00EC5976"/>
    <w:rsid w:val="00ED0A0B"/>
    <w:rsid w:val="00ED2B22"/>
    <w:rsid w:val="00ED301F"/>
    <w:rsid w:val="00ED5749"/>
    <w:rsid w:val="00EE38F7"/>
    <w:rsid w:val="00EE4296"/>
    <w:rsid w:val="00EE5A1F"/>
    <w:rsid w:val="00EF7E64"/>
    <w:rsid w:val="00F11149"/>
    <w:rsid w:val="00F22DC7"/>
    <w:rsid w:val="00F23839"/>
    <w:rsid w:val="00F24481"/>
    <w:rsid w:val="00F24884"/>
    <w:rsid w:val="00F35CA9"/>
    <w:rsid w:val="00F36F0D"/>
    <w:rsid w:val="00F40E66"/>
    <w:rsid w:val="00F55097"/>
    <w:rsid w:val="00F602EC"/>
    <w:rsid w:val="00F60703"/>
    <w:rsid w:val="00F60835"/>
    <w:rsid w:val="00F6099C"/>
    <w:rsid w:val="00F63A70"/>
    <w:rsid w:val="00F6714E"/>
    <w:rsid w:val="00F67629"/>
    <w:rsid w:val="00F725AB"/>
    <w:rsid w:val="00F72BC1"/>
    <w:rsid w:val="00F746BE"/>
    <w:rsid w:val="00F847DB"/>
    <w:rsid w:val="00F86AD6"/>
    <w:rsid w:val="00F87623"/>
    <w:rsid w:val="00F90EF0"/>
    <w:rsid w:val="00F925A3"/>
    <w:rsid w:val="00F93883"/>
    <w:rsid w:val="00FA00E0"/>
    <w:rsid w:val="00FA02E8"/>
    <w:rsid w:val="00FA30F3"/>
    <w:rsid w:val="00FA35FC"/>
    <w:rsid w:val="00FA3FC8"/>
    <w:rsid w:val="00FA6A91"/>
    <w:rsid w:val="00FA7D26"/>
    <w:rsid w:val="00FC1ABB"/>
    <w:rsid w:val="00FC6018"/>
    <w:rsid w:val="00FC7341"/>
    <w:rsid w:val="00FD1361"/>
    <w:rsid w:val="00FD49A8"/>
    <w:rsid w:val="00FD4FEF"/>
    <w:rsid w:val="00FD6C14"/>
    <w:rsid w:val="00FD72E3"/>
    <w:rsid w:val="00FE0957"/>
    <w:rsid w:val="00FE28B4"/>
    <w:rsid w:val="00FF1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CECE6"/>
  <w15:chartTrackingRefBased/>
  <w15:docId w15:val="{3545C1E2-EAA4-40CB-A979-86890685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7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67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677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677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A677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A677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677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677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677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6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677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677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A677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A677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A677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A677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A677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A6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77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77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A677E"/>
    <w:pPr>
      <w:spacing w:before="160"/>
      <w:jc w:val="center"/>
    </w:pPr>
    <w:rPr>
      <w:i/>
      <w:iCs/>
      <w:color w:val="404040" w:themeColor="text1" w:themeTint="BF"/>
    </w:rPr>
  </w:style>
  <w:style w:type="character" w:customStyle="1" w:styleId="QuoteChar">
    <w:name w:val="Quote Char"/>
    <w:basedOn w:val="DefaultParagraphFont"/>
    <w:link w:val="Quote"/>
    <w:uiPriority w:val="29"/>
    <w:rsid w:val="00AA677E"/>
    <w:rPr>
      <w:i/>
      <w:iCs/>
      <w:color w:val="404040" w:themeColor="text1" w:themeTint="BF"/>
    </w:rPr>
  </w:style>
  <w:style w:type="paragraph" w:styleId="ListParagraph">
    <w:name w:val="List Paragraph"/>
    <w:basedOn w:val="Normal"/>
    <w:uiPriority w:val="34"/>
    <w:qFormat/>
    <w:rsid w:val="00AA677E"/>
    <w:pPr>
      <w:ind w:left="720"/>
      <w:contextualSpacing/>
    </w:pPr>
  </w:style>
  <w:style w:type="character" w:styleId="IntenseEmphasis">
    <w:name w:val="Intense Emphasis"/>
    <w:basedOn w:val="DefaultParagraphFont"/>
    <w:uiPriority w:val="21"/>
    <w:qFormat/>
    <w:rsid w:val="00AA677E"/>
    <w:rPr>
      <w:i/>
      <w:iCs/>
      <w:color w:val="2F5496" w:themeColor="accent1" w:themeShade="BF"/>
    </w:rPr>
  </w:style>
  <w:style w:type="paragraph" w:styleId="IntenseQuote">
    <w:name w:val="Intense Quote"/>
    <w:basedOn w:val="Normal"/>
    <w:next w:val="Normal"/>
    <w:link w:val="IntenseQuoteChar"/>
    <w:uiPriority w:val="30"/>
    <w:qFormat/>
    <w:rsid w:val="00AA67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677E"/>
    <w:rPr>
      <w:i/>
      <w:iCs/>
      <w:color w:val="2F5496" w:themeColor="accent1" w:themeShade="BF"/>
    </w:rPr>
  </w:style>
  <w:style w:type="character" w:styleId="IntenseReference">
    <w:name w:val="Intense Reference"/>
    <w:basedOn w:val="DefaultParagraphFont"/>
    <w:uiPriority w:val="32"/>
    <w:qFormat/>
    <w:rsid w:val="00AA677E"/>
    <w:rPr>
      <w:b/>
      <w:bCs/>
      <w:smallCaps/>
      <w:color w:val="2F5496" w:themeColor="accent1" w:themeShade="BF"/>
      <w:spacing w:val="5"/>
    </w:rPr>
  </w:style>
  <w:style w:type="character" w:styleId="Hyperlink">
    <w:name w:val="Hyperlink"/>
    <w:basedOn w:val="DefaultParagraphFont"/>
    <w:uiPriority w:val="99"/>
    <w:unhideWhenUsed/>
    <w:rsid w:val="006D0425"/>
    <w:rPr>
      <w:color w:val="0563C1" w:themeColor="hyperlink"/>
      <w:u w:val="single"/>
    </w:rPr>
  </w:style>
  <w:style w:type="character" w:styleId="UnresolvedMention">
    <w:name w:val="Unresolved Mention"/>
    <w:basedOn w:val="DefaultParagraphFont"/>
    <w:uiPriority w:val="99"/>
    <w:semiHidden/>
    <w:unhideWhenUsed/>
    <w:rsid w:val="006D0425"/>
    <w:rPr>
      <w:color w:val="605E5C"/>
      <w:shd w:val="clear" w:color="auto" w:fill="E1DFDD"/>
    </w:rPr>
  </w:style>
  <w:style w:type="paragraph" w:styleId="NormalWeb">
    <w:name w:val="Normal (Web)"/>
    <w:basedOn w:val="Normal"/>
    <w:uiPriority w:val="99"/>
    <w:semiHidden/>
    <w:unhideWhenUsed/>
    <w:rsid w:val="005805CE"/>
    <w:rPr>
      <w:rFonts w:ascii="Times New Roman" w:hAnsi="Times New Roman" w:cs="Times New Roman"/>
    </w:rPr>
  </w:style>
  <w:style w:type="paragraph" w:styleId="Header">
    <w:name w:val="header"/>
    <w:basedOn w:val="Normal"/>
    <w:link w:val="HeaderChar"/>
    <w:uiPriority w:val="99"/>
    <w:unhideWhenUsed/>
    <w:rsid w:val="00D05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6C4"/>
  </w:style>
  <w:style w:type="paragraph" w:styleId="Footer">
    <w:name w:val="footer"/>
    <w:basedOn w:val="Normal"/>
    <w:link w:val="FooterChar"/>
    <w:uiPriority w:val="99"/>
    <w:unhideWhenUsed/>
    <w:rsid w:val="00D05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9991">
      <w:bodyDiv w:val="1"/>
      <w:marLeft w:val="0"/>
      <w:marRight w:val="0"/>
      <w:marTop w:val="0"/>
      <w:marBottom w:val="0"/>
      <w:divBdr>
        <w:top w:val="none" w:sz="0" w:space="0" w:color="auto"/>
        <w:left w:val="none" w:sz="0" w:space="0" w:color="auto"/>
        <w:bottom w:val="none" w:sz="0" w:space="0" w:color="auto"/>
        <w:right w:val="none" w:sz="0" w:space="0" w:color="auto"/>
      </w:divBdr>
    </w:div>
    <w:div w:id="212274399">
      <w:bodyDiv w:val="1"/>
      <w:marLeft w:val="0"/>
      <w:marRight w:val="0"/>
      <w:marTop w:val="0"/>
      <w:marBottom w:val="0"/>
      <w:divBdr>
        <w:top w:val="none" w:sz="0" w:space="0" w:color="auto"/>
        <w:left w:val="none" w:sz="0" w:space="0" w:color="auto"/>
        <w:bottom w:val="none" w:sz="0" w:space="0" w:color="auto"/>
        <w:right w:val="none" w:sz="0" w:space="0" w:color="auto"/>
      </w:divBdr>
    </w:div>
    <w:div w:id="367611688">
      <w:bodyDiv w:val="1"/>
      <w:marLeft w:val="0"/>
      <w:marRight w:val="0"/>
      <w:marTop w:val="0"/>
      <w:marBottom w:val="0"/>
      <w:divBdr>
        <w:top w:val="none" w:sz="0" w:space="0" w:color="auto"/>
        <w:left w:val="none" w:sz="0" w:space="0" w:color="auto"/>
        <w:bottom w:val="none" w:sz="0" w:space="0" w:color="auto"/>
        <w:right w:val="none" w:sz="0" w:space="0" w:color="auto"/>
      </w:divBdr>
    </w:div>
    <w:div w:id="521937339">
      <w:bodyDiv w:val="1"/>
      <w:marLeft w:val="0"/>
      <w:marRight w:val="0"/>
      <w:marTop w:val="0"/>
      <w:marBottom w:val="0"/>
      <w:divBdr>
        <w:top w:val="none" w:sz="0" w:space="0" w:color="auto"/>
        <w:left w:val="none" w:sz="0" w:space="0" w:color="auto"/>
        <w:bottom w:val="none" w:sz="0" w:space="0" w:color="auto"/>
        <w:right w:val="none" w:sz="0" w:space="0" w:color="auto"/>
      </w:divBdr>
    </w:div>
    <w:div w:id="556161222">
      <w:bodyDiv w:val="1"/>
      <w:marLeft w:val="0"/>
      <w:marRight w:val="0"/>
      <w:marTop w:val="0"/>
      <w:marBottom w:val="0"/>
      <w:divBdr>
        <w:top w:val="none" w:sz="0" w:space="0" w:color="auto"/>
        <w:left w:val="none" w:sz="0" w:space="0" w:color="auto"/>
        <w:bottom w:val="none" w:sz="0" w:space="0" w:color="auto"/>
        <w:right w:val="none" w:sz="0" w:space="0" w:color="auto"/>
      </w:divBdr>
    </w:div>
    <w:div w:id="764879710">
      <w:bodyDiv w:val="1"/>
      <w:marLeft w:val="0"/>
      <w:marRight w:val="0"/>
      <w:marTop w:val="0"/>
      <w:marBottom w:val="0"/>
      <w:divBdr>
        <w:top w:val="none" w:sz="0" w:space="0" w:color="auto"/>
        <w:left w:val="none" w:sz="0" w:space="0" w:color="auto"/>
        <w:bottom w:val="none" w:sz="0" w:space="0" w:color="auto"/>
        <w:right w:val="none" w:sz="0" w:space="0" w:color="auto"/>
      </w:divBdr>
    </w:div>
    <w:div w:id="768043301">
      <w:bodyDiv w:val="1"/>
      <w:marLeft w:val="0"/>
      <w:marRight w:val="0"/>
      <w:marTop w:val="0"/>
      <w:marBottom w:val="0"/>
      <w:divBdr>
        <w:top w:val="none" w:sz="0" w:space="0" w:color="auto"/>
        <w:left w:val="none" w:sz="0" w:space="0" w:color="auto"/>
        <w:bottom w:val="none" w:sz="0" w:space="0" w:color="auto"/>
        <w:right w:val="none" w:sz="0" w:space="0" w:color="auto"/>
      </w:divBdr>
    </w:div>
    <w:div w:id="838927985">
      <w:bodyDiv w:val="1"/>
      <w:marLeft w:val="0"/>
      <w:marRight w:val="0"/>
      <w:marTop w:val="0"/>
      <w:marBottom w:val="0"/>
      <w:divBdr>
        <w:top w:val="none" w:sz="0" w:space="0" w:color="auto"/>
        <w:left w:val="none" w:sz="0" w:space="0" w:color="auto"/>
        <w:bottom w:val="none" w:sz="0" w:space="0" w:color="auto"/>
        <w:right w:val="none" w:sz="0" w:space="0" w:color="auto"/>
      </w:divBdr>
    </w:div>
    <w:div w:id="889415496">
      <w:bodyDiv w:val="1"/>
      <w:marLeft w:val="0"/>
      <w:marRight w:val="0"/>
      <w:marTop w:val="0"/>
      <w:marBottom w:val="0"/>
      <w:divBdr>
        <w:top w:val="none" w:sz="0" w:space="0" w:color="auto"/>
        <w:left w:val="none" w:sz="0" w:space="0" w:color="auto"/>
        <w:bottom w:val="none" w:sz="0" w:space="0" w:color="auto"/>
        <w:right w:val="none" w:sz="0" w:space="0" w:color="auto"/>
      </w:divBdr>
    </w:div>
    <w:div w:id="902375434">
      <w:bodyDiv w:val="1"/>
      <w:marLeft w:val="0"/>
      <w:marRight w:val="0"/>
      <w:marTop w:val="0"/>
      <w:marBottom w:val="0"/>
      <w:divBdr>
        <w:top w:val="none" w:sz="0" w:space="0" w:color="auto"/>
        <w:left w:val="none" w:sz="0" w:space="0" w:color="auto"/>
        <w:bottom w:val="none" w:sz="0" w:space="0" w:color="auto"/>
        <w:right w:val="none" w:sz="0" w:space="0" w:color="auto"/>
      </w:divBdr>
    </w:div>
    <w:div w:id="970742460">
      <w:bodyDiv w:val="1"/>
      <w:marLeft w:val="0"/>
      <w:marRight w:val="0"/>
      <w:marTop w:val="0"/>
      <w:marBottom w:val="0"/>
      <w:divBdr>
        <w:top w:val="none" w:sz="0" w:space="0" w:color="auto"/>
        <w:left w:val="none" w:sz="0" w:space="0" w:color="auto"/>
        <w:bottom w:val="none" w:sz="0" w:space="0" w:color="auto"/>
        <w:right w:val="none" w:sz="0" w:space="0" w:color="auto"/>
      </w:divBdr>
    </w:div>
    <w:div w:id="997464345">
      <w:bodyDiv w:val="1"/>
      <w:marLeft w:val="0"/>
      <w:marRight w:val="0"/>
      <w:marTop w:val="0"/>
      <w:marBottom w:val="0"/>
      <w:divBdr>
        <w:top w:val="none" w:sz="0" w:space="0" w:color="auto"/>
        <w:left w:val="none" w:sz="0" w:space="0" w:color="auto"/>
        <w:bottom w:val="none" w:sz="0" w:space="0" w:color="auto"/>
        <w:right w:val="none" w:sz="0" w:space="0" w:color="auto"/>
      </w:divBdr>
    </w:div>
    <w:div w:id="1028335028">
      <w:bodyDiv w:val="1"/>
      <w:marLeft w:val="0"/>
      <w:marRight w:val="0"/>
      <w:marTop w:val="0"/>
      <w:marBottom w:val="0"/>
      <w:divBdr>
        <w:top w:val="none" w:sz="0" w:space="0" w:color="auto"/>
        <w:left w:val="none" w:sz="0" w:space="0" w:color="auto"/>
        <w:bottom w:val="none" w:sz="0" w:space="0" w:color="auto"/>
        <w:right w:val="none" w:sz="0" w:space="0" w:color="auto"/>
      </w:divBdr>
    </w:div>
    <w:div w:id="1118717809">
      <w:bodyDiv w:val="1"/>
      <w:marLeft w:val="0"/>
      <w:marRight w:val="0"/>
      <w:marTop w:val="0"/>
      <w:marBottom w:val="0"/>
      <w:divBdr>
        <w:top w:val="none" w:sz="0" w:space="0" w:color="auto"/>
        <w:left w:val="none" w:sz="0" w:space="0" w:color="auto"/>
        <w:bottom w:val="none" w:sz="0" w:space="0" w:color="auto"/>
        <w:right w:val="none" w:sz="0" w:space="0" w:color="auto"/>
      </w:divBdr>
    </w:div>
    <w:div w:id="1182207032">
      <w:bodyDiv w:val="1"/>
      <w:marLeft w:val="0"/>
      <w:marRight w:val="0"/>
      <w:marTop w:val="0"/>
      <w:marBottom w:val="0"/>
      <w:divBdr>
        <w:top w:val="none" w:sz="0" w:space="0" w:color="auto"/>
        <w:left w:val="none" w:sz="0" w:space="0" w:color="auto"/>
        <w:bottom w:val="none" w:sz="0" w:space="0" w:color="auto"/>
        <w:right w:val="none" w:sz="0" w:space="0" w:color="auto"/>
      </w:divBdr>
    </w:div>
    <w:div w:id="1189565371">
      <w:bodyDiv w:val="1"/>
      <w:marLeft w:val="0"/>
      <w:marRight w:val="0"/>
      <w:marTop w:val="0"/>
      <w:marBottom w:val="0"/>
      <w:divBdr>
        <w:top w:val="none" w:sz="0" w:space="0" w:color="auto"/>
        <w:left w:val="none" w:sz="0" w:space="0" w:color="auto"/>
        <w:bottom w:val="none" w:sz="0" w:space="0" w:color="auto"/>
        <w:right w:val="none" w:sz="0" w:space="0" w:color="auto"/>
      </w:divBdr>
    </w:div>
    <w:div w:id="1270619703">
      <w:bodyDiv w:val="1"/>
      <w:marLeft w:val="0"/>
      <w:marRight w:val="0"/>
      <w:marTop w:val="0"/>
      <w:marBottom w:val="0"/>
      <w:divBdr>
        <w:top w:val="none" w:sz="0" w:space="0" w:color="auto"/>
        <w:left w:val="none" w:sz="0" w:space="0" w:color="auto"/>
        <w:bottom w:val="none" w:sz="0" w:space="0" w:color="auto"/>
        <w:right w:val="none" w:sz="0" w:space="0" w:color="auto"/>
      </w:divBdr>
    </w:div>
    <w:div w:id="1394230892">
      <w:bodyDiv w:val="1"/>
      <w:marLeft w:val="0"/>
      <w:marRight w:val="0"/>
      <w:marTop w:val="0"/>
      <w:marBottom w:val="0"/>
      <w:divBdr>
        <w:top w:val="none" w:sz="0" w:space="0" w:color="auto"/>
        <w:left w:val="none" w:sz="0" w:space="0" w:color="auto"/>
        <w:bottom w:val="none" w:sz="0" w:space="0" w:color="auto"/>
        <w:right w:val="none" w:sz="0" w:space="0" w:color="auto"/>
      </w:divBdr>
    </w:div>
    <w:div w:id="1431319347">
      <w:bodyDiv w:val="1"/>
      <w:marLeft w:val="0"/>
      <w:marRight w:val="0"/>
      <w:marTop w:val="0"/>
      <w:marBottom w:val="0"/>
      <w:divBdr>
        <w:top w:val="none" w:sz="0" w:space="0" w:color="auto"/>
        <w:left w:val="none" w:sz="0" w:space="0" w:color="auto"/>
        <w:bottom w:val="none" w:sz="0" w:space="0" w:color="auto"/>
        <w:right w:val="none" w:sz="0" w:space="0" w:color="auto"/>
      </w:divBdr>
    </w:div>
    <w:div w:id="1694647457">
      <w:bodyDiv w:val="1"/>
      <w:marLeft w:val="0"/>
      <w:marRight w:val="0"/>
      <w:marTop w:val="0"/>
      <w:marBottom w:val="0"/>
      <w:divBdr>
        <w:top w:val="none" w:sz="0" w:space="0" w:color="auto"/>
        <w:left w:val="none" w:sz="0" w:space="0" w:color="auto"/>
        <w:bottom w:val="none" w:sz="0" w:space="0" w:color="auto"/>
        <w:right w:val="none" w:sz="0" w:space="0" w:color="auto"/>
      </w:divBdr>
    </w:div>
    <w:div w:id="1714036523">
      <w:bodyDiv w:val="1"/>
      <w:marLeft w:val="0"/>
      <w:marRight w:val="0"/>
      <w:marTop w:val="0"/>
      <w:marBottom w:val="0"/>
      <w:divBdr>
        <w:top w:val="none" w:sz="0" w:space="0" w:color="auto"/>
        <w:left w:val="none" w:sz="0" w:space="0" w:color="auto"/>
        <w:bottom w:val="none" w:sz="0" w:space="0" w:color="auto"/>
        <w:right w:val="none" w:sz="0" w:space="0" w:color="auto"/>
      </w:divBdr>
    </w:div>
    <w:div w:id="1911698323">
      <w:bodyDiv w:val="1"/>
      <w:marLeft w:val="0"/>
      <w:marRight w:val="0"/>
      <w:marTop w:val="0"/>
      <w:marBottom w:val="0"/>
      <w:divBdr>
        <w:top w:val="none" w:sz="0" w:space="0" w:color="auto"/>
        <w:left w:val="none" w:sz="0" w:space="0" w:color="auto"/>
        <w:bottom w:val="none" w:sz="0" w:space="0" w:color="auto"/>
        <w:right w:val="none" w:sz="0" w:space="0" w:color="auto"/>
      </w:divBdr>
    </w:div>
    <w:div w:id="1959412531">
      <w:bodyDiv w:val="1"/>
      <w:marLeft w:val="0"/>
      <w:marRight w:val="0"/>
      <w:marTop w:val="0"/>
      <w:marBottom w:val="0"/>
      <w:divBdr>
        <w:top w:val="none" w:sz="0" w:space="0" w:color="auto"/>
        <w:left w:val="none" w:sz="0" w:space="0" w:color="auto"/>
        <w:bottom w:val="none" w:sz="0" w:space="0" w:color="auto"/>
        <w:right w:val="none" w:sz="0" w:space="0" w:color="auto"/>
      </w:divBdr>
    </w:div>
    <w:div w:id="198515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2241</TotalTime>
  <Pages>8</Pages>
  <Words>1290</Words>
  <Characters>8430</Characters>
  <Application>Microsoft Office Word</Application>
  <DocSecurity>0</DocSecurity>
  <Lines>197</Lines>
  <Paragraphs>32</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Lamya Bamoulid</dc:creator>
  <cp:keywords/>
  <dc:description/>
  <cp:lastModifiedBy>Lamya Bamoulid</cp:lastModifiedBy>
  <cp:revision>568</cp:revision>
  <dcterms:created xsi:type="dcterms:W3CDTF">2025-09-13T12:39:00Z</dcterms:created>
  <dcterms:modified xsi:type="dcterms:W3CDTF">2025-10-08T09:24:00Z</dcterms:modified>
</cp:coreProperties>
</file>