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58C" w:rsidRDefault="0038158C" w:rsidP="00E876EF">
      <w:pPr>
        <w:spacing w:line="480" w:lineRule="auto"/>
        <w:jc w:val="both"/>
        <w:rPr>
          <w:rFonts w:ascii="Times New Roman" w:hAnsi="Times New Roman" w:cs="Times New Roman"/>
          <w:sz w:val="24"/>
          <w:szCs w:val="24"/>
        </w:rPr>
      </w:pPr>
    </w:p>
    <w:p w:rsidR="0038158C" w:rsidRDefault="0038158C" w:rsidP="00E876EF">
      <w:pPr>
        <w:spacing w:line="480" w:lineRule="auto"/>
        <w:jc w:val="both"/>
        <w:rPr>
          <w:rFonts w:ascii="Times New Roman" w:hAnsi="Times New Roman" w:cs="Times New Roman"/>
          <w:sz w:val="24"/>
          <w:szCs w:val="24"/>
        </w:rPr>
      </w:pPr>
    </w:p>
    <w:p w:rsidR="0038158C" w:rsidRPr="00CA1879" w:rsidRDefault="0038158C" w:rsidP="00CA1879">
      <w:pPr>
        <w:spacing w:line="480" w:lineRule="auto"/>
        <w:jc w:val="center"/>
        <w:rPr>
          <w:rFonts w:ascii="Times New Roman" w:hAnsi="Times New Roman" w:cs="Times New Roman"/>
          <w:b/>
          <w:sz w:val="28"/>
          <w:szCs w:val="28"/>
          <w:u w:val="single"/>
        </w:rPr>
      </w:pPr>
      <w:r w:rsidRPr="00CA1879">
        <w:rPr>
          <w:rFonts w:ascii="Times New Roman" w:hAnsi="Times New Roman" w:cs="Times New Roman"/>
          <w:b/>
          <w:sz w:val="28"/>
          <w:szCs w:val="28"/>
          <w:u w:val="single"/>
        </w:rPr>
        <w:t xml:space="preserve">Analysis of particular passages from Ovid’s </w:t>
      </w:r>
      <w:r w:rsidRPr="00CA1879">
        <w:rPr>
          <w:rFonts w:ascii="Times New Roman" w:hAnsi="Times New Roman" w:cs="Times New Roman"/>
          <w:b/>
          <w:i/>
          <w:sz w:val="28"/>
          <w:szCs w:val="28"/>
          <w:u w:val="single"/>
        </w:rPr>
        <w:t>Fasti</w:t>
      </w:r>
      <w:r w:rsidRPr="00CA1879">
        <w:rPr>
          <w:rFonts w:ascii="Times New Roman" w:hAnsi="Times New Roman" w:cs="Times New Roman"/>
          <w:b/>
          <w:sz w:val="28"/>
          <w:szCs w:val="28"/>
          <w:u w:val="single"/>
        </w:rPr>
        <w:t xml:space="preserve"> will highlight how honouring the dead within the Roman Empire in late antiquity was a religious task.</w:t>
      </w:r>
    </w:p>
    <w:p w:rsidR="0038158C" w:rsidRDefault="0038158C" w:rsidP="00E876EF">
      <w:pPr>
        <w:spacing w:line="480" w:lineRule="auto"/>
        <w:jc w:val="both"/>
        <w:rPr>
          <w:rFonts w:ascii="Times New Roman" w:hAnsi="Times New Roman" w:cs="Times New Roman"/>
          <w:sz w:val="24"/>
          <w:szCs w:val="24"/>
        </w:rPr>
      </w:pPr>
    </w:p>
    <w:p w:rsidR="00A9204E" w:rsidRDefault="0038158C"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The primary source demonstrates how pervasive the gods and spirits of the underworld were and how as a result not only was this task something expected within ‘ordinary’ life, but also through festivals were there special events that went beyond everyday actions.</w:t>
      </w:r>
    </w:p>
    <w:p w:rsidR="0038158C" w:rsidRDefault="0038158C" w:rsidP="00E876EF">
      <w:pPr>
        <w:spacing w:line="480" w:lineRule="auto"/>
        <w:jc w:val="both"/>
        <w:rPr>
          <w:rFonts w:ascii="Times New Roman" w:hAnsi="Times New Roman" w:cs="Times New Roman"/>
          <w:sz w:val="24"/>
          <w:szCs w:val="24"/>
        </w:rPr>
      </w:pPr>
    </w:p>
    <w:p w:rsidR="0038158C" w:rsidRDefault="0038158C"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Firstly, it is important to define the term religion; else, it would be difficult to say whether honouring the dead would be consid</w:t>
      </w:r>
      <w:r w:rsidR="006B1728">
        <w:rPr>
          <w:rFonts w:ascii="Times New Roman" w:hAnsi="Times New Roman" w:cs="Times New Roman"/>
          <w:sz w:val="24"/>
          <w:szCs w:val="24"/>
        </w:rPr>
        <w:t>ered religious. As discussed in class, one possible opinion on how to define religion was that it was ‘a malleable concept that, by external influence, affects a person or group of persons and their experience of life after a historic process of development’</w:t>
      </w:r>
      <w:r w:rsidR="00C725B8">
        <w:rPr>
          <w:rFonts w:ascii="Times New Roman" w:hAnsi="Times New Roman" w:cs="Times New Roman"/>
          <w:sz w:val="24"/>
          <w:szCs w:val="24"/>
        </w:rPr>
        <w:t>. This is idea that has developed over our time in class and something that I have learned as a result of hearing multiple views and different viewpoints</w:t>
      </w:r>
      <w:r w:rsidR="006B1728">
        <w:rPr>
          <w:rFonts w:ascii="Times New Roman" w:hAnsi="Times New Roman" w:cs="Times New Roman"/>
          <w:sz w:val="24"/>
          <w:szCs w:val="24"/>
        </w:rPr>
        <w:t>.</w:t>
      </w:r>
    </w:p>
    <w:p w:rsidR="006B1728" w:rsidRDefault="006B1728"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00265D12">
        <w:rPr>
          <w:rFonts w:ascii="Times New Roman" w:hAnsi="Times New Roman" w:cs="Times New Roman"/>
          <w:sz w:val="24"/>
          <w:szCs w:val="24"/>
        </w:rPr>
        <w:t xml:space="preserve">was also discussed that one </w:t>
      </w:r>
      <w:r>
        <w:rPr>
          <w:rFonts w:ascii="Times New Roman" w:hAnsi="Times New Roman" w:cs="Times New Roman"/>
          <w:sz w:val="24"/>
          <w:szCs w:val="24"/>
        </w:rPr>
        <w:t xml:space="preserve">must also be taken in to account that this definition of religion is by modern standards </w:t>
      </w:r>
      <w:r w:rsidR="00265D12">
        <w:rPr>
          <w:rFonts w:ascii="Times New Roman" w:hAnsi="Times New Roman" w:cs="Times New Roman"/>
          <w:sz w:val="24"/>
          <w:szCs w:val="24"/>
        </w:rPr>
        <w:t>with a retrospective view of what may have been considered as ‘ordinary life’ in late antiquity. Their lives</w:t>
      </w:r>
      <w:r w:rsidR="00D5233E">
        <w:rPr>
          <w:rFonts w:ascii="Times New Roman" w:hAnsi="Times New Roman" w:cs="Times New Roman"/>
          <w:sz w:val="24"/>
          <w:szCs w:val="24"/>
        </w:rPr>
        <w:t>, arguably, could be regarded</w:t>
      </w:r>
      <w:r w:rsidR="00265D12">
        <w:rPr>
          <w:rFonts w:ascii="Times New Roman" w:hAnsi="Times New Roman" w:cs="Times New Roman"/>
          <w:sz w:val="24"/>
          <w:szCs w:val="24"/>
        </w:rPr>
        <w:t xml:space="preserve"> today as containing a permanent religious aspect to it, however, to the people living within the Roman Empire may have just seen these tasks as something that they were expected to do.</w:t>
      </w:r>
    </w:p>
    <w:p w:rsidR="006B1728" w:rsidRDefault="006B1728" w:rsidP="00E876EF">
      <w:pPr>
        <w:spacing w:line="480" w:lineRule="auto"/>
        <w:jc w:val="both"/>
        <w:rPr>
          <w:rFonts w:ascii="Times New Roman" w:hAnsi="Times New Roman" w:cs="Times New Roman"/>
          <w:sz w:val="24"/>
          <w:szCs w:val="24"/>
        </w:rPr>
      </w:pPr>
    </w:p>
    <w:p w:rsidR="00D5233E" w:rsidRDefault="00265D12"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 example, </w:t>
      </w:r>
      <w:r w:rsidR="006B1728">
        <w:rPr>
          <w:rFonts w:ascii="Times New Roman" w:hAnsi="Times New Roman" w:cs="Times New Roman"/>
          <w:sz w:val="24"/>
          <w:szCs w:val="24"/>
        </w:rPr>
        <w:t>Rives argues that there was an expectation to honour the dead, as they had the power to aid or hinder the living if left neglected</w:t>
      </w:r>
      <w:r w:rsidR="006B1728">
        <w:rPr>
          <w:rStyle w:val="FootnoteReference"/>
          <w:rFonts w:ascii="Times New Roman" w:hAnsi="Times New Roman" w:cs="Times New Roman"/>
          <w:sz w:val="24"/>
          <w:szCs w:val="24"/>
        </w:rPr>
        <w:footnoteReference w:id="1"/>
      </w:r>
      <w:r w:rsidR="006B1728">
        <w:rPr>
          <w:rFonts w:ascii="Times New Roman" w:hAnsi="Times New Roman" w:cs="Times New Roman"/>
          <w:sz w:val="24"/>
          <w:szCs w:val="24"/>
        </w:rPr>
        <w:t xml:space="preserve">, and bearing this in mind, by looking at Ovid’s </w:t>
      </w:r>
      <w:r w:rsidR="006B1728">
        <w:rPr>
          <w:rFonts w:ascii="Times New Roman" w:hAnsi="Times New Roman" w:cs="Times New Roman"/>
          <w:i/>
          <w:sz w:val="24"/>
          <w:szCs w:val="24"/>
        </w:rPr>
        <w:t>Fasti</w:t>
      </w:r>
      <w:r w:rsidR="006D6936" w:rsidRPr="006D6936">
        <w:rPr>
          <w:rFonts w:ascii="Times New Roman" w:hAnsi="Times New Roman" w:cs="Times New Roman"/>
          <w:sz w:val="24"/>
          <w:szCs w:val="24"/>
        </w:rPr>
        <w:t>,</w:t>
      </w:r>
      <w:r w:rsidR="006B1728">
        <w:rPr>
          <w:rFonts w:ascii="Times New Roman" w:hAnsi="Times New Roman" w:cs="Times New Roman"/>
          <w:i/>
          <w:sz w:val="24"/>
          <w:szCs w:val="24"/>
        </w:rPr>
        <w:t xml:space="preserve"> </w:t>
      </w:r>
      <w:r w:rsidR="006B1728">
        <w:rPr>
          <w:rFonts w:ascii="Times New Roman" w:hAnsi="Times New Roman" w:cs="Times New Roman"/>
          <w:sz w:val="24"/>
          <w:szCs w:val="24"/>
        </w:rPr>
        <w:t xml:space="preserve">one can see that this was a contemporary thought process. For example, Ovid mentions one way of making offerings to the dead was to leave small gifts to the tombs of the dead, which as a result appease the </w:t>
      </w:r>
      <w:r w:rsidR="006B1728">
        <w:rPr>
          <w:rFonts w:ascii="Times New Roman" w:hAnsi="Times New Roman" w:cs="Times New Roman"/>
          <w:i/>
          <w:sz w:val="24"/>
          <w:szCs w:val="24"/>
        </w:rPr>
        <w:t>animae</w:t>
      </w:r>
      <w:r w:rsidR="006B1728">
        <w:rPr>
          <w:rFonts w:ascii="Times New Roman" w:hAnsi="Times New Roman" w:cs="Times New Roman"/>
          <w:sz w:val="24"/>
          <w:szCs w:val="24"/>
        </w:rPr>
        <w:t>, or spirits</w:t>
      </w:r>
      <w:r>
        <w:rPr>
          <w:rFonts w:ascii="Times New Roman" w:hAnsi="Times New Roman" w:cs="Times New Roman"/>
          <w:sz w:val="24"/>
          <w:szCs w:val="24"/>
        </w:rPr>
        <w:t>,</w:t>
      </w:r>
      <w:r w:rsidR="006B1728">
        <w:rPr>
          <w:rFonts w:ascii="Times New Roman" w:hAnsi="Times New Roman" w:cs="Times New Roman"/>
          <w:sz w:val="24"/>
          <w:szCs w:val="24"/>
        </w:rPr>
        <w:t xml:space="preserve"> that abide there</w:t>
      </w:r>
      <w:r w:rsidR="006B1728">
        <w:rPr>
          <w:rStyle w:val="FootnoteReference"/>
          <w:rFonts w:ascii="Times New Roman" w:hAnsi="Times New Roman" w:cs="Times New Roman"/>
          <w:sz w:val="24"/>
          <w:szCs w:val="24"/>
        </w:rPr>
        <w:footnoteReference w:id="2"/>
      </w:r>
      <w:r w:rsidR="006B1728">
        <w:rPr>
          <w:rFonts w:ascii="Times New Roman" w:hAnsi="Times New Roman" w:cs="Times New Roman"/>
          <w:sz w:val="24"/>
          <w:szCs w:val="24"/>
        </w:rPr>
        <w:t xml:space="preserve">. </w:t>
      </w:r>
      <w:r>
        <w:rPr>
          <w:rFonts w:ascii="Times New Roman" w:hAnsi="Times New Roman" w:cs="Times New Roman"/>
          <w:sz w:val="24"/>
          <w:szCs w:val="24"/>
        </w:rPr>
        <w:t xml:space="preserve">Another name for the spirits of the dead was </w:t>
      </w:r>
      <w:r>
        <w:rPr>
          <w:rFonts w:ascii="Times New Roman" w:hAnsi="Times New Roman" w:cs="Times New Roman"/>
          <w:i/>
          <w:sz w:val="24"/>
          <w:szCs w:val="24"/>
        </w:rPr>
        <w:t>Di manes</w:t>
      </w:r>
      <w:r>
        <w:rPr>
          <w:rFonts w:ascii="Times New Roman" w:hAnsi="Times New Roman" w:cs="Times New Roman"/>
          <w:sz w:val="24"/>
          <w:szCs w:val="24"/>
        </w:rPr>
        <w:t xml:space="preserve">, which could be seen inscribed upon the tombs </w:t>
      </w:r>
      <w:r w:rsidR="00313103">
        <w:rPr>
          <w:rFonts w:ascii="Times New Roman" w:hAnsi="Times New Roman" w:cs="Times New Roman"/>
          <w:sz w:val="24"/>
          <w:szCs w:val="24"/>
        </w:rPr>
        <w:t xml:space="preserve">as </w:t>
      </w:r>
      <w:r w:rsidR="00313103">
        <w:rPr>
          <w:rFonts w:ascii="Times New Roman" w:hAnsi="Times New Roman" w:cs="Times New Roman"/>
          <w:i/>
          <w:sz w:val="24"/>
          <w:szCs w:val="24"/>
        </w:rPr>
        <w:t>dis manibus sacrum</w:t>
      </w:r>
      <w:r w:rsidR="00313103">
        <w:rPr>
          <w:rFonts w:ascii="Times New Roman" w:hAnsi="Times New Roman" w:cs="Times New Roman"/>
          <w:sz w:val="24"/>
          <w:szCs w:val="24"/>
        </w:rPr>
        <w:t xml:space="preserve">, meaning ‘sacred to the </w:t>
      </w:r>
      <w:r w:rsidR="00313103">
        <w:rPr>
          <w:rFonts w:ascii="Times New Roman" w:hAnsi="Times New Roman" w:cs="Times New Roman"/>
          <w:i/>
          <w:sz w:val="24"/>
          <w:szCs w:val="24"/>
        </w:rPr>
        <w:t>di manes</w:t>
      </w:r>
      <w:r w:rsidR="00313103">
        <w:rPr>
          <w:rFonts w:ascii="Times New Roman" w:hAnsi="Times New Roman" w:cs="Times New Roman"/>
          <w:sz w:val="24"/>
          <w:szCs w:val="24"/>
        </w:rPr>
        <w:t>’</w:t>
      </w:r>
      <w:r w:rsidR="00313103">
        <w:rPr>
          <w:rStyle w:val="FootnoteReference"/>
          <w:rFonts w:ascii="Times New Roman" w:hAnsi="Times New Roman" w:cs="Times New Roman"/>
          <w:sz w:val="24"/>
          <w:szCs w:val="24"/>
        </w:rPr>
        <w:footnoteReference w:id="3"/>
      </w:r>
      <w:r w:rsidR="00313103">
        <w:rPr>
          <w:rFonts w:ascii="Times New Roman" w:hAnsi="Times New Roman" w:cs="Times New Roman"/>
          <w:sz w:val="24"/>
          <w:szCs w:val="24"/>
        </w:rPr>
        <w:t>, the tombs also should have been treated with respect, as Ovid describes them as sacred as well</w:t>
      </w:r>
      <w:r w:rsidR="001468C1">
        <w:rPr>
          <w:rFonts w:ascii="Times New Roman" w:hAnsi="Times New Roman" w:cs="Times New Roman"/>
          <w:sz w:val="24"/>
          <w:szCs w:val="24"/>
        </w:rPr>
        <w:t xml:space="preserve"> as the spirits that rested there</w:t>
      </w:r>
      <w:r w:rsidR="00313103">
        <w:rPr>
          <w:rStyle w:val="FootnoteReference"/>
          <w:rFonts w:ascii="Times New Roman" w:hAnsi="Times New Roman" w:cs="Times New Roman"/>
          <w:sz w:val="24"/>
          <w:szCs w:val="24"/>
        </w:rPr>
        <w:footnoteReference w:id="4"/>
      </w:r>
      <w:r w:rsidR="00313103">
        <w:rPr>
          <w:rFonts w:ascii="Times New Roman" w:hAnsi="Times New Roman" w:cs="Times New Roman"/>
          <w:sz w:val="24"/>
          <w:szCs w:val="24"/>
        </w:rPr>
        <w:t xml:space="preserve">. The most common time for someone to honour their ancestors was during festivals, specifically the nine day </w:t>
      </w:r>
      <w:r w:rsidR="00313103">
        <w:rPr>
          <w:rFonts w:ascii="Times New Roman" w:hAnsi="Times New Roman" w:cs="Times New Roman"/>
          <w:i/>
          <w:sz w:val="24"/>
          <w:szCs w:val="24"/>
        </w:rPr>
        <w:t>Parentalia</w:t>
      </w:r>
      <w:r w:rsidR="00313103">
        <w:rPr>
          <w:rFonts w:ascii="Times New Roman" w:hAnsi="Times New Roman" w:cs="Times New Roman"/>
          <w:sz w:val="24"/>
          <w:szCs w:val="24"/>
        </w:rPr>
        <w:t xml:space="preserve"> that also contained a second festival, the </w:t>
      </w:r>
      <w:r w:rsidR="00313103">
        <w:rPr>
          <w:rFonts w:ascii="Times New Roman" w:hAnsi="Times New Roman" w:cs="Times New Roman"/>
          <w:i/>
          <w:sz w:val="24"/>
          <w:szCs w:val="24"/>
        </w:rPr>
        <w:t xml:space="preserve">Feralia </w:t>
      </w:r>
      <w:r w:rsidR="00313103">
        <w:rPr>
          <w:rFonts w:ascii="Times New Roman" w:hAnsi="Times New Roman" w:cs="Times New Roman"/>
          <w:sz w:val="24"/>
          <w:szCs w:val="24"/>
        </w:rPr>
        <w:t xml:space="preserve">within it. It was not however necessary to pay respects solely at this time, </w:t>
      </w:r>
      <w:r w:rsidR="00065BA5">
        <w:rPr>
          <w:rFonts w:ascii="Times New Roman" w:hAnsi="Times New Roman" w:cs="Times New Roman"/>
          <w:sz w:val="24"/>
          <w:szCs w:val="24"/>
        </w:rPr>
        <w:t xml:space="preserve">it was discussed in class that there </w:t>
      </w:r>
      <w:r w:rsidR="00D5233E">
        <w:rPr>
          <w:rFonts w:ascii="Times New Roman" w:hAnsi="Times New Roman" w:cs="Times New Roman"/>
          <w:sz w:val="24"/>
          <w:szCs w:val="24"/>
        </w:rPr>
        <w:t>might</w:t>
      </w:r>
      <w:r w:rsidR="00065BA5">
        <w:rPr>
          <w:rFonts w:ascii="Times New Roman" w:hAnsi="Times New Roman" w:cs="Times New Roman"/>
          <w:sz w:val="24"/>
          <w:szCs w:val="24"/>
        </w:rPr>
        <w:t xml:space="preserve"> have been special occasions such as birthdays or anniversaries, but also potential regular visits to make small offerings. This was also backed up by inf</w:t>
      </w:r>
      <w:r w:rsidR="00476F7F">
        <w:rPr>
          <w:rFonts w:ascii="Times New Roman" w:hAnsi="Times New Roman" w:cs="Times New Roman"/>
          <w:sz w:val="24"/>
          <w:szCs w:val="24"/>
        </w:rPr>
        <w:t xml:space="preserve">ormation gathered by Rives, who suggested that it was so common that </w:t>
      </w:r>
      <w:r w:rsidR="002170C5">
        <w:rPr>
          <w:rFonts w:ascii="Times New Roman" w:hAnsi="Times New Roman" w:cs="Times New Roman"/>
          <w:sz w:val="24"/>
          <w:szCs w:val="24"/>
        </w:rPr>
        <w:t>there were tubes that allowed liquids to be poured in to the graves as a direct way to deliver the offering</w:t>
      </w:r>
      <w:r w:rsidR="002170C5">
        <w:rPr>
          <w:rStyle w:val="FootnoteReference"/>
          <w:rFonts w:ascii="Times New Roman" w:hAnsi="Times New Roman" w:cs="Times New Roman"/>
          <w:sz w:val="24"/>
          <w:szCs w:val="24"/>
        </w:rPr>
        <w:footnoteReference w:id="5"/>
      </w:r>
      <w:r w:rsidR="002170C5">
        <w:rPr>
          <w:rFonts w:ascii="Times New Roman" w:hAnsi="Times New Roman" w:cs="Times New Roman"/>
          <w:sz w:val="24"/>
          <w:szCs w:val="24"/>
        </w:rPr>
        <w:t>. A possible reason for the regularity of offerings may have been related to the fact that the gods and spirits did not ask for much, as offering whatever was available to you cou</w:t>
      </w:r>
      <w:r w:rsidR="002170C5" w:rsidRPr="002170C5">
        <w:rPr>
          <w:rFonts w:ascii="Times New Roman" w:hAnsi="Times New Roman" w:cs="Times New Roman"/>
          <w:sz w:val="24"/>
          <w:szCs w:val="24"/>
        </w:rPr>
        <w:t>ld be considered an act of piety</w:t>
      </w:r>
      <w:r w:rsidR="002170C5" w:rsidRPr="002170C5">
        <w:rPr>
          <w:rStyle w:val="FootnoteReference"/>
          <w:rFonts w:ascii="Times New Roman" w:hAnsi="Times New Roman" w:cs="Times New Roman"/>
          <w:sz w:val="24"/>
          <w:szCs w:val="24"/>
        </w:rPr>
        <w:footnoteReference w:id="6"/>
      </w:r>
      <w:r w:rsidR="002170C5" w:rsidRPr="002170C5">
        <w:rPr>
          <w:rFonts w:ascii="Times New Roman" w:hAnsi="Times New Roman" w:cs="Times New Roman"/>
          <w:sz w:val="24"/>
          <w:szCs w:val="24"/>
        </w:rPr>
        <w:t xml:space="preserve">. </w:t>
      </w:r>
      <w:r w:rsidR="002170C5" w:rsidRPr="002170C5">
        <w:rPr>
          <w:rFonts w:ascii="Times New Roman" w:hAnsi="Times New Roman" w:cs="Times New Roman"/>
          <w:i/>
          <w:sz w:val="24"/>
          <w:szCs w:val="24"/>
        </w:rPr>
        <w:t>Pietas</w:t>
      </w:r>
      <w:r w:rsidR="002170C5" w:rsidRPr="002170C5">
        <w:rPr>
          <w:rFonts w:ascii="Times New Roman" w:hAnsi="Times New Roman" w:cs="Times New Roman"/>
          <w:sz w:val="24"/>
          <w:szCs w:val="24"/>
        </w:rPr>
        <w:t xml:space="preserve"> was considered a virtue within society during late antiquity, and even now in modern religion, and those that were </w:t>
      </w:r>
      <w:r w:rsidR="002170C5" w:rsidRPr="002170C5">
        <w:rPr>
          <w:rFonts w:ascii="Times New Roman" w:hAnsi="Times New Roman" w:cs="Times New Roman"/>
          <w:i/>
          <w:sz w:val="24"/>
          <w:szCs w:val="24"/>
        </w:rPr>
        <w:t>impius</w:t>
      </w:r>
      <w:r w:rsidR="002170C5" w:rsidRPr="002170C5">
        <w:rPr>
          <w:rFonts w:ascii="Times New Roman" w:hAnsi="Times New Roman" w:cs="Times New Roman"/>
          <w:sz w:val="24"/>
          <w:szCs w:val="24"/>
        </w:rPr>
        <w:t xml:space="preserve"> would be associated with improper religious practices and would receive hostility from others and also risked angering the spirits</w:t>
      </w:r>
      <w:r w:rsidR="00D5233E">
        <w:rPr>
          <w:rStyle w:val="FootnoteReference"/>
          <w:rFonts w:ascii="Times New Roman" w:hAnsi="Times New Roman" w:cs="Times New Roman"/>
          <w:sz w:val="24"/>
          <w:szCs w:val="24"/>
        </w:rPr>
        <w:footnoteReference w:id="7"/>
      </w:r>
      <w:r w:rsidR="002170C5" w:rsidRPr="002170C5">
        <w:rPr>
          <w:rFonts w:ascii="Times New Roman" w:hAnsi="Times New Roman" w:cs="Times New Roman"/>
          <w:sz w:val="24"/>
          <w:szCs w:val="24"/>
        </w:rPr>
        <w:t>.</w:t>
      </w:r>
    </w:p>
    <w:p w:rsidR="00E333E8" w:rsidRDefault="00D5233E"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 example of what would happen if the spirits were angered can be found in </w:t>
      </w:r>
      <w:r>
        <w:rPr>
          <w:rFonts w:ascii="Times New Roman" w:hAnsi="Times New Roman" w:cs="Times New Roman"/>
          <w:i/>
          <w:sz w:val="24"/>
          <w:szCs w:val="24"/>
        </w:rPr>
        <w:t>Fasti</w:t>
      </w:r>
      <w:r>
        <w:rPr>
          <w:rFonts w:ascii="Times New Roman" w:hAnsi="Times New Roman" w:cs="Times New Roman"/>
          <w:sz w:val="24"/>
          <w:szCs w:val="24"/>
        </w:rPr>
        <w:t xml:space="preserve">, where Ovid describes the events of the </w:t>
      </w:r>
      <w:r>
        <w:rPr>
          <w:rFonts w:ascii="Times New Roman" w:hAnsi="Times New Roman" w:cs="Times New Roman"/>
          <w:i/>
          <w:sz w:val="24"/>
          <w:szCs w:val="24"/>
        </w:rPr>
        <w:t xml:space="preserve">Parentalia </w:t>
      </w:r>
      <w:r>
        <w:rPr>
          <w:rFonts w:ascii="Times New Roman" w:hAnsi="Times New Roman" w:cs="Times New Roman"/>
          <w:sz w:val="24"/>
          <w:szCs w:val="24"/>
        </w:rPr>
        <w:t xml:space="preserve">and </w:t>
      </w:r>
      <w:r>
        <w:rPr>
          <w:rFonts w:ascii="Times New Roman" w:hAnsi="Times New Roman" w:cs="Times New Roman"/>
          <w:i/>
          <w:sz w:val="24"/>
          <w:szCs w:val="24"/>
        </w:rPr>
        <w:t>Feralia</w:t>
      </w:r>
      <w:r>
        <w:rPr>
          <w:rStyle w:val="FootnoteReference"/>
          <w:rFonts w:ascii="Times New Roman" w:hAnsi="Times New Roman" w:cs="Times New Roman"/>
          <w:i/>
          <w:sz w:val="24"/>
          <w:szCs w:val="24"/>
        </w:rPr>
        <w:footnoteReference w:id="8"/>
      </w:r>
      <w:r>
        <w:rPr>
          <w:rFonts w:ascii="Times New Roman" w:hAnsi="Times New Roman" w:cs="Times New Roman"/>
          <w:sz w:val="24"/>
          <w:szCs w:val="24"/>
        </w:rPr>
        <w:t xml:space="preserve">. During a time of war, the offerings were not made to the </w:t>
      </w:r>
      <w:r>
        <w:rPr>
          <w:rFonts w:ascii="Times New Roman" w:hAnsi="Times New Roman" w:cs="Times New Roman"/>
          <w:i/>
          <w:sz w:val="24"/>
          <w:szCs w:val="24"/>
        </w:rPr>
        <w:t>animae</w:t>
      </w:r>
      <w:r>
        <w:rPr>
          <w:rFonts w:ascii="Times New Roman" w:hAnsi="Times New Roman" w:cs="Times New Roman"/>
          <w:sz w:val="24"/>
          <w:szCs w:val="24"/>
        </w:rPr>
        <w:t xml:space="preserve"> and as a result of this negligence, the spirits roamed the streets causing death and despair until the honour that was owed to the spirits were paid, and only then did the killing stop</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w:t>
      </w:r>
      <w:r w:rsidR="00A44DB5">
        <w:rPr>
          <w:rFonts w:ascii="Times New Roman" w:hAnsi="Times New Roman" w:cs="Times New Roman"/>
          <w:sz w:val="24"/>
          <w:szCs w:val="24"/>
        </w:rPr>
        <w:t xml:space="preserve"> Thus the virtue of </w:t>
      </w:r>
      <w:r w:rsidR="00A44DB5">
        <w:rPr>
          <w:rFonts w:ascii="Times New Roman" w:hAnsi="Times New Roman" w:cs="Times New Roman"/>
          <w:i/>
          <w:sz w:val="24"/>
          <w:szCs w:val="24"/>
        </w:rPr>
        <w:t>pietas</w:t>
      </w:r>
      <w:r w:rsidR="00A44DB5">
        <w:rPr>
          <w:rFonts w:ascii="Times New Roman" w:hAnsi="Times New Roman" w:cs="Times New Roman"/>
          <w:sz w:val="24"/>
          <w:szCs w:val="24"/>
        </w:rPr>
        <w:t xml:space="preserve"> aids one in the argument as to how the honouring the dead was a religious task within ordinary life, as by a modern standard, the moral expectation of piety</w:t>
      </w:r>
      <w:r w:rsidR="001468C1">
        <w:rPr>
          <w:rFonts w:ascii="Times New Roman" w:hAnsi="Times New Roman" w:cs="Times New Roman"/>
          <w:sz w:val="24"/>
          <w:szCs w:val="24"/>
        </w:rPr>
        <w:t xml:space="preserve"> is considered a religious concept. Furthermore,</w:t>
      </w:r>
      <w:r w:rsidR="001468C1">
        <w:rPr>
          <w:rFonts w:ascii="Times New Roman" w:hAnsi="Times New Roman" w:cs="Times New Roman"/>
          <w:sz w:val="24"/>
          <w:szCs w:val="24"/>
        </w:rPr>
        <w:t xml:space="preserve"> the fear of the spirits and gods</w:t>
      </w:r>
      <w:r w:rsidR="001468C1">
        <w:rPr>
          <w:rFonts w:ascii="Times New Roman" w:hAnsi="Times New Roman" w:cs="Times New Roman"/>
          <w:sz w:val="24"/>
          <w:szCs w:val="24"/>
        </w:rPr>
        <w:t xml:space="preserve"> also does such a thing,</w:t>
      </w:r>
      <w:r w:rsidR="001468C1">
        <w:rPr>
          <w:rFonts w:ascii="Times New Roman" w:hAnsi="Times New Roman" w:cs="Times New Roman"/>
          <w:sz w:val="24"/>
          <w:szCs w:val="24"/>
        </w:rPr>
        <w:t xml:space="preserve"> </w:t>
      </w:r>
      <w:r w:rsidR="001468C1">
        <w:rPr>
          <w:rFonts w:ascii="Times New Roman" w:hAnsi="Times New Roman" w:cs="Times New Roman"/>
          <w:sz w:val="24"/>
          <w:szCs w:val="24"/>
        </w:rPr>
        <w:t xml:space="preserve">because </w:t>
      </w:r>
      <w:r w:rsidR="00326E7D">
        <w:rPr>
          <w:rFonts w:ascii="Times New Roman" w:hAnsi="Times New Roman" w:cs="Times New Roman"/>
          <w:sz w:val="24"/>
          <w:szCs w:val="24"/>
        </w:rPr>
        <w:t>the divine and the spirits brought people together</w:t>
      </w:r>
      <w:r w:rsidR="001468C1">
        <w:rPr>
          <w:rFonts w:ascii="Times New Roman" w:hAnsi="Times New Roman" w:cs="Times New Roman"/>
          <w:sz w:val="24"/>
          <w:szCs w:val="24"/>
        </w:rPr>
        <w:t xml:space="preserve">. </w:t>
      </w:r>
      <w:r w:rsidR="00326E7D">
        <w:rPr>
          <w:rFonts w:ascii="Times New Roman" w:hAnsi="Times New Roman" w:cs="Times New Roman"/>
          <w:sz w:val="24"/>
          <w:szCs w:val="24"/>
        </w:rPr>
        <w:t>Although this would be</w:t>
      </w:r>
      <w:r w:rsidR="001468C1">
        <w:rPr>
          <w:rFonts w:ascii="Times New Roman" w:hAnsi="Times New Roman" w:cs="Times New Roman"/>
          <w:sz w:val="24"/>
          <w:szCs w:val="24"/>
        </w:rPr>
        <w:t xml:space="preserve"> accepted as a ‘normal’</w:t>
      </w:r>
      <w:r w:rsidR="00326E7D">
        <w:rPr>
          <w:rFonts w:ascii="Times New Roman" w:hAnsi="Times New Roman" w:cs="Times New Roman"/>
          <w:sz w:val="24"/>
          <w:szCs w:val="24"/>
        </w:rPr>
        <w:t xml:space="preserve"> for late antique people, </w:t>
      </w:r>
      <w:r w:rsidR="00326E7D">
        <w:rPr>
          <w:rFonts w:ascii="Times New Roman" w:hAnsi="Times New Roman" w:cs="Times New Roman"/>
          <w:sz w:val="24"/>
          <w:szCs w:val="24"/>
        </w:rPr>
        <w:t xml:space="preserve">through the </w:t>
      </w:r>
      <w:r w:rsidR="00326E7D">
        <w:rPr>
          <w:rFonts w:ascii="Times New Roman" w:hAnsi="Times New Roman" w:cs="Times New Roman"/>
          <w:sz w:val="24"/>
          <w:szCs w:val="24"/>
        </w:rPr>
        <w:t xml:space="preserve">stem of the word ‘religion’, </w:t>
      </w:r>
      <w:r w:rsidR="00326E7D">
        <w:rPr>
          <w:rFonts w:ascii="Times New Roman" w:hAnsi="Times New Roman" w:cs="Times New Roman"/>
          <w:i/>
          <w:sz w:val="24"/>
          <w:szCs w:val="24"/>
        </w:rPr>
        <w:t>religios</w:t>
      </w:r>
      <w:r w:rsidR="00326E7D">
        <w:rPr>
          <w:rFonts w:ascii="Times New Roman" w:hAnsi="Times New Roman" w:cs="Times New Roman"/>
          <w:sz w:val="24"/>
          <w:szCs w:val="24"/>
        </w:rPr>
        <w:t>, meaning to bind together</w:t>
      </w:r>
      <w:r w:rsidR="00326E7D">
        <w:rPr>
          <w:rFonts w:ascii="Times New Roman" w:hAnsi="Times New Roman" w:cs="Times New Roman"/>
          <w:sz w:val="24"/>
          <w:szCs w:val="24"/>
        </w:rPr>
        <w:t>, one can argue that because of the belief in appeasing the spirits and the deities, the task could be described as religious.</w:t>
      </w:r>
    </w:p>
    <w:p w:rsidR="00E333E8" w:rsidRDefault="00E333E8" w:rsidP="00E876EF">
      <w:pPr>
        <w:spacing w:line="480" w:lineRule="auto"/>
        <w:jc w:val="both"/>
        <w:rPr>
          <w:rFonts w:ascii="Times New Roman" w:hAnsi="Times New Roman" w:cs="Times New Roman"/>
          <w:sz w:val="24"/>
          <w:szCs w:val="24"/>
        </w:rPr>
      </w:pPr>
    </w:p>
    <w:p w:rsidR="006B1728" w:rsidRDefault="00E333E8"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This belief in the divine and the practice of the people’s beliefs in relation to the ‘tripartite theology’ corresponds with the third part, ‘the civil’, which is said to be for the people</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Varro argues that this third part of the theology should be known by citizens, and especially priests, and put in to practice </w:t>
      </w:r>
      <w:r w:rsidR="006D6936">
        <w:rPr>
          <w:rFonts w:ascii="Times New Roman" w:hAnsi="Times New Roman" w:cs="Times New Roman"/>
          <w:sz w:val="24"/>
          <w:szCs w:val="24"/>
        </w:rPr>
        <w:t>publicly</w:t>
      </w:r>
      <w:r w:rsidR="00E876EF">
        <w:rPr>
          <w:rFonts w:ascii="Times New Roman" w:hAnsi="Times New Roman" w:cs="Times New Roman"/>
          <w:sz w:val="24"/>
          <w:szCs w:val="24"/>
        </w:rPr>
        <w:t>, which is more applicable than the other two parts; the mythical and physical, which are aimed towards the poets and the philosophers respectively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6D6936">
        <w:rPr>
          <w:rFonts w:ascii="Times New Roman" w:hAnsi="Times New Roman" w:cs="Times New Roman"/>
          <w:sz w:val="24"/>
          <w:szCs w:val="24"/>
        </w:rPr>
        <w:t>This idea</w:t>
      </w:r>
      <w:r>
        <w:rPr>
          <w:rFonts w:ascii="Times New Roman" w:hAnsi="Times New Roman" w:cs="Times New Roman"/>
          <w:sz w:val="24"/>
          <w:szCs w:val="24"/>
        </w:rPr>
        <w:t xml:space="preserve"> ties in to the practice of honouring the dead, as it is something that all </w:t>
      </w:r>
      <w:r w:rsidR="006D6936">
        <w:rPr>
          <w:rFonts w:ascii="Times New Roman" w:hAnsi="Times New Roman" w:cs="Times New Roman"/>
          <w:sz w:val="24"/>
          <w:szCs w:val="24"/>
        </w:rPr>
        <w:t>partake in, one way or another, f</w:t>
      </w:r>
      <w:r>
        <w:rPr>
          <w:rFonts w:ascii="Times New Roman" w:hAnsi="Times New Roman" w:cs="Times New Roman"/>
          <w:sz w:val="24"/>
          <w:szCs w:val="24"/>
        </w:rPr>
        <w:t>or example through giving someone a proper burial</w:t>
      </w:r>
      <w:r w:rsidR="006D6936">
        <w:rPr>
          <w:rFonts w:ascii="Times New Roman" w:hAnsi="Times New Roman" w:cs="Times New Roman"/>
          <w:sz w:val="24"/>
          <w:szCs w:val="24"/>
        </w:rPr>
        <w:t xml:space="preserve">, is a physical practice that all would follow. Polybius describes how one practices funerary rights, specifically for a member of the elite, which includes a procession followed by a speech detailing all the virtues of the deceased, with public </w:t>
      </w:r>
      <w:r w:rsidR="006D6936">
        <w:rPr>
          <w:rFonts w:ascii="Times New Roman" w:hAnsi="Times New Roman" w:cs="Times New Roman"/>
          <w:sz w:val="24"/>
          <w:szCs w:val="24"/>
        </w:rPr>
        <w:lastRenderedPageBreak/>
        <w:t>rites and praise that effects the whole people and not confining the mourning to just the family</w:t>
      </w:r>
      <w:r w:rsidR="006D6936">
        <w:rPr>
          <w:rStyle w:val="FootnoteReference"/>
          <w:rFonts w:ascii="Times New Roman" w:hAnsi="Times New Roman" w:cs="Times New Roman"/>
          <w:sz w:val="24"/>
          <w:szCs w:val="24"/>
        </w:rPr>
        <w:footnoteReference w:id="12"/>
      </w:r>
      <w:r w:rsidR="006D6936">
        <w:rPr>
          <w:rFonts w:ascii="Times New Roman" w:hAnsi="Times New Roman" w:cs="Times New Roman"/>
          <w:sz w:val="24"/>
          <w:szCs w:val="24"/>
        </w:rPr>
        <w:t xml:space="preserve">. The practice of praising the dead </w:t>
      </w:r>
      <w:r w:rsidR="00EF12C0">
        <w:rPr>
          <w:rFonts w:ascii="Times New Roman" w:hAnsi="Times New Roman" w:cs="Times New Roman"/>
          <w:sz w:val="24"/>
          <w:szCs w:val="24"/>
        </w:rPr>
        <w:t>and its link to religion and the divine</w:t>
      </w:r>
      <w:r w:rsidR="00E876EF">
        <w:rPr>
          <w:rFonts w:ascii="Times New Roman" w:hAnsi="Times New Roman" w:cs="Times New Roman"/>
          <w:sz w:val="24"/>
          <w:szCs w:val="24"/>
        </w:rPr>
        <w:t xml:space="preserve"> as pointed out by Polybius and the tripartite theology</w:t>
      </w:r>
      <w:r w:rsidR="00EF12C0">
        <w:rPr>
          <w:rFonts w:ascii="Times New Roman" w:hAnsi="Times New Roman" w:cs="Times New Roman"/>
          <w:sz w:val="24"/>
          <w:szCs w:val="24"/>
        </w:rPr>
        <w:t xml:space="preserve"> is supported by Cicero who states that dead kinsfolk should be treated as gods</w:t>
      </w:r>
      <w:r w:rsidR="00E876EF">
        <w:rPr>
          <w:rFonts w:ascii="Times New Roman" w:hAnsi="Times New Roman" w:cs="Times New Roman"/>
          <w:sz w:val="24"/>
          <w:szCs w:val="24"/>
        </w:rPr>
        <w:t xml:space="preserve"> and as a result, the public display does correlate with the civil section of the theology</w:t>
      </w:r>
      <w:r w:rsidR="00E876EF">
        <w:rPr>
          <w:rStyle w:val="FootnoteReference"/>
          <w:rFonts w:ascii="Times New Roman" w:hAnsi="Times New Roman" w:cs="Times New Roman"/>
          <w:sz w:val="24"/>
          <w:szCs w:val="24"/>
        </w:rPr>
        <w:footnoteReference w:id="13"/>
      </w:r>
      <w:r w:rsidR="00E876EF">
        <w:rPr>
          <w:rFonts w:ascii="Times New Roman" w:hAnsi="Times New Roman" w:cs="Times New Roman"/>
          <w:sz w:val="24"/>
          <w:szCs w:val="24"/>
        </w:rPr>
        <w:t>. Therefore, this example also concurs with the argument that honouring the dead is indeed a task that is considered religious, as it contains an element of a theology that corresponds to the concept of the existence of the divine and the religion behind it.</w:t>
      </w:r>
    </w:p>
    <w:p w:rsidR="00E06232" w:rsidRDefault="00E06232"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This public display of practice can also be exemplified by the need for people to remember the family name or the deceased and their achievements, which can be done either by inscription upon one’s tom. An example of a tomb inscription can be found with the tomb of Titus Aelius Faustus, who built a tomb for himself, his wife and family, stating that there should be regular offerings to the tomb so that his family name shall not ‘pass out’ of memory</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Epitaphs also enable the name of the deceased not be forgotten either, for example, Furia Spes provided such a memorial for her husband who was killed, where she prays for him to be looked after by the spirits so that he can visit in her dreams and that he will be well when it is time for her to join him in the afterlife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This enabled an understanding of the status of people, or the how important the memory of the deceased, with occasional religious references, such as praying to the spirits for the care of the dead</w:t>
      </w:r>
      <w:r w:rsidR="00AF6F42">
        <w:rPr>
          <w:rFonts w:ascii="Times New Roman" w:hAnsi="Times New Roman" w:cs="Times New Roman"/>
          <w:sz w:val="24"/>
          <w:szCs w:val="24"/>
        </w:rPr>
        <w:t>, or what certain people believed with regards to the afterlife</w:t>
      </w:r>
      <w:r w:rsidR="00AF6F42">
        <w:rPr>
          <w:rStyle w:val="FootnoteReference"/>
          <w:rFonts w:ascii="Times New Roman" w:hAnsi="Times New Roman" w:cs="Times New Roman"/>
          <w:sz w:val="24"/>
          <w:szCs w:val="24"/>
        </w:rPr>
        <w:footnoteReference w:id="16"/>
      </w:r>
      <w:r>
        <w:rPr>
          <w:rFonts w:ascii="Times New Roman" w:hAnsi="Times New Roman" w:cs="Times New Roman"/>
          <w:sz w:val="24"/>
          <w:szCs w:val="24"/>
        </w:rPr>
        <w:t>.</w:t>
      </w:r>
      <w:r w:rsidR="00AF6F42">
        <w:rPr>
          <w:rFonts w:ascii="Times New Roman" w:hAnsi="Times New Roman" w:cs="Times New Roman"/>
          <w:sz w:val="24"/>
          <w:szCs w:val="24"/>
        </w:rPr>
        <w:t xml:space="preserve"> The prayers and beliefs of the afterlife allow an element of religion in to the exaltation and memory of the deceased.</w:t>
      </w:r>
    </w:p>
    <w:p w:rsidR="00DE6140" w:rsidRDefault="00DE6140" w:rsidP="00E876EF">
      <w:pPr>
        <w:spacing w:line="480" w:lineRule="auto"/>
        <w:jc w:val="both"/>
        <w:rPr>
          <w:rFonts w:ascii="Times New Roman" w:hAnsi="Times New Roman" w:cs="Times New Roman"/>
          <w:sz w:val="24"/>
          <w:szCs w:val="24"/>
        </w:rPr>
      </w:pPr>
    </w:p>
    <w:p w:rsidR="00DE6140" w:rsidRDefault="00CA1879"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After analysing </w:t>
      </w:r>
      <w:r w:rsidR="001B52FC">
        <w:rPr>
          <w:rFonts w:ascii="Times New Roman" w:hAnsi="Times New Roman" w:cs="Times New Roman"/>
          <w:sz w:val="24"/>
          <w:szCs w:val="24"/>
        </w:rPr>
        <w:t xml:space="preserve">the information from Rives and primary sources mentioned, </w:t>
      </w:r>
      <w:r>
        <w:rPr>
          <w:rFonts w:ascii="Times New Roman" w:hAnsi="Times New Roman" w:cs="Times New Roman"/>
          <w:sz w:val="24"/>
          <w:szCs w:val="24"/>
        </w:rPr>
        <w:t>as we</w:t>
      </w:r>
      <w:r w:rsidR="00DE6140">
        <w:rPr>
          <w:rFonts w:ascii="Times New Roman" w:hAnsi="Times New Roman" w:cs="Times New Roman"/>
          <w:sz w:val="24"/>
          <w:szCs w:val="24"/>
        </w:rPr>
        <w:t>ll as discussions from class, my perception of the honour for the dead has evolved from a rather simple idea, to an arguably expansive knowledge regarding the religion behind the topic. Beginning with</w:t>
      </w:r>
      <w:r w:rsidR="00C725B8">
        <w:rPr>
          <w:rFonts w:ascii="Times New Roman" w:hAnsi="Times New Roman" w:cs="Times New Roman"/>
          <w:sz w:val="24"/>
          <w:szCs w:val="24"/>
        </w:rPr>
        <w:t xml:space="preserve"> development of</w:t>
      </w:r>
      <w:r w:rsidR="00DE6140">
        <w:rPr>
          <w:rFonts w:ascii="Times New Roman" w:hAnsi="Times New Roman" w:cs="Times New Roman"/>
          <w:sz w:val="24"/>
          <w:szCs w:val="24"/>
        </w:rPr>
        <w:t xml:space="preserve"> the definition of </w:t>
      </w:r>
      <w:r w:rsidR="00C725B8">
        <w:rPr>
          <w:rFonts w:ascii="Times New Roman" w:hAnsi="Times New Roman" w:cs="Times New Roman"/>
          <w:sz w:val="24"/>
          <w:szCs w:val="24"/>
        </w:rPr>
        <w:t xml:space="preserve">the word ‘religion’ and spanning across the history of religion within the Roman Empire through late antiquity. Not only did the work pique my interests with regards to funerary rites, the afterlife and how the deceased were honoured, but it also opened up the opportunity to learn just how expansive the effect of the </w:t>
      </w:r>
      <w:r w:rsidR="00AF6F42">
        <w:rPr>
          <w:rFonts w:ascii="Times New Roman" w:hAnsi="Times New Roman" w:cs="Times New Roman"/>
          <w:sz w:val="24"/>
          <w:szCs w:val="24"/>
        </w:rPr>
        <w:t>Greco</w:t>
      </w:r>
      <w:r w:rsidR="00C725B8">
        <w:rPr>
          <w:rFonts w:ascii="Times New Roman" w:hAnsi="Times New Roman" w:cs="Times New Roman"/>
          <w:sz w:val="24"/>
          <w:szCs w:val="24"/>
        </w:rPr>
        <w:t>-Roman traditions were with regards to accepting new ideologies from around the empire</w:t>
      </w:r>
      <w:r w:rsidR="00FA5634">
        <w:rPr>
          <w:rFonts w:ascii="Times New Roman" w:hAnsi="Times New Roman" w:cs="Times New Roman"/>
          <w:sz w:val="24"/>
          <w:szCs w:val="24"/>
        </w:rPr>
        <w:t>, proving how deeply ingrained religion was in ordinary life in later antiquity.</w:t>
      </w:r>
    </w:p>
    <w:p w:rsidR="00DE6140" w:rsidRDefault="00DE6140" w:rsidP="00E876EF">
      <w:pPr>
        <w:spacing w:line="480" w:lineRule="auto"/>
        <w:jc w:val="both"/>
        <w:rPr>
          <w:rFonts w:ascii="Times New Roman" w:hAnsi="Times New Roman" w:cs="Times New Roman"/>
          <w:sz w:val="24"/>
          <w:szCs w:val="24"/>
        </w:rPr>
      </w:pPr>
    </w:p>
    <w:p w:rsidR="00E876EF" w:rsidRDefault="00FA5634" w:rsidP="00E876EF">
      <w:pPr>
        <w:spacing w:line="480" w:lineRule="auto"/>
        <w:jc w:val="both"/>
        <w:rPr>
          <w:rFonts w:ascii="Times New Roman" w:hAnsi="Times New Roman" w:cs="Times New Roman"/>
          <w:sz w:val="24"/>
          <w:szCs w:val="24"/>
        </w:rPr>
      </w:pPr>
      <w:r>
        <w:rPr>
          <w:rFonts w:ascii="Times New Roman" w:hAnsi="Times New Roman" w:cs="Times New Roman"/>
          <w:sz w:val="24"/>
          <w:szCs w:val="24"/>
        </w:rPr>
        <w:t>In conclusion,</w:t>
      </w:r>
      <w:r w:rsidR="00E06232">
        <w:rPr>
          <w:rFonts w:ascii="Times New Roman" w:hAnsi="Times New Roman" w:cs="Times New Roman"/>
          <w:sz w:val="24"/>
          <w:szCs w:val="24"/>
        </w:rPr>
        <w:t xml:space="preserve"> honouring the dead as a task in ‘ordinary life’</w:t>
      </w:r>
      <w:r w:rsidR="00CA1879">
        <w:rPr>
          <w:rFonts w:ascii="Times New Roman" w:hAnsi="Times New Roman" w:cs="Times New Roman"/>
          <w:sz w:val="24"/>
          <w:szCs w:val="24"/>
        </w:rPr>
        <w:t xml:space="preserve"> is in fact also religious, </w:t>
      </w:r>
      <w:r w:rsidR="00E06232">
        <w:rPr>
          <w:rFonts w:ascii="Times New Roman" w:hAnsi="Times New Roman" w:cs="Times New Roman"/>
          <w:sz w:val="24"/>
          <w:szCs w:val="24"/>
        </w:rPr>
        <w:t xml:space="preserve">especially </w:t>
      </w:r>
      <w:r w:rsidR="00CA1879">
        <w:rPr>
          <w:rFonts w:ascii="Times New Roman" w:hAnsi="Times New Roman" w:cs="Times New Roman"/>
          <w:sz w:val="24"/>
          <w:szCs w:val="24"/>
        </w:rPr>
        <w:t xml:space="preserve">by modern day standards. Evidence for this firstly lies in the definition of the word ‘religion’, which when deconstructed to separate points, has examples within this argument that supports each one. </w:t>
      </w:r>
      <w:r w:rsidR="00AF6F42">
        <w:rPr>
          <w:rFonts w:ascii="Times New Roman" w:hAnsi="Times New Roman" w:cs="Times New Roman"/>
          <w:sz w:val="24"/>
          <w:szCs w:val="24"/>
        </w:rPr>
        <w:t>Firstly, religion is a ‘malleable concept’, this can be interpreted in the multiple ways in which people honoured the dead, whether it be through offerings, memorial epitaphs, festivals, etc. Secondly, it is influenced externally, people can be following the actions of their peers, but also do generally what is accepted in society and will honour the dead accordingly. With regards to effecting a person’s life, if someone regularly pays respect to a family member then one’s daily routine would be changed, but also people do what they can to ensure themselves a good transition in to the afterlife and the remembrance of their name in history. These ideas were also developed over time as a result of the ability to be open to new elements of religion from most additions of the empire</w:t>
      </w:r>
      <w:r w:rsidR="00F908D6">
        <w:rPr>
          <w:rFonts w:ascii="Times New Roman" w:hAnsi="Times New Roman" w:cs="Times New Roman"/>
          <w:sz w:val="24"/>
          <w:szCs w:val="24"/>
        </w:rPr>
        <w:t xml:space="preserve">. Finally, as ordinary life and religion </w:t>
      </w:r>
      <w:proofErr w:type="gramStart"/>
      <w:r w:rsidR="00F908D6">
        <w:rPr>
          <w:rFonts w:ascii="Times New Roman" w:hAnsi="Times New Roman" w:cs="Times New Roman"/>
          <w:sz w:val="24"/>
          <w:szCs w:val="24"/>
        </w:rPr>
        <w:t>were entwined</w:t>
      </w:r>
      <w:proofErr w:type="gramEnd"/>
      <w:r w:rsidR="00F908D6">
        <w:rPr>
          <w:rFonts w:ascii="Times New Roman" w:hAnsi="Times New Roman" w:cs="Times New Roman"/>
          <w:sz w:val="24"/>
          <w:szCs w:val="24"/>
        </w:rPr>
        <w:t xml:space="preserve">, although to such actions would </w:t>
      </w:r>
      <w:r w:rsidR="00F908D6">
        <w:rPr>
          <w:rFonts w:ascii="Times New Roman" w:hAnsi="Times New Roman" w:cs="Times New Roman"/>
          <w:sz w:val="24"/>
          <w:szCs w:val="24"/>
        </w:rPr>
        <w:lastRenderedPageBreak/>
        <w:t>not be described as specifically religious to a citizen of the Roman Empire in late antiquity, the retrospective viewpoint that it was indeed religious is therefore conclusive.</w:t>
      </w:r>
    </w:p>
    <w:p w:rsidR="00E876EF" w:rsidRDefault="00E876EF" w:rsidP="00E876EF">
      <w:pPr>
        <w:spacing w:line="480" w:lineRule="auto"/>
        <w:jc w:val="both"/>
        <w:rPr>
          <w:rFonts w:ascii="Times New Roman" w:hAnsi="Times New Roman" w:cs="Times New Roman"/>
          <w:sz w:val="24"/>
          <w:szCs w:val="24"/>
        </w:rPr>
      </w:pPr>
    </w:p>
    <w:p w:rsidR="00F908D6" w:rsidRDefault="00F908D6" w:rsidP="00E876EF">
      <w:pPr>
        <w:spacing w:line="480" w:lineRule="auto"/>
        <w:jc w:val="both"/>
        <w:rPr>
          <w:rFonts w:ascii="Times New Roman" w:hAnsi="Times New Roman" w:cs="Times New Roman"/>
          <w:b/>
          <w:sz w:val="24"/>
          <w:szCs w:val="24"/>
        </w:rPr>
      </w:pPr>
      <w:r>
        <w:rPr>
          <w:rFonts w:ascii="Times New Roman" w:hAnsi="Times New Roman" w:cs="Times New Roman"/>
          <w:b/>
          <w:sz w:val="24"/>
          <w:szCs w:val="24"/>
        </w:rPr>
        <w:t>Word Count: 1547</w:t>
      </w:r>
    </w:p>
    <w:p w:rsidR="00F908D6" w:rsidRDefault="00F908D6">
      <w:pPr>
        <w:rPr>
          <w:rFonts w:ascii="Times New Roman" w:hAnsi="Times New Roman" w:cs="Times New Roman"/>
          <w:b/>
          <w:sz w:val="24"/>
          <w:szCs w:val="24"/>
        </w:rPr>
      </w:pPr>
      <w:r>
        <w:rPr>
          <w:rFonts w:ascii="Times New Roman" w:hAnsi="Times New Roman" w:cs="Times New Roman"/>
          <w:b/>
          <w:sz w:val="24"/>
          <w:szCs w:val="24"/>
        </w:rPr>
        <w:br w:type="page"/>
      </w:r>
    </w:p>
    <w:p w:rsidR="00F908D6" w:rsidRDefault="00F908D6" w:rsidP="00F908D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Bibliography</w:t>
      </w:r>
    </w:p>
    <w:p w:rsidR="00F908D6" w:rsidRPr="00F908D6" w:rsidRDefault="00F908D6" w:rsidP="00F908D6">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On the Laws</w:t>
      </w:r>
      <w:r>
        <w:rPr>
          <w:rFonts w:ascii="Times New Roman" w:hAnsi="Times New Roman" w:cs="Times New Roman"/>
          <w:i/>
          <w:sz w:val="24"/>
          <w:szCs w:val="24"/>
        </w:rPr>
        <w:t xml:space="preserve"> </w:t>
      </w:r>
      <w:r>
        <w:rPr>
          <w:rFonts w:ascii="Times New Roman" w:hAnsi="Times New Roman" w:cs="Times New Roman"/>
          <w:sz w:val="24"/>
          <w:szCs w:val="24"/>
        </w:rPr>
        <w:t>2.22</w:t>
      </w:r>
    </w:p>
    <w:p w:rsidR="00F908D6" w:rsidRDefault="00F908D6" w:rsidP="00F908D6">
      <w:pPr>
        <w:rPr>
          <w:rFonts w:ascii="Times New Roman" w:hAnsi="Times New Roman" w:cs="Times New Roman"/>
          <w:sz w:val="24"/>
          <w:szCs w:val="24"/>
        </w:rPr>
      </w:pPr>
      <w:r w:rsidRPr="00447329">
        <w:rPr>
          <w:rFonts w:ascii="Times New Roman" w:hAnsi="Times New Roman" w:cs="Times New Roman"/>
          <w:sz w:val="24"/>
          <w:szCs w:val="24"/>
        </w:rPr>
        <w:t>CIL 6.18817</w:t>
      </w:r>
    </w:p>
    <w:p w:rsidR="00F908D6" w:rsidRPr="00F908D6" w:rsidRDefault="00F908D6" w:rsidP="00F908D6">
      <w:pPr>
        <w:rPr>
          <w:rFonts w:ascii="Times New Roman" w:hAnsi="Times New Roman" w:cs="Times New Roman"/>
          <w:sz w:val="24"/>
          <w:szCs w:val="24"/>
        </w:rPr>
      </w:pPr>
      <w:r>
        <w:rPr>
          <w:rFonts w:ascii="Times New Roman" w:hAnsi="Times New Roman" w:cs="Times New Roman"/>
          <w:sz w:val="24"/>
          <w:szCs w:val="24"/>
        </w:rPr>
        <w:t xml:space="preserve">Ovid, </w:t>
      </w:r>
      <w:r>
        <w:rPr>
          <w:rFonts w:ascii="Times New Roman" w:hAnsi="Times New Roman" w:cs="Times New Roman"/>
          <w:i/>
          <w:sz w:val="24"/>
          <w:szCs w:val="24"/>
        </w:rPr>
        <w:t>Fasti</w:t>
      </w:r>
      <w:r>
        <w:rPr>
          <w:rFonts w:ascii="Times New Roman" w:hAnsi="Times New Roman" w:cs="Times New Roman"/>
          <w:sz w:val="24"/>
          <w:szCs w:val="24"/>
        </w:rPr>
        <w:t xml:space="preserve"> 2.533-570</w:t>
      </w:r>
    </w:p>
    <w:p w:rsidR="00F908D6" w:rsidRDefault="00F908D6" w:rsidP="00F908D6">
      <w:pPr>
        <w:rPr>
          <w:rFonts w:ascii="Times New Roman" w:hAnsi="Times New Roman" w:cs="Times New Roman"/>
          <w:sz w:val="24"/>
          <w:szCs w:val="24"/>
        </w:rPr>
      </w:pPr>
      <w:r>
        <w:rPr>
          <w:rFonts w:ascii="Times New Roman" w:hAnsi="Times New Roman" w:cs="Times New Roman"/>
          <w:sz w:val="24"/>
          <w:szCs w:val="24"/>
        </w:rPr>
        <w:t xml:space="preserve">Polybius, Book 6 of </w:t>
      </w:r>
      <w:r>
        <w:rPr>
          <w:rFonts w:ascii="Times New Roman" w:hAnsi="Times New Roman" w:cs="Times New Roman"/>
          <w:i/>
          <w:sz w:val="24"/>
          <w:szCs w:val="24"/>
        </w:rPr>
        <w:t>Histories</w:t>
      </w:r>
      <w:r>
        <w:rPr>
          <w:rFonts w:ascii="Times New Roman" w:hAnsi="Times New Roman" w:cs="Times New Roman"/>
          <w:i/>
          <w:sz w:val="24"/>
          <w:szCs w:val="24"/>
        </w:rPr>
        <w:t xml:space="preserve"> </w:t>
      </w:r>
      <w:r>
        <w:rPr>
          <w:rFonts w:ascii="Times New Roman" w:hAnsi="Times New Roman" w:cs="Times New Roman"/>
          <w:sz w:val="24"/>
          <w:szCs w:val="24"/>
        </w:rPr>
        <w:t>6.53-54.3</w:t>
      </w:r>
    </w:p>
    <w:p w:rsidR="00F908D6" w:rsidRPr="00F908D6" w:rsidRDefault="00F908D6" w:rsidP="00F908D6">
      <w:pPr>
        <w:rPr>
          <w:rFonts w:ascii="Times New Roman" w:hAnsi="Times New Roman" w:cs="Times New Roman"/>
          <w:sz w:val="24"/>
          <w:szCs w:val="24"/>
        </w:rPr>
      </w:pPr>
    </w:p>
    <w:p w:rsidR="00F908D6" w:rsidRDefault="00F908D6" w:rsidP="00F908D6">
      <w:pPr>
        <w:rPr>
          <w:rFonts w:ascii="Times New Roman" w:hAnsi="Times New Roman" w:cs="Times New Roman"/>
          <w:sz w:val="24"/>
          <w:szCs w:val="24"/>
        </w:rPr>
      </w:pPr>
      <w:r>
        <w:rPr>
          <w:rFonts w:ascii="Times New Roman" w:hAnsi="Times New Roman" w:cs="Times New Roman"/>
          <w:sz w:val="24"/>
          <w:szCs w:val="24"/>
        </w:rPr>
        <w:t xml:space="preserve">Rives, J.B., 2007, </w:t>
      </w:r>
      <w:r>
        <w:rPr>
          <w:rFonts w:ascii="Times New Roman" w:hAnsi="Times New Roman" w:cs="Times New Roman"/>
          <w:i/>
          <w:sz w:val="24"/>
          <w:szCs w:val="24"/>
        </w:rPr>
        <w:t>Religion in the Roman Empire</w:t>
      </w:r>
      <w:r>
        <w:rPr>
          <w:rFonts w:ascii="Times New Roman" w:hAnsi="Times New Roman" w:cs="Times New Roman"/>
          <w:sz w:val="24"/>
          <w:szCs w:val="24"/>
        </w:rPr>
        <w:t>¸ Oxford: Blackwell Publishing</w:t>
      </w:r>
    </w:p>
    <w:p w:rsidR="00F908D6" w:rsidRPr="00DF3B93" w:rsidRDefault="00F908D6" w:rsidP="00F908D6">
      <w:pPr>
        <w:rPr>
          <w:rFonts w:ascii="Times New Roman" w:hAnsi="Times New Roman" w:cs="Times New Roman"/>
          <w:sz w:val="24"/>
          <w:szCs w:val="24"/>
        </w:rPr>
      </w:pPr>
      <w:r>
        <w:rPr>
          <w:rFonts w:ascii="Times New Roman" w:hAnsi="Times New Roman" w:cs="Times New Roman"/>
          <w:sz w:val="24"/>
          <w:szCs w:val="24"/>
        </w:rPr>
        <w:t xml:space="preserve">Warrior, V.M., 2002, </w:t>
      </w:r>
      <w:r>
        <w:rPr>
          <w:rFonts w:ascii="Times New Roman" w:hAnsi="Times New Roman" w:cs="Times New Roman"/>
          <w:i/>
          <w:sz w:val="24"/>
          <w:szCs w:val="24"/>
        </w:rPr>
        <w:t>Roman Religion: A Sourcebook</w:t>
      </w:r>
      <w:r>
        <w:rPr>
          <w:rFonts w:ascii="Times New Roman" w:hAnsi="Times New Roman" w:cs="Times New Roman"/>
          <w:sz w:val="24"/>
          <w:szCs w:val="24"/>
        </w:rPr>
        <w:t>, Newburyport, MA: Focus Publishing</w:t>
      </w:r>
    </w:p>
    <w:p w:rsidR="00F908D6" w:rsidRPr="00F908D6" w:rsidRDefault="00F908D6" w:rsidP="00F908D6">
      <w:pPr>
        <w:spacing w:line="480" w:lineRule="auto"/>
        <w:rPr>
          <w:rFonts w:ascii="Times New Roman" w:hAnsi="Times New Roman" w:cs="Times New Roman"/>
          <w:sz w:val="24"/>
          <w:szCs w:val="24"/>
        </w:rPr>
      </w:pPr>
      <w:bookmarkStart w:id="0" w:name="_GoBack"/>
      <w:bookmarkEnd w:id="0"/>
    </w:p>
    <w:sectPr w:rsidR="00F908D6" w:rsidRPr="00F908D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2EA" w:rsidRDefault="00B802EA" w:rsidP="00847594">
      <w:r>
        <w:separator/>
      </w:r>
    </w:p>
  </w:endnote>
  <w:endnote w:type="continuationSeparator" w:id="0">
    <w:p w:rsidR="00B802EA" w:rsidRDefault="00B802EA" w:rsidP="00847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2EA" w:rsidRDefault="00B802EA" w:rsidP="00847594">
      <w:r>
        <w:separator/>
      </w:r>
    </w:p>
  </w:footnote>
  <w:footnote w:type="continuationSeparator" w:id="0">
    <w:p w:rsidR="00B802EA" w:rsidRDefault="00B802EA" w:rsidP="00847594">
      <w:r>
        <w:continuationSeparator/>
      </w:r>
    </w:p>
  </w:footnote>
  <w:footnote w:id="1">
    <w:p w:rsidR="006B1728" w:rsidRPr="004F198A" w:rsidRDefault="006B1728">
      <w:pPr>
        <w:pStyle w:val="FootnoteText"/>
        <w:rPr>
          <w:rFonts w:cstheme="minorHAnsi"/>
          <w:sz w:val="20"/>
        </w:rPr>
      </w:pPr>
      <w:r w:rsidRPr="004F198A">
        <w:rPr>
          <w:rStyle w:val="FootnoteReference"/>
          <w:rFonts w:cstheme="minorHAnsi"/>
          <w:sz w:val="20"/>
        </w:rPr>
        <w:footnoteRef/>
      </w:r>
      <w:r w:rsidRPr="004F198A">
        <w:rPr>
          <w:rFonts w:cstheme="minorHAnsi"/>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w:t>
      </w:r>
      <w:r w:rsidRPr="004F198A">
        <w:rPr>
          <w:rFonts w:cstheme="minorHAnsi"/>
          <w:sz w:val="20"/>
        </w:rPr>
        <w:t>, pg. 19</w:t>
      </w:r>
    </w:p>
  </w:footnote>
  <w:footnote w:id="2">
    <w:p w:rsidR="006B1728" w:rsidRPr="004F198A" w:rsidRDefault="006B1728">
      <w:pPr>
        <w:pStyle w:val="FootnoteText"/>
        <w:rPr>
          <w:sz w:val="20"/>
        </w:rPr>
      </w:pPr>
      <w:r w:rsidRPr="004F198A">
        <w:rPr>
          <w:rStyle w:val="FootnoteReference"/>
          <w:sz w:val="20"/>
        </w:rPr>
        <w:footnoteRef/>
      </w:r>
      <w:r w:rsidRPr="004F198A">
        <w:rPr>
          <w:sz w:val="20"/>
        </w:rPr>
        <w:t xml:space="preserve"> Ovid, </w:t>
      </w:r>
      <w:r w:rsidRPr="004F198A">
        <w:rPr>
          <w:i/>
          <w:sz w:val="20"/>
        </w:rPr>
        <w:t>Fasti</w:t>
      </w:r>
      <w:r w:rsidRPr="004F198A">
        <w:rPr>
          <w:sz w:val="20"/>
        </w:rPr>
        <w:t xml:space="preserve"> 2.533-534</w:t>
      </w:r>
    </w:p>
  </w:footnote>
  <w:footnote w:id="3">
    <w:p w:rsidR="00313103" w:rsidRPr="004F198A" w:rsidRDefault="00313103">
      <w:pPr>
        <w:pStyle w:val="FootnoteText"/>
        <w:rPr>
          <w:sz w:val="20"/>
        </w:rPr>
      </w:pPr>
      <w:r w:rsidRPr="004F198A">
        <w:rPr>
          <w:rStyle w:val="FootnoteReference"/>
          <w:sz w:val="20"/>
        </w:rPr>
        <w:footnoteRef/>
      </w:r>
      <w:r w:rsidRPr="004F198A">
        <w:rPr>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 pg. 19</w:t>
      </w:r>
    </w:p>
  </w:footnote>
  <w:footnote w:id="4">
    <w:p w:rsidR="00313103" w:rsidRPr="004F198A" w:rsidRDefault="00313103">
      <w:pPr>
        <w:pStyle w:val="FootnoteText"/>
        <w:rPr>
          <w:sz w:val="20"/>
        </w:rPr>
      </w:pPr>
      <w:r w:rsidRPr="004F198A">
        <w:rPr>
          <w:rStyle w:val="FootnoteReference"/>
          <w:sz w:val="20"/>
        </w:rPr>
        <w:footnoteRef/>
      </w:r>
      <w:r w:rsidRPr="004F198A">
        <w:rPr>
          <w:sz w:val="20"/>
        </w:rPr>
        <w:t xml:space="preserve"> </w:t>
      </w:r>
      <w:r w:rsidRPr="004F198A">
        <w:rPr>
          <w:sz w:val="20"/>
        </w:rPr>
        <w:t xml:space="preserve">Ovid, </w:t>
      </w:r>
      <w:r w:rsidRPr="004F198A">
        <w:rPr>
          <w:i/>
          <w:sz w:val="20"/>
        </w:rPr>
        <w:t>Fasti</w:t>
      </w:r>
      <w:r w:rsidRPr="004F198A">
        <w:rPr>
          <w:sz w:val="20"/>
        </w:rPr>
        <w:t xml:space="preserve"> 2.533</w:t>
      </w:r>
    </w:p>
  </w:footnote>
  <w:footnote w:id="5">
    <w:p w:rsidR="002170C5" w:rsidRPr="004F198A" w:rsidRDefault="002170C5">
      <w:pPr>
        <w:pStyle w:val="FootnoteText"/>
        <w:rPr>
          <w:sz w:val="20"/>
        </w:rPr>
      </w:pPr>
      <w:r w:rsidRPr="004F198A">
        <w:rPr>
          <w:rStyle w:val="FootnoteReference"/>
          <w:sz w:val="20"/>
        </w:rPr>
        <w:footnoteRef/>
      </w:r>
      <w:r w:rsidRPr="004F198A">
        <w:rPr>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 pg.</w:t>
      </w:r>
      <w:r w:rsidRPr="004F198A">
        <w:rPr>
          <w:rFonts w:cstheme="minorHAnsi"/>
          <w:sz w:val="20"/>
        </w:rPr>
        <w:t xml:space="preserve"> 11</w:t>
      </w:r>
      <w:r w:rsidR="00D5233E" w:rsidRPr="004F198A">
        <w:rPr>
          <w:rFonts w:cstheme="minorHAnsi"/>
          <w:sz w:val="20"/>
        </w:rPr>
        <w:t>7-</w:t>
      </w:r>
      <w:r w:rsidRPr="004F198A">
        <w:rPr>
          <w:rFonts w:cstheme="minorHAnsi"/>
          <w:sz w:val="20"/>
        </w:rPr>
        <w:t>8</w:t>
      </w:r>
    </w:p>
  </w:footnote>
  <w:footnote w:id="6">
    <w:p w:rsidR="002170C5" w:rsidRPr="004F198A" w:rsidRDefault="002170C5">
      <w:pPr>
        <w:pStyle w:val="FootnoteText"/>
        <w:rPr>
          <w:sz w:val="20"/>
        </w:rPr>
      </w:pPr>
      <w:r w:rsidRPr="004F198A">
        <w:rPr>
          <w:rStyle w:val="FootnoteReference"/>
          <w:sz w:val="20"/>
        </w:rPr>
        <w:footnoteRef/>
      </w:r>
      <w:r w:rsidRPr="004F198A">
        <w:rPr>
          <w:sz w:val="20"/>
        </w:rPr>
        <w:t xml:space="preserve"> </w:t>
      </w:r>
      <w:r w:rsidRPr="004F198A">
        <w:rPr>
          <w:sz w:val="20"/>
        </w:rPr>
        <w:t xml:space="preserve">Ovid, </w:t>
      </w:r>
      <w:r w:rsidRPr="004F198A">
        <w:rPr>
          <w:i/>
          <w:sz w:val="20"/>
        </w:rPr>
        <w:t>Fasti</w:t>
      </w:r>
      <w:r w:rsidRPr="004F198A">
        <w:rPr>
          <w:sz w:val="20"/>
        </w:rPr>
        <w:t xml:space="preserve"> 2.547</w:t>
      </w:r>
    </w:p>
  </w:footnote>
  <w:footnote w:id="7">
    <w:p w:rsidR="00D5233E" w:rsidRPr="004F198A" w:rsidRDefault="00D5233E">
      <w:pPr>
        <w:pStyle w:val="FootnoteText"/>
        <w:rPr>
          <w:sz w:val="20"/>
        </w:rPr>
      </w:pPr>
      <w:r w:rsidRPr="004F198A">
        <w:rPr>
          <w:rStyle w:val="FootnoteReference"/>
          <w:sz w:val="20"/>
        </w:rPr>
        <w:footnoteRef/>
      </w:r>
      <w:r w:rsidRPr="004F198A">
        <w:rPr>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 pg.</w:t>
      </w:r>
      <w:r w:rsidRPr="004F198A">
        <w:rPr>
          <w:rFonts w:cstheme="minorHAnsi"/>
          <w:sz w:val="20"/>
        </w:rPr>
        <w:t xml:space="preserve"> 182</w:t>
      </w:r>
    </w:p>
  </w:footnote>
  <w:footnote w:id="8">
    <w:p w:rsidR="00D5233E" w:rsidRPr="004F198A" w:rsidRDefault="00D5233E">
      <w:pPr>
        <w:pStyle w:val="FootnoteText"/>
        <w:rPr>
          <w:sz w:val="20"/>
        </w:rPr>
      </w:pPr>
      <w:r w:rsidRPr="004F198A">
        <w:rPr>
          <w:rStyle w:val="FootnoteReference"/>
          <w:sz w:val="20"/>
        </w:rPr>
        <w:footnoteRef/>
      </w:r>
      <w:r w:rsidRPr="004F198A">
        <w:rPr>
          <w:sz w:val="20"/>
        </w:rPr>
        <w:t xml:space="preserve"> Ovid, </w:t>
      </w:r>
      <w:r w:rsidRPr="004F198A">
        <w:rPr>
          <w:i/>
          <w:sz w:val="20"/>
        </w:rPr>
        <w:t>Fasti</w:t>
      </w:r>
      <w:r w:rsidR="00A44DB5" w:rsidRPr="004F198A">
        <w:rPr>
          <w:sz w:val="20"/>
        </w:rPr>
        <w:t xml:space="preserve"> 2.548</w:t>
      </w:r>
    </w:p>
  </w:footnote>
  <w:footnote w:id="9">
    <w:p w:rsidR="00D5233E" w:rsidRPr="004F198A" w:rsidRDefault="00D5233E">
      <w:pPr>
        <w:pStyle w:val="FootnoteText"/>
        <w:rPr>
          <w:sz w:val="20"/>
        </w:rPr>
      </w:pPr>
      <w:r w:rsidRPr="004F198A">
        <w:rPr>
          <w:rStyle w:val="FootnoteReference"/>
          <w:sz w:val="20"/>
        </w:rPr>
        <w:footnoteRef/>
      </w:r>
      <w:r w:rsidRPr="004F198A">
        <w:rPr>
          <w:sz w:val="20"/>
        </w:rPr>
        <w:t xml:space="preserve"> Ovid, </w:t>
      </w:r>
      <w:r w:rsidRPr="004F198A">
        <w:rPr>
          <w:i/>
          <w:sz w:val="20"/>
        </w:rPr>
        <w:t xml:space="preserve">Fasti </w:t>
      </w:r>
      <w:r w:rsidRPr="004F198A">
        <w:rPr>
          <w:sz w:val="20"/>
        </w:rPr>
        <w:t>2.5</w:t>
      </w:r>
      <w:r w:rsidR="00A44DB5" w:rsidRPr="004F198A">
        <w:rPr>
          <w:sz w:val="20"/>
        </w:rPr>
        <w:t>48</w:t>
      </w:r>
      <w:r w:rsidRPr="004F198A">
        <w:rPr>
          <w:sz w:val="20"/>
        </w:rPr>
        <w:t>-555</w:t>
      </w:r>
    </w:p>
  </w:footnote>
  <w:footnote w:id="10">
    <w:p w:rsidR="00E333E8" w:rsidRPr="004F198A" w:rsidRDefault="00E333E8" w:rsidP="00E333E8">
      <w:pPr>
        <w:pStyle w:val="FootnoteText"/>
        <w:rPr>
          <w:sz w:val="20"/>
        </w:rPr>
      </w:pPr>
      <w:r w:rsidRPr="004F198A">
        <w:rPr>
          <w:rStyle w:val="FootnoteReference"/>
          <w:sz w:val="20"/>
        </w:rPr>
        <w:footnoteRef/>
      </w:r>
      <w:r w:rsidRPr="004F198A">
        <w:rPr>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 pg.</w:t>
      </w:r>
      <w:r w:rsidRPr="004F198A">
        <w:rPr>
          <w:rFonts w:cstheme="minorHAnsi"/>
          <w:sz w:val="20"/>
        </w:rPr>
        <w:t xml:space="preserve"> 22</w:t>
      </w:r>
    </w:p>
  </w:footnote>
  <w:footnote w:id="11">
    <w:p w:rsidR="00E333E8" w:rsidRPr="004F198A" w:rsidRDefault="00E333E8">
      <w:pPr>
        <w:pStyle w:val="FootnoteText"/>
        <w:rPr>
          <w:sz w:val="20"/>
        </w:rPr>
      </w:pPr>
      <w:r w:rsidRPr="004F198A">
        <w:rPr>
          <w:rStyle w:val="FootnoteReference"/>
          <w:sz w:val="20"/>
        </w:rPr>
        <w:footnoteRef/>
      </w:r>
      <w:r w:rsidRPr="004F198A">
        <w:rPr>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Oxford: Blackwell Publishing, pg. 22</w:t>
      </w:r>
    </w:p>
  </w:footnote>
  <w:footnote w:id="12">
    <w:p w:rsidR="006D6936" w:rsidRPr="004F198A" w:rsidRDefault="006D6936">
      <w:pPr>
        <w:pStyle w:val="FootnoteText"/>
        <w:rPr>
          <w:rFonts w:cstheme="minorHAnsi"/>
          <w:sz w:val="20"/>
        </w:rPr>
      </w:pPr>
      <w:r w:rsidRPr="004F198A">
        <w:rPr>
          <w:rStyle w:val="FootnoteReference"/>
          <w:sz w:val="20"/>
        </w:rPr>
        <w:footnoteRef/>
      </w:r>
      <w:r w:rsidRPr="004F198A">
        <w:rPr>
          <w:sz w:val="20"/>
        </w:rPr>
        <w:t xml:space="preserve"> </w:t>
      </w:r>
      <w:r w:rsidR="00AF6F42" w:rsidRPr="004F198A">
        <w:rPr>
          <w:sz w:val="20"/>
        </w:rPr>
        <w:t>Polybius</w:t>
      </w:r>
      <w:r w:rsidRPr="004F198A">
        <w:rPr>
          <w:sz w:val="20"/>
        </w:rPr>
        <w:t xml:space="preserve">, </w:t>
      </w:r>
      <w:r w:rsidRPr="004F198A">
        <w:rPr>
          <w:i/>
          <w:sz w:val="20"/>
        </w:rPr>
        <w:t xml:space="preserve">Histories </w:t>
      </w:r>
      <w:r w:rsidRPr="004F198A">
        <w:rPr>
          <w:sz w:val="20"/>
        </w:rPr>
        <w:t>6.53-53.3</w:t>
      </w:r>
    </w:p>
  </w:footnote>
  <w:footnote w:id="13">
    <w:p w:rsidR="00E876EF" w:rsidRPr="004F198A" w:rsidRDefault="00E876EF">
      <w:pPr>
        <w:pStyle w:val="FootnoteText"/>
        <w:rPr>
          <w:rFonts w:cstheme="minorHAnsi"/>
          <w:sz w:val="20"/>
        </w:rPr>
      </w:pPr>
      <w:r w:rsidRPr="004F198A">
        <w:rPr>
          <w:rStyle w:val="FootnoteReference"/>
          <w:rFonts w:cstheme="minorHAnsi"/>
          <w:sz w:val="20"/>
        </w:rPr>
        <w:footnoteRef/>
      </w:r>
      <w:r w:rsidRPr="004F198A">
        <w:rPr>
          <w:rFonts w:cstheme="minorHAnsi"/>
          <w:sz w:val="20"/>
        </w:rPr>
        <w:t xml:space="preserve"> Cicero, </w:t>
      </w:r>
      <w:r w:rsidRPr="004F198A">
        <w:rPr>
          <w:rFonts w:cstheme="minorHAnsi"/>
          <w:i/>
          <w:sz w:val="20"/>
        </w:rPr>
        <w:t>On the Laws</w:t>
      </w:r>
      <w:r w:rsidRPr="004F198A">
        <w:rPr>
          <w:rFonts w:cstheme="minorHAnsi"/>
          <w:sz w:val="20"/>
        </w:rPr>
        <w:t xml:space="preserve"> 2.22</w:t>
      </w:r>
    </w:p>
  </w:footnote>
  <w:footnote w:id="14">
    <w:p w:rsidR="00E06232" w:rsidRPr="004F198A" w:rsidRDefault="00E06232">
      <w:pPr>
        <w:pStyle w:val="FootnoteText"/>
        <w:rPr>
          <w:rFonts w:cstheme="minorHAnsi"/>
          <w:sz w:val="20"/>
        </w:rPr>
      </w:pPr>
      <w:r w:rsidRPr="004F198A">
        <w:rPr>
          <w:rStyle w:val="FootnoteReference"/>
          <w:rFonts w:cstheme="minorHAnsi"/>
          <w:sz w:val="20"/>
        </w:rPr>
        <w:footnoteRef/>
      </w:r>
      <w:r w:rsidRPr="004F198A">
        <w:rPr>
          <w:rFonts w:cstheme="minorHAnsi"/>
          <w:sz w:val="20"/>
        </w:rPr>
        <w:t xml:space="preserve"> </w:t>
      </w:r>
      <w:r w:rsidRPr="004F198A">
        <w:rPr>
          <w:rFonts w:cstheme="minorHAnsi"/>
          <w:sz w:val="20"/>
        </w:rPr>
        <w:t xml:space="preserve">Rives, J.B., 2007, </w:t>
      </w:r>
      <w:r w:rsidRPr="004F198A">
        <w:rPr>
          <w:rFonts w:cstheme="minorHAnsi"/>
          <w:i/>
          <w:sz w:val="20"/>
        </w:rPr>
        <w:t>Religion in the Roman Empire</w:t>
      </w:r>
      <w:r w:rsidRPr="004F198A">
        <w:rPr>
          <w:rFonts w:cstheme="minorHAnsi"/>
          <w:sz w:val="20"/>
        </w:rPr>
        <w:t xml:space="preserve">¸ Oxford: Blackwell Publishing, pg. </w:t>
      </w:r>
      <w:r w:rsidRPr="004F198A">
        <w:rPr>
          <w:rFonts w:cstheme="minorHAnsi"/>
          <w:sz w:val="20"/>
        </w:rPr>
        <w:t>118</w:t>
      </w:r>
    </w:p>
  </w:footnote>
  <w:footnote w:id="15">
    <w:p w:rsidR="00E06232" w:rsidRPr="004F198A" w:rsidRDefault="00E06232">
      <w:pPr>
        <w:pStyle w:val="FootnoteText"/>
        <w:rPr>
          <w:rFonts w:cstheme="minorHAnsi"/>
          <w:sz w:val="20"/>
        </w:rPr>
      </w:pPr>
      <w:r w:rsidRPr="004F198A">
        <w:rPr>
          <w:rStyle w:val="FootnoteReference"/>
          <w:rFonts w:cstheme="minorHAnsi"/>
          <w:sz w:val="20"/>
        </w:rPr>
        <w:footnoteRef/>
      </w:r>
      <w:r w:rsidRPr="004F198A">
        <w:rPr>
          <w:rFonts w:cstheme="minorHAnsi"/>
          <w:sz w:val="20"/>
        </w:rPr>
        <w:t xml:space="preserve"> CIL 6.18817</w:t>
      </w:r>
    </w:p>
  </w:footnote>
  <w:footnote w:id="16">
    <w:p w:rsidR="00AF6F42" w:rsidRPr="004F198A" w:rsidRDefault="00AF6F42">
      <w:pPr>
        <w:pStyle w:val="FootnoteText"/>
        <w:rPr>
          <w:sz w:val="20"/>
        </w:rPr>
      </w:pPr>
      <w:r w:rsidRPr="004F198A">
        <w:rPr>
          <w:rStyle w:val="FootnoteReference"/>
          <w:rFonts w:cstheme="minorHAnsi"/>
          <w:sz w:val="20"/>
        </w:rPr>
        <w:footnoteRef/>
      </w:r>
      <w:r w:rsidRPr="004F198A">
        <w:rPr>
          <w:rFonts w:cstheme="minorHAnsi"/>
          <w:sz w:val="20"/>
        </w:rPr>
        <w:t xml:space="preserve"> </w:t>
      </w:r>
      <w:r w:rsidRPr="004F198A">
        <w:rPr>
          <w:rFonts w:cstheme="minorHAnsi"/>
          <w:sz w:val="20"/>
        </w:rPr>
        <w:t xml:space="preserve">Warrior, V.M., 2002, </w:t>
      </w:r>
      <w:r w:rsidRPr="004F198A">
        <w:rPr>
          <w:rFonts w:cstheme="minorHAnsi"/>
          <w:i/>
          <w:sz w:val="20"/>
        </w:rPr>
        <w:t>Roman Religion: A Sourcebook</w:t>
      </w:r>
      <w:r w:rsidRPr="004F198A">
        <w:rPr>
          <w:rFonts w:cstheme="minorHAnsi"/>
          <w:sz w:val="20"/>
        </w:rPr>
        <w:t>, Newburyport, MA: Focus Publishing</w:t>
      </w:r>
      <w:r w:rsidRPr="004F198A">
        <w:rPr>
          <w:rFonts w:cstheme="minorHAnsi"/>
          <w:sz w:val="20"/>
        </w:rPr>
        <w:t xml:space="preserve"> pg. 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94" w:rsidRDefault="00847594" w:rsidP="00847594">
    <w:pPr>
      <w:pStyle w:val="Header"/>
      <w:jc w:val="right"/>
    </w:pPr>
    <w:r>
      <w:t>Enrico Atkinson</w:t>
    </w:r>
  </w:p>
  <w:p w:rsidR="00847594" w:rsidRPr="00847594" w:rsidRDefault="00847594" w:rsidP="00847594">
    <w:pPr>
      <w:pStyle w:val="Header"/>
      <w:jc w:val="right"/>
    </w:pPr>
    <w:r>
      <w:t>1500923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0F6"/>
    <w:rsid w:val="00065BA5"/>
    <w:rsid w:val="001468C1"/>
    <w:rsid w:val="001B52FC"/>
    <w:rsid w:val="002170C5"/>
    <w:rsid w:val="00265D12"/>
    <w:rsid w:val="00313103"/>
    <w:rsid w:val="00326E7D"/>
    <w:rsid w:val="003732C3"/>
    <w:rsid w:val="0038158C"/>
    <w:rsid w:val="00476F7F"/>
    <w:rsid w:val="004F198A"/>
    <w:rsid w:val="00645252"/>
    <w:rsid w:val="006B1728"/>
    <w:rsid w:val="006D3D74"/>
    <w:rsid w:val="006D6936"/>
    <w:rsid w:val="00847594"/>
    <w:rsid w:val="009210F6"/>
    <w:rsid w:val="00A44DB5"/>
    <w:rsid w:val="00A9204E"/>
    <w:rsid w:val="00AF6F42"/>
    <w:rsid w:val="00B802EA"/>
    <w:rsid w:val="00C725B8"/>
    <w:rsid w:val="00CA1879"/>
    <w:rsid w:val="00D5233E"/>
    <w:rsid w:val="00DE6140"/>
    <w:rsid w:val="00E06232"/>
    <w:rsid w:val="00E333E8"/>
    <w:rsid w:val="00E876EF"/>
    <w:rsid w:val="00EF12C0"/>
    <w:rsid w:val="00F908D6"/>
    <w:rsid w:val="00FA5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185DD"/>
  <w15:chartTrackingRefBased/>
  <w15:docId w15:val="{32D8CA5E-8477-4F28-B459-F607704E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character" w:styleId="FootnoteReference">
    <w:name w:val="footnote reference"/>
    <w:basedOn w:val="DefaultParagraphFont"/>
    <w:uiPriority w:val="99"/>
    <w:semiHidden/>
    <w:unhideWhenUsed/>
    <w:rsid w:val="006B17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0923\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283</TotalTime>
  <Pages>7</Pages>
  <Words>1405</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Atkinson (1500923)</dc:creator>
  <cp:keywords/>
  <dc:description/>
  <cp:lastModifiedBy>Enrico Atkinson (1500923)</cp:lastModifiedBy>
  <cp:revision>3</cp:revision>
  <dcterms:created xsi:type="dcterms:W3CDTF">2018-01-19T10:11:00Z</dcterms:created>
  <dcterms:modified xsi:type="dcterms:W3CDTF">2018-01-19T16:07:00Z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