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Heading1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Chapter 4: Findings and Discussion</w:t>
      </w:r>
    </w:p>
    <w:p>
      <w:pPr>
        <w:pStyle w:val="Heading2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4.1 Introduction</w:t>
      </w:r>
    </w:p>
    <w:p>
      <w:pPr>
        <w:pStyle w:val="BodyText"/>
        <w:bidi w:val="0"/>
        <w:jc w:val="both"/>
        <w:rPr/>
      </w:pPr>
      <w:r>
        <w:rPr>
          <w:rFonts w:ascii="Times New Roman" w:hAnsi="Times New Roman"/>
          <w:b w:val="false"/>
          <w:bCs w:val="false"/>
        </w:rPr>
        <w:t xml:space="preserve">This chapter presents the </w:t>
      </w:r>
      <w:r>
        <w:rPr>
          <w:rStyle w:val="Strong"/>
          <w:rFonts w:ascii="Times New Roman" w:hAnsi="Times New Roman"/>
          <w:b w:val="false"/>
          <w:bCs w:val="false"/>
        </w:rPr>
        <w:t>findings of the study</w:t>
      </w:r>
      <w:r>
        <w:rPr>
          <w:rFonts w:ascii="Times New Roman" w:hAnsi="Times New Roman"/>
          <w:b w:val="false"/>
          <w:bCs w:val="false"/>
        </w:rPr>
        <w:t xml:space="preserve">, focusing on the </w:t>
      </w:r>
      <w:r>
        <w:rPr>
          <w:rStyle w:val="Strong"/>
          <w:rFonts w:ascii="Times New Roman" w:hAnsi="Times New Roman"/>
          <w:b w:val="false"/>
          <w:bCs w:val="false"/>
        </w:rPr>
        <w:t>impact of community policing on crime rates and police-community relationships in Telford</w:t>
      </w:r>
      <w:r>
        <w:rPr>
          <w:rFonts w:ascii="Times New Roman" w:hAnsi="Times New Roman"/>
          <w:b w:val="false"/>
          <w:bCs w:val="false"/>
        </w:rPr>
        <w:t xml:space="preserve">. Data were collected through </w:t>
      </w:r>
      <w:r>
        <w:rPr>
          <w:rStyle w:val="Strong"/>
          <w:rFonts w:ascii="Times New Roman" w:hAnsi="Times New Roman"/>
          <w:b w:val="false"/>
          <w:bCs w:val="false"/>
        </w:rPr>
        <w:t>crime statistics, resident surveys, and interviews with police officers, community leaders, and residents</w:t>
      </w:r>
      <w:r>
        <w:rPr>
          <w:rFonts w:ascii="Times New Roman" w:hAnsi="Times New Roman"/>
          <w:b w:val="false"/>
          <w:bCs w:val="false"/>
        </w:rPr>
        <w:t>. The findings are structured around key themes, supported by statistical trends and qualitative insights. A comparative discussion follows, linking the results to existing literature and theoretical perspectives.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4.1.1 Structure of the Chapter</w:t>
      </w:r>
    </w:p>
    <w:p>
      <w:pPr>
        <w:pStyle w:val="BodyText"/>
        <w:bidi w:val="0"/>
        <w:jc w:val="start"/>
        <w:rPr>
          <w:rFonts w:ascii="Times New Roman" w:hAnsi="Times New Roman"/>
        </w:rPr>
      </w:pPr>
      <w:r>
        <w:rPr>
          <w:rFonts w:ascii="Times New Roman" w:hAnsi="Times New Roman"/>
        </w:rPr>
        <w:t>This chapter is divided into four major sections: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Crime Statistics Analysis</w:t>
      </w:r>
      <w:r>
        <w:rPr>
          <w:rFonts w:ascii="Times New Roman" w:hAnsi="Times New Roman"/>
        </w:rPr>
        <w:t xml:space="preserve"> – A review of crime trends from 2018 to 2023, assessing whether community policing interventions contributed to crime reduction. 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Survey Results</w:t>
      </w:r>
      <w:r>
        <w:rPr>
          <w:rFonts w:ascii="Times New Roman" w:hAnsi="Times New Roman"/>
        </w:rPr>
        <w:t xml:space="preserve"> – Presentation of resident perceptions regarding safety, trust in law enforcement, and police-community engagement. 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Interview Analysis</w:t>
      </w:r>
      <w:r>
        <w:rPr>
          <w:rFonts w:ascii="Times New Roman" w:hAnsi="Times New Roman"/>
        </w:rPr>
        <w:t xml:space="preserve"> – Thematic insights fr</w:t>
      </w:r>
      <w:r>
        <w:rPr>
          <w:rFonts w:ascii="Times New Roman" w:hAnsi="Times New Roman"/>
          <w:b w:val="false"/>
          <w:bCs w:val="false"/>
        </w:rPr>
        <w:t xml:space="preserve">om </w:t>
      </w:r>
      <w:r>
        <w:rPr>
          <w:rStyle w:val="Strong"/>
          <w:rFonts w:ascii="Times New Roman" w:hAnsi="Times New Roman"/>
          <w:b w:val="false"/>
          <w:bCs w:val="false"/>
        </w:rPr>
        <w:t>police officers, community leaders, and</w:t>
      </w:r>
      <w:r>
        <w:rPr>
          <w:rStyle w:val="Strong"/>
          <w:rFonts w:ascii="Times New Roman" w:hAnsi="Times New Roman"/>
        </w:rPr>
        <w:t xml:space="preserve"> residents</w:t>
      </w:r>
      <w:r>
        <w:rPr>
          <w:rFonts w:ascii="Times New Roman" w:hAnsi="Times New Roman"/>
        </w:rPr>
        <w:t xml:space="preserve"> to understand their lived experiences with community policing. </w:t>
      </w:r>
    </w:p>
    <w:p>
      <w:pPr>
        <w:pStyle w:val="BodyText"/>
        <w:numPr>
          <w:ilvl w:val="0"/>
          <w:numId w:val="1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Discussion</w:t>
      </w:r>
      <w:r>
        <w:rPr>
          <w:rFonts w:ascii="Times New Roman" w:hAnsi="Times New Roman"/>
        </w:rPr>
        <w:t xml:space="preserve"> – Interpretation of findings, linking them to criminological theories and previous research. 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4.1.2 Summary of Data Collection</w:t>
      </w:r>
    </w:p>
    <w:p>
      <w:pPr>
        <w:pStyle w:val="BodyText"/>
        <w:bidi w:val="0"/>
        <w:jc w:val="start"/>
        <w:rPr/>
      </w:pPr>
      <w:r>
        <w:rPr>
          <w:rFonts w:ascii="Times New Roman" w:hAnsi="Times New Roman"/>
        </w:rPr>
        <w:t>To ens</w:t>
      </w:r>
      <w:r>
        <w:rPr>
          <w:rFonts w:ascii="Times New Roman" w:hAnsi="Times New Roman"/>
          <w:b w:val="false"/>
          <w:bCs w:val="false"/>
        </w:rPr>
        <w:t xml:space="preserve">ure </w:t>
      </w:r>
      <w:r>
        <w:rPr>
          <w:rStyle w:val="Strong"/>
          <w:rFonts w:ascii="Times New Roman" w:hAnsi="Times New Roman"/>
          <w:b w:val="false"/>
          <w:bCs w:val="false"/>
        </w:rPr>
        <w:t>methodological rigor</w:t>
      </w:r>
      <w:r>
        <w:rPr>
          <w:rFonts w:ascii="Times New Roman" w:hAnsi="Times New Roman"/>
          <w:b w:val="false"/>
          <w:bCs w:val="false"/>
        </w:rPr>
        <w:t>, data were collected using: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Crime Statistics</w:t>
      </w:r>
      <w:r>
        <w:rPr>
          <w:rFonts w:ascii="Times New Roman" w:hAnsi="Times New Roman"/>
        </w:rPr>
        <w:t>: Official police repo</w:t>
      </w:r>
      <w:r>
        <w:rPr>
          <w:rFonts w:ascii="Times New Roman" w:hAnsi="Times New Roman"/>
          <w:b w:val="false"/>
          <w:bCs w:val="false"/>
        </w:rPr>
        <w:t xml:space="preserve">rts from </w:t>
      </w:r>
      <w:r>
        <w:rPr>
          <w:rStyle w:val="Strong"/>
          <w:rFonts w:ascii="Times New Roman" w:hAnsi="Times New Roman"/>
          <w:b w:val="false"/>
          <w:bCs w:val="false"/>
        </w:rPr>
        <w:t>2018 to 2023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Resident Surveys (N = 150)</w:t>
      </w:r>
      <w:r>
        <w:rPr>
          <w:rFonts w:ascii="Times New Roman" w:hAnsi="Times New Roman"/>
        </w:rPr>
        <w:t xml:space="preserve">: Structured questionnaires capturing perceptions of policing effectiveness and neighborhood safety. </w:t>
      </w:r>
    </w:p>
    <w:p>
      <w:pPr>
        <w:pStyle w:val="BodyText"/>
        <w:numPr>
          <w:ilvl w:val="0"/>
          <w:numId w:val="2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Interviews (N = 20)</w:t>
      </w:r>
      <w:r>
        <w:rPr>
          <w:rFonts w:ascii="Times New Roman" w:hAnsi="Times New Roman"/>
        </w:rPr>
        <w:t>: Se</w:t>
      </w:r>
      <w:r>
        <w:rPr>
          <w:rFonts w:ascii="Times New Roman" w:hAnsi="Times New Roman"/>
          <w:b w:val="false"/>
          <w:bCs w:val="false"/>
        </w:rPr>
        <w:t xml:space="preserve">mi-structured interviews with </w:t>
      </w:r>
      <w:r>
        <w:rPr>
          <w:rStyle w:val="Strong"/>
          <w:rFonts w:ascii="Times New Roman" w:hAnsi="Times New Roman"/>
          <w:b w:val="false"/>
          <w:bCs w:val="false"/>
        </w:rPr>
        <w:t>police officers (8), community leaders (6), and residents (6)</w:t>
      </w:r>
      <w:r>
        <w:rPr>
          <w:rFonts w:ascii="Times New Roman" w:hAnsi="Times New Roman"/>
          <w:b w:val="false"/>
          <w:bCs w:val="false"/>
        </w:rPr>
        <w:t xml:space="preserve"> to gain qualitative insights. </w:t>
      </w:r>
    </w:p>
    <w:p>
      <w:pPr>
        <w:pStyle w:val="BodyText"/>
        <w:bidi w:val="0"/>
        <w:jc w:val="start"/>
        <w:rPr/>
      </w:pPr>
      <w:r>
        <w:rPr>
          <w:rFonts w:ascii="Times New Roman" w:hAnsi="Times New Roman"/>
        </w:rPr>
        <w:t xml:space="preserve">This </w:t>
      </w:r>
      <w:r>
        <w:rPr>
          <w:rStyle w:val="Strong"/>
          <w:rFonts w:ascii="Times New Roman" w:hAnsi="Times New Roman"/>
        </w:rPr>
        <w:t>triangulated approach</w:t>
      </w:r>
      <w:r>
        <w:rPr>
          <w:rFonts w:ascii="Times New Roman" w:hAnsi="Times New Roman"/>
        </w:rPr>
        <w:t xml:space="preserve"> enhances the reliability of the findings by cross-validating data from multiple sources.</w:t>
      </w:r>
    </w:p>
    <w:p>
      <w:pPr>
        <w:pStyle w:val="Heading2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4.2 Crime Statistics Analysis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4.2.1 Changes in Crime Rates (2018–2023)</w:t>
      </w:r>
    </w:p>
    <w:p>
      <w:pPr>
        <w:pStyle w:val="BodyText"/>
        <w:bidi w:val="0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Crime data from </w:t>
      </w:r>
      <w:r>
        <w:rPr>
          <w:rStyle w:val="Strong"/>
          <w:rFonts w:ascii="Times New Roman" w:hAnsi="Times New Roman"/>
          <w:b w:val="false"/>
          <w:bCs w:val="false"/>
        </w:rPr>
        <w:t>Telford Police Department</w:t>
      </w:r>
      <w:r>
        <w:rPr>
          <w:rFonts w:ascii="Times New Roman" w:hAnsi="Times New Roman"/>
          <w:b w:val="false"/>
          <w:bCs w:val="false"/>
        </w:rPr>
        <w:t xml:space="preserve"> indicate a </w:t>
      </w:r>
      <w:r>
        <w:rPr>
          <w:rStyle w:val="Strong"/>
          <w:rFonts w:ascii="Times New Roman" w:hAnsi="Times New Roman"/>
          <w:b w:val="false"/>
          <w:bCs w:val="false"/>
        </w:rPr>
        <w:t>17% overall decline in crime</w:t>
      </w:r>
      <w:r>
        <w:rPr>
          <w:rFonts w:ascii="Times New Roman" w:hAnsi="Times New Roman"/>
          <w:b w:val="false"/>
          <w:bCs w:val="false"/>
        </w:rPr>
        <w:t xml:space="preserve"> following the implementation of community policing strategies in 2019. The table below illustrates the annual crime rates for key offenses:</w:t>
      </w:r>
    </w:p>
    <w:p>
      <w:pPr>
        <w:pStyle w:val="Heading4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Table 4.1: Crime Trends in Telford (2018–2023)</w:t>
      </w:r>
    </w:p>
    <w:tbl>
      <w:tblPr>
        <w:tblW w:w="9540" w:type="dxa"/>
        <w:jc w:val="start"/>
        <w:tblInd w:w="0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1740"/>
        <w:gridCol w:w="1050"/>
        <w:gridCol w:w="1080"/>
        <w:gridCol w:w="811"/>
        <w:gridCol w:w="989"/>
        <w:gridCol w:w="1260"/>
        <w:gridCol w:w="992"/>
        <w:gridCol w:w="1616"/>
      </w:tblGrid>
      <w:tr>
        <w:trPr>
          <w:tblHeader w:val="true"/>
        </w:trPr>
        <w:tc>
          <w:tcPr>
            <w:tcW w:w="1740" w:type="dxa"/>
            <w:tcBorders/>
            <w:vAlign w:val="center"/>
          </w:tcPr>
          <w:p>
            <w:pPr>
              <w:pStyle w:val="TableHeading"/>
              <w:suppressLineNumbers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Crime Type</w:t>
            </w:r>
          </w:p>
        </w:tc>
        <w:tc>
          <w:tcPr>
            <w:tcW w:w="1050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2018</w:t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2019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2020</w:t>
            </w:r>
          </w:p>
        </w:tc>
        <w:tc>
          <w:tcPr>
            <w:tcW w:w="989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2021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2022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2023</w:t>
            </w:r>
          </w:p>
        </w:tc>
        <w:tc>
          <w:tcPr>
            <w:tcW w:w="1616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% Change</w:t>
            </w:r>
          </w:p>
        </w:tc>
      </w:tr>
      <w:tr>
        <w:trPr/>
        <w:tc>
          <w:tcPr>
            <w:tcW w:w="1740" w:type="dxa"/>
            <w:tcBorders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>
                <w:rStyle w:val="Strong"/>
                <w:rFonts w:ascii="Times New Roman" w:hAnsi="Times New Roman"/>
              </w:rPr>
              <w:t>Burglary</w:t>
            </w:r>
          </w:p>
        </w:tc>
        <w:tc>
          <w:tcPr>
            <w:tcW w:w="105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</w:t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</w:t>
            </w:r>
          </w:p>
        </w:tc>
        <w:tc>
          <w:tcPr>
            <w:tcW w:w="98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</w:t>
            </w:r>
          </w:p>
        </w:tc>
        <w:tc>
          <w:tcPr>
            <w:tcW w:w="1616" w:type="dxa"/>
            <w:tcBorders/>
            <w:vAlign w:val="center"/>
          </w:tcPr>
          <w:p>
            <w:pPr>
              <w:pStyle w:val="TableContents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</w:rPr>
              <w:t>↓</w:t>
            </w:r>
            <w:r>
              <w:rPr>
                <w:rStyle w:val="Strong"/>
                <w:rFonts w:ascii="Times New Roman" w:hAnsi="Times New Roman"/>
              </w:rPr>
              <w:t>39%</w:t>
            </w:r>
          </w:p>
        </w:tc>
      </w:tr>
      <w:tr>
        <w:trPr/>
        <w:tc>
          <w:tcPr>
            <w:tcW w:w="1740" w:type="dxa"/>
            <w:tcBorders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>
                <w:rStyle w:val="Strong"/>
                <w:rFonts w:ascii="Times New Roman" w:hAnsi="Times New Roman"/>
              </w:rPr>
              <w:t>Assault</w:t>
            </w:r>
          </w:p>
        </w:tc>
        <w:tc>
          <w:tcPr>
            <w:tcW w:w="105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540</w:t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525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98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480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470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</w:t>
            </w:r>
          </w:p>
        </w:tc>
        <w:tc>
          <w:tcPr>
            <w:tcW w:w="1616" w:type="dxa"/>
            <w:tcBorders/>
            <w:vAlign w:val="center"/>
          </w:tcPr>
          <w:p>
            <w:pPr>
              <w:pStyle w:val="TableContents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</w:rPr>
              <w:t>↓</w:t>
            </w:r>
            <w:r>
              <w:rPr>
                <w:rStyle w:val="Strong"/>
                <w:rFonts w:ascii="Times New Roman" w:hAnsi="Times New Roman"/>
              </w:rPr>
              <w:t>15%</w:t>
            </w:r>
          </w:p>
        </w:tc>
      </w:tr>
      <w:tr>
        <w:trPr/>
        <w:tc>
          <w:tcPr>
            <w:tcW w:w="1740" w:type="dxa"/>
            <w:tcBorders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>
                <w:rStyle w:val="Strong"/>
                <w:rFonts w:ascii="Times New Roman" w:hAnsi="Times New Roman"/>
              </w:rPr>
              <w:t>Vehicle Theft</w:t>
            </w:r>
          </w:p>
        </w:tc>
        <w:tc>
          <w:tcPr>
            <w:tcW w:w="105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</w:t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</w:t>
            </w:r>
          </w:p>
        </w:tc>
        <w:tc>
          <w:tcPr>
            <w:tcW w:w="98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</w:t>
            </w:r>
          </w:p>
        </w:tc>
        <w:tc>
          <w:tcPr>
            <w:tcW w:w="1616" w:type="dxa"/>
            <w:tcBorders/>
            <w:vAlign w:val="center"/>
          </w:tcPr>
          <w:p>
            <w:pPr>
              <w:pStyle w:val="TableContents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</w:rPr>
              <w:t>↓</w:t>
            </w:r>
            <w:r>
              <w:rPr>
                <w:rStyle w:val="Strong"/>
                <w:rFonts w:ascii="Times New Roman" w:hAnsi="Times New Roman"/>
              </w:rPr>
              <w:t>17%</w:t>
            </w:r>
          </w:p>
        </w:tc>
      </w:tr>
      <w:tr>
        <w:trPr/>
        <w:tc>
          <w:tcPr>
            <w:tcW w:w="1740" w:type="dxa"/>
            <w:tcBorders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>
                <w:rStyle w:val="Strong"/>
                <w:rFonts w:ascii="Times New Roman" w:hAnsi="Times New Roman"/>
              </w:rPr>
              <w:t>Drug Offenses</w:t>
            </w:r>
          </w:p>
        </w:tc>
        <w:tc>
          <w:tcPr>
            <w:tcW w:w="105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</w:t>
            </w:r>
          </w:p>
        </w:tc>
        <w:tc>
          <w:tcPr>
            <w:tcW w:w="98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175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</w:t>
            </w:r>
          </w:p>
        </w:tc>
        <w:tc>
          <w:tcPr>
            <w:tcW w:w="1616" w:type="dxa"/>
            <w:tcBorders/>
            <w:vAlign w:val="center"/>
          </w:tcPr>
          <w:p>
            <w:pPr>
              <w:pStyle w:val="TableContents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</w:rPr>
              <w:t>↑</w:t>
            </w:r>
            <w:r>
              <w:rPr>
                <w:rStyle w:val="Strong"/>
                <w:rFonts w:ascii="Times New Roman" w:hAnsi="Times New Roman"/>
              </w:rPr>
              <w:t>23%</w:t>
            </w:r>
          </w:p>
        </w:tc>
      </w:tr>
      <w:tr>
        <w:trPr/>
        <w:tc>
          <w:tcPr>
            <w:tcW w:w="1740" w:type="dxa"/>
            <w:tcBorders/>
            <w:vAlign w:val="center"/>
          </w:tcPr>
          <w:p>
            <w:pPr>
              <w:pStyle w:val="TableContents"/>
              <w:widowControl w:val="false"/>
              <w:suppressLineNumbers/>
              <w:bidi w:val="0"/>
              <w:jc w:val="start"/>
              <w:rPr/>
            </w:pPr>
            <w:r>
              <w:rPr>
                <w:rStyle w:val="Strong"/>
                <w:rFonts w:ascii="Times New Roman" w:hAnsi="Times New Roman"/>
              </w:rPr>
              <w:t>Public Disorder</w:t>
            </w:r>
          </w:p>
        </w:tc>
        <w:tc>
          <w:tcPr>
            <w:tcW w:w="105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430</w:t>
            </w:r>
          </w:p>
        </w:tc>
        <w:tc>
          <w:tcPr>
            <w:tcW w:w="108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</w:t>
            </w:r>
          </w:p>
        </w:tc>
        <w:tc>
          <w:tcPr>
            <w:tcW w:w="98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</w:t>
            </w:r>
          </w:p>
        </w:tc>
        <w:tc>
          <w:tcPr>
            <w:tcW w:w="126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340</w:t>
            </w:r>
          </w:p>
        </w:tc>
        <w:tc>
          <w:tcPr>
            <w:tcW w:w="1616" w:type="dxa"/>
            <w:tcBorders/>
            <w:vAlign w:val="center"/>
          </w:tcPr>
          <w:p>
            <w:pPr>
              <w:pStyle w:val="TableContents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</w:rPr>
              <w:t>↓</w:t>
            </w:r>
            <w:r>
              <w:rPr>
                <w:rStyle w:val="Strong"/>
                <w:rFonts w:ascii="Times New Roman" w:hAnsi="Times New Roman"/>
              </w:rPr>
              <w:t>21%</w:t>
            </w:r>
          </w:p>
        </w:tc>
      </w:tr>
    </w:tbl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4.2.2 Interpretation of Crime Trends</w:t>
      </w:r>
    </w:p>
    <w:p>
      <w:pPr>
        <w:pStyle w:val="BodyText"/>
        <w:jc w:val="both"/>
        <w:rPr/>
      </w:pPr>
      <w:r>
        <w:rPr>
          <w:b w:val="false"/>
          <w:bCs w:val="false"/>
        </w:rPr>
        <w:t xml:space="preserve">The significant decline in burglary (↓39%) and public disorder (↓21%) aligns with community policing strategies such as increased patrols and neighborhood engagement. This supports </w:t>
      </w:r>
      <w:r>
        <w:rPr>
          <w:rStyle w:val="Strong"/>
          <w:b w:val="false"/>
          <w:bCs w:val="false"/>
        </w:rPr>
        <w:t>Broken Windows Theory</w:t>
      </w:r>
      <w:r>
        <w:rPr>
          <w:b w:val="false"/>
          <w:bCs w:val="false"/>
        </w:rPr>
        <w:t>, which suggests that maintaining public order deters criminal activity (Wilson &amp; Kelling, 1982).</w:t>
      </w:r>
    </w:p>
    <w:p>
      <w:pPr>
        <w:pStyle w:val="BodyText"/>
        <w:jc w:val="both"/>
        <w:rPr/>
      </w:pPr>
      <w:r>
        <w:rPr>
          <w:b w:val="false"/>
          <w:bCs w:val="false"/>
        </w:rPr>
        <w:t xml:space="preserve">However, drug-related offenses increased by </w:t>
      </w:r>
      <w:r>
        <w:rPr>
          <w:rStyle w:val="Strong"/>
          <w:b w:val="false"/>
          <w:bCs w:val="false"/>
        </w:rPr>
        <w:t>23%</w:t>
      </w:r>
      <w:r>
        <w:rPr>
          <w:b w:val="false"/>
          <w:bCs w:val="false"/>
        </w:rPr>
        <w:t xml:space="preserve">, likely due to </w:t>
      </w:r>
      <w:r>
        <w:rPr>
          <w:rStyle w:val="Strong"/>
          <w:b w:val="false"/>
          <w:bCs w:val="false"/>
        </w:rPr>
        <w:t>enhanced enforcement</w:t>
      </w:r>
      <w:r>
        <w:rPr>
          <w:b w:val="false"/>
          <w:bCs w:val="false"/>
        </w:rPr>
        <w:t xml:space="preserve"> leading to higher detection rates rather than an actual rise in drug activity. Other contributing factors include </w:t>
      </w:r>
      <w:r>
        <w:rPr>
          <w:rStyle w:val="Strong"/>
          <w:b w:val="false"/>
          <w:bCs w:val="false"/>
        </w:rPr>
        <w:t>persistent socio-economic challenges</w:t>
      </w:r>
      <w:r>
        <w:rPr>
          <w:b w:val="false"/>
          <w:bCs w:val="false"/>
        </w:rPr>
        <w:t xml:space="preserve"> and </w:t>
      </w:r>
      <w:r>
        <w:rPr>
          <w:rStyle w:val="Strong"/>
          <w:b w:val="false"/>
          <w:bCs w:val="false"/>
        </w:rPr>
        <w:t>limited rehabilitation programs</w:t>
      </w:r>
      <w:r>
        <w:rPr>
          <w:b w:val="false"/>
          <w:bCs w:val="false"/>
        </w:rPr>
        <w:t xml:space="preserve">, highlighting the need for </w:t>
      </w:r>
      <w:r>
        <w:rPr>
          <w:rStyle w:val="Strong"/>
          <w:b w:val="false"/>
          <w:bCs w:val="false"/>
        </w:rPr>
        <w:t>multi-agency collaboration</w:t>
      </w:r>
      <w:r>
        <w:rPr>
          <w:b w:val="false"/>
          <w:bCs w:val="false"/>
        </w:rPr>
        <w:t xml:space="preserve">. While community policing has proven effective in reducing property crimes and disorder, tackling complex offenses like drug-related crime requires integrating </w:t>
      </w:r>
      <w:r>
        <w:rPr>
          <w:rStyle w:val="Strong"/>
          <w:b w:val="false"/>
          <w:bCs w:val="false"/>
        </w:rPr>
        <w:t>public health, social work, and rehabilitation efforts</w:t>
      </w:r>
      <w:r>
        <w:rPr>
          <w:b w:val="false"/>
          <w:bCs w:val="false"/>
        </w:rPr>
        <w:t xml:space="preserve"> alongside law enforcement.</w:t>
      </w:r>
    </w:p>
    <w:p>
      <w:pPr>
        <w:pStyle w:val="BodyText"/>
        <w:rPr/>
      </w:pPr>
      <w:r>
        <w:rPr>
          <w:rStyle w:val="Strong"/>
          <w:rFonts w:ascii="Times New Roman" w:hAnsi="Times New Roman"/>
          <w:b/>
          <w:bCs/>
        </w:rPr>
        <w:t>Comparative Analysis</w:t>
      </w:r>
      <w:r>
        <w:rPr>
          <w:rStyle w:val="Strong"/>
          <w:rFonts w:ascii="Times New Roman" w:hAnsi="Times New Roman"/>
          <w:b w:val="false"/>
          <w:bCs w:val="false"/>
        </w:rPr>
        <w:br/>
        <w:t>Telford’s 17% overall crime reduction is above the UK national average of 12% (Office for National Statistics, 2023), reinforcing the effectiveness of localized, proactive policing strategies.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4.2.3 Comparative Analysis with National Crime Trends</w:t>
      </w:r>
    </w:p>
    <w:p>
      <w:pPr>
        <w:pStyle w:val="BodyText"/>
        <w:bidi w:val="0"/>
        <w:jc w:val="both"/>
        <w:rPr/>
      </w:pPr>
      <w:r>
        <w:rPr>
          <w:rFonts w:ascii="Times New Roman" w:hAnsi="Times New Roman"/>
          <w:b w:val="false"/>
          <w:bCs w:val="false"/>
        </w:rPr>
        <w:t xml:space="preserve">When compared to </w:t>
      </w:r>
      <w:r>
        <w:rPr>
          <w:rStyle w:val="Strong"/>
          <w:rFonts w:ascii="Times New Roman" w:hAnsi="Times New Roman"/>
          <w:b w:val="false"/>
          <w:bCs w:val="false"/>
        </w:rPr>
        <w:t>UK national crime trends</w:t>
      </w:r>
      <w:r>
        <w:rPr>
          <w:rFonts w:ascii="Times New Roman" w:hAnsi="Times New Roman"/>
          <w:b w:val="false"/>
          <w:bCs w:val="false"/>
        </w:rPr>
        <w:t xml:space="preserve">, Telford’s </w:t>
      </w:r>
      <w:r>
        <w:rPr>
          <w:rStyle w:val="Strong"/>
          <w:rFonts w:ascii="Times New Roman" w:hAnsi="Times New Roman"/>
          <w:b w:val="false"/>
          <w:bCs w:val="false"/>
        </w:rPr>
        <w:t>17% overall crime reduction</w:t>
      </w:r>
      <w:r>
        <w:rPr>
          <w:rFonts w:ascii="Times New Roman" w:hAnsi="Times New Roman"/>
          <w:b w:val="false"/>
          <w:bCs w:val="false"/>
        </w:rPr>
        <w:t xml:space="preserve"> is </w:t>
      </w:r>
      <w:r>
        <w:rPr>
          <w:rStyle w:val="Strong"/>
          <w:rFonts w:ascii="Times New Roman" w:hAnsi="Times New Roman"/>
          <w:b w:val="false"/>
          <w:bCs w:val="false"/>
        </w:rPr>
        <w:t>slightly above the national average of 12%</w:t>
      </w:r>
      <w:r>
        <w:rPr>
          <w:rFonts w:ascii="Times New Roman" w:hAnsi="Times New Roman"/>
          <w:b w:val="false"/>
          <w:bCs w:val="false"/>
        </w:rPr>
        <w:t xml:space="preserve"> (Office for National Statistics, 2023). This suggests that </w:t>
      </w:r>
      <w:r>
        <w:rPr>
          <w:rStyle w:val="Strong"/>
          <w:rFonts w:ascii="Times New Roman" w:hAnsi="Times New Roman"/>
          <w:b w:val="false"/>
          <w:bCs w:val="false"/>
        </w:rPr>
        <w:t>community policing has had a tangible impact</w:t>
      </w:r>
      <w:r>
        <w:rPr>
          <w:rFonts w:ascii="Times New Roman" w:hAnsi="Times New Roman"/>
          <w:b w:val="false"/>
          <w:bCs w:val="false"/>
        </w:rPr>
        <w:t xml:space="preserve"> on public safety, reinforcing </w:t>
      </w:r>
      <w:r>
        <w:rPr>
          <w:rStyle w:val="Strong"/>
          <w:rFonts w:ascii="Times New Roman" w:hAnsi="Times New Roman"/>
          <w:b w:val="false"/>
          <w:bCs w:val="false"/>
        </w:rPr>
        <w:t>the effectiveness of localized, proactive policing strategies</w:t>
      </w:r>
      <w:r>
        <w:rPr>
          <w:rFonts w:ascii="Times New Roman" w:hAnsi="Times New Roman"/>
          <w:b w:val="false"/>
          <w:bCs w:val="false"/>
        </w:rPr>
        <w:t>.</w:t>
      </w:r>
    </w:p>
    <w:p>
      <w:pPr>
        <w:pStyle w:val="BodyText"/>
        <w:bidi w:val="0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Heading2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4.3 Survey Results (N = 150 Residents)</w:t>
      </w:r>
    </w:p>
    <w:p>
      <w:pPr>
        <w:pStyle w:val="BodyText"/>
        <w:bidi w:val="0"/>
        <w:jc w:val="both"/>
        <w:rPr/>
      </w:pPr>
      <w:r>
        <w:rPr>
          <w:rFonts w:ascii="Times New Roman" w:hAnsi="Times New Roman"/>
          <w:b w:val="false"/>
          <w:bCs w:val="false"/>
        </w:rPr>
        <w:t xml:space="preserve">A structured </w:t>
      </w:r>
      <w:r>
        <w:rPr>
          <w:rStyle w:val="Strong"/>
          <w:rFonts w:ascii="Times New Roman" w:hAnsi="Times New Roman"/>
          <w:b w:val="false"/>
          <w:bCs w:val="false"/>
        </w:rPr>
        <w:t>survey was conducted among 150 residents</w:t>
      </w:r>
      <w:r>
        <w:rPr>
          <w:rFonts w:ascii="Times New Roman" w:hAnsi="Times New Roman"/>
          <w:b w:val="false"/>
          <w:bCs w:val="false"/>
        </w:rPr>
        <w:t xml:space="preserve"> across different neighborhoods in Telford to assess </w:t>
      </w:r>
      <w:r>
        <w:rPr>
          <w:rStyle w:val="Strong"/>
          <w:rFonts w:ascii="Times New Roman" w:hAnsi="Times New Roman"/>
          <w:b w:val="false"/>
          <w:bCs w:val="false"/>
        </w:rPr>
        <w:t>perceptions of community policing, safety, and trust in law enforcement</w:t>
      </w:r>
      <w:r>
        <w:rPr>
          <w:rFonts w:ascii="Times New Roman" w:hAnsi="Times New Roman"/>
          <w:b w:val="false"/>
          <w:bCs w:val="false"/>
        </w:rPr>
        <w:t xml:space="preserve">. The findings are presented in three key areas: </w:t>
      </w:r>
      <w:r>
        <w:rPr>
          <w:rStyle w:val="Strong"/>
          <w:rFonts w:ascii="Times New Roman" w:hAnsi="Times New Roman"/>
          <w:b w:val="false"/>
          <w:bCs w:val="false"/>
        </w:rPr>
        <w:t>public perception of safety, trust in law enforcement, and community engagement.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4.3.1 Public Perception of Safety</w:t>
      </w:r>
    </w:p>
    <w:p>
      <w:pPr>
        <w:pStyle w:val="BodyText"/>
        <w:bidi w:val="0"/>
        <w:jc w:val="start"/>
        <w:rPr/>
      </w:pPr>
      <w:r>
        <w:rPr>
          <w:rFonts w:ascii="Times New Roman" w:hAnsi="Times New Roman"/>
        </w:rPr>
        <w:t xml:space="preserve">Survey respondents were asked how </w:t>
      </w:r>
      <w:r>
        <w:rPr>
          <w:rStyle w:val="Strong"/>
          <w:rFonts w:ascii="Times New Roman" w:hAnsi="Times New Roman"/>
        </w:rPr>
        <w:t>safe</w:t>
      </w:r>
      <w:r>
        <w:rPr>
          <w:rFonts w:ascii="Times New Roman" w:hAnsi="Times New Roman"/>
        </w:rPr>
        <w:t xml:space="preserve"> they felt in their neighborhood after the introduction of community policing initiatives.</w:t>
      </w:r>
    </w:p>
    <w:p>
      <w:pPr>
        <w:pStyle w:val="Heading4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Figure 4.1: Resident Perceptions of Safety</w:t>
      </w:r>
    </w:p>
    <w:tbl>
      <w:tblPr>
        <w:tblW w:w="9000" w:type="dxa"/>
        <w:jc w:val="start"/>
        <w:tblInd w:w="0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4680"/>
        <w:gridCol w:w="4319"/>
      </w:tblGrid>
      <w:tr>
        <w:trPr>
          <w:tblHeader w:val="true"/>
        </w:trPr>
        <w:tc>
          <w:tcPr>
            <w:tcW w:w="4680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Perception of Safety</w:t>
            </w:r>
          </w:p>
        </w:tc>
        <w:tc>
          <w:tcPr>
            <w:tcW w:w="4319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% of Respondents</w:t>
            </w:r>
          </w:p>
        </w:tc>
      </w:tr>
      <w:tr>
        <w:trPr/>
        <w:tc>
          <w:tcPr>
            <w:tcW w:w="468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Feel much safer</w:t>
            </w:r>
          </w:p>
        </w:tc>
        <w:tc>
          <w:tcPr>
            <w:tcW w:w="431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38%</w:t>
            </w:r>
          </w:p>
        </w:tc>
      </w:tr>
      <w:tr>
        <w:trPr/>
        <w:tc>
          <w:tcPr>
            <w:tcW w:w="468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Feel somewhat safer</w:t>
            </w:r>
          </w:p>
        </w:tc>
        <w:tc>
          <w:tcPr>
            <w:tcW w:w="431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34%</w:t>
            </w:r>
          </w:p>
        </w:tc>
      </w:tr>
      <w:tr>
        <w:trPr/>
        <w:tc>
          <w:tcPr>
            <w:tcW w:w="468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 change in perception</w:t>
            </w:r>
          </w:p>
        </w:tc>
        <w:tc>
          <w:tcPr>
            <w:tcW w:w="431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20%</w:t>
            </w:r>
          </w:p>
        </w:tc>
      </w:tr>
      <w:tr>
        <w:trPr/>
        <w:tc>
          <w:tcPr>
            <w:tcW w:w="468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Feel less safe</w:t>
            </w:r>
          </w:p>
        </w:tc>
        <w:tc>
          <w:tcPr>
            <w:tcW w:w="431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8%</w:t>
            </w:r>
          </w:p>
        </w:tc>
      </w:tr>
    </w:tbl>
    <w:p>
      <w:pPr>
        <w:pStyle w:val="BodyText"/>
        <w:bidi w:val="0"/>
        <w:jc w:val="start"/>
        <w:rPr>
          <w:rStyle w:val="Strong"/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Key Insights: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72% of residents</w:t>
      </w:r>
      <w:r>
        <w:rPr>
          <w:rFonts w:ascii="Times New Roman" w:hAnsi="Times New Roman"/>
          <w:b w:val="false"/>
          <w:bCs w:val="false"/>
        </w:rPr>
        <w:t xml:space="preserve"> (38% + 34%) reported feeling safer since community policing was introduced. 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Only 8% felt less safe</w:t>
      </w:r>
      <w:r>
        <w:rPr>
          <w:rFonts w:ascii="Times New Roman" w:hAnsi="Times New Roman"/>
          <w:b w:val="false"/>
          <w:bCs w:val="false"/>
        </w:rPr>
        <w:t xml:space="preserve">, suggesting </w:t>
      </w:r>
      <w:r>
        <w:rPr>
          <w:rStyle w:val="Strong"/>
          <w:rFonts w:ascii="Times New Roman" w:hAnsi="Times New Roman"/>
          <w:b w:val="false"/>
          <w:bCs w:val="false"/>
        </w:rPr>
        <w:t>overwhelming support</w:t>
      </w:r>
      <w:r>
        <w:rPr>
          <w:rFonts w:ascii="Times New Roman" w:hAnsi="Times New Roman"/>
          <w:b w:val="false"/>
          <w:bCs w:val="false"/>
        </w:rPr>
        <w:t xml:space="preserve"> for community policing in enhancing security. </w:t>
      </w:r>
    </w:p>
    <w:p>
      <w:pPr>
        <w:pStyle w:val="BodyText"/>
        <w:numPr>
          <w:ilvl w:val="0"/>
          <w:numId w:val="3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20% reported no change</w:t>
      </w:r>
      <w:r>
        <w:rPr>
          <w:rFonts w:ascii="Times New Roman" w:hAnsi="Times New Roman"/>
          <w:b w:val="false"/>
          <w:bCs w:val="false"/>
        </w:rPr>
        <w:t xml:space="preserve">, indicating that certain areas might require </w:t>
      </w:r>
      <w:r>
        <w:rPr>
          <w:rStyle w:val="Strong"/>
          <w:rFonts w:ascii="Times New Roman" w:hAnsi="Times New Roman"/>
          <w:b w:val="false"/>
          <w:bCs w:val="false"/>
        </w:rPr>
        <w:t>additional policing efforts</w:t>
      </w:r>
      <w:r>
        <w:rPr>
          <w:rFonts w:ascii="Times New Roman" w:hAnsi="Times New Roman"/>
          <w:b w:val="false"/>
          <w:bCs w:val="false"/>
        </w:rPr>
        <w:t xml:space="preserve"> to improve perceptions of safety. </w:t>
      </w:r>
    </w:p>
    <w:p>
      <w:pPr>
        <w:pStyle w:val="BodyText"/>
        <w:bidi w:val="0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These findings align with </w:t>
      </w:r>
      <w:r>
        <w:rPr>
          <w:rStyle w:val="Strong"/>
          <w:rFonts w:ascii="Times New Roman" w:hAnsi="Times New Roman"/>
          <w:b w:val="false"/>
          <w:bCs w:val="false"/>
        </w:rPr>
        <w:t>social control theory</w:t>
      </w:r>
      <w:r>
        <w:rPr>
          <w:rFonts w:ascii="Times New Roman" w:hAnsi="Times New Roman"/>
          <w:b w:val="false"/>
          <w:bCs w:val="false"/>
        </w:rPr>
        <w:t xml:space="preserve">, which posits that </w:t>
      </w:r>
      <w:r>
        <w:rPr>
          <w:rStyle w:val="Strong"/>
          <w:rFonts w:ascii="Times New Roman" w:hAnsi="Times New Roman"/>
          <w:b w:val="false"/>
          <w:bCs w:val="false"/>
        </w:rPr>
        <w:t>stronger community ties and proactive policing improve public safety perceptions</w:t>
      </w:r>
      <w:r>
        <w:rPr>
          <w:rFonts w:ascii="Times New Roman" w:hAnsi="Times New Roman"/>
          <w:b w:val="false"/>
          <w:bCs w:val="false"/>
        </w:rPr>
        <w:t>.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4.3.2 Trust in Law Enforcement</w:t>
      </w:r>
    </w:p>
    <w:p>
      <w:pPr>
        <w:pStyle w:val="BodyText"/>
        <w:rPr/>
      </w:pPr>
      <w:r>
        <w:rPr/>
        <w:t>Survey respondents rated their trust in law enforcement after the implementation of community policing.</w:t>
      </w:r>
    </w:p>
    <w:tbl>
      <w:tblPr>
        <w:tblW w:w="9180" w:type="dxa"/>
        <w:jc w:val="start"/>
        <w:tblInd w:w="0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4320"/>
        <w:gridCol w:w="4860"/>
      </w:tblGrid>
      <w:tr>
        <w:trPr>
          <w:tblHeader w:val="true"/>
        </w:trPr>
        <w:tc>
          <w:tcPr>
            <w:tcW w:w="4320" w:type="dxa"/>
            <w:tcBorders/>
            <w:vAlign w:val="center"/>
          </w:tcPr>
          <w:p>
            <w:pPr>
              <w:pStyle w:val="TableHeading"/>
              <w:jc w:val="center"/>
              <w:rPr/>
            </w:pPr>
            <w:r>
              <w:rPr>
                <w:rStyle w:val="Strong"/>
                <w:b/>
                <w:bCs/>
              </w:rPr>
              <w:t>Trust Level</w:t>
            </w:r>
          </w:p>
        </w:tc>
        <w:tc>
          <w:tcPr>
            <w:tcW w:w="4860" w:type="dxa"/>
            <w:tcBorders/>
            <w:vAlign w:val="center"/>
          </w:tcPr>
          <w:p>
            <w:pPr>
              <w:pStyle w:val="TableHeading"/>
              <w:jc w:val="center"/>
              <w:rPr/>
            </w:pPr>
            <w:r>
              <w:rPr>
                <w:rStyle w:val="Strong"/>
                <w:b/>
                <w:bCs/>
              </w:rPr>
              <w:t>% of Respondents</w:t>
            </w:r>
          </w:p>
        </w:tc>
      </w:tr>
      <w:tr>
        <w:trPr/>
        <w:tc>
          <w:tcPr>
            <w:tcW w:w="432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Strongly trust</w:t>
            </w:r>
          </w:p>
        </w:tc>
        <w:tc>
          <w:tcPr>
            <w:tcW w:w="486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30%</w:t>
            </w:r>
          </w:p>
        </w:tc>
      </w:tr>
      <w:tr>
        <w:trPr/>
        <w:tc>
          <w:tcPr>
            <w:tcW w:w="432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Somewhat trust</w:t>
            </w:r>
          </w:p>
        </w:tc>
        <w:tc>
          <w:tcPr>
            <w:tcW w:w="486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38%</w:t>
            </w:r>
          </w:p>
        </w:tc>
      </w:tr>
      <w:tr>
        <w:trPr/>
        <w:tc>
          <w:tcPr>
            <w:tcW w:w="432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Neutral</w:t>
            </w:r>
          </w:p>
        </w:tc>
        <w:tc>
          <w:tcPr>
            <w:tcW w:w="486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12%</w:t>
            </w:r>
          </w:p>
        </w:tc>
      </w:tr>
      <w:tr>
        <w:trPr/>
        <w:tc>
          <w:tcPr>
            <w:tcW w:w="432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Somewhat distrust</w:t>
            </w:r>
          </w:p>
        </w:tc>
        <w:tc>
          <w:tcPr>
            <w:tcW w:w="486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12%</w:t>
            </w:r>
          </w:p>
        </w:tc>
      </w:tr>
      <w:tr>
        <w:trPr/>
        <w:tc>
          <w:tcPr>
            <w:tcW w:w="432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Strongly distrust</w:t>
            </w:r>
          </w:p>
        </w:tc>
        <w:tc>
          <w:tcPr>
            <w:tcW w:w="4860" w:type="dxa"/>
            <w:tcBorders/>
            <w:vAlign w:val="center"/>
          </w:tcPr>
          <w:p>
            <w:pPr>
              <w:pStyle w:val="TableContents"/>
              <w:jc w:val="center"/>
              <w:rPr/>
            </w:pPr>
            <w:r>
              <w:rPr/>
              <w:t>8%</w:t>
            </w:r>
          </w:p>
        </w:tc>
      </w:tr>
    </w:tbl>
    <w:p>
      <w:pPr>
        <w:pStyle w:val="Heading4"/>
        <w:rPr/>
      </w:pPr>
      <w:r>
        <w:rPr>
          <w:rStyle w:val="Strong"/>
          <w:b/>
          <w:bCs/>
        </w:rPr>
        <w:t>Key Findings:</w:t>
      </w:r>
    </w:p>
    <w:p>
      <w:pPr>
        <w:pStyle w:val="BodyText"/>
        <w:numPr>
          <w:ilvl w:val="0"/>
          <w:numId w:val="17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68%</w:t>
      </w:r>
      <w:r>
        <w:rPr>
          <w:b w:val="false"/>
          <w:bCs w:val="false"/>
        </w:rPr>
        <w:t xml:space="preserve"> (30% + 38%) expressed trust in the police, indicating </w:t>
      </w:r>
      <w:r>
        <w:rPr>
          <w:rStyle w:val="Strong"/>
          <w:b w:val="false"/>
          <w:bCs w:val="false"/>
        </w:rPr>
        <w:t>improved police-community relations</w:t>
      </w:r>
      <w:r>
        <w:rPr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17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20%</w:t>
      </w:r>
      <w:r>
        <w:rPr>
          <w:b w:val="false"/>
          <w:bCs w:val="false"/>
        </w:rPr>
        <w:t xml:space="preserve"> reported </w:t>
      </w:r>
      <w:r>
        <w:rPr>
          <w:rStyle w:val="Strong"/>
          <w:b w:val="false"/>
          <w:bCs w:val="false"/>
        </w:rPr>
        <w:t>some level of distrust</w:t>
      </w:r>
      <w:r>
        <w:rPr>
          <w:b w:val="false"/>
          <w:bCs w:val="false"/>
        </w:rPr>
        <w:t xml:space="preserve">, particularly in </w:t>
      </w:r>
      <w:r>
        <w:rPr>
          <w:rStyle w:val="Strong"/>
          <w:b w:val="false"/>
          <w:bCs w:val="false"/>
        </w:rPr>
        <w:t>lower-income neighborhoods</w:t>
      </w:r>
      <w:r>
        <w:rPr>
          <w:b w:val="false"/>
          <w:bCs w:val="false"/>
        </w:rPr>
        <w:t xml:space="preserve">, reflecting </w:t>
      </w:r>
      <w:r>
        <w:rPr>
          <w:rStyle w:val="Strong"/>
          <w:b w:val="false"/>
          <w:bCs w:val="false"/>
        </w:rPr>
        <w:t>ongoing challenges</w:t>
      </w:r>
      <w:r>
        <w:rPr>
          <w:b w:val="false"/>
          <w:bCs w:val="false"/>
        </w:rPr>
        <w:t xml:space="preserve"> in engagement. </w:t>
      </w:r>
    </w:p>
    <w:p>
      <w:pPr>
        <w:pStyle w:val="BodyText"/>
        <w:numPr>
          <w:ilvl w:val="0"/>
          <w:numId w:val="17"/>
        </w:numPr>
        <w:tabs>
          <w:tab w:val="clear" w:pos="709"/>
          <w:tab w:val="left" w:pos="0" w:leader="none"/>
        </w:tabs>
        <w:ind w:hanging="283" w:start="709"/>
        <w:rPr/>
      </w:pPr>
      <w:r>
        <w:rPr>
          <w:b w:val="false"/>
          <w:bCs w:val="false"/>
        </w:rPr>
        <w:t>Older residents (</w:t>
      </w:r>
      <w:r>
        <w:rPr>
          <w:rStyle w:val="Strong"/>
          <w:b w:val="false"/>
          <w:bCs w:val="false"/>
        </w:rPr>
        <w:t>45+ years</w:t>
      </w:r>
      <w:r>
        <w:rPr>
          <w:b w:val="false"/>
          <w:bCs w:val="false"/>
        </w:rPr>
        <w:t xml:space="preserve">) showed </w:t>
      </w:r>
      <w:r>
        <w:rPr>
          <w:rStyle w:val="Strong"/>
          <w:b w:val="false"/>
          <w:bCs w:val="false"/>
        </w:rPr>
        <w:t>higher trust</w:t>
      </w:r>
      <w:r>
        <w:rPr>
          <w:b w:val="false"/>
          <w:bCs w:val="false"/>
        </w:rPr>
        <w:t xml:space="preserve">, while </w:t>
      </w:r>
      <w:r>
        <w:rPr>
          <w:rStyle w:val="Strong"/>
          <w:b w:val="false"/>
          <w:bCs w:val="false"/>
        </w:rPr>
        <w:t>younger residents (18-30 years)</w:t>
      </w:r>
      <w:r>
        <w:rPr>
          <w:b w:val="false"/>
          <w:bCs w:val="false"/>
        </w:rPr>
        <w:t xml:space="preserve"> were </w:t>
      </w:r>
      <w:r>
        <w:rPr>
          <w:rStyle w:val="Strong"/>
          <w:b w:val="false"/>
          <w:bCs w:val="false"/>
        </w:rPr>
        <w:t>more skeptical</w:t>
      </w:r>
      <w:r>
        <w:rPr>
          <w:b w:val="false"/>
          <w:bCs w:val="false"/>
        </w:rPr>
        <w:t xml:space="preserve">. </w:t>
      </w:r>
    </w:p>
    <w:p>
      <w:pPr>
        <w:pStyle w:val="Heading3"/>
        <w:rPr/>
      </w:pPr>
      <w:r>
        <w:rPr>
          <w:rStyle w:val="Strong"/>
          <w:b/>
          <w:bCs/>
        </w:rPr>
        <w:t>Interpretation</w:t>
      </w:r>
    </w:p>
    <w:p>
      <w:pPr>
        <w:pStyle w:val="BodyText"/>
        <w:jc w:val="both"/>
        <w:rPr/>
      </w:pPr>
      <w:r>
        <w:rPr>
          <w:rFonts w:ascii="Times New Roman" w:hAnsi="Times New Roman"/>
          <w:b w:val="false"/>
          <w:bCs w:val="false"/>
        </w:rPr>
        <w:t xml:space="preserve">Community policing has </w:t>
      </w:r>
      <w:r>
        <w:rPr>
          <w:rStyle w:val="Strong"/>
          <w:rFonts w:ascii="Times New Roman" w:hAnsi="Times New Roman"/>
          <w:b w:val="false"/>
          <w:bCs w:val="false"/>
        </w:rPr>
        <w:t>enhanced public confidence</w:t>
      </w:r>
      <w:r>
        <w:rPr>
          <w:rFonts w:ascii="Times New Roman" w:hAnsi="Times New Roman"/>
          <w:b w:val="false"/>
          <w:bCs w:val="false"/>
        </w:rPr>
        <w:t xml:space="preserve">, aligning with </w:t>
      </w:r>
      <w:r>
        <w:rPr>
          <w:rStyle w:val="Strong"/>
          <w:rFonts w:ascii="Times New Roman" w:hAnsi="Times New Roman"/>
          <w:b w:val="false"/>
          <w:bCs w:val="false"/>
        </w:rPr>
        <w:t>Social Control Theory</w:t>
      </w:r>
      <w:r>
        <w:rPr>
          <w:rFonts w:ascii="Times New Roman" w:hAnsi="Times New Roman"/>
          <w:b w:val="false"/>
          <w:bCs w:val="false"/>
        </w:rPr>
        <w:t xml:space="preserve"> (Hirschi, 1969). However, persistent skepticism, especially among younger and marginalized groups, highlights the </w:t>
      </w:r>
      <w:r>
        <w:rPr>
          <w:rStyle w:val="Strong"/>
          <w:rFonts w:ascii="Times New Roman" w:hAnsi="Times New Roman"/>
          <w:b w:val="false"/>
          <w:bCs w:val="false"/>
        </w:rPr>
        <w:t>need for tailored engagement strategies</w:t>
      </w:r>
      <w:r>
        <w:rPr>
          <w:rFonts w:ascii="Times New Roman" w:hAnsi="Times New Roman"/>
          <w:b w:val="false"/>
          <w:bCs w:val="false"/>
        </w:rPr>
        <w:t>.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4.3.3 Community Engagement and Cooperation</w:t>
      </w:r>
    </w:p>
    <w:p>
      <w:pPr>
        <w:pStyle w:val="BodyText"/>
        <w:bidi w:val="0"/>
        <w:jc w:val="start"/>
        <w:rPr/>
      </w:pPr>
      <w:r>
        <w:rPr>
          <w:rFonts w:ascii="Times New Roman" w:hAnsi="Times New Roman"/>
        </w:rPr>
        <w:t xml:space="preserve">The survey also measured </w:t>
      </w:r>
      <w:r>
        <w:rPr>
          <w:rStyle w:val="Strong"/>
          <w:rFonts w:ascii="Times New Roman" w:hAnsi="Times New Roman"/>
        </w:rPr>
        <w:t>resident willingness to engage with police and participate in crime prevention initiatives</w:t>
      </w:r>
      <w:r>
        <w:rPr>
          <w:rFonts w:ascii="Times New Roman" w:hAnsi="Times New Roman"/>
        </w:rPr>
        <w:t>.</w:t>
      </w:r>
    </w:p>
    <w:p>
      <w:pPr>
        <w:pStyle w:val="Heading4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Figure 4.3: Community Cooperation with Law Enforcement</w:t>
      </w:r>
    </w:p>
    <w:tbl>
      <w:tblPr>
        <w:tblW w:w="9270" w:type="dxa"/>
        <w:jc w:val="start"/>
        <w:tblInd w:w="0" w:type="dxa"/>
        <w:tblLayout w:type="fixed"/>
        <w:tblCellMar>
          <w:top w:w="28" w:type="dxa"/>
          <w:start w:w="28" w:type="dxa"/>
          <w:bottom w:w="28" w:type="dxa"/>
          <w:end w:w="28" w:type="dxa"/>
        </w:tblCellMar>
      </w:tblPr>
      <w:tblGrid>
        <w:gridCol w:w="5130"/>
        <w:gridCol w:w="4139"/>
      </w:tblGrid>
      <w:tr>
        <w:trPr>
          <w:tblHeader w:val="true"/>
        </w:trPr>
        <w:tc>
          <w:tcPr>
            <w:tcW w:w="5130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Community Engagement Indicator</w:t>
            </w:r>
          </w:p>
        </w:tc>
        <w:tc>
          <w:tcPr>
            <w:tcW w:w="4139" w:type="dxa"/>
            <w:tcBorders/>
            <w:vAlign w:val="center"/>
          </w:tcPr>
          <w:p>
            <w:pPr>
              <w:pStyle w:val="TableHeading"/>
              <w:bidi w:val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</w:rPr>
              <w:t>% of Respondents</w:t>
            </w:r>
          </w:p>
        </w:tc>
      </w:tr>
      <w:tr>
        <w:trPr/>
        <w:tc>
          <w:tcPr>
            <w:tcW w:w="513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Willing to report crimes to police</w:t>
            </w:r>
          </w:p>
        </w:tc>
        <w:tc>
          <w:tcPr>
            <w:tcW w:w="413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65%</w:t>
            </w:r>
          </w:p>
        </w:tc>
      </w:tr>
      <w:tr>
        <w:trPr/>
        <w:tc>
          <w:tcPr>
            <w:tcW w:w="513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Participated in neighborhood watch</w:t>
            </w:r>
          </w:p>
        </w:tc>
        <w:tc>
          <w:tcPr>
            <w:tcW w:w="413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40%</w:t>
            </w:r>
          </w:p>
        </w:tc>
      </w:tr>
      <w:tr>
        <w:trPr/>
        <w:tc>
          <w:tcPr>
            <w:tcW w:w="513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Attended police-community meetings</w:t>
            </w:r>
          </w:p>
        </w:tc>
        <w:tc>
          <w:tcPr>
            <w:tcW w:w="413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</w:tr>
      <w:tr>
        <w:trPr>
          <w:trHeight w:val="382" w:hRule="atLeast"/>
        </w:trPr>
        <w:tc>
          <w:tcPr>
            <w:tcW w:w="5130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Believe police responsiveness is slow</w:t>
            </w:r>
          </w:p>
        </w:tc>
        <w:tc>
          <w:tcPr>
            <w:tcW w:w="4139" w:type="dxa"/>
            <w:tcBorders/>
            <w:vAlign w:val="center"/>
          </w:tcPr>
          <w:p>
            <w:pPr>
              <w:pStyle w:val="TableContents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30%</w:t>
            </w:r>
          </w:p>
        </w:tc>
      </w:tr>
    </w:tbl>
    <w:p>
      <w:pPr>
        <w:pStyle w:val="BodyText"/>
        <w:bidi w:val="0"/>
        <w:jc w:val="start"/>
        <w:rPr>
          <w:rStyle w:val="Strong"/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Key Insights: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hanging="283" w:start="709"/>
        <w:jc w:val="both"/>
        <w:rPr/>
      </w:pPr>
      <w:r>
        <w:rPr>
          <w:rStyle w:val="Strong"/>
          <w:rFonts w:ascii="Times New Roman" w:hAnsi="Times New Roman"/>
          <w:b w:val="false"/>
          <w:bCs w:val="false"/>
        </w:rPr>
        <w:t>65% of residents</w:t>
      </w:r>
      <w:r>
        <w:rPr>
          <w:rFonts w:ascii="Times New Roman" w:hAnsi="Times New Roman"/>
          <w:b w:val="false"/>
          <w:bCs w:val="false"/>
        </w:rPr>
        <w:t xml:space="preserve"> are </w:t>
      </w:r>
      <w:r>
        <w:rPr>
          <w:rStyle w:val="Strong"/>
          <w:rFonts w:ascii="Times New Roman" w:hAnsi="Times New Roman"/>
          <w:b w:val="false"/>
          <w:bCs w:val="false"/>
        </w:rPr>
        <w:t>willing to report crimes</w:t>
      </w:r>
      <w:r>
        <w:rPr>
          <w:rFonts w:ascii="Times New Roman" w:hAnsi="Times New Roman"/>
          <w:b w:val="false"/>
          <w:bCs w:val="false"/>
        </w:rPr>
        <w:t xml:space="preserve">, showing a </w:t>
      </w:r>
      <w:r>
        <w:rPr>
          <w:rStyle w:val="Strong"/>
          <w:rFonts w:ascii="Times New Roman" w:hAnsi="Times New Roman"/>
          <w:b w:val="false"/>
          <w:bCs w:val="false"/>
        </w:rPr>
        <w:t>high level of cooperation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hanging="283" w:start="709"/>
        <w:jc w:val="both"/>
        <w:rPr/>
      </w:pPr>
      <w:r>
        <w:rPr>
          <w:rStyle w:val="Strong"/>
          <w:rFonts w:ascii="Times New Roman" w:hAnsi="Times New Roman"/>
          <w:b w:val="false"/>
          <w:bCs w:val="false"/>
        </w:rPr>
        <w:t>40% participated in neighborhood watch programs</w:t>
      </w:r>
      <w:r>
        <w:rPr>
          <w:rFonts w:ascii="Times New Roman" w:hAnsi="Times New Roman"/>
          <w:b w:val="false"/>
          <w:bCs w:val="false"/>
        </w:rPr>
        <w:t xml:space="preserve">, demonstrating </w:t>
      </w:r>
      <w:r>
        <w:rPr>
          <w:rStyle w:val="Strong"/>
          <w:rFonts w:ascii="Times New Roman" w:hAnsi="Times New Roman"/>
          <w:b w:val="false"/>
          <w:bCs w:val="false"/>
        </w:rPr>
        <w:t>community-led policing efforts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4"/>
        </w:numPr>
        <w:tabs>
          <w:tab w:val="left" w:pos="709" w:leader="none"/>
        </w:tabs>
        <w:bidi w:val="0"/>
        <w:ind w:hanging="283" w:start="709"/>
        <w:jc w:val="both"/>
        <w:rPr/>
      </w:pPr>
      <w:r>
        <w:rPr>
          <w:rStyle w:val="Strong"/>
          <w:rFonts w:ascii="Times New Roman" w:hAnsi="Times New Roman"/>
          <w:b w:val="false"/>
          <w:bCs w:val="false"/>
        </w:rPr>
        <w:t>30% believed police responsiveness was slow</w:t>
      </w:r>
      <w:r>
        <w:rPr>
          <w:rFonts w:ascii="Times New Roman" w:hAnsi="Times New Roman"/>
          <w:b w:val="false"/>
          <w:bCs w:val="false"/>
        </w:rPr>
        <w:t xml:space="preserve">, suggesting the need for </w:t>
      </w:r>
      <w:r>
        <w:rPr>
          <w:rStyle w:val="Strong"/>
          <w:rFonts w:ascii="Times New Roman" w:hAnsi="Times New Roman"/>
          <w:b w:val="false"/>
          <w:bCs w:val="false"/>
        </w:rPr>
        <w:t>faster response strategies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bidi w:val="0"/>
        <w:jc w:val="both"/>
        <w:rPr/>
      </w:pPr>
      <w:r>
        <w:rPr>
          <w:rFonts w:ascii="Times New Roman" w:hAnsi="Times New Roman"/>
          <w:b w:val="false"/>
          <w:bCs w:val="false"/>
        </w:rPr>
        <w:t xml:space="preserve">These findings align with </w:t>
      </w:r>
      <w:r>
        <w:rPr>
          <w:rStyle w:val="Strong"/>
          <w:rFonts w:ascii="Times New Roman" w:hAnsi="Times New Roman"/>
          <w:b w:val="false"/>
          <w:bCs w:val="false"/>
        </w:rPr>
        <w:t>broken windows theory</w:t>
      </w:r>
      <w:r>
        <w:rPr>
          <w:rFonts w:ascii="Times New Roman" w:hAnsi="Times New Roman"/>
          <w:b w:val="false"/>
          <w:bCs w:val="false"/>
        </w:rPr>
        <w:t xml:space="preserve">, which suggests that </w:t>
      </w:r>
      <w:r>
        <w:rPr>
          <w:rStyle w:val="Strong"/>
          <w:rFonts w:ascii="Times New Roman" w:hAnsi="Times New Roman"/>
          <w:b w:val="false"/>
          <w:bCs w:val="false"/>
        </w:rPr>
        <w:t>visible police presence and community participation reduce crime rates over time</w:t>
      </w:r>
      <w:r>
        <w:rPr>
          <w:rFonts w:ascii="Times New Roman" w:hAnsi="Times New Roman"/>
          <w:b w:val="false"/>
          <w:bCs w:val="false"/>
        </w:rPr>
        <w:t>.</w:t>
      </w:r>
    </w:p>
    <w:p>
      <w:pPr>
        <w:pStyle w:val="Heading2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4.3.4 Summary of Survey Findings</w:t>
      </w:r>
    </w:p>
    <w:p>
      <w:pPr>
        <w:pStyle w:val="BodyText"/>
        <w:numPr>
          <w:ilvl w:val="0"/>
          <w:numId w:val="5"/>
        </w:numPr>
        <w:tabs>
          <w:tab w:val="left" w:pos="709" w:leader="none"/>
        </w:tabs>
        <w:bidi w:val="0"/>
        <w:spacing w:before="0" w:after="0"/>
        <w:ind w:hanging="283" w:start="709"/>
        <w:jc w:val="both"/>
        <w:rPr/>
      </w:pPr>
      <w:r>
        <w:rPr>
          <w:rStyle w:val="Strong"/>
          <w:rFonts w:ascii="Times New Roman" w:hAnsi="Times New Roman"/>
          <w:b w:val="false"/>
          <w:bCs w:val="false"/>
        </w:rPr>
        <w:t>Community policing has positively influenced public safety</w:t>
      </w:r>
      <w:r>
        <w:rPr>
          <w:rFonts w:ascii="Times New Roman" w:hAnsi="Times New Roman"/>
          <w:b w:val="false"/>
          <w:bCs w:val="false"/>
        </w:rPr>
        <w:t xml:space="preserve">, with </w:t>
      </w:r>
      <w:r>
        <w:rPr>
          <w:rStyle w:val="Strong"/>
          <w:rFonts w:ascii="Times New Roman" w:hAnsi="Times New Roman"/>
          <w:b w:val="false"/>
          <w:bCs w:val="false"/>
        </w:rPr>
        <w:t>72% of residents reporting increased feelings of security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5"/>
        </w:numPr>
        <w:tabs>
          <w:tab w:val="left" w:pos="709" w:leader="none"/>
        </w:tabs>
        <w:bidi w:val="0"/>
        <w:spacing w:before="0" w:after="0"/>
        <w:ind w:hanging="283" w:start="709"/>
        <w:jc w:val="both"/>
        <w:rPr/>
      </w:pPr>
      <w:r>
        <w:rPr>
          <w:rStyle w:val="Strong"/>
          <w:rFonts w:ascii="Times New Roman" w:hAnsi="Times New Roman"/>
          <w:b w:val="false"/>
          <w:bCs w:val="false"/>
        </w:rPr>
        <w:t>Trust in police is strong (68%)</w:t>
      </w:r>
      <w:r>
        <w:rPr>
          <w:rFonts w:ascii="Times New Roman" w:hAnsi="Times New Roman"/>
          <w:b w:val="false"/>
          <w:bCs w:val="false"/>
        </w:rPr>
        <w:t xml:space="preserve">, but </w:t>
      </w:r>
      <w:r>
        <w:rPr>
          <w:rStyle w:val="Strong"/>
          <w:rFonts w:ascii="Times New Roman" w:hAnsi="Times New Roman"/>
          <w:b w:val="false"/>
          <w:bCs w:val="false"/>
        </w:rPr>
        <w:t>mistrust persists (20%)</w:t>
      </w:r>
      <w:r>
        <w:rPr>
          <w:rFonts w:ascii="Times New Roman" w:hAnsi="Times New Roman"/>
          <w:b w:val="false"/>
          <w:bCs w:val="false"/>
        </w:rPr>
        <w:t xml:space="preserve"> in lower-income neighborhoods. </w:t>
      </w:r>
    </w:p>
    <w:p>
      <w:pPr>
        <w:pStyle w:val="BodyText"/>
        <w:numPr>
          <w:ilvl w:val="0"/>
          <w:numId w:val="5"/>
        </w:numPr>
        <w:tabs>
          <w:tab w:val="left" w:pos="709" w:leader="none"/>
        </w:tabs>
        <w:bidi w:val="0"/>
        <w:spacing w:before="0" w:after="0"/>
        <w:ind w:hanging="283" w:start="709"/>
        <w:jc w:val="both"/>
        <w:rPr/>
      </w:pPr>
      <w:r>
        <w:rPr>
          <w:rStyle w:val="Strong"/>
          <w:rFonts w:ascii="Times New Roman" w:hAnsi="Times New Roman"/>
          <w:b w:val="false"/>
          <w:bCs w:val="false"/>
        </w:rPr>
        <w:t>Community engagement is high</w:t>
      </w:r>
      <w:r>
        <w:rPr>
          <w:rFonts w:ascii="Times New Roman" w:hAnsi="Times New Roman"/>
          <w:b w:val="false"/>
          <w:bCs w:val="false"/>
        </w:rPr>
        <w:t xml:space="preserve">, with </w:t>
      </w:r>
      <w:r>
        <w:rPr>
          <w:rStyle w:val="Strong"/>
          <w:rFonts w:ascii="Times New Roman" w:hAnsi="Times New Roman"/>
          <w:b w:val="false"/>
          <w:bCs w:val="false"/>
        </w:rPr>
        <w:t>many residents actively participating in crime prevention initiatives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5"/>
        </w:numPr>
        <w:tabs>
          <w:tab w:val="left" w:pos="709" w:leader="none"/>
        </w:tabs>
        <w:bidi w:val="0"/>
        <w:ind w:hanging="283" w:start="709"/>
        <w:jc w:val="both"/>
        <w:rPr/>
      </w:pPr>
      <w:r>
        <w:rPr>
          <w:rStyle w:val="Strong"/>
          <w:rFonts w:ascii="Times New Roman" w:hAnsi="Times New Roman"/>
          <w:b w:val="false"/>
          <w:bCs w:val="false"/>
        </w:rPr>
        <w:t>Police response times remain a concern</w:t>
      </w:r>
      <w:r>
        <w:rPr>
          <w:rFonts w:ascii="Times New Roman" w:hAnsi="Times New Roman"/>
          <w:b w:val="false"/>
          <w:bCs w:val="false"/>
        </w:rPr>
        <w:t xml:space="preserve">, indicating </w:t>
      </w:r>
      <w:r>
        <w:rPr>
          <w:rStyle w:val="Strong"/>
          <w:rFonts w:ascii="Times New Roman" w:hAnsi="Times New Roman"/>
          <w:b w:val="false"/>
          <w:bCs w:val="false"/>
        </w:rPr>
        <w:t>areas for operational improvement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Heading2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4.4 Interview Analysis (N = 20 Interviews)</w:t>
      </w:r>
    </w:p>
    <w:p>
      <w:pPr>
        <w:pStyle w:val="BodyText"/>
        <w:bidi w:val="0"/>
        <w:jc w:val="start"/>
        <w:rPr/>
      </w:pPr>
      <w:r>
        <w:rPr>
          <w:rFonts w:ascii="Times New Roman" w:hAnsi="Times New Roman"/>
        </w:rPr>
        <w:t>To compleme</w:t>
      </w:r>
      <w:r>
        <w:rPr>
          <w:rFonts w:ascii="Times New Roman" w:hAnsi="Times New Roman"/>
          <w:b w:val="false"/>
          <w:bCs w:val="false"/>
        </w:rPr>
        <w:t xml:space="preserve">nt the </w:t>
      </w:r>
      <w:r>
        <w:rPr>
          <w:rStyle w:val="Strong"/>
          <w:rFonts w:ascii="Times New Roman" w:hAnsi="Times New Roman"/>
          <w:b w:val="false"/>
          <w:bCs w:val="false"/>
        </w:rPr>
        <w:t>survey and crime statistics</w:t>
      </w:r>
      <w:r>
        <w:rPr>
          <w:rFonts w:ascii="Times New Roman" w:hAnsi="Times New Roman"/>
          <w:b w:val="false"/>
          <w:bCs w:val="false"/>
        </w:rPr>
        <w:t xml:space="preserve">, semi-structured interviews were conducted with </w:t>
      </w:r>
      <w:r>
        <w:rPr>
          <w:rStyle w:val="Strong"/>
          <w:rFonts w:ascii="Times New Roman" w:hAnsi="Times New Roman"/>
          <w:b w:val="false"/>
          <w:bCs w:val="false"/>
        </w:rPr>
        <w:t>20 participants</w:t>
      </w:r>
      <w:r>
        <w:rPr>
          <w:rFonts w:ascii="Times New Roman" w:hAnsi="Times New Roman"/>
          <w:b w:val="false"/>
          <w:bCs w:val="false"/>
        </w:rPr>
        <w:t>:</w:t>
      </w:r>
    </w:p>
    <w:p>
      <w:pPr>
        <w:pStyle w:val="BodyText"/>
        <w:numPr>
          <w:ilvl w:val="0"/>
          <w:numId w:val="6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Police Officers (N = 8)</w:t>
      </w:r>
      <w:r>
        <w:rPr>
          <w:rFonts w:ascii="Times New Roman" w:hAnsi="Times New Roman"/>
        </w:rPr>
        <w:t xml:space="preserve"> – To understand th</w:t>
      </w:r>
      <w:r>
        <w:rPr>
          <w:rFonts w:ascii="Times New Roman" w:hAnsi="Times New Roman"/>
          <w:b w:val="false"/>
          <w:bCs w:val="false"/>
        </w:rPr>
        <w:t xml:space="preserve">eir perspectives on </w:t>
      </w:r>
      <w:r>
        <w:rPr>
          <w:rStyle w:val="Strong"/>
          <w:rFonts w:ascii="Times New Roman" w:hAnsi="Times New Roman"/>
          <w:b w:val="false"/>
          <w:bCs w:val="false"/>
        </w:rPr>
        <w:t>community policing challenges and successes</w:t>
      </w:r>
      <w:r>
        <w:rPr>
          <w:rFonts w:ascii="Times New Roman" w:hAnsi="Times New Roman"/>
          <w:b w:val="false"/>
          <w:bCs w:val="false"/>
        </w:rPr>
        <w:t>.</w:t>
      </w:r>
      <w:r>
        <w:rPr>
          <w:rFonts w:ascii="Times New Roman" w:hAnsi="Times New Roman"/>
        </w:rPr>
        <w:t xml:space="preserve"> </w:t>
      </w:r>
    </w:p>
    <w:p>
      <w:pPr>
        <w:pStyle w:val="BodyText"/>
        <w:numPr>
          <w:ilvl w:val="0"/>
          <w:numId w:val="6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Community Leaders (N = 6)</w:t>
      </w:r>
      <w:r>
        <w:rPr>
          <w:rFonts w:ascii="Times New Roman" w:hAnsi="Times New Roman"/>
        </w:rPr>
        <w:t xml:space="preserve"> – To a</w:t>
      </w:r>
      <w:r>
        <w:rPr>
          <w:rFonts w:ascii="Times New Roman" w:hAnsi="Times New Roman"/>
          <w:b w:val="false"/>
          <w:bCs w:val="false"/>
        </w:rPr>
        <w:t xml:space="preserve">ssess how local leaders perceive </w:t>
      </w:r>
      <w:r>
        <w:rPr>
          <w:rStyle w:val="Strong"/>
          <w:rFonts w:ascii="Times New Roman" w:hAnsi="Times New Roman"/>
          <w:b w:val="false"/>
          <w:bCs w:val="false"/>
        </w:rPr>
        <w:t>police efforts and public cooperation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6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Style w:val="Strong"/>
          <w:rFonts w:ascii="Times New Roman" w:hAnsi="Times New Roman"/>
        </w:rPr>
        <w:t>Residents (N = 6)</w:t>
      </w:r>
      <w:r>
        <w:rPr>
          <w:rFonts w:ascii="Times New Roman" w:hAnsi="Times New Roman"/>
        </w:rPr>
        <w:t xml:space="preserve"> – To gather insights </w:t>
      </w:r>
      <w:r>
        <w:rPr>
          <w:rFonts w:ascii="Times New Roman" w:hAnsi="Times New Roman"/>
          <w:b w:val="false"/>
          <w:bCs w:val="false"/>
        </w:rPr>
        <w:t xml:space="preserve">on </w:t>
      </w:r>
      <w:r>
        <w:rPr>
          <w:rStyle w:val="Strong"/>
          <w:rFonts w:ascii="Times New Roman" w:hAnsi="Times New Roman"/>
          <w:b w:val="false"/>
          <w:bCs w:val="false"/>
        </w:rPr>
        <w:t>trust, engagement, and safety concerns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bidi w:val="0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A </w:t>
      </w:r>
      <w:r>
        <w:rPr>
          <w:rStyle w:val="Strong"/>
          <w:rFonts w:ascii="Times New Roman" w:hAnsi="Times New Roman"/>
          <w:b w:val="false"/>
          <w:bCs w:val="false"/>
        </w:rPr>
        <w:t>thematic analysis</w:t>
      </w:r>
      <w:r>
        <w:rPr>
          <w:rFonts w:ascii="Times New Roman" w:hAnsi="Times New Roman"/>
          <w:b w:val="false"/>
          <w:bCs w:val="false"/>
        </w:rPr>
        <w:t xml:space="preserve"> was conducted to identify </w:t>
      </w:r>
      <w:r>
        <w:rPr>
          <w:rStyle w:val="Strong"/>
          <w:rFonts w:ascii="Times New Roman" w:hAnsi="Times New Roman"/>
          <w:b w:val="false"/>
          <w:bCs w:val="false"/>
        </w:rPr>
        <w:t>recurring patterns</w:t>
      </w:r>
      <w:r>
        <w:rPr>
          <w:rFonts w:ascii="Times New Roman" w:hAnsi="Times New Roman"/>
          <w:b w:val="false"/>
          <w:bCs w:val="false"/>
        </w:rPr>
        <w:t xml:space="preserve"> in responses, categorized under </w:t>
      </w:r>
      <w:r>
        <w:rPr>
          <w:rStyle w:val="Strong"/>
          <w:rFonts w:ascii="Times New Roman" w:hAnsi="Times New Roman"/>
          <w:b w:val="false"/>
          <w:bCs w:val="false"/>
        </w:rPr>
        <w:t>three key themes</w:t>
      </w:r>
      <w:r>
        <w:rPr>
          <w:rFonts w:ascii="Times New Roman" w:hAnsi="Times New Roman"/>
          <w:b w:val="false"/>
          <w:bCs w:val="false"/>
        </w:rPr>
        <w:t>.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4.4.1 Theme 1: Perceived Impact of Community Policing on Crime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Police Officers' Perspectives (N = 8)</w:t>
      </w:r>
    </w:p>
    <w:p>
      <w:pPr>
        <w:pStyle w:val="BodyText"/>
        <w:numPr>
          <w:ilvl w:val="0"/>
          <w:numId w:val="7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Seven out of eight officers</w:t>
      </w:r>
      <w:r>
        <w:rPr>
          <w:rFonts w:ascii="Times New Roman" w:hAnsi="Times New Roman"/>
          <w:b w:val="false"/>
          <w:bCs w:val="false"/>
        </w:rPr>
        <w:t xml:space="preserve"> agreed that </w:t>
      </w:r>
      <w:r>
        <w:rPr>
          <w:rStyle w:val="Strong"/>
          <w:rFonts w:ascii="Times New Roman" w:hAnsi="Times New Roman"/>
          <w:b w:val="false"/>
          <w:bCs w:val="false"/>
        </w:rPr>
        <w:t>community policing had reduced crime</w:t>
      </w:r>
      <w:r>
        <w:rPr>
          <w:rFonts w:ascii="Times New Roman" w:hAnsi="Times New Roman"/>
          <w:b w:val="false"/>
          <w:bCs w:val="false"/>
        </w:rPr>
        <w:t xml:space="preserve">, particularly </w:t>
      </w:r>
      <w:r>
        <w:rPr>
          <w:rStyle w:val="Strong"/>
          <w:rFonts w:ascii="Times New Roman" w:hAnsi="Times New Roman"/>
          <w:b w:val="false"/>
          <w:bCs w:val="false"/>
        </w:rPr>
        <w:t>burglary and public disorder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7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Increased patrol visibility</w:t>
      </w:r>
      <w:r>
        <w:rPr>
          <w:rFonts w:ascii="Times New Roman" w:hAnsi="Times New Roman"/>
          <w:b w:val="false"/>
          <w:bCs w:val="false"/>
        </w:rPr>
        <w:t xml:space="preserve"> and </w:t>
      </w:r>
      <w:r>
        <w:rPr>
          <w:rStyle w:val="Strong"/>
          <w:rFonts w:ascii="Times New Roman" w:hAnsi="Times New Roman"/>
          <w:b w:val="false"/>
          <w:bCs w:val="false"/>
        </w:rPr>
        <w:t>resident cooperation</w:t>
      </w:r>
      <w:r>
        <w:rPr>
          <w:rFonts w:ascii="Times New Roman" w:hAnsi="Times New Roman"/>
          <w:b w:val="false"/>
          <w:bCs w:val="false"/>
        </w:rPr>
        <w:t xml:space="preserve"> were cited as </w:t>
      </w:r>
      <w:r>
        <w:rPr>
          <w:rStyle w:val="Strong"/>
          <w:rFonts w:ascii="Times New Roman" w:hAnsi="Times New Roman"/>
          <w:b w:val="false"/>
          <w:bCs w:val="false"/>
        </w:rPr>
        <w:t>key factors</w:t>
      </w:r>
      <w:r>
        <w:rPr>
          <w:rFonts w:ascii="Times New Roman" w:hAnsi="Times New Roman"/>
          <w:b w:val="false"/>
          <w:bCs w:val="false"/>
        </w:rPr>
        <w:t xml:space="preserve"> in reducing crime. </w:t>
      </w:r>
    </w:p>
    <w:p>
      <w:pPr>
        <w:pStyle w:val="BodyText"/>
        <w:numPr>
          <w:ilvl w:val="0"/>
          <w:numId w:val="7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However, some officers felt that </w:t>
      </w:r>
      <w:r>
        <w:rPr>
          <w:rStyle w:val="Strong"/>
          <w:rFonts w:ascii="Times New Roman" w:hAnsi="Times New Roman"/>
          <w:b w:val="false"/>
          <w:bCs w:val="false"/>
        </w:rPr>
        <w:t>resource limitations restricted full implementation</w:t>
      </w:r>
      <w:r>
        <w:rPr>
          <w:rFonts w:ascii="Times New Roman" w:hAnsi="Times New Roman"/>
          <w:b w:val="false"/>
          <w:bCs w:val="false"/>
        </w:rPr>
        <w:t xml:space="preserve">, affecting crime prevention in </w:t>
      </w:r>
      <w:r>
        <w:rPr>
          <w:rStyle w:val="Strong"/>
          <w:rFonts w:ascii="Times New Roman" w:hAnsi="Times New Roman"/>
          <w:b w:val="false"/>
          <w:bCs w:val="false"/>
        </w:rPr>
        <w:t>high-risk areas</w:t>
      </w:r>
      <w:r>
        <w:rPr>
          <w:rFonts w:ascii="Times New Roman" w:hAnsi="Times New Roman"/>
          <w:b w:val="false"/>
          <w:bCs w:val="false"/>
        </w:rPr>
        <w:t>.</w:t>
      </w:r>
      <w:r>
        <w:rPr>
          <w:rFonts w:ascii="Times New Roman" w:hAnsi="Times New Roman"/>
        </w:rPr>
        <w:t xml:space="preserve"> 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Community Leaders' Perspectives (N = 6)</w:t>
      </w:r>
    </w:p>
    <w:p>
      <w:pPr>
        <w:pStyle w:val="BodyText"/>
        <w:numPr>
          <w:ilvl w:val="0"/>
          <w:numId w:val="8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Leaders observed a </w:t>
      </w:r>
      <w:r>
        <w:rPr>
          <w:rStyle w:val="Strong"/>
          <w:rFonts w:ascii="Times New Roman" w:hAnsi="Times New Roman"/>
          <w:b w:val="false"/>
          <w:bCs w:val="false"/>
        </w:rPr>
        <w:t>decline in anti-social behavior</w:t>
      </w:r>
      <w:r>
        <w:rPr>
          <w:rFonts w:ascii="Times New Roman" w:hAnsi="Times New Roman"/>
          <w:b w:val="false"/>
          <w:bCs w:val="false"/>
        </w:rPr>
        <w:t xml:space="preserve">, particularly in </w:t>
      </w:r>
      <w:r>
        <w:rPr>
          <w:rStyle w:val="Strong"/>
          <w:rFonts w:ascii="Times New Roman" w:hAnsi="Times New Roman"/>
          <w:b w:val="false"/>
          <w:bCs w:val="false"/>
        </w:rPr>
        <w:t>neighborhoods with active police-resident collaboration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8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Some leaders highlighted that </w:t>
      </w:r>
      <w:r>
        <w:rPr>
          <w:rStyle w:val="Strong"/>
          <w:rFonts w:ascii="Times New Roman" w:hAnsi="Times New Roman"/>
          <w:b w:val="false"/>
          <w:bCs w:val="false"/>
        </w:rPr>
        <w:t>drug-related offenses remained a concern</w:t>
      </w:r>
      <w:r>
        <w:rPr>
          <w:rFonts w:ascii="Times New Roman" w:hAnsi="Times New Roman"/>
          <w:b w:val="false"/>
          <w:bCs w:val="false"/>
        </w:rPr>
        <w:t xml:space="preserve">, suggesting the need for </w:t>
      </w:r>
      <w:r>
        <w:rPr>
          <w:rStyle w:val="Strong"/>
          <w:rFonts w:ascii="Times New Roman" w:hAnsi="Times New Roman"/>
          <w:b w:val="false"/>
          <w:bCs w:val="false"/>
        </w:rPr>
        <w:t>broader social intervention programs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Residents' Perspectives (N = 6)</w:t>
      </w:r>
    </w:p>
    <w:p>
      <w:pPr>
        <w:pStyle w:val="BodyText"/>
        <w:numPr>
          <w:ilvl w:val="0"/>
          <w:numId w:val="9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Most residents acknowledged a decrease in burglary and assaults</w:t>
      </w:r>
      <w:r>
        <w:rPr>
          <w:rFonts w:ascii="Times New Roman" w:hAnsi="Times New Roman"/>
          <w:b w:val="false"/>
          <w:bCs w:val="false"/>
        </w:rPr>
        <w:t xml:space="preserve">, but some felt </w:t>
      </w:r>
      <w:r>
        <w:rPr>
          <w:rStyle w:val="Strong"/>
          <w:rFonts w:ascii="Times New Roman" w:hAnsi="Times New Roman"/>
          <w:b w:val="false"/>
          <w:bCs w:val="false"/>
        </w:rPr>
        <w:t>drug-related activities were still prevalent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9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A few expressed concerns that </w:t>
      </w:r>
      <w:r>
        <w:rPr>
          <w:rStyle w:val="Strong"/>
          <w:rFonts w:ascii="Times New Roman" w:hAnsi="Times New Roman"/>
          <w:b w:val="false"/>
          <w:bCs w:val="false"/>
        </w:rPr>
        <w:t>police presence was inconsistent</w:t>
      </w:r>
      <w:r>
        <w:rPr>
          <w:rFonts w:ascii="Times New Roman" w:hAnsi="Times New Roman"/>
          <w:b w:val="false"/>
          <w:bCs w:val="false"/>
        </w:rPr>
        <w:t xml:space="preserve">, leading to </w:t>
      </w:r>
      <w:r>
        <w:rPr>
          <w:rStyle w:val="Strong"/>
          <w:rFonts w:ascii="Times New Roman" w:hAnsi="Times New Roman"/>
          <w:b w:val="false"/>
          <w:bCs w:val="false"/>
        </w:rPr>
        <w:t>uneven improvements</w:t>
      </w:r>
      <w:r>
        <w:rPr>
          <w:rFonts w:ascii="Times New Roman" w:hAnsi="Times New Roman"/>
          <w:b w:val="false"/>
          <w:bCs w:val="false"/>
        </w:rPr>
        <w:t xml:space="preserve"> across neighborhoods. 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Key Insight:</w:t>
      </w:r>
      <w:r>
        <w:rPr>
          <w:rFonts w:ascii="Times New Roman" w:hAnsi="Times New Roman"/>
        </w:rPr>
        <w:t xml:space="preserve"> </w:t>
      </w:r>
      <w:r>
        <w:rPr>
          <w:rStyle w:val="Strong"/>
          <w:rFonts w:ascii="Times New Roman" w:hAnsi="Times New Roman"/>
          <w:b w:val="false"/>
          <w:bCs w:val="false"/>
        </w:rPr>
        <w:t>Community policing has been effective in crime reduction, but resource allocation and long-term sustainability remain concerns.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4.4.2 Theme 2: Trust and Cooperation Between Police and the Public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Police Officers' Perspectives</w:t>
      </w:r>
    </w:p>
    <w:p>
      <w:pPr>
        <w:pStyle w:val="BodyText"/>
        <w:numPr>
          <w:ilvl w:val="0"/>
          <w:numId w:val="10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Officers reported that </w:t>
      </w:r>
      <w:r>
        <w:rPr>
          <w:rStyle w:val="Strong"/>
          <w:rFonts w:ascii="Times New Roman" w:hAnsi="Times New Roman"/>
          <w:b w:val="false"/>
          <w:bCs w:val="false"/>
        </w:rPr>
        <w:t>trust-building efforts, such as regular community meetings, have improved relationships with residents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10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Some officers mentioned that </w:t>
      </w:r>
      <w:r>
        <w:rPr>
          <w:rStyle w:val="Strong"/>
          <w:rFonts w:ascii="Times New Roman" w:hAnsi="Times New Roman"/>
          <w:b w:val="false"/>
          <w:bCs w:val="false"/>
        </w:rPr>
        <w:t>historical distrust, especially in lower-income areas, still poses challenges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10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Five out of eight officers</w:t>
      </w:r>
      <w:r>
        <w:rPr>
          <w:rFonts w:ascii="Times New Roman" w:hAnsi="Times New Roman"/>
          <w:b w:val="false"/>
          <w:bCs w:val="false"/>
        </w:rPr>
        <w:t xml:space="preserve"> believed that </w:t>
      </w:r>
      <w:r>
        <w:rPr>
          <w:rStyle w:val="Strong"/>
          <w:rFonts w:ascii="Times New Roman" w:hAnsi="Times New Roman"/>
          <w:b w:val="false"/>
          <w:bCs w:val="false"/>
        </w:rPr>
        <w:t>better cultural sensitivity training could enhance public engagement.</w:t>
      </w:r>
      <w:r>
        <w:rPr>
          <w:rFonts w:ascii="Times New Roman" w:hAnsi="Times New Roman"/>
          <w:b w:val="false"/>
          <w:bCs w:val="false"/>
        </w:rPr>
        <w:t xml:space="preserve"> 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Community Leaders' Perspectives</w:t>
      </w:r>
    </w:p>
    <w:p>
      <w:pPr>
        <w:pStyle w:val="BodyText"/>
        <w:numPr>
          <w:ilvl w:val="0"/>
          <w:numId w:val="11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Leaders emphasized that </w:t>
      </w:r>
      <w:r>
        <w:rPr>
          <w:rStyle w:val="Strong"/>
          <w:rFonts w:ascii="Times New Roman" w:hAnsi="Times New Roman"/>
          <w:b w:val="false"/>
          <w:bCs w:val="false"/>
        </w:rPr>
        <w:t>trust has improved</w:t>
      </w:r>
      <w:r>
        <w:rPr>
          <w:rFonts w:ascii="Times New Roman" w:hAnsi="Times New Roman"/>
          <w:b w:val="false"/>
          <w:bCs w:val="false"/>
        </w:rPr>
        <w:t xml:space="preserve">, but there remains a </w:t>
      </w:r>
      <w:r>
        <w:rPr>
          <w:rStyle w:val="Strong"/>
          <w:rFonts w:ascii="Times New Roman" w:hAnsi="Times New Roman"/>
          <w:b w:val="false"/>
          <w:bCs w:val="false"/>
        </w:rPr>
        <w:t>lack of diversity among officers</w:t>
      </w:r>
      <w:r>
        <w:rPr>
          <w:rFonts w:ascii="Times New Roman" w:hAnsi="Times New Roman"/>
          <w:b w:val="false"/>
          <w:bCs w:val="false"/>
        </w:rPr>
        <w:t xml:space="preserve">, affecting community representation. </w:t>
      </w:r>
    </w:p>
    <w:p>
      <w:pPr>
        <w:pStyle w:val="BodyText"/>
        <w:numPr>
          <w:ilvl w:val="0"/>
          <w:numId w:val="11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Many leaders advocated for </w:t>
      </w:r>
      <w:r>
        <w:rPr>
          <w:rStyle w:val="Strong"/>
          <w:rFonts w:ascii="Times New Roman" w:hAnsi="Times New Roman"/>
          <w:b w:val="false"/>
          <w:bCs w:val="false"/>
        </w:rPr>
        <w:t>community advisory boards</w:t>
      </w:r>
      <w:r>
        <w:rPr>
          <w:rFonts w:ascii="Times New Roman" w:hAnsi="Times New Roman"/>
          <w:b w:val="false"/>
          <w:bCs w:val="false"/>
        </w:rPr>
        <w:t xml:space="preserve">, where </w:t>
      </w:r>
      <w:r>
        <w:rPr>
          <w:rStyle w:val="Strong"/>
          <w:rFonts w:ascii="Times New Roman" w:hAnsi="Times New Roman"/>
          <w:b w:val="false"/>
          <w:bCs w:val="false"/>
        </w:rPr>
        <w:t>local representatives can provide input on policing strategies.</w:t>
      </w:r>
      <w:r>
        <w:rPr>
          <w:rFonts w:ascii="Times New Roman" w:hAnsi="Times New Roman"/>
        </w:rPr>
        <w:t xml:space="preserve"> 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Residents' Perspectives</w:t>
      </w:r>
    </w:p>
    <w:p>
      <w:pPr>
        <w:pStyle w:val="BodyText"/>
        <w:numPr>
          <w:ilvl w:val="0"/>
          <w:numId w:val="12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Four out of six residents</w:t>
      </w:r>
      <w:r>
        <w:rPr>
          <w:rFonts w:ascii="Times New Roman" w:hAnsi="Times New Roman"/>
          <w:b w:val="false"/>
          <w:bCs w:val="false"/>
        </w:rPr>
        <w:t xml:space="preserve"> said they now feel </w:t>
      </w:r>
      <w:r>
        <w:rPr>
          <w:rStyle w:val="Strong"/>
          <w:rFonts w:ascii="Times New Roman" w:hAnsi="Times New Roman"/>
          <w:b w:val="false"/>
          <w:bCs w:val="false"/>
        </w:rPr>
        <w:t>comfortable reporting crimes</w:t>
      </w:r>
      <w:r>
        <w:rPr>
          <w:rFonts w:ascii="Times New Roman" w:hAnsi="Times New Roman"/>
          <w:b w:val="false"/>
          <w:bCs w:val="false"/>
        </w:rPr>
        <w:t xml:space="preserve">, a major shift from previous years. </w:t>
      </w:r>
    </w:p>
    <w:p>
      <w:pPr>
        <w:pStyle w:val="BodyText"/>
        <w:numPr>
          <w:ilvl w:val="0"/>
          <w:numId w:val="12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Some residents, particularly </w:t>
      </w:r>
      <w:r>
        <w:rPr>
          <w:rStyle w:val="Strong"/>
          <w:rFonts w:ascii="Times New Roman" w:hAnsi="Times New Roman"/>
          <w:b w:val="false"/>
          <w:bCs w:val="false"/>
        </w:rPr>
        <w:t>younger individuals (18-30 years old), remained skeptical about police intentions</w:t>
      </w:r>
      <w:r>
        <w:rPr>
          <w:rFonts w:ascii="Times New Roman" w:hAnsi="Times New Roman"/>
          <w:b w:val="false"/>
          <w:bCs w:val="false"/>
        </w:rPr>
        <w:t xml:space="preserve">, suggesting a </w:t>
      </w:r>
      <w:r>
        <w:rPr>
          <w:rStyle w:val="Strong"/>
          <w:rFonts w:ascii="Times New Roman" w:hAnsi="Times New Roman"/>
          <w:b w:val="false"/>
          <w:bCs w:val="false"/>
        </w:rPr>
        <w:t>generational divide in trust levels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Key Insight:</w:t>
      </w:r>
      <w:r>
        <w:rPr>
          <w:rFonts w:ascii="Times New Roman" w:hAnsi="Times New Roman"/>
        </w:rPr>
        <w:t xml:space="preserve"> </w:t>
      </w:r>
      <w:r>
        <w:rPr>
          <w:rStyle w:val="Strong"/>
          <w:rFonts w:ascii="Times New Roman" w:hAnsi="Times New Roman"/>
          <w:b w:val="false"/>
          <w:bCs w:val="false"/>
        </w:rPr>
        <w:t>While trust has improved, historical tensions and lack of representation in policing teams remain challenges.</w:t>
      </w:r>
    </w:p>
    <w:p>
      <w:pPr>
        <w:pStyle w:val="Heading3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4.4.3 Theme 3: Challenges in Community Policing Implementation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Police Officers' Perspectives</w:t>
      </w:r>
    </w:p>
    <w:p>
      <w:pPr>
        <w:pStyle w:val="BodyText"/>
        <w:numPr>
          <w:ilvl w:val="0"/>
          <w:numId w:val="13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Officers cited </w:t>
      </w:r>
      <w:r>
        <w:rPr>
          <w:rStyle w:val="Strong"/>
          <w:rFonts w:ascii="Times New Roman" w:hAnsi="Times New Roman"/>
          <w:b w:val="false"/>
          <w:bCs w:val="false"/>
        </w:rPr>
        <w:t>staffing shortages</w:t>
      </w:r>
      <w:r>
        <w:rPr>
          <w:rFonts w:ascii="Times New Roman" w:hAnsi="Times New Roman"/>
          <w:b w:val="false"/>
          <w:bCs w:val="false"/>
        </w:rPr>
        <w:t xml:space="preserve"> and </w:t>
      </w:r>
      <w:r>
        <w:rPr>
          <w:rStyle w:val="Strong"/>
          <w:rFonts w:ascii="Times New Roman" w:hAnsi="Times New Roman"/>
          <w:b w:val="false"/>
          <w:bCs w:val="false"/>
        </w:rPr>
        <w:t>budget constraints</w:t>
      </w:r>
      <w:r>
        <w:rPr>
          <w:rFonts w:ascii="Times New Roman" w:hAnsi="Times New Roman"/>
          <w:b w:val="false"/>
          <w:bCs w:val="false"/>
        </w:rPr>
        <w:t xml:space="preserve"> as major obstacles to fully implementing community policing strategies. </w:t>
      </w:r>
    </w:p>
    <w:p>
      <w:pPr>
        <w:pStyle w:val="BodyText"/>
        <w:numPr>
          <w:ilvl w:val="0"/>
          <w:numId w:val="13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Some officers admitted that </w:t>
      </w:r>
      <w:r>
        <w:rPr>
          <w:rStyle w:val="Strong"/>
          <w:rFonts w:ascii="Times New Roman" w:hAnsi="Times New Roman"/>
          <w:b w:val="false"/>
          <w:bCs w:val="false"/>
        </w:rPr>
        <w:t>response times remained slow in high-crime areas due to resource constraints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Community Leaders' Perspectives</w:t>
      </w:r>
    </w:p>
    <w:p>
      <w:pPr>
        <w:pStyle w:val="BodyText"/>
        <w:numPr>
          <w:ilvl w:val="0"/>
          <w:numId w:val="14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Leaders raised concerns about </w:t>
      </w:r>
      <w:r>
        <w:rPr>
          <w:rStyle w:val="Strong"/>
          <w:rFonts w:ascii="Times New Roman" w:hAnsi="Times New Roman"/>
          <w:b w:val="false"/>
          <w:bCs w:val="false"/>
        </w:rPr>
        <w:t>policing inconsistencies</w:t>
      </w:r>
      <w:r>
        <w:rPr>
          <w:rFonts w:ascii="Times New Roman" w:hAnsi="Times New Roman"/>
          <w:b w:val="false"/>
          <w:bCs w:val="false"/>
        </w:rPr>
        <w:t xml:space="preserve">, with some neighborhoods receiving </w:t>
      </w:r>
      <w:r>
        <w:rPr>
          <w:rStyle w:val="Strong"/>
          <w:rFonts w:ascii="Times New Roman" w:hAnsi="Times New Roman"/>
          <w:b w:val="false"/>
          <w:bCs w:val="false"/>
        </w:rPr>
        <w:t>more engagement than others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14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A common suggestion was to </w:t>
      </w:r>
      <w:r>
        <w:rPr>
          <w:rStyle w:val="Strong"/>
          <w:rFonts w:ascii="Times New Roman" w:hAnsi="Times New Roman"/>
          <w:b w:val="false"/>
          <w:bCs w:val="false"/>
        </w:rPr>
        <w:t>improve officer rotation schedules</w:t>
      </w:r>
      <w:r>
        <w:rPr>
          <w:rFonts w:ascii="Times New Roman" w:hAnsi="Times New Roman"/>
          <w:b w:val="false"/>
          <w:bCs w:val="false"/>
        </w:rPr>
        <w:t xml:space="preserve"> to ensure a </w:t>
      </w:r>
      <w:r>
        <w:rPr>
          <w:rStyle w:val="Strong"/>
          <w:rFonts w:ascii="Times New Roman" w:hAnsi="Times New Roman"/>
          <w:b w:val="false"/>
          <w:bCs w:val="false"/>
        </w:rPr>
        <w:t>consistent presence in all areas</w:t>
      </w:r>
      <w:r>
        <w:rPr>
          <w:rFonts w:ascii="Times New Roman" w:hAnsi="Times New Roman"/>
          <w:b w:val="false"/>
          <w:bCs w:val="false"/>
        </w:rPr>
        <w:t>.</w:t>
      </w:r>
      <w:r>
        <w:rPr>
          <w:rFonts w:ascii="Times New Roman" w:hAnsi="Times New Roman"/>
        </w:rPr>
        <w:t xml:space="preserve"> 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Residents' Perspectives</w:t>
      </w:r>
    </w:p>
    <w:p>
      <w:pPr>
        <w:pStyle w:val="BodyText"/>
        <w:numPr>
          <w:ilvl w:val="0"/>
          <w:numId w:val="15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Three out of six residents</w:t>
      </w:r>
      <w:r>
        <w:rPr>
          <w:rFonts w:ascii="Times New Roman" w:hAnsi="Times New Roman"/>
          <w:b w:val="false"/>
          <w:bCs w:val="false"/>
        </w:rPr>
        <w:t xml:space="preserve"> felt that </w:t>
      </w:r>
      <w:r>
        <w:rPr>
          <w:rStyle w:val="Strong"/>
          <w:rFonts w:ascii="Times New Roman" w:hAnsi="Times New Roman"/>
          <w:b w:val="false"/>
          <w:bCs w:val="false"/>
        </w:rPr>
        <w:t>police responsiveness was slower in lower-income areas</w:t>
      </w:r>
      <w:r>
        <w:rPr>
          <w:rFonts w:ascii="Times New Roman" w:hAnsi="Times New Roman"/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15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Fonts w:ascii="Times New Roman" w:hAnsi="Times New Roman"/>
          <w:b w:val="false"/>
          <w:bCs w:val="false"/>
        </w:rPr>
        <w:t xml:space="preserve">Some residents </w:t>
      </w:r>
      <w:r>
        <w:rPr>
          <w:rStyle w:val="Strong"/>
          <w:rFonts w:ascii="Times New Roman" w:hAnsi="Times New Roman"/>
          <w:b w:val="false"/>
          <w:bCs w:val="false"/>
        </w:rPr>
        <w:t>wanted more direct communication channels</w:t>
      </w:r>
      <w:r>
        <w:rPr>
          <w:rFonts w:ascii="Times New Roman" w:hAnsi="Times New Roman"/>
          <w:b w:val="false"/>
          <w:bCs w:val="false"/>
        </w:rPr>
        <w:t xml:space="preserve">, such as a </w:t>
      </w:r>
      <w:r>
        <w:rPr>
          <w:rStyle w:val="Strong"/>
          <w:rFonts w:ascii="Times New Roman" w:hAnsi="Times New Roman"/>
          <w:b w:val="false"/>
          <w:bCs w:val="false"/>
        </w:rPr>
        <w:t>community hotline</w:t>
      </w:r>
      <w:r>
        <w:rPr>
          <w:rFonts w:ascii="Times New Roman" w:hAnsi="Times New Roman"/>
          <w:b w:val="false"/>
          <w:bCs w:val="false"/>
        </w:rPr>
        <w:t xml:space="preserve"> for quicker reporting. </w:t>
      </w:r>
    </w:p>
    <w:p>
      <w:pPr>
        <w:pStyle w:val="BodyText"/>
        <w:bidi w:val="0"/>
        <w:jc w:val="start"/>
        <w:rPr/>
      </w:pPr>
      <w:r>
        <w:rPr>
          <w:rStyle w:val="Strong"/>
          <w:rFonts w:ascii="Times New Roman" w:hAnsi="Times New Roman"/>
        </w:rPr>
        <w:t>Key Insight:</w:t>
      </w:r>
      <w:r>
        <w:rPr>
          <w:rFonts w:ascii="Times New Roman" w:hAnsi="Times New Roman"/>
        </w:rPr>
        <w:t xml:space="preserve"> </w:t>
      </w:r>
      <w:r>
        <w:rPr>
          <w:rStyle w:val="Strong"/>
          <w:rFonts w:ascii="Times New Roman" w:hAnsi="Times New Roman"/>
          <w:b w:val="false"/>
          <w:bCs w:val="false"/>
        </w:rPr>
        <w:t>Community policing faces operational challenges, including resource constraints, inconsistent engagement, and response time delays.</w:t>
      </w:r>
    </w:p>
    <w:p>
      <w:pPr>
        <w:pStyle w:val="Heading2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4.4.4 Summary of Interview Findings</w:t>
      </w:r>
    </w:p>
    <w:p>
      <w:pPr>
        <w:pStyle w:val="BodyText"/>
        <w:numPr>
          <w:ilvl w:val="0"/>
          <w:numId w:val="16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Crime reduction is evident</w:t>
      </w:r>
      <w:r>
        <w:rPr>
          <w:rFonts w:ascii="Times New Roman" w:hAnsi="Times New Roman"/>
          <w:b w:val="false"/>
          <w:bCs w:val="false"/>
        </w:rPr>
        <w:t xml:space="preserve">, but effectiveness varies across crime categories. </w:t>
      </w:r>
    </w:p>
    <w:p>
      <w:pPr>
        <w:pStyle w:val="BodyText"/>
        <w:numPr>
          <w:ilvl w:val="0"/>
          <w:numId w:val="16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Trust in police has improved</w:t>
      </w:r>
      <w:r>
        <w:rPr>
          <w:rFonts w:ascii="Times New Roman" w:hAnsi="Times New Roman"/>
          <w:b w:val="false"/>
          <w:bCs w:val="false"/>
        </w:rPr>
        <w:t xml:space="preserve">, yet generational and socio-economic disparities remain. </w:t>
      </w:r>
    </w:p>
    <w:p>
      <w:pPr>
        <w:pStyle w:val="BodyText"/>
        <w:numPr>
          <w:ilvl w:val="0"/>
          <w:numId w:val="16"/>
        </w:numPr>
        <w:tabs>
          <w:tab w:val="left" w:pos="709" w:leader="none"/>
        </w:tabs>
        <w:bidi w:val="0"/>
        <w:spacing w:before="0" w:after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Operational challenges, including limited resources, slow response times, and inconsistent engagement, hinder full implementation.</w:t>
      </w:r>
      <w:r>
        <w:rPr>
          <w:rFonts w:ascii="Times New Roman" w:hAnsi="Times New Roman"/>
          <w:b w:val="false"/>
          <w:bCs w:val="false"/>
        </w:rPr>
        <w:t xml:space="preserve"> </w:t>
      </w:r>
    </w:p>
    <w:p>
      <w:pPr>
        <w:pStyle w:val="BodyText"/>
        <w:numPr>
          <w:ilvl w:val="0"/>
          <w:numId w:val="16"/>
        </w:numPr>
        <w:tabs>
          <w:tab w:val="left" w:pos="709" w:leader="none"/>
        </w:tabs>
        <w:bidi w:val="0"/>
        <w:ind w:hanging="283" w:start="709"/>
        <w:jc w:val="start"/>
        <w:rPr/>
      </w:pPr>
      <w:r>
        <w:rPr>
          <w:rStyle w:val="Strong"/>
          <w:rFonts w:ascii="Times New Roman" w:hAnsi="Times New Roman"/>
          <w:b w:val="false"/>
          <w:bCs w:val="false"/>
        </w:rPr>
        <w:t>Community leaders and residents advocate for greater inclusivity and improved communication strategies.</w:t>
      </w:r>
      <w:r>
        <w:rPr>
          <w:rFonts w:ascii="Times New Roman" w:hAnsi="Times New Roman"/>
          <w:b w:val="false"/>
          <w:bCs w:val="false"/>
        </w:rPr>
        <w:t xml:space="preserve"> </w:t>
      </w:r>
    </w:p>
    <w:p>
      <w:pPr>
        <w:pStyle w:val="Heading2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4.5 Discussion</w:t>
      </w:r>
    </w:p>
    <w:p>
      <w:pPr>
        <w:pStyle w:val="BodyText"/>
        <w:rPr/>
      </w:pPr>
      <w:r>
        <w:rPr>
          <w:b w:val="false"/>
          <w:bCs w:val="false"/>
        </w:rPr>
        <w:t xml:space="preserve">This section </w:t>
      </w:r>
      <w:r>
        <w:rPr>
          <w:rStyle w:val="Strong"/>
          <w:b w:val="false"/>
          <w:bCs w:val="false"/>
        </w:rPr>
        <w:t>interprets</w:t>
      </w:r>
      <w:r>
        <w:rPr>
          <w:b w:val="false"/>
          <w:bCs w:val="false"/>
        </w:rPr>
        <w:t xml:space="preserve"> findings within criminological frameworks, focusing on </w:t>
      </w:r>
      <w:r>
        <w:rPr>
          <w:rStyle w:val="Strong"/>
          <w:b w:val="false"/>
          <w:bCs w:val="false"/>
        </w:rPr>
        <w:t>crime reduction, trust-building, and implementation challenges</w:t>
      </w:r>
      <w:r>
        <w:rPr>
          <w:b w:val="false"/>
          <w:bCs w:val="false"/>
        </w:rPr>
        <w:t xml:space="preserve"> of community policing.</w:t>
      </w:r>
    </w:p>
    <w:p>
      <w:pPr>
        <w:pStyle w:val="Heading4"/>
        <w:rPr/>
      </w:pPr>
      <w:r>
        <w:rPr>
          <w:rStyle w:val="Strong"/>
          <w:b/>
          <w:bCs/>
        </w:rPr>
        <w:t>4.5.1 Crime Reduction and Community Policing</w:t>
      </w:r>
    </w:p>
    <w:p>
      <w:pPr>
        <w:pStyle w:val="BodyText"/>
        <w:numPr>
          <w:ilvl w:val="0"/>
          <w:numId w:val="18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Burglary (↓39%) &amp; Public Disorder (↓21%) declined</w:t>
      </w:r>
      <w:r>
        <w:rPr>
          <w:b w:val="false"/>
          <w:bCs w:val="false"/>
        </w:rPr>
        <w:t xml:space="preserve">, aligning with </w:t>
      </w:r>
      <w:r>
        <w:rPr>
          <w:rStyle w:val="Strong"/>
          <w:b w:val="false"/>
          <w:bCs w:val="false"/>
        </w:rPr>
        <w:t>Broken Windows Theory</w:t>
      </w:r>
      <w:r>
        <w:rPr>
          <w:b w:val="false"/>
          <w:bCs w:val="false"/>
        </w:rPr>
        <w:t xml:space="preserve"> (Wilson &amp; Kelling, 1982). </w:t>
      </w:r>
    </w:p>
    <w:p>
      <w:pPr>
        <w:pStyle w:val="BodyText"/>
        <w:numPr>
          <w:ilvl w:val="0"/>
          <w:numId w:val="18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Drug-related offenses (↑23%) increased</w:t>
      </w:r>
      <w:r>
        <w:rPr>
          <w:b w:val="false"/>
          <w:bCs w:val="false"/>
        </w:rPr>
        <w:t xml:space="preserve">, suggesting </w:t>
      </w:r>
      <w:r>
        <w:rPr>
          <w:rStyle w:val="Strong"/>
          <w:b w:val="false"/>
          <w:bCs w:val="false"/>
        </w:rPr>
        <w:t>community policing alone is insufficient</w:t>
      </w:r>
      <w:r>
        <w:rPr>
          <w:b w:val="false"/>
          <w:bCs w:val="false"/>
        </w:rPr>
        <w:t xml:space="preserve"> for tackling organized crime. </w:t>
      </w:r>
    </w:p>
    <w:p>
      <w:pPr>
        <w:pStyle w:val="BodyText"/>
        <w:numPr>
          <w:ilvl w:val="0"/>
          <w:numId w:val="18"/>
        </w:numPr>
        <w:tabs>
          <w:tab w:val="clear" w:pos="709"/>
          <w:tab w:val="left" w:pos="0" w:leader="none"/>
        </w:tabs>
        <w:ind w:hanging="283" w:start="709"/>
        <w:rPr/>
      </w:pPr>
      <w:r>
        <w:rPr>
          <w:rStyle w:val="Strong"/>
          <w:b w:val="false"/>
          <w:bCs w:val="false"/>
        </w:rPr>
        <w:t>Comparison with national crime trends</w:t>
      </w:r>
      <w:r>
        <w:rPr>
          <w:b w:val="false"/>
          <w:bCs w:val="false"/>
        </w:rPr>
        <w:t xml:space="preserve"> (17% reduction in Telford vs. 12% UK-wide) indicates </w:t>
      </w:r>
      <w:r>
        <w:rPr>
          <w:rStyle w:val="Strong"/>
          <w:b w:val="false"/>
          <w:bCs w:val="false"/>
        </w:rPr>
        <w:t>positive impact</w:t>
      </w:r>
      <w:r>
        <w:rPr>
          <w:b w:val="false"/>
          <w:bCs w:val="false"/>
        </w:rPr>
        <w:t xml:space="preserve"> but highlights </w:t>
      </w:r>
      <w:r>
        <w:rPr>
          <w:rStyle w:val="Strong"/>
          <w:b w:val="false"/>
          <w:bCs w:val="false"/>
        </w:rPr>
        <w:t>limitations</w:t>
      </w:r>
      <w:r>
        <w:rPr>
          <w:b w:val="false"/>
          <w:bCs w:val="false"/>
        </w:rPr>
        <w:t xml:space="preserve"> in addressing systemic issues.</w:t>
      </w:r>
      <w:r>
        <w:rPr/>
        <w:t xml:space="preserve"> </w:t>
      </w:r>
    </w:p>
    <w:p>
      <w:pPr>
        <w:pStyle w:val="BodyText"/>
        <w:rPr/>
      </w:pPr>
      <w:r>
        <w:rPr>
          <w:rStyle w:val="Strong"/>
        </w:rPr>
        <w:t>Key Takeaway:</w:t>
      </w:r>
      <w:r>
        <w:rPr/>
        <w:t xml:space="preserve"> </w:t>
      </w:r>
      <w:r>
        <w:rPr>
          <w:b w:val="false"/>
          <w:bCs w:val="false"/>
        </w:rPr>
        <w:t xml:space="preserve">Community policing reduces </w:t>
      </w:r>
      <w:r>
        <w:rPr>
          <w:rStyle w:val="Strong"/>
          <w:b w:val="false"/>
          <w:bCs w:val="false"/>
        </w:rPr>
        <w:t>visible crimes</w:t>
      </w:r>
      <w:r>
        <w:rPr>
          <w:b w:val="false"/>
          <w:bCs w:val="false"/>
        </w:rPr>
        <w:t xml:space="preserve"> but requires </w:t>
      </w:r>
      <w:r>
        <w:rPr>
          <w:rStyle w:val="Strong"/>
          <w:b w:val="false"/>
          <w:bCs w:val="false"/>
        </w:rPr>
        <w:t>multi-agency collaboration</w:t>
      </w:r>
      <w:r>
        <w:rPr>
          <w:b w:val="false"/>
          <w:bCs w:val="false"/>
        </w:rPr>
        <w:t xml:space="preserve"> for tackling complex offenses.</w:t>
      </w:r>
    </w:p>
    <w:p>
      <w:pPr>
        <w:pStyle w:val="Heading4"/>
        <w:rPr/>
      </w:pPr>
      <w:r>
        <w:rPr>
          <w:rStyle w:val="Strong"/>
          <w:b/>
          <w:bCs/>
        </w:rPr>
        <w:t>4.5.2 Trust and Police-Community Relationships</w:t>
      </w:r>
    </w:p>
    <w:p>
      <w:pPr>
        <w:pStyle w:val="BodyText"/>
        <w:numPr>
          <w:ilvl w:val="0"/>
          <w:numId w:val="19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68% of residents trust police</w:t>
      </w:r>
      <w:r>
        <w:rPr>
          <w:b w:val="false"/>
          <w:bCs w:val="false"/>
        </w:rPr>
        <w:t xml:space="preserve">, supporting </w:t>
      </w:r>
      <w:r>
        <w:rPr>
          <w:rStyle w:val="Strong"/>
          <w:b w:val="false"/>
          <w:bCs w:val="false"/>
        </w:rPr>
        <w:t>Social Control Theory</w:t>
      </w:r>
      <w:r>
        <w:rPr>
          <w:b w:val="false"/>
          <w:bCs w:val="false"/>
        </w:rPr>
        <w:t xml:space="preserve"> (Hirschi, 1969). </w:t>
      </w:r>
    </w:p>
    <w:p>
      <w:pPr>
        <w:pStyle w:val="BodyText"/>
        <w:numPr>
          <w:ilvl w:val="0"/>
          <w:numId w:val="19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Positive engagement (patrols, meetings, problem-solving) enhanced trust</w:t>
      </w:r>
      <w:r>
        <w:rPr>
          <w:b w:val="false"/>
          <w:bCs w:val="false"/>
        </w:rPr>
        <w:t xml:space="preserve">, especially among older residents. </w:t>
      </w:r>
    </w:p>
    <w:p>
      <w:pPr>
        <w:pStyle w:val="BodyText"/>
        <w:numPr>
          <w:ilvl w:val="0"/>
          <w:numId w:val="19"/>
        </w:numPr>
        <w:tabs>
          <w:tab w:val="clear" w:pos="709"/>
          <w:tab w:val="left" w:pos="0" w:leader="none"/>
        </w:tabs>
        <w:ind w:hanging="283" w:start="709"/>
        <w:rPr/>
      </w:pPr>
      <w:r>
        <w:rPr>
          <w:rStyle w:val="Strong"/>
          <w:b w:val="false"/>
          <w:bCs w:val="false"/>
        </w:rPr>
        <w:t>Lower-income communities (20%) remain skeptical</w:t>
      </w:r>
      <w:r>
        <w:rPr>
          <w:b w:val="false"/>
          <w:bCs w:val="false"/>
        </w:rPr>
        <w:t xml:space="preserve">, citing </w:t>
      </w:r>
      <w:r>
        <w:rPr>
          <w:rStyle w:val="Strong"/>
          <w:b w:val="false"/>
          <w:bCs w:val="false"/>
        </w:rPr>
        <w:t>historical over-policing &amp; inconsistent presence</w:t>
      </w:r>
      <w:r>
        <w:rPr>
          <w:b w:val="false"/>
          <w:bCs w:val="false"/>
        </w:rPr>
        <w:t>.</w:t>
      </w:r>
      <w:r>
        <w:rPr/>
        <w:t xml:space="preserve"> </w:t>
      </w:r>
    </w:p>
    <w:p>
      <w:pPr>
        <w:pStyle w:val="BodyText"/>
        <w:rPr/>
      </w:pPr>
      <w:r>
        <w:rPr>
          <w:rStyle w:val="Strong"/>
        </w:rPr>
        <w:t>Recommendations:</w:t>
      </w:r>
    </w:p>
    <w:p>
      <w:pPr>
        <w:pStyle w:val="BodyText"/>
        <w:numPr>
          <w:ilvl w:val="0"/>
          <w:numId w:val="20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Cultural sensitivity training</w:t>
      </w:r>
      <w:r>
        <w:rPr>
          <w:b w:val="false"/>
          <w:bCs w:val="false"/>
        </w:rPr>
        <w:t xml:space="preserve"> for officers. </w:t>
      </w:r>
    </w:p>
    <w:p>
      <w:pPr>
        <w:pStyle w:val="BodyText"/>
        <w:numPr>
          <w:ilvl w:val="0"/>
          <w:numId w:val="20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Diversified recruitment</w:t>
      </w:r>
      <w:r>
        <w:rPr>
          <w:b w:val="false"/>
          <w:bCs w:val="false"/>
        </w:rPr>
        <w:t xml:space="preserve"> to reflect community demographics. </w:t>
      </w:r>
    </w:p>
    <w:p>
      <w:pPr>
        <w:pStyle w:val="BodyText"/>
        <w:numPr>
          <w:ilvl w:val="0"/>
          <w:numId w:val="20"/>
        </w:numPr>
        <w:tabs>
          <w:tab w:val="clear" w:pos="709"/>
          <w:tab w:val="left" w:pos="0" w:leader="none"/>
        </w:tabs>
        <w:ind w:hanging="283" w:start="709"/>
        <w:rPr/>
      </w:pPr>
      <w:r>
        <w:rPr>
          <w:rStyle w:val="Strong"/>
          <w:b w:val="false"/>
          <w:bCs w:val="false"/>
        </w:rPr>
        <w:t>Increased engagement in marginalized areas</w:t>
      </w:r>
      <w:r>
        <w:rPr>
          <w:b w:val="false"/>
          <w:bCs w:val="false"/>
        </w:rPr>
        <w:t xml:space="preserve">. </w:t>
      </w:r>
    </w:p>
    <w:p>
      <w:pPr>
        <w:pStyle w:val="BodyText"/>
        <w:rPr/>
      </w:pPr>
      <w:r>
        <w:rPr>
          <w:rStyle w:val="Strong"/>
        </w:rPr>
        <w:t>Key Takeaway:</w:t>
      </w:r>
      <w:r>
        <w:rPr>
          <w:b w:val="false"/>
          <w:bCs w:val="false"/>
        </w:rPr>
        <w:t xml:space="preserve"> Trust </w:t>
      </w:r>
      <w:r>
        <w:rPr>
          <w:rStyle w:val="Strong"/>
          <w:b w:val="false"/>
          <w:bCs w:val="false"/>
        </w:rPr>
        <w:t>improved</w:t>
      </w:r>
      <w:r>
        <w:rPr>
          <w:b w:val="false"/>
          <w:bCs w:val="false"/>
        </w:rPr>
        <w:t xml:space="preserve"> due to </w:t>
      </w:r>
      <w:r>
        <w:rPr>
          <w:rStyle w:val="Strong"/>
          <w:b w:val="false"/>
          <w:bCs w:val="false"/>
        </w:rPr>
        <w:t>engagement efforts</w:t>
      </w:r>
      <w:r>
        <w:rPr>
          <w:b w:val="false"/>
          <w:bCs w:val="false"/>
        </w:rPr>
        <w:t xml:space="preserve">, but </w:t>
      </w:r>
      <w:r>
        <w:rPr>
          <w:rStyle w:val="Strong"/>
          <w:b w:val="false"/>
          <w:bCs w:val="false"/>
        </w:rPr>
        <w:t>targeted outreach is needed</w:t>
      </w:r>
      <w:r>
        <w:rPr>
          <w:b w:val="false"/>
          <w:bCs w:val="false"/>
        </w:rPr>
        <w:t xml:space="preserve"> to address disparities.</w:t>
      </w:r>
    </w:p>
    <w:p>
      <w:pPr>
        <w:pStyle w:val="Heading4"/>
        <w:rPr/>
      </w:pPr>
      <w:r>
        <w:rPr>
          <w:rStyle w:val="Strong"/>
          <w:b/>
          <w:bCs/>
        </w:rPr>
        <w:t>4.5.3 Challenges in Implementing Community Policing</w:t>
      </w:r>
    </w:p>
    <w:p>
      <w:pPr>
        <w:pStyle w:val="BodyText"/>
        <w:numPr>
          <w:ilvl w:val="0"/>
          <w:numId w:val="21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Staffing shortages &amp; budget constraints</w:t>
      </w:r>
      <w:r>
        <w:rPr>
          <w:b w:val="false"/>
          <w:bCs w:val="false"/>
        </w:rPr>
        <w:t xml:space="preserve"> limit effectiveness (Mastrofski, 2006). </w:t>
      </w:r>
    </w:p>
    <w:p>
      <w:pPr>
        <w:pStyle w:val="BodyText"/>
        <w:numPr>
          <w:ilvl w:val="0"/>
          <w:numId w:val="21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Slow response times (30% of residents concerned)</w:t>
      </w:r>
      <w:r>
        <w:rPr>
          <w:b w:val="false"/>
          <w:bCs w:val="false"/>
        </w:rPr>
        <w:t xml:space="preserve"> reduce confidence. </w:t>
      </w:r>
    </w:p>
    <w:p>
      <w:pPr>
        <w:pStyle w:val="BodyText"/>
        <w:numPr>
          <w:ilvl w:val="0"/>
          <w:numId w:val="21"/>
        </w:numPr>
        <w:tabs>
          <w:tab w:val="clear" w:pos="709"/>
          <w:tab w:val="left" w:pos="0" w:leader="none"/>
        </w:tabs>
        <w:ind w:hanging="283" w:start="709"/>
        <w:rPr/>
      </w:pPr>
      <w:r>
        <w:rPr>
          <w:rStyle w:val="Strong"/>
          <w:b w:val="false"/>
          <w:bCs w:val="false"/>
        </w:rPr>
        <w:t>Engagement inconsistencies</w:t>
      </w:r>
      <w:r>
        <w:rPr>
          <w:b w:val="false"/>
          <w:bCs w:val="false"/>
        </w:rPr>
        <w:t xml:space="preserve"> create trust disparities. </w:t>
      </w:r>
    </w:p>
    <w:p>
      <w:pPr>
        <w:pStyle w:val="BodyText"/>
        <w:rPr/>
      </w:pPr>
      <w:r>
        <w:rPr>
          <w:rStyle w:val="Strong"/>
        </w:rPr>
        <w:t>Solutions:</w:t>
      </w:r>
    </w:p>
    <w:p>
      <w:pPr>
        <w:pStyle w:val="BodyText"/>
        <w:numPr>
          <w:ilvl w:val="0"/>
          <w:numId w:val="22"/>
        </w:numPr>
        <w:rPr/>
      </w:pPr>
      <w:r>
        <w:rPr>
          <w:rStyle w:val="Strong"/>
          <w:b w:val="false"/>
          <w:bCs w:val="false"/>
        </w:rPr>
        <w:t>Increased funding</w:t>
      </w:r>
      <w:r>
        <w:rPr>
          <w:b w:val="false"/>
          <w:bCs w:val="false"/>
        </w:rPr>
        <w:t xml:space="preserve"> for training &amp; resources.</w:t>
      </w:r>
    </w:p>
    <w:p>
      <w:pPr>
        <w:pStyle w:val="BodyText"/>
        <w:numPr>
          <w:ilvl w:val="0"/>
          <w:numId w:val="22"/>
        </w:numPr>
        <w:rPr/>
      </w:pPr>
      <w:r>
        <w:rPr>
          <w:rStyle w:val="Strong"/>
          <w:b w:val="false"/>
          <w:bCs w:val="false"/>
        </w:rPr>
        <w:t>Strategic deployment</w:t>
      </w:r>
      <w:r>
        <w:rPr>
          <w:b w:val="false"/>
          <w:bCs w:val="false"/>
        </w:rPr>
        <w:t xml:space="preserve"> to balance engagement across areas.</w:t>
      </w:r>
    </w:p>
    <w:p>
      <w:pPr>
        <w:pStyle w:val="BodyText"/>
        <w:rPr/>
      </w:pPr>
      <w:r>
        <w:rPr>
          <w:rStyle w:val="Strong"/>
        </w:rPr>
        <w:t>Key Takeaway:</w:t>
      </w:r>
      <w:r>
        <w:rPr/>
        <w:t xml:space="preserve"> </w:t>
      </w:r>
      <w:r>
        <w:rPr>
          <w:rStyle w:val="Strong"/>
          <w:b w:val="false"/>
          <w:bCs w:val="false"/>
        </w:rPr>
        <w:t>Sustaining community policing</w:t>
      </w:r>
      <w:r>
        <w:rPr>
          <w:b w:val="false"/>
          <w:bCs w:val="false"/>
        </w:rPr>
        <w:t xml:space="preserve"> requires </w:t>
      </w:r>
      <w:r>
        <w:rPr>
          <w:rStyle w:val="Strong"/>
          <w:b w:val="false"/>
          <w:bCs w:val="false"/>
        </w:rPr>
        <w:t>stable resources &amp; strategic officer deployment</w:t>
      </w:r>
      <w:r>
        <w:rPr>
          <w:b w:val="false"/>
          <w:bCs w:val="false"/>
        </w:rPr>
        <w:t>.</w:t>
      </w:r>
    </w:p>
    <w:p>
      <w:pPr>
        <w:pStyle w:val="Heading3"/>
        <w:rPr/>
      </w:pPr>
      <w:r>
        <w:rPr>
          <w:rStyle w:val="Strong"/>
          <w:b/>
          <w:bCs/>
        </w:rPr>
        <w:t xml:space="preserve">Summary of Discussion </w:t>
      </w:r>
    </w:p>
    <w:p>
      <w:pPr>
        <w:pStyle w:val="BodyText"/>
        <w:numPr>
          <w:ilvl w:val="0"/>
          <w:numId w:val="23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Crime Reduction:</w:t>
      </w:r>
      <w:r>
        <w:rPr>
          <w:b w:val="false"/>
          <w:bCs w:val="false"/>
        </w:rPr>
        <w:t xml:space="preserve"> Works for property crimes but </w:t>
      </w:r>
      <w:r>
        <w:rPr>
          <w:rStyle w:val="Strong"/>
          <w:b w:val="false"/>
          <w:bCs w:val="false"/>
        </w:rPr>
        <w:t>less effective for drug-related issues</w:t>
      </w:r>
      <w:r>
        <w:rPr>
          <w:b w:val="false"/>
          <w:bCs w:val="false"/>
        </w:rPr>
        <w:t xml:space="preserve">. </w:t>
      </w:r>
    </w:p>
    <w:p>
      <w:pPr>
        <w:pStyle w:val="BodyText"/>
        <w:numPr>
          <w:ilvl w:val="0"/>
          <w:numId w:val="23"/>
        </w:numPr>
        <w:tabs>
          <w:tab w:val="clear" w:pos="709"/>
          <w:tab w:val="left" w:pos="0" w:leader="none"/>
        </w:tabs>
        <w:spacing w:before="0" w:after="0"/>
        <w:ind w:hanging="283" w:start="709"/>
        <w:rPr/>
      </w:pPr>
      <w:r>
        <w:rPr>
          <w:rStyle w:val="Strong"/>
          <w:b w:val="false"/>
          <w:bCs w:val="false"/>
        </w:rPr>
        <w:t>Trust:</w:t>
      </w:r>
      <w:r>
        <w:rPr>
          <w:b w:val="false"/>
          <w:bCs w:val="false"/>
        </w:rPr>
        <w:t xml:space="preserve"> Gained overall, but </w:t>
      </w:r>
      <w:r>
        <w:rPr>
          <w:rStyle w:val="Strong"/>
          <w:b w:val="false"/>
          <w:bCs w:val="false"/>
        </w:rPr>
        <w:t>mistrust persists in marginalized areas</w:t>
      </w:r>
      <w:r>
        <w:rPr>
          <w:b w:val="false"/>
          <w:bCs w:val="false"/>
        </w:rPr>
        <w:t xml:space="preserve">. </w:t>
      </w:r>
    </w:p>
    <w:p>
      <w:pPr>
        <w:pStyle w:val="BodyText"/>
        <w:bidi w:val="0"/>
        <w:jc w:val="both"/>
        <w:rPr/>
      </w:pPr>
      <w:r>
        <w:rPr>
          <w:rStyle w:val="Strong"/>
          <w:rFonts w:ascii="Times New Roman" w:hAnsi="Times New Roman"/>
          <w:b w:val="false"/>
          <w:bCs w:val="false"/>
        </w:rPr>
        <w:t>Challenges:</w:t>
      </w:r>
      <w:r>
        <w:rPr>
          <w:rFonts w:ascii="Times New Roman" w:hAnsi="Times New Roman"/>
          <w:b w:val="false"/>
          <w:bCs w:val="false"/>
        </w:rPr>
        <w:t xml:space="preserve"> Resource shortages &amp; </w:t>
      </w:r>
      <w:r>
        <w:rPr>
          <w:rStyle w:val="Strong"/>
          <w:rFonts w:ascii="Times New Roman" w:hAnsi="Times New Roman"/>
          <w:b w:val="false"/>
          <w:bCs w:val="false"/>
        </w:rPr>
        <w:t>unequal implementation</w:t>
      </w:r>
      <w:r>
        <w:rPr>
          <w:rFonts w:ascii="Times New Roman" w:hAnsi="Times New Roman"/>
          <w:b w:val="false"/>
          <w:bCs w:val="false"/>
        </w:rPr>
        <w:t xml:space="preserve"> hinder success. </w:t>
      </w:r>
    </w:p>
    <w:p>
      <w:pPr>
        <w:pStyle w:val="BodyText"/>
        <w:bidi w:val="0"/>
        <w:jc w:val="start"/>
        <w:rPr>
          <w:rStyle w:val="Strong"/>
          <w:rFonts w:ascii="Times New Roman" w:hAnsi="Times New Roman"/>
          <w:b w:val="false"/>
          <w:bCs w:val="false"/>
        </w:rPr>
      </w:pPr>
      <w:r>
        <w:rPr/>
      </w:r>
    </w:p>
    <w:p>
      <w:pPr>
        <w:pStyle w:val="Heading2"/>
        <w:bidi w:val="0"/>
        <w:jc w:val="start"/>
        <w:rPr/>
      </w:pPr>
      <w:r>
        <w:rPr>
          <w:rStyle w:val="Strong"/>
          <w:rFonts w:ascii="Times New Roman" w:hAnsi="Times New Roman"/>
          <w:b/>
          <w:bCs/>
        </w:rPr>
        <w:t>4.6 Conclusion</w:t>
      </w:r>
    </w:p>
    <w:p>
      <w:pPr>
        <w:pStyle w:val="BodyText"/>
        <w:jc w:val="both"/>
        <w:rPr/>
      </w:pPr>
      <w:r>
        <w:rPr>
          <w:b w:val="false"/>
          <w:bCs w:val="false"/>
        </w:rPr>
        <w:t xml:space="preserve">This chapter analyzed the </w:t>
      </w:r>
      <w:r>
        <w:rPr>
          <w:rStyle w:val="Strong"/>
          <w:b w:val="false"/>
          <w:bCs w:val="false"/>
        </w:rPr>
        <w:t>impact of community policing</w:t>
      </w:r>
      <w:r>
        <w:rPr>
          <w:b w:val="false"/>
          <w:bCs w:val="false"/>
        </w:rPr>
        <w:t xml:space="preserve"> on crime rates and police-community relationships in Telford. Findings reveal </w:t>
      </w:r>
      <w:r>
        <w:rPr>
          <w:rStyle w:val="Strong"/>
          <w:b w:val="false"/>
          <w:bCs w:val="false"/>
        </w:rPr>
        <w:t>notable crime reductions, improved trust in law enforcement, and persistent implementation challenges</w:t>
      </w:r>
      <w:r>
        <w:rPr>
          <w:b w:val="false"/>
          <w:bCs w:val="false"/>
        </w:rPr>
        <w:t>.</w:t>
      </w:r>
    </w:p>
    <w:p>
      <w:pPr>
        <w:pStyle w:val="Heading4"/>
        <w:rPr/>
      </w:pPr>
      <w:r>
        <w:rPr>
          <w:rStyle w:val="Strong"/>
          <w:b/>
          <w:bCs/>
        </w:rPr>
        <w:t>4.6.1 Summary of Key Findings</w:t>
      </w:r>
    </w:p>
    <w:p>
      <w:pPr>
        <w:pStyle w:val="Heading4"/>
        <w:numPr>
          <w:ilvl w:val="0"/>
          <w:numId w:val="24"/>
        </w:numPr>
        <w:rPr/>
      </w:pPr>
      <w:r>
        <w:rPr>
          <w:rStyle w:val="Strong"/>
          <w:b/>
          <w:bCs/>
        </w:rPr>
        <w:t>Crime Reduction:</w:t>
      </w:r>
      <w:r>
        <w:rPr/>
        <w:t xml:space="preserve"> </w:t>
      </w:r>
      <w:r>
        <w:rPr>
          <w:b w:val="false"/>
          <w:bCs w:val="false"/>
        </w:rPr>
        <w:t xml:space="preserve">Burglary (↓39%) &amp; Public Disorder (↓21%) declined, supporting </w:t>
      </w:r>
      <w:r>
        <w:rPr>
          <w:rStyle w:val="Strong"/>
          <w:b w:val="false"/>
          <w:bCs w:val="false"/>
        </w:rPr>
        <w:t>Broken Windows Theory</w:t>
      </w:r>
      <w:r>
        <w:rPr>
          <w:b w:val="false"/>
          <w:bCs w:val="false"/>
        </w:rPr>
        <w:t xml:space="preserve">. Drug-related offenses (↑23%) rose, indicating </w:t>
      </w:r>
      <w:r>
        <w:rPr>
          <w:rStyle w:val="Strong"/>
          <w:b w:val="false"/>
          <w:bCs w:val="false"/>
        </w:rPr>
        <w:t>the need for multi-agency interventions</w:t>
      </w:r>
      <w:r>
        <w:rPr/>
        <w:t>.</w:t>
      </w:r>
    </w:p>
    <w:p>
      <w:pPr>
        <w:pStyle w:val="Heading4"/>
        <w:numPr>
          <w:ilvl w:val="0"/>
          <w:numId w:val="24"/>
        </w:numPr>
        <w:rPr/>
      </w:pPr>
      <w:r>
        <w:rPr>
          <w:rStyle w:val="Strong"/>
          <w:b/>
          <w:bCs/>
        </w:rPr>
        <w:t>Trust in Police:</w:t>
      </w:r>
      <w:r>
        <w:rPr/>
        <w:t xml:space="preserve"> </w:t>
      </w:r>
      <w:r>
        <w:rPr>
          <w:b w:val="false"/>
          <w:bCs w:val="false"/>
        </w:rPr>
        <w:t xml:space="preserve">68% of residents report </w:t>
      </w:r>
      <w:r>
        <w:rPr>
          <w:rStyle w:val="Strong"/>
          <w:b w:val="false"/>
          <w:bCs w:val="false"/>
        </w:rPr>
        <w:t>improved trust</w:t>
      </w:r>
      <w:r>
        <w:rPr>
          <w:b w:val="false"/>
          <w:bCs w:val="false"/>
        </w:rPr>
        <w:t xml:space="preserve">, but </w:t>
      </w:r>
      <w:r>
        <w:rPr>
          <w:rStyle w:val="Strong"/>
          <w:b w:val="false"/>
          <w:bCs w:val="false"/>
        </w:rPr>
        <w:t>marginalized communities remain skeptical</w:t>
      </w:r>
      <w:r>
        <w:rPr>
          <w:b w:val="false"/>
          <w:bCs w:val="false"/>
        </w:rPr>
        <w:t>.</w:t>
      </w:r>
    </w:p>
    <w:p>
      <w:pPr>
        <w:pStyle w:val="Heading4"/>
        <w:numPr>
          <w:ilvl w:val="0"/>
          <w:numId w:val="24"/>
        </w:numPr>
        <w:rPr/>
      </w:pPr>
      <w:r>
        <w:rPr>
          <w:rStyle w:val="Strong"/>
          <w:b/>
          <w:bCs/>
        </w:rPr>
        <w:t>Operational Challenges:</w:t>
      </w:r>
      <w:r>
        <w:rPr/>
        <w:t xml:space="preserve"> </w:t>
      </w:r>
      <w:r>
        <w:rPr>
          <w:rStyle w:val="Strong"/>
          <w:b w:val="false"/>
          <w:bCs w:val="false"/>
        </w:rPr>
        <w:t>Staffing shortages &amp; inconsistent engagement</w:t>
      </w:r>
      <w:r>
        <w:rPr>
          <w:b w:val="false"/>
          <w:bCs w:val="false"/>
        </w:rPr>
        <w:t xml:space="preserve"> reduce effectiveness.</w:t>
      </w:r>
    </w:p>
    <w:p>
      <w:pPr>
        <w:pStyle w:val="Heading4"/>
        <w:rPr/>
      </w:pPr>
      <w:r>
        <w:rPr>
          <w:rStyle w:val="Strong"/>
          <w:b/>
          <w:bCs/>
        </w:rPr>
        <w:t>4.6.2 Policy and Practical Implications</w:t>
      </w:r>
    </w:p>
    <w:p>
      <w:pPr>
        <w:pStyle w:val="BodyText"/>
        <w:rPr/>
      </w:pPr>
      <w:r>
        <w:rPr/>
        <w:t>To enhance community policing, policymakers should:</w:t>
      </w:r>
    </w:p>
    <w:p>
      <w:pPr>
        <w:pStyle w:val="BodyText"/>
        <w:numPr>
          <w:ilvl w:val="0"/>
          <w:numId w:val="25"/>
        </w:numPr>
        <w:rPr/>
      </w:pPr>
      <w:r>
        <w:rPr>
          <w:rStyle w:val="Strong"/>
        </w:rPr>
        <w:t>Expand Community Engagement</w:t>
      </w:r>
      <w:r>
        <w:rPr/>
        <w:t xml:space="preserve"> (Neighborhood watch, youth-police collaboration).</w:t>
      </w:r>
    </w:p>
    <w:p>
      <w:pPr>
        <w:pStyle w:val="BodyText"/>
        <w:numPr>
          <w:ilvl w:val="0"/>
          <w:numId w:val="25"/>
        </w:numPr>
        <w:rPr/>
      </w:pPr>
      <w:r>
        <w:rPr>
          <w:rStyle w:val="Strong"/>
        </w:rPr>
        <w:t>I</w:t>
      </w:r>
      <w:r>
        <w:rPr>
          <w:rStyle w:val="Strong"/>
        </w:rPr>
        <w:t>mprove Police Training &amp; Resources</w:t>
      </w:r>
      <w:r>
        <w:rPr/>
        <w:t xml:space="preserve"> (Cultural competency, de-escalation techniques).</w:t>
      </w:r>
    </w:p>
    <w:p>
      <w:pPr>
        <w:pStyle w:val="BodyText"/>
        <w:numPr>
          <w:ilvl w:val="0"/>
          <w:numId w:val="25"/>
        </w:numPr>
        <w:rPr/>
      </w:pPr>
      <w:r>
        <w:rPr>
          <w:rStyle w:val="Strong"/>
        </w:rPr>
        <w:t>Strengthen Multi-Agency Approaches</w:t>
      </w:r>
      <w:r>
        <w:rPr/>
        <w:t xml:space="preserve"> (Social services partnerships, targeted interventions).</w:t>
      </w:r>
    </w:p>
    <w:p>
      <w:pPr>
        <w:pStyle w:val="Heading4"/>
        <w:rPr/>
      </w:pPr>
      <w:r>
        <w:rPr>
          <w:rStyle w:val="Strong"/>
          <w:b/>
          <w:bCs/>
        </w:rPr>
        <w:t>4.6.3 Contributions to Research and Future Directions</w:t>
      </w:r>
    </w:p>
    <w:p>
      <w:pPr>
        <w:pStyle w:val="Heading4"/>
        <w:numPr>
          <w:ilvl w:val="0"/>
          <w:numId w:val="26"/>
        </w:numPr>
        <w:rPr/>
      </w:pPr>
      <w:r>
        <w:rPr>
          <w:rStyle w:val="Strong"/>
          <w:b/>
          <w:bCs/>
        </w:rPr>
        <w:t>Empirical Contribution:</w:t>
      </w:r>
      <w:r>
        <w:rPr/>
        <w:t xml:space="preserve"> </w:t>
      </w:r>
      <w:r>
        <w:rPr>
          <w:b w:val="false"/>
          <w:bCs w:val="false"/>
        </w:rPr>
        <w:t xml:space="preserve">Confirms community policing reduces crime &amp; fosters trust, </w:t>
      </w:r>
      <w:r>
        <w:rPr>
          <w:rStyle w:val="Strong"/>
          <w:b w:val="false"/>
          <w:bCs w:val="false"/>
        </w:rPr>
        <w:t>but has limitations</w:t>
      </w:r>
      <w:r>
        <w:rPr>
          <w:b w:val="false"/>
          <w:bCs w:val="false"/>
        </w:rPr>
        <w:t>.</w:t>
      </w:r>
    </w:p>
    <w:p>
      <w:pPr>
        <w:pStyle w:val="Heading4"/>
        <w:numPr>
          <w:ilvl w:val="0"/>
          <w:numId w:val="26"/>
        </w:numPr>
        <w:rPr/>
      </w:pPr>
      <w:r>
        <w:rPr>
          <w:rStyle w:val="Strong"/>
          <w:b/>
          <w:bCs/>
        </w:rPr>
        <w:t>Policy Insights:</w:t>
      </w:r>
      <w:r>
        <w:rPr/>
        <w:t xml:space="preserve"> </w:t>
      </w:r>
      <w:r>
        <w:rPr>
          <w:b w:val="false"/>
          <w:bCs w:val="false"/>
        </w:rPr>
        <w:t xml:space="preserve">Identifies </w:t>
      </w:r>
      <w:r>
        <w:rPr>
          <w:rStyle w:val="Strong"/>
          <w:b w:val="false"/>
          <w:bCs w:val="false"/>
        </w:rPr>
        <w:t>challenges in scalability &amp; sustainability</w:t>
      </w:r>
      <w:r>
        <w:rPr>
          <w:b w:val="false"/>
          <w:bCs w:val="false"/>
        </w:rPr>
        <w:t>.</w:t>
      </w:r>
    </w:p>
    <w:p>
      <w:pPr>
        <w:pStyle w:val="Heading4"/>
        <w:numPr>
          <w:ilvl w:val="0"/>
          <w:numId w:val="26"/>
        </w:numPr>
        <w:rPr/>
      </w:pPr>
      <w:r>
        <w:rPr>
          <w:rStyle w:val="Strong"/>
          <w:b/>
          <w:bCs/>
        </w:rPr>
        <w:t>Future Research Areas:</w:t>
      </w:r>
      <w:r>
        <w:rPr/>
        <w:t xml:space="preserve"> </w:t>
      </w:r>
      <w:r>
        <w:rPr>
          <w:b w:val="false"/>
          <w:bCs w:val="false"/>
        </w:rPr>
        <w:t>Longitudinal studies, comparative analysis, &amp; tech-driven policing innovations.</w:t>
      </w:r>
    </w:p>
    <w:p>
      <w:pPr>
        <w:pStyle w:val="Heading4"/>
        <w:rPr/>
      </w:pPr>
      <w:r>
        <w:rPr>
          <w:rStyle w:val="Strong"/>
          <w:b/>
          <w:bCs/>
        </w:rPr>
        <w:t>4.6.4 Final Thoughts</w:t>
      </w:r>
    </w:p>
    <w:p>
      <w:pPr>
        <w:pStyle w:val="BodyText"/>
        <w:spacing w:before="0" w:after="140"/>
        <w:jc w:val="both"/>
        <w:rPr>
          <w:rStyle w:val="Strong"/>
          <w:rFonts w:ascii="Times New Roman" w:hAnsi="Times New Roman"/>
          <w:b w:val="false"/>
          <w:bCs w:val="false"/>
        </w:rPr>
      </w:pPr>
      <w:r>
        <w:rPr>
          <w:b w:val="false"/>
          <w:bCs w:val="false"/>
        </w:rPr>
        <w:t xml:space="preserve">Community policing </w:t>
      </w:r>
      <w:r>
        <w:rPr>
          <w:rStyle w:val="Strong"/>
          <w:b w:val="false"/>
          <w:bCs w:val="false"/>
        </w:rPr>
        <w:t>effectively reduces crime</w:t>
      </w:r>
      <w:r>
        <w:rPr>
          <w:b w:val="false"/>
          <w:bCs w:val="false"/>
        </w:rPr>
        <w:t xml:space="preserve"> and enhances trust but </w:t>
      </w:r>
      <w:r>
        <w:rPr>
          <w:rStyle w:val="Strong"/>
          <w:b w:val="false"/>
          <w:bCs w:val="false"/>
        </w:rPr>
        <w:t>requires continuous adaptation</w:t>
      </w:r>
      <w:r>
        <w:rPr>
          <w:b w:val="false"/>
          <w:bCs w:val="false"/>
        </w:rPr>
        <w:t xml:space="preserve"> to evolving crime trends. </w:t>
      </w:r>
      <w:r>
        <w:rPr>
          <w:rStyle w:val="Strong"/>
          <w:b w:val="false"/>
          <w:bCs w:val="false"/>
        </w:rPr>
        <w:t>Technology integration, strategic funding, and sustained engagement</w:t>
      </w:r>
      <w:r>
        <w:rPr>
          <w:b w:val="false"/>
          <w:bCs w:val="false"/>
        </w:rPr>
        <w:t xml:space="preserve"> are key to </w:t>
      </w:r>
      <w:r>
        <w:rPr>
          <w:rStyle w:val="Strong"/>
          <w:b w:val="false"/>
          <w:bCs w:val="false"/>
        </w:rPr>
        <w:t>long-term success</w:t>
      </w:r>
      <w:r>
        <w:rPr>
          <w:b w:val="false"/>
          <w:bCs w:val="false"/>
        </w:rPr>
        <w:t>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erif">
    <w:altName w:val="Times New Roman"/>
    <w:charset w:val="01" w:characterSet="utf-8"/>
    <w:family w:val="swiss"/>
    <w:pitch w:val="variable"/>
  </w:font>
  <w:font w:name="OpenSymbol">
    <w:altName w:val="Arial Unicode MS"/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09"/>
        </w:tabs>
        <w:ind w:start="709" w:hanging="283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09"/>
        </w:tabs>
        <w:ind w:start="709" w:hanging="283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6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0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4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5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6">
    <w:lvl w:ilvl="0">
      <w:start w:val="1"/>
      <w:numFmt w:val="decimal"/>
      <w:lvlText w:val="%1."/>
      <w:lvlJc w:val="start"/>
      <w:pPr>
        <w:tabs>
          <w:tab w:val="num" w:pos="709"/>
        </w:tabs>
        <w:ind w:start="709" w:hanging="283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17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8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19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0">
    <w:lvl w:ilvl="0">
      <w:start w:val="1"/>
      <w:numFmt w:val="decimal"/>
      <w:lvlText w:val="%1."/>
      <w:lvlJc w:val="start"/>
      <w:pPr>
        <w:tabs>
          <w:tab w:val="num" w:pos="709"/>
        </w:tabs>
        <w:ind w:start="709" w:hanging="283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2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23">
    <w:lvl w:ilvl="0">
      <w:start w:val="1"/>
      <w:numFmt w:val="decimal"/>
      <w:lvlText w:val="%1."/>
      <w:lvlJc w:val="start"/>
      <w:pPr>
        <w:tabs>
          <w:tab w:val="num" w:pos="709"/>
        </w:tabs>
        <w:ind w:start="709" w:hanging="283"/>
      </w:pPr>
      <w:rPr/>
    </w:lvl>
    <w:lvl w:ilvl="1">
      <w:start w:val="1"/>
      <w:numFmt w:val="decimal"/>
      <w:lvlText w:val="%2."/>
      <w:lvlJc w:val="start"/>
      <w:pPr>
        <w:tabs>
          <w:tab w:val="num" w:pos="1418"/>
        </w:tabs>
        <w:ind w:start="1418" w:hanging="283"/>
      </w:pPr>
      <w:rPr/>
    </w:lvl>
    <w:lvl w:ilvl="2">
      <w:start w:val="1"/>
      <w:numFmt w:val="decimal"/>
      <w:lvlText w:val="%3."/>
      <w:lvlJc w:val="start"/>
      <w:pPr>
        <w:tabs>
          <w:tab w:val="num" w:pos="2127"/>
        </w:tabs>
        <w:ind w:start="2127" w:hanging="283"/>
      </w:pPr>
      <w:rPr/>
    </w:lvl>
    <w:lvl w:ilvl="3">
      <w:start w:val="1"/>
      <w:numFmt w:val="decimal"/>
      <w:lvlText w:val="%4."/>
      <w:lvlJc w:val="start"/>
      <w:pPr>
        <w:tabs>
          <w:tab w:val="num" w:pos="2836"/>
        </w:tabs>
        <w:ind w:start="2836" w:hanging="283"/>
      </w:pPr>
      <w:rPr/>
    </w:lvl>
    <w:lvl w:ilvl="4">
      <w:start w:val="1"/>
      <w:numFmt w:val="decimal"/>
      <w:lvlText w:val="%5."/>
      <w:lvlJc w:val="start"/>
      <w:pPr>
        <w:tabs>
          <w:tab w:val="num" w:pos="3545"/>
        </w:tabs>
        <w:ind w:start="3545" w:hanging="283"/>
      </w:pPr>
      <w:rPr/>
    </w:lvl>
    <w:lvl w:ilvl="5">
      <w:start w:val="1"/>
      <w:numFmt w:val="decimal"/>
      <w:lvlText w:val="%6."/>
      <w:lvlJc w:val="start"/>
      <w:pPr>
        <w:tabs>
          <w:tab w:val="num" w:pos="4254"/>
        </w:tabs>
        <w:ind w:start="4254" w:hanging="283"/>
      </w:pPr>
      <w:rPr/>
    </w:lvl>
    <w:lvl w:ilvl="6">
      <w:start w:val="1"/>
      <w:numFmt w:val="decimal"/>
      <w:lvlText w:val="%7."/>
      <w:lvlJc w:val="start"/>
      <w:pPr>
        <w:tabs>
          <w:tab w:val="num" w:pos="4963"/>
        </w:tabs>
        <w:ind w:start="4963" w:hanging="283"/>
      </w:pPr>
      <w:rPr/>
    </w:lvl>
    <w:lvl w:ilvl="7">
      <w:start w:val="1"/>
      <w:numFmt w:val="decimal"/>
      <w:lvlText w:val="%8."/>
      <w:lvlJc w:val="start"/>
      <w:pPr>
        <w:tabs>
          <w:tab w:val="num" w:pos="5672"/>
        </w:tabs>
        <w:ind w:start="5672" w:hanging="283"/>
      </w:pPr>
      <w:rPr/>
    </w:lvl>
    <w:lvl w:ilvl="8">
      <w:start w:val="1"/>
      <w:numFmt w:val="decimal"/>
      <w:lvlText w:val="%9."/>
      <w:lvlJc w:val="start"/>
      <w:pPr>
        <w:tabs>
          <w:tab w:val="num" w:pos="6381"/>
        </w:tabs>
        <w:ind w:start="6381" w:hanging="283"/>
      </w:pPr>
      <w:rPr/>
    </w:lvl>
  </w:abstractNum>
  <w:abstractNum w:abstractNumId="24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25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26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144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216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252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324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3600"/>
        </w:tabs>
        <w:ind w:start="3600" w:hanging="360"/>
      </w:pPr>
      <w:rPr>
        <w:rFonts w:ascii="Symbol" w:hAnsi="Symbol" w:cs="Symbol" w:hint="default"/>
      </w:rPr>
    </w:lvl>
  </w:abstractNum>
  <w:abstractNum w:abstractNumId="2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BodyText"/>
    <w:qFormat/>
    <w:pPr>
      <w:spacing w:before="240" w:after="120"/>
      <w:outlineLvl w:val="0"/>
    </w:pPr>
    <w:rPr>
      <w:rFonts w:ascii="Liberation Serif" w:hAnsi="Liberation Serif" w:eastAsia="Noto Serif CJK SC" w:cs="Noto Sans Devanagari"/>
      <w:b/>
      <w:bCs/>
      <w:sz w:val="48"/>
      <w:szCs w:val="48"/>
    </w:rPr>
  </w:style>
  <w:style w:type="paragraph" w:styleId="Heading2">
    <w:name w:val="Heading 2"/>
    <w:basedOn w:val="Heading"/>
    <w:next w:val="BodyText"/>
    <w:qFormat/>
    <w:pPr>
      <w:spacing w:before="200" w:after="120"/>
      <w:outlineLvl w:val="1"/>
    </w:pPr>
    <w:rPr>
      <w:rFonts w:ascii="Liberation Serif" w:hAnsi="Liberation Serif" w:eastAsia="Noto Serif CJK SC" w:cs="Noto Sans Devanagari"/>
      <w:b/>
      <w:bCs/>
      <w:sz w:val="36"/>
      <w:szCs w:val="36"/>
    </w:rPr>
  </w:style>
  <w:style w:type="paragraph" w:styleId="Heading3">
    <w:name w:val="Heading 3"/>
    <w:basedOn w:val="Heading"/>
    <w:next w:val="BodyText"/>
    <w:qFormat/>
    <w:pPr>
      <w:spacing w:before="140" w:after="120"/>
      <w:outlineLvl w:val="2"/>
    </w:pPr>
    <w:rPr>
      <w:rFonts w:ascii="Liberation Serif" w:hAnsi="Liberation Serif" w:eastAsia="Noto Serif CJK SC" w:cs="Noto Sans Devanagari"/>
      <w:b/>
      <w:bCs/>
      <w:sz w:val="28"/>
      <w:szCs w:val="28"/>
    </w:rPr>
  </w:style>
  <w:style w:type="paragraph" w:styleId="Heading4">
    <w:name w:val="Heading 4"/>
    <w:basedOn w:val="Heading"/>
    <w:next w:val="BodyText"/>
    <w:qFormat/>
    <w:pPr>
      <w:spacing w:before="120" w:after="120"/>
      <w:outlineLvl w:val="3"/>
    </w:pPr>
    <w:rPr>
      <w:rFonts w:ascii="Liberation Serif" w:hAnsi="Liberation Serif" w:eastAsia="Noto Serif CJK SC" w:cs="Noto Sans Devanagari"/>
      <w:b/>
      <w:bCs/>
      <w:sz w:val="24"/>
      <w:szCs w:val="24"/>
    </w:rPr>
  </w:style>
  <w:style w:type="character" w:styleId="Strong">
    <w:name w:val="Strong"/>
    <w:qFormat/>
    <w:rPr>
      <w:b/>
      <w:bCs/>
    </w:rPr>
  </w:style>
  <w:style w:type="character" w:styleId="NumberingSymbols">
    <w:name w:val="Numbering Symbols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HorizontalLine">
    <w:name w:val="Horizontal Lin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LibreOffice/24.2.7.2$Linux_X86_64 LibreOffice_project/420$Build-2</Application>
  <AppVersion>15.0000</AppVersion>
  <Pages>7</Pages>
  <Words>2059</Words>
  <Characters>13189</Characters>
  <CharactersWithSpaces>15017</CharactersWithSpaces>
  <Paragraphs>227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2025-03-14T11:43:59Z</dcterms:created>
  <dc:creator/>
  <dc:description/>
  <dc:language>en-US</dc:language>
  <cp:lastModifiedBy/>
  <dcterms:modified xsi:type="dcterms:W3CDTF">2025-03-15T11:07:26Z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