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372D7" w14:textId="77777777" w:rsidR="00153C8B" w:rsidRPr="00153C8B" w:rsidRDefault="00153C8B" w:rsidP="00153C8B">
      <w:pPr>
        <w:spacing w:line="259" w:lineRule="auto"/>
        <w:rPr>
          <w:rFonts w:ascii="Segoe UI" w:eastAsia="DengXian" w:hAnsi="Segoe UI" w:cs="Arial"/>
          <w:sz w:val="20"/>
          <w:szCs w:val="22"/>
          <w:lang w:eastAsia="zh-CN"/>
        </w:rPr>
      </w:pPr>
      <w:r w:rsidRPr="00153C8B">
        <w:rPr>
          <w:rFonts w:ascii="Segoe UI" w:eastAsia="DengXian" w:hAnsi="Segoe UI" w:cs="Arial"/>
          <w:noProof/>
          <w:sz w:val="20"/>
          <w:szCs w:val="22"/>
          <w:lang w:val="pl-PL" w:eastAsia="pl-PL"/>
        </w:rPr>
        <w:drawing>
          <wp:inline distT="0" distB="0" distL="0" distR="0" wp14:anchorId="52B4D5E6" wp14:editId="26327834">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269792C" w14:textId="77777777" w:rsidR="00153C8B" w:rsidRPr="00153C8B" w:rsidRDefault="00153C8B" w:rsidP="00153C8B">
      <w:pPr>
        <w:spacing w:line="259" w:lineRule="auto"/>
        <w:rPr>
          <w:rFonts w:ascii="Segoe UI" w:eastAsia="DengXian" w:hAnsi="Segoe UI" w:cs="Arial"/>
          <w:sz w:val="20"/>
          <w:szCs w:val="22"/>
          <w:lang w:eastAsia="zh-CN"/>
        </w:rPr>
      </w:pPr>
    </w:p>
    <w:p w14:paraId="635A695E" w14:textId="77777777" w:rsidR="00153C8B" w:rsidRPr="00153C8B" w:rsidRDefault="00153C8B" w:rsidP="00153C8B">
      <w:pPr>
        <w:spacing w:line="259" w:lineRule="auto"/>
        <w:rPr>
          <w:rFonts w:ascii="Segoe UI" w:eastAsia="DengXian" w:hAnsi="Segoe UI" w:cs="Arial"/>
          <w:sz w:val="20"/>
          <w:szCs w:val="22"/>
          <w:lang w:eastAsia="zh-CN"/>
        </w:rPr>
      </w:pPr>
    </w:p>
    <w:p w14:paraId="1E8939EE" w14:textId="77777777" w:rsidR="00153C8B" w:rsidRPr="00153C8B" w:rsidRDefault="00153C8B" w:rsidP="00153C8B">
      <w:pPr>
        <w:spacing w:line="259" w:lineRule="auto"/>
        <w:rPr>
          <w:rFonts w:ascii="Segoe UI" w:eastAsia="DengXian" w:hAnsi="Segoe UI" w:cs="Arial"/>
          <w:sz w:val="20"/>
          <w:szCs w:val="22"/>
          <w:lang w:eastAsia="zh-CN"/>
        </w:rPr>
      </w:pPr>
    </w:p>
    <w:p w14:paraId="11801FD4" w14:textId="77777777" w:rsidR="00153C8B" w:rsidRPr="00153C8B" w:rsidRDefault="00153C8B" w:rsidP="00153C8B">
      <w:pPr>
        <w:spacing w:line="259" w:lineRule="auto"/>
        <w:rPr>
          <w:rFonts w:ascii="Segoe UI" w:eastAsia="DengXian" w:hAnsi="Segoe UI" w:cs="Arial"/>
          <w:sz w:val="20"/>
          <w:szCs w:val="22"/>
          <w:lang w:eastAsia="zh-CN"/>
        </w:rPr>
      </w:pPr>
    </w:p>
    <w:p w14:paraId="7B51BC9D" w14:textId="77777777" w:rsidR="00153C8B" w:rsidRPr="00153C8B" w:rsidRDefault="00153C8B" w:rsidP="00153C8B">
      <w:pPr>
        <w:spacing w:line="259" w:lineRule="auto"/>
        <w:rPr>
          <w:rFonts w:ascii="Segoe UI" w:eastAsia="DengXian" w:hAnsi="Segoe UI" w:cs="Arial"/>
          <w:sz w:val="20"/>
          <w:szCs w:val="22"/>
          <w:lang w:eastAsia="zh-CN"/>
        </w:rPr>
      </w:pPr>
    </w:p>
    <w:p w14:paraId="09BDC082" w14:textId="77777777" w:rsidR="00153C8B" w:rsidRPr="00153C8B" w:rsidRDefault="00153C8B" w:rsidP="00153C8B">
      <w:pPr>
        <w:spacing w:line="259" w:lineRule="auto"/>
        <w:jc w:val="both"/>
        <w:rPr>
          <w:rFonts w:ascii="Arial" w:eastAsia="DengXian" w:hAnsi="Arial" w:cs="Arial"/>
          <w:sz w:val="28"/>
          <w:szCs w:val="28"/>
          <w:lang w:eastAsia="zh-CN"/>
        </w:rPr>
      </w:pPr>
      <w:r w:rsidRPr="00153C8B">
        <w:rPr>
          <w:rFonts w:ascii="Arial" w:eastAsia="DengXian" w:hAnsi="Arial" w:cs="Arial"/>
          <w:sz w:val="28"/>
          <w:szCs w:val="28"/>
          <w:lang w:eastAsia="zh-CN"/>
        </w:rPr>
        <w:t>Name: Anna Poznanska</w:t>
      </w:r>
    </w:p>
    <w:p w14:paraId="4F8EFD3D" w14:textId="77777777" w:rsidR="00153C8B" w:rsidRPr="00153C8B" w:rsidRDefault="00153C8B" w:rsidP="00153C8B">
      <w:pPr>
        <w:spacing w:line="259" w:lineRule="auto"/>
        <w:jc w:val="both"/>
        <w:rPr>
          <w:rFonts w:ascii="Arial" w:eastAsia="DengXian" w:hAnsi="Arial" w:cs="Arial"/>
          <w:sz w:val="28"/>
          <w:szCs w:val="28"/>
          <w:lang w:eastAsia="zh-CN"/>
        </w:rPr>
      </w:pPr>
      <w:r w:rsidRPr="00153C8B">
        <w:rPr>
          <w:rFonts w:ascii="Arial" w:eastAsia="DengXian" w:hAnsi="Arial" w:cs="Arial"/>
          <w:sz w:val="28"/>
          <w:szCs w:val="28"/>
          <w:lang w:eastAsia="zh-CN"/>
        </w:rPr>
        <w:t>Student ID: 2442414</w:t>
      </w:r>
    </w:p>
    <w:p w14:paraId="3B95E7F9" w14:textId="77777777" w:rsidR="00153C8B" w:rsidRPr="00153C8B" w:rsidRDefault="00153C8B" w:rsidP="00153C8B">
      <w:pPr>
        <w:spacing w:line="259" w:lineRule="auto"/>
        <w:jc w:val="both"/>
        <w:rPr>
          <w:rFonts w:ascii="Arial" w:eastAsia="DengXian" w:hAnsi="Arial" w:cs="Arial"/>
          <w:sz w:val="28"/>
          <w:szCs w:val="28"/>
          <w:lang w:eastAsia="zh-CN"/>
        </w:rPr>
      </w:pPr>
      <w:r w:rsidRPr="00153C8B">
        <w:rPr>
          <w:rFonts w:ascii="Arial" w:eastAsia="DengXian" w:hAnsi="Arial" w:cs="Arial"/>
          <w:sz w:val="28"/>
          <w:szCs w:val="28"/>
          <w:lang w:eastAsia="zh-CN"/>
        </w:rPr>
        <w:t>Module Code: LCHS4008_LON</w:t>
      </w:r>
    </w:p>
    <w:p w14:paraId="00F11AFF" w14:textId="77777777" w:rsidR="00153C8B" w:rsidRPr="00153C8B" w:rsidRDefault="00153C8B" w:rsidP="00153C8B">
      <w:pPr>
        <w:spacing w:line="259" w:lineRule="auto"/>
        <w:jc w:val="both"/>
        <w:rPr>
          <w:rFonts w:ascii="Arial" w:eastAsia="DengXian" w:hAnsi="Arial" w:cs="Arial"/>
          <w:sz w:val="28"/>
          <w:szCs w:val="28"/>
          <w:lang w:eastAsia="zh-CN"/>
        </w:rPr>
      </w:pPr>
      <w:r w:rsidRPr="00153C8B">
        <w:rPr>
          <w:rFonts w:ascii="Arial" w:eastAsia="DengXian" w:hAnsi="Arial" w:cs="Arial"/>
          <w:sz w:val="28"/>
          <w:szCs w:val="28"/>
          <w:lang w:eastAsia="zh-CN"/>
        </w:rPr>
        <w:t>Module: Introduction to Public Health</w:t>
      </w:r>
    </w:p>
    <w:p w14:paraId="3CA54C74" w14:textId="77777777" w:rsidR="00153C8B" w:rsidRPr="00153C8B" w:rsidRDefault="00153C8B" w:rsidP="00153C8B">
      <w:pPr>
        <w:spacing w:line="259" w:lineRule="auto"/>
        <w:jc w:val="both"/>
        <w:rPr>
          <w:rFonts w:ascii="Arial" w:eastAsia="DengXian" w:hAnsi="Arial" w:cs="Arial"/>
          <w:sz w:val="28"/>
          <w:szCs w:val="28"/>
          <w:lang w:eastAsia="zh-CN"/>
        </w:rPr>
      </w:pPr>
      <w:r w:rsidRPr="00153C8B">
        <w:rPr>
          <w:rFonts w:ascii="Arial" w:eastAsia="DengXian" w:hAnsi="Arial" w:cs="Arial"/>
          <w:sz w:val="28"/>
          <w:szCs w:val="28"/>
          <w:lang w:eastAsia="zh-CN"/>
        </w:rPr>
        <w:t>Lecturer: Muhammad Aliyu</w:t>
      </w:r>
    </w:p>
    <w:p w14:paraId="2C72D13D" w14:textId="77777777" w:rsidR="00153C8B" w:rsidRPr="00153C8B" w:rsidRDefault="00153C8B" w:rsidP="00153C8B">
      <w:pPr>
        <w:spacing w:line="259" w:lineRule="auto"/>
        <w:jc w:val="both"/>
        <w:rPr>
          <w:rFonts w:ascii="Arial" w:eastAsia="DengXian" w:hAnsi="Arial" w:cs="Arial"/>
          <w:sz w:val="28"/>
          <w:szCs w:val="28"/>
          <w:lang w:eastAsia="zh-CN"/>
        </w:rPr>
      </w:pPr>
    </w:p>
    <w:p w14:paraId="4BD1E0F5" w14:textId="77777777" w:rsidR="00153C8B" w:rsidRPr="00153C8B" w:rsidRDefault="00153C8B" w:rsidP="00153C8B">
      <w:pPr>
        <w:spacing w:line="259" w:lineRule="auto"/>
        <w:jc w:val="both"/>
        <w:rPr>
          <w:rFonts w:ascii="Arial" w:eastAsia="DengXian" w:hAnsi="Arial" w:cs="Arial"/>
          <w:sz w:val="28"/>
          <w:szCs w:val="28"/>
          <w:lang w:eastAsia="zh-CN"/>
        </w:rPr>
      </w:pPr>
    </w:p>
    <w:p w14:paraId="4DB00200" w14:textId="77777777" w:rsidR="00153C8B" w:rsidRPr="00153C8B" w:rsidRDefault="00153C8B" w:rsidP="00153C8B">
      <w:pPr>
        <w:spacing w:line="259" w:lineRule="auto"/>
        <w:jc w:val="both"/>
        <w:rPr>
          <w:rFonts w:ascii="Arial" w:eastAsia="DengXian" w:hAnsi="Arial" w:cs="Arial"/>
          <w:sz w:val="28"/>
          <w:szCs w:val="28"/>
          <w:lang w:eastAsia="zh-CN"/>
        </w:rPr>
      </w:pPr>
    </w:p>
    <w:p w14:paraId="7449A286" w14:textId="77777777" w:rsidR="00153C8B" w:rsidRPr="00153C8B" w:rsidRDefault="00153C8B" w:rsidP="00153C8B">
      <w:pPr>
        <w:spacing w:line="259" w:lineRule="auto"/>
        <w:jc w:val="both"/>
        <w:rPr>
          <w:rFonts w:ascii="Arial" w:eastAsia="DengXian" w:hAnsi="Arial" w:cs="Arial"/>
          <w:sz w:val="28"/>
          <w:szCs w:val="28"/>
          <w:lang w:eastAsia="zh-CN"/>
        </w:rPr>
      </w:pPr>
    </w:p>
    <w:p w14:paraId="47ECD76E" w14:textId="77777777" w:rsidR="00153C8B" w:rsidRPr="00153C8B" w:rsidRDefault="00153C8B" w:rsidP="00153C8B">
      <w:pPr>
        <w:spacing w:line="259" w:lineRule="auto"/>
        <w:jc w:val="both"/>
        <w:rPr>
          <w:rFonts w:ascii="Arial" w:eastAsia="DengXian" w:hAnsi="Arial" w:cs="Arial"/>
          <w:sz w:val="28"/>
          <w:szCs w:val="28"/>
          <w:lang w:eastAsia="zh-CN"/>
        </w:rPr>
      </w:pPr>
    </w:p>
    <w:p w14:paraId="64116E66" w14:textId="77777777" w:rsidR="00153C8B" w:rsidRPr="00153C8B" w:rsidRDefault="00153C8B" w:rsidP="00153C8B">
      <w:pPr>
        <w:spacing w:line="259" w:lineRule="auto"/>
        <w:jc w:val="both"/>
        <w:rPr>
          <w:rFonts w:ascii="Arial" w:eastAsia="DengXian" w:hAnsi="Arial" w:cs="Arial"/>
          <w:sz w:val="28"/>
          <w:szCs w:val="28"/>
          <w:lang w:eastAsia="zh-CN"/>
        </w:rPr>
      </w:pPr>
    </w:p>
    <w:p w14:paraId="0BC53E49" w14:textId="77777777" w:rsidR="00153C8B" w:rsidRPr="00153C8B" w:rsidRDefault="00153C8B" w:rsidP="00153C8B">
      <w:pPr>
        <w:spacing w:line="259" w:lineRule="auto"/>
        <w:jc w:val="both"/>
        <w:rPr>
          <w:rFonts w:ascii="Arial" w:eastAsia="DengXian" w:hAnsi="Arial" w:cs="Arial"/>
          <w:sz w:val="28"/>
          <w:szCs w:val="28"/>
          <w:lang w:eastAsia="zh-CN"/>
        </w:rPr>
      </w:pPr>
    </w:p>
    <w:p w14:paraId="28F33A55" w14:textId="77777777" w:rsidR="00153C8B" w:rsidRPr="00153C8B" w:rsidRDefault="00153C8B" w:rsidP="00153C8B">
      <w:pPr>
        <w:spacing w:line="259" w:lineRule="auto"/>
        <w:jc w:val="both"/>
        <w:rPr>
          <w:rFonts w:ascii="Arial" w:eastAsia="DengXian" w:hAnsi="Arial" w:cs="Arial"/>
          <w:sz w:val="28"/>
          <w:szCs w:val="28"/>
          <w:lang w:eastAsia="zh-CN"/>
        </w:rPr>
      </w:pPr>
      <w:r w:rsidRPr="00153C8B">
        <w:rPr>
          <w:rFonts w:ascii="Arial" w:eastAsia="DengXian" w:hAnsi="Arial" w:cs="Arial"/>
          <w:sz w:val="28"/>
          <w:szCs w:val="28"/>
          <w:lang w:eastAsia="zh-CN"/>
        </w:rPr>
        <w:tab/>
      </w:r>
      <w:r w:rsidRPr="00153C8B">
        <w:rPr>
          <w:rFonts w:ascii="Arial" w:eastAsia="DengXian" w:hAnsi="Arial" w:cs="Arial"/>
          <w:sz w:val="28"/>
          <w:szCs w:val="28"/>
          <w:lang w:eastAsia="zh-CN"/>
        </w:rPr>
        <w:tab/>
      </w:r>
      <w:r w:rsidRPr="00153C8B">
        <w:rPr>
          <w:rFonts w:ascii="Arial" w:eastAsia="DengXian" w:hAnsi="Arial" w:cs="Arial"/>
          <w:sz w:val="28"/>
          <w:szCs w:val="28"/>
          <w:lang w:eastAsia="zh-CN"/>
        </w:rPr>
        <w:tab/>
      </w:r>
      <w:r w:rsidRPr="00153C8B">
        <w:rPr>
          <w:rFonts w:ascii="Arial" w:eastAsia="DengXian" w:hAnsi="Arial" w:cs="Arial"/>
          <w:sz w:val="28"/>
          <w:szCs w:val="28"/>
          <w:lang w:eastAsia="zh-CN"/>
        </w:rPr>
        <w:tab/>
        <w:t>Submitted on:    12.12.2025</w:t>
      </w:r>
    </w:p>
    <w:p w14:paraId="1611911E" w14:textId="77777777" w:rsidR="00153C8B" w:rsidRPr="00153C8B" w:rsidRDefault="00153C8B" w:rsidP="00153C8B">
      <w:pPr>
        <w:spacing w:line="259" w:lineRule="auto"/>
        <w:jc w:val="both"/>
        <w:rPr>
          <w:rFonts w:ascii="Arial" w:eastAsia="DengXian" w:hAnsi="Arial" w:cs="Arial"/>
          <w:sz w:val="28"/>
          <w:szCs w:val="28"/>
          <w:lang w:eastAsia="zh-CN"/>
        </w:rPr>
      </w:pPr>
    </w:p>
    <w:p w14:paraId="3AF8F541" w14:textId="77777777" w:rsidR="00153C8B" w:rsidRPr="00153C8B" w:rsidRDefault="00153C8B" w:rsidP="00153C8B">
      <w:pPr>
        <w:spacing w:line="259" w:lineRule="auto"/>
        <w:jc w:val="both"/>
        <w:rPr>
          <w:rFonts w:ascii="Arial" w:eastAsia="DengXian" w:hAnsi="Arial" w:cs="Arial"/>
          <w:sz w:val="28"/>
          <w:szCs w:val="28"/>
          <w:lang w:eastAsia="zh-CN"/>
        </w:rPr>
      </w:pPr>
    </w:p>
    <w:p w14:paraId="7BE591C8" w14:textId="77777777" w:rsidR="00153C8B" w:rsidRPr="00153C8B" w:rsidRDefault="00153C8B" w:rsidP="00153C8B">
      <w:pPr>
        <w:spacing w:line="259" w:lineRule="auto"/>
        <w:jc w:val="both"/>
        <w:rPr>
          <w:rFonts w:ascii="Arial" w:eastAsia="DengXian" w:hAnsi="Arial" w:cs="Arial"/>
          <w:sz w:val="28"/>
          <w:szCs w:val="28"/>
          <w:lang w:eastAsia="zh-CN"/>
        </w:rPr>
      </w:pPr>
    </w:p>
    <w:p w14:paraId="31169753" w14:textId="77777777" w:rsidR="00153C8B" w:rsidRPr="00153C8B" w:rsidRDefault="00153C8B" w:rsidP="00153C8B">
      <w:pPr>
        <w:spacing w:line="259" w:lineRule="auto"/>
        <w:jc w:val="both"/>
        <w:rPr>
          <w:rFonts w:ascii="Arial" w:eastAsia="DengXian" w:hAnsi="Arial" w:cs="Arial"/>
          <w:sz w:val="28"/>
          <w:szCs w:val="28"/>
          <w:lang w:eastAsia="zh-CN"/>
        </w:rPr>
      </w:pPr>
    </w:p>
    <w:p w14:paraId="4AB813C2" w14:textId="77777777" w:rsidR="00153C8B" w:rsidRPr="00153C8B" w:rsidRDefault="00153C8B" w:rsidP="00153C8B">
      <w:pPr>
        <w:spacing w:line="259" w:lineRule="auto"/>
        <w:jc w:val="both"/>
        <w:rPr>
          <w:rFonts w:ascii="Arial" w:eastAsia="DengXian" w:hAnsi="Arial" w:cs="Arial"/>
          <w:sz w:val="28"/>
          <w:szCs w:val="28"/>
          <w:lang w:eastAsia="zh-CN"/>
        </w:rPr>
      </w:pPr>
    </w:p>
    <w:p w14:paraId="12DAD3B1" w14:textId="77777777" w:rsidR="00153C8B" w:rsidRPr="00153C8B" w:rsidRDefault="00153C8B" w:rsidP="00153C8B">
      <w:pPr>
        <w:spacing w:line="259" w:lineRule="auto"/>
        <w:jc w:val="both"/>
        <w:rPr>
          <w:rFonts w:ascii="Arial" w:eastAsia="DengXian" w:hAnsi="Arial" w:cs="Arial"/>
          <w:sz w:val="28"/>
          <w:szCs w:val="28"/>
          <w:lang w:eastAsia="zh-CN"/>
        </w:rPr>
      </w:pPr>
    </w:p>
    <w:p w14:paraId="204EAFBD" w14:textId="327EE0B4" w:rsidR="002119C2" w:rsidRPr="002119C2" w:rsidRDefault="002119C2" w:rsidP="002119C2">
      <w:pPr>
        <w:keepNext/>
        <w:keepLines/>
        <w:spacing w:before="120" w:after="120" w:line="360" w:lineRule="auto"/>
        <w:jc w:val="center"/>
        <w:outlineLvl w:val="1"/>
        <w:rPr>
          <w:rFonts w:ascii="Arial" w:eastAsia="DengXian Light" w:hAnsi="Arial" w:cs="Arial"/>
          <w:b/>
          <w:bCs/>
          <w:sz w:val="32"/>
          <w:szCs w:val="32"/>
          <w:u w:val="single"/>
          <w:lang w:eastAsia="zh-CN"/>
        </w:rPr>
      </w:pPr>
      <w:r w:rsidRPr="002119C2">
        <w:rPr>
          <w:rFonts w:ascii="Arial" w:eastAsia="DengXian Light" w:hAnsi="Arial" w:cs="Arial"/>
          <w:b/>
          <w:bCs/>
          <w:sz w:val="32"/>
          <w:szCs w:val="32"/>
          <w:u w:val="single"/>
          <w:lang w:eastAsia="zh-CN"/>
        </w:rPr>
        <w:lastRenderedPageBreak/>
        <w:t>Report on a Health Issue - Type-2 Diabetes</w:t>
      </w:r>
    </w:p>
    <w:p w14:paraId="17C8EF04" w14:textId="77777777" w:rsidR="002119C2" w:rsidRDefault="002119C2" w:rsidP="00153C8B">
      <w:pPr>
        <w:keepNext/>
        <w:keepLines/>
        <w:spacing w:before="120" w:after="120" w:line="360" w:lineRule="auto"/>
        <w:outlineLvl w:val="1"/>
        <w:rPr>
          <w:rFonts w:ascii="Arial" w:eastAsia="DengXian Light" w:hAnsi="Arial" w:cs="Arial"/>
          <w:sz w:val="22"/>
          <w:szCs w:val="22"/>
          <w:lang w:eastAsia="zh-CN"/>
        </w:rPr>
      </w:pPr>
    </w:p>
    <w:p w14:paraId="53D9D541" w14:textId="31BF78B6" w:rsidR="00A31C0C" w:rsidRPr="00A31C0C" w:rsidRDefault="00A31C0C" w:rsidP="00A31C0C">
      <w:pPr>
        <w:keepNext/>
        <w:keepLines/>
        <w:spacing w:before="120" w:after="120" w:line="360" w:lineRule="auto"/>
        <w:outlineLvl w:val="1"/>
        <w:rPr>
          <w:rFonts w:ascii="Arial" w:eastAsia="DengXian Light" w:hAnsi="Arial" w:cs="Arial"/>
          <w:sz w:val="22"/>
          <w:szCs w:val="22"/>
          <w:lang w:eastAsia="zh-CN"/>
        </w:rPr>
      </w:pPr>
      <w:r w:rsidRPr="00A31C0C">
        <w:rPr>
          <w:rFonts w:ascii="Arial" w:eastAsia="DengXian Light" w:hAnsi="Arial" w:cs="Arial"/>
          <w:sz w:val="22"/>
          <w:szCs w:val="22"/>
          <w:lang w:eastAsia="zh-CN"/>
        </w:rPr>
        <w:t>Type 2 Diabetes is a long-term non-communicable condition in which the body becomes less responsive to insulin or is unable to produce sufficient amounts to regulate blood glucose effectively, resulting in sustained hyperglycaemia (WHO, 2021). The disease develops progressively over time and arises from an interaction of genetic predisposition alongside physiological, environmental and lifestyle-related influences (NICE, 2023). Due to its widespread occurrence and increasing prevalence, Type 2 Diabetes is recognised as a major public health issue with significant long-term health implications.</w:t>
      </w:r>
    </w:p>
    <w:p w14:paraId="517F611E" w14:textId="77777777" w:rsidR="00A31C0C" w:rsidRDefault="00A31C0C" w:rsidP="00A31C0C">
      <w:pPr>
        <w:keepNext/>
        <w:keepLines/>
        <w:spacing w:before="120" w:after="120" w:line="360" w:lineRule="auto"/>
        <w:outlineLvl w:val="1"/>
        <w:rPr>
          <w:rFonts w:ascii="Arial" w:eastAsia="DengXian Light" w:hAnsi="Arial" w:cs="Arial"/>
          <w:sz w:val="22"/>
          <w:szCs w:val="22"/>
          <w:lang w:eastAsia="zh-CN"/>
        </w:rPr>
      </w:pPr>
      <w:r w:rsidRPr="00A31C0C">
        <w:rPr>
          <w:rFonts w:ascii="Arial" w:eastAsia="DengXian Light" w:hAnsi="Arial" w:cs="Arial"/>
          <w:sz w:val="22"/>
          <w:szCs w:val="22"/>
          <w:lang w:eastAsia="zh-CN"/>
        </w:rPr>
        <w:t>Typical symptoms of Type 2 Diabetes include excessive thirst, frequent urination, persistent tiredness and blurred vision. However, many individuals do not experience noticeable symptoms in the early stages, which can delay diagnosis and treatment (Diabetes UK, 2024). Without effective management, the condition may progress and result in serious complications affecting multiple organ systems, such as cardiovascular disease, renal impairment and nerve damage (NICE, 2023).</w:t>
      </w:r>
    </w:p>
    <w:p w14:paraId="31CB3559" w14:textId="7850DEC7" w:rsidR="00153C8B" w:rsidRPr="00153C8B" w:rsidRDefault="00153C8B" w:rsidP="00A31C0C">
      <w:pPr>
        <w:keepNext/>
        <w:keepLines/>
        <w:spacing w:before="120" w:after="120" w:line="360" w:lineRule="auto"/>
        <w:outlineLvl w:val="1"/>
        <w:rPr>
          <w:rFonts w:ascii="Arial" w:eastAsia="DengXian Light" w:hAnsi="Arial" w:cs="Arial"/>
          <w:sz w:val="22"/>
          <w:szCs w:val="22"/>
          <w:lang w:eastAsia="zh-CN"/>
        </w:rPr>
      </w:pPr>
      <w:r w:rsidRPr="00153C8B">
        <w:rPr>
          <w:rFonts w:ascii="Arial" w:eastAsia="DengXian Light" w:hAnsi="Arial" w:cs="Arial"/>
          <w:sz w:val="22"/>
          <w:szCs w:val="22"/>
          <w:lang w:eastAsia="zh-CN"/>
        </w:rPr>
        <w:t>The scale of Type 2 Diabetes highlights its severity as a public health issue. Globally, over 500 million adults are living with diabetes, with approximately 90% of cases classified as Type 2 Diabetes (WHO, 2021). In the United Kingdom, around 5.8 million people are affected, including both diagnosed and undiagnosed cases, and prevalence continues to rise, demonstrating a substantial burden on individuals, communities and healthcare systems (Diabetes UK, 2024).</w:t>
      </w:r>
    </w:p>
    <w:p w14:paraId="7DF9E5A1" w14:textId="77777777" w:rsidR="00125A1E" w:rsidRDefault="00125A1E" w:rsidP="00153C8B">
      <w:pPr>
        <w:keepNext/>
        <w:keepLines/>
        <w:spacing w:before="120" w:after="120" w:line="360" w:lineRule="auto"/>
        <w:outlineLvl w:val="1"/>
        <w:rPr>
          <w:rFonts w:ascii="Arial" w:eastAsia="DengXian Light" w:hAnsi="Arial" w:cs="Arial"/>
          <w:sz w:val="22"/>
          <w:szCs w:val="22"/>
          <w:lang w:eastAsia="zh-CN"/>
        </w:rPr>
      </w:pPr>
      <w:r w:rsidRPr="00125A1E">
        <w:rPr>
          <w:rFonts w:ascii="Arial" w:eastAsia="DengXian Light" w:hAnsi="Arial" w:cs="Arial"/>
          <w:sz w:val="22"/>
          <w:szCs w:val="22"/>
          <w:lang w:eastAsia="zh-CN"/>
        </w:rPr>
        <w:t>The long-term effects of Type 2 Diabetes place a considerable burden on both individuals and the wider community. Inadequate regulation of blood glucose levels significantly increases the likelihood of serious complications, including cardiovascular disease, renal failure, nerve damage, lower-limb amputations and visual impairment (NICE, 2023). Such complications are associated with increased morbidity, earlier mortality and a substantial decline in overall quality of life. From a public health perspective, measures such as morbidity and mortality rates are essential for evaluating the overall disease burden and for monitoring trends within populations over time (UKHSA, 2023).</w:t>
      </w:r>
    </w:p>
    <w:p w14:paraId="7DBB354E" w14:textId="3286F1E0" w:rsidR="00153C8B" w:rsidRPr="00153C8B" w:rsidRDefault="00153C8B" w:rsidP="00153C8B">
      <w:pPr>
        <w:keepNext/>
        <w:keepLines/>
        <w:spacing w:before="120" w:after="120" w:line="360" w:lineRule="auto"/>
        <w:outlineLvl w:val="1"/>
        <w:rPr>
          <w:rFonts w:ascii="Arial" w:eastAsia="DengXian Light" w:hAnsi="Arial" w:cs="Arial"/>
          <w:sz w:val="22"/>
          <w:szCs w:val="22"/>
          <w:lang w:eastAsia="zh-CN"/>
        </w:rPr>
      </w:pPr>
      <w:r w:rsidRPr="00153C8B">
        <w:rPr>
          <w:rFonts w:ascii="Arial" w:eastAsia="DengXian Light" w:hAnsi="Arial" w:cs="Arial"/>
          <w:sz w:val="22"/>
          <w:szCs w:val="22"/>
          <w:lang w:eastAsia="zh-CN"/>
        </w:rPr>
        <w:lastRenderedPageBreak/>
        <w:t>In the UK, prevalence continues to rise and is closely associated with population ageing, increasing obesity rates and physical inactivity (ONS, 2024). Importantly, the burden of Type 2 Diabetes is not evenly distributed. Higher prevalence rates and poorer outcomes are observed among individuals living in deprived areas and among certain ethnic minority groups, highlighting persistent health inequalities and the social gradient in health (ONS, 2024; King’s Fund, 2023).</w:t>
      </w:r>
    </w:p>
    <w:p w14:paraId="464DA1BE" w14:textId="77777777" w:rsidR="00C82A5E" w:rsidRDefault="00153C8B" w:rsidP="00153C8B">
      <w:pPr>
        <w:keepNext/>
        <w:keepLines/>
        <w:spacing w:before="120" w:after="120" w:line="360" w:lineRule="auto"/>
        <w:outlineLvl w:val="1"/>
        <w:rPr>
          <w:rFonts w:ascii="Arial" w:eastAsia="DengXian Light" w:hAnsi="Arial" w:cs="Arial"/>
          <w:sz w:val="22"/>
          <w:szCs w:val="22"/>
          <w:lang w:eastAsia="zh-CN"/>
        </w:rPr>
      </w:pPr>
      <w:r w:rsidRPr="00153C8B">
        <w:rPr>
          <w:rFonts w:ascii="Arial" w:eastAsia="DengXian Light" w:hAnsi="Arial" w:cs="Arial"/>
          <w:sz w:val="22"/>
          <w:szCs w:val="22"/>
          <w:lang w:eastAsia="zh-CN"/>
        </w:rPr>
        <w:t xml:space="preserve">Public health surveillance and epidemiology play a critical role in understanding and responding to the growing burden of Type 2 Diabetes. Surveillance systems enable the systematic collection, analysis and interpretation of data related to disease prevalence, incidence, morbidity and mortality (UKHSA, 2023). In the UK, these data are derived from sources such as primary care records, hospital admissions and population surveys. </w:t>
      </w:r>
      <w:r w:rsidR="00C82A5E" w:rsidRPr="00C82A5E">
        <w:rPr>
          <w:rFonts w:ascii="Arial" w:eastAsia="DengXian Light" w:hAnsi="Arial" w:cs="Arial"/>
          <w:sz w:val="22"/>
          <w:szCs w:val="22"/>
          <w:lang w:eastAsia="zh-CN"/>
        </w:rPr>
        <w:t>Through the use of systematic data collection and analysis, surveillance underpins evidence-informed public health practice by enabling professionals to recognise high-risk groups, observe changes in disease patterns over time and assess the impact of preventive interventions (UKHSA, 2023). In the absence of reliable surveillance systems, effective service planning and targeted allocation of resources would be considerably constrained.</w:t>
      </w:r>
    </w:p>
    <w:p w14:paraId="13299168" w14:textId="05CA8B46" w:rsidR="00153C8B" w:rsidRPr="00153C8B" w:rsidRDefault="00153C8B" w:rsidP="00153C8B">
      <w:pPr>
        <w:keepNext/>
        <w:keepLines/>
        <w:spacing w:before="120" w:after="120" w:line="360" w:lineRule="auto"/>
        <w:outlineLvl w:val="1"/>
        <w:rPr>
          <w:rFonts w:ascii="Arial" w:eastAsia="DengXian Light" w:hAnsi="Arial" w:cs="Arial"/>
          <w:sz w:val="22"/>
          <w:szCs w:val="22"/>
          <w:lang w:eastAsia="zh-CN"/>
        </w:rPr>
      </w:pPr>
      <w:r w:rsidRPr="00153C8B">
        <w:rPr>
          <w:rFonts w:ascii="Arial" w:eastAsia="DengXian Light" w:hAnsi="Arial" w:cs="Arial"/>
          <w:sz w:val="22"/>
          <w:szCs w:val="22"/>
          <w:lang w:eastAsia="zh-CN"/>
        </w:rPr>
        <w:t>The social consequences of Type 2 Diabetes are significant. Living with a long-term condition can affect daily functioning, independence and mental wellbeing. Fatigue, chronic pain and reduced mobility may limit individuals’ ability to maintain employment and participate in social activities, increasing the risk of financial insecurity and social isolation (Diabetes UK, 2024). Families are often affected, as relatives may take on caregiving responsibilities, leading to emotional strain, stress and changes to household routines. These impacts demonstrate that Type 2 Diabetes is not solely a clinical issue but also a wider social and community concern.</w:t>
      </w:r>
    </w:p>
    <w:p w14:paraId="3CBC052B" w14:textId="77777777" w:rsidR="00153C8B" w:rsidRPr="00153C8B" w:rsidRDefault="00153C8B" w:rsidP="00153C8B">
      <w:pPr>
        <w:keepNext/>
        <w:keepLines/>
        <w:spacing w:before="120" w:after="120" w:line="360" w:lineRule="auto"/>
        <w:outlineLvl w:val="1"/>
        <w:rPr>
          <w:rFonts w:ascii="Arial" w:eastAsia="DengXian Light" w:hAnsi="Arial" w:cs="Arial"/>
          <w:sz w:val="22"/>
          <w:szCs w:val="22"/>
          <w:lang w:eastAsia="zh-CN"/>
        </w:rPr>
      </w:pPr>
      <w:r w:rsidRPr="00153C8B">
        <w:rPr>
          <w:rFonts w:ascii="Arial" w:eastAsia="DengXian Light" w:hAnsi="Arial" w:cs="Arial"/>
          <w:sz w:val="22"/>
          <w:szCs w:val="22"/>
          <w:lang w:eastAsia="zh-CN"/>
        </w:rPr>
        <w:t>Economic consequences are evident at both individual and population levels. Type 2 Diabetes contributes to reduced productivity through sickness absence, early retirement and long-term disability (King’s Fund, 2023). At a community level, increased reliance on social care services places additional pressure on local authorities. These economic impacts reinforce the importance of prevention and early intervention, as reducing disease incidence and delaying complications can significantly lessen long-term costs to health and social care systems.</w:t>
      </w:r>
    </w:p>
    <w:p w14:paraId="141F19EA" w14:textId="77777777" w:rsidR="00153C8B" w:rsidRPr="00153C8B" w:rsidRDefault="00153C8B" w:rsidP="00153C8B">
      <w:pPr>
        <w:keepNext/>
        <w:keepLines/>
        <w:spacing w:before="120" w:after="120" w:line="360" w:lineRule="auto"/>
        <w:outlineLvl w:val="1"/>
        <w:rPr>
          <w:rFonts w:ascii="Arial" w:eastAsia="DengXian Light" w:hAnsi="Arial" w:cs="Arial"/>
          <w:sz w:val="22"/>
          <w:szCs w:val="22"/>
          <w:lang w:eastAsia="zh-CN"/>
        </w:rPr>
      </w:pPr>
      <w:r w:rsidRPr="00153C8B">
        <w:rPr>
          <w:rFonts w:ascii="Arial" w:eastAsia="DengXian Light" w:hAnsi="Arial" w:cs="Arial"/>
          <w:sz w:val="22"/>
          <w:szCs w:val="22"/>
          <w:lang w:eastAsia="zh-CN"/>
        </w:rPr>
        <w:lastRenderedPageBreak/>
        <w:t>The NHS faces a substantial and growing burden associated with Type 2 Diabetes. It is estimated that diabetes costs the NHS approximately £10 billion per year, with around 80% of this expenditure spent on treating preventable complications rather than on prevention (Diabetes UK, 2024). Demand for GP appointments, diagnostic testing and long-term monitoring is high, including regular HbA1c testing, blood pressure and cholesterol checks, retinal screening and foot examinations (NICE, 2023). Hospital admissions related to cardiovascular disease, kidney failure and diabetic foot complications further increase pressure on secondary care services. Effective management therefore requires coordinated multidisciplinary input involving GPs, diabetes specialist nurses, dietitians, podiatrists and hospital specialists (NICE, 2023).</w:t>
      </w:r>
    </w:p>
    <w:p w14:paraId="0831F0F1" w14:textId="77777777" w:rsidR="00153C8B" w:rsidRPr="00153C8B" w:rsidRDefault="00153C8B" w:rsidP="00153C8B">
      <w:pPr>
        <w:keepNext/>
        <w:keepLines/>
        <w:spacing w:before="120" w:after="120" w:line="360" w:lineRule="auto"/>
        <w:outlineLvl w:val="1"/>
        <w:rPr>
          <w:rFonts w:ascii="Arial" w:eastAsia="DengXian Light" w:hAnsi="Arial" w:cs="Arial"/>
          <w:sz w:val="22"/>
          <w:szCs w:val="22"/>
          <w:lang w:eastAsia="zh-CN"/>
        </w:rPr>
      </w:pPr>
      <w:r w:rsidRPr="00153C8B">
        <w:rPr>
          <w:rFonts w:ascii="Arial" w:eastAsia="DengXian Light" w:hAnsi="Arial" w:cs="Arial"/>
          <w:sz w:val="22"/>
          <w:szCs w:val="22"/>
          <w:lang w:eastAsia="zh-CN"/>
        </w:rPr>
        <w:t>Several public health organisations play a key role in addressing Type 2 Diabetes in the UK. The NHS is responsible for delivering prevention programmes, clinical management and long-term care. The Office for National Statistics provides population-level data used to monitor prevalence, trends and health inequalities, while the UK Health Security Agency contributes to disease surveillance and monitoring of population health indicators (ONS, 2024; UKHSA, 2023). Together, these organisations support a coordinated public health response that integrates epidemiological evidence with policy development and service planning.</w:t>
      </w:r>
    </w:p>
    <w:p w14:paraId="7EF4F33C" w14:textId="77777777" w:rsidR="00153C8B" w:rsidRPr="00153C8B" w:rsidRDefault="00153C8B" w:rsidP="00153C8B">
      <w:pPr>
        <w:keepNext/>
        <w:keepLines/>
        <w:spacing w:before="120" w:after="120" w:line="360" w:lineRule="auto"/>
        <w:outlineLvl w:val="1"/>
        <w:rPr>
          <w:rFonts w:ascii="Arial" w:eastAsia="DengXian Light" w:hAnsi="Arial" w:cs="Arial"/>
          <w:sz w:val="22"/>
          <w:szCs w:val="22"/>
          <w:lang w:eastAsia="zh-CN"/>
        </w:rPr>
      </w:pPr>
      <w:r w:rsidRPr="00153C8B">
        <w:rPr>
          <w:rFonts w:ascii="Arial" w:eastAsia="DengXian Light" w:hAnsi="Arial" w:cs="Arial"/>
          <w:sz w:val="22"/>
          <w:szCs w:val="22"/>
          <w:lang w:eastAsia="zh-CN"/>
        </w:rPr>
        <w:t>In addition to service delivery and surveillance, public health organisations play an important role in reducing inequalities associated with Type 2 Diabetes. Epidemiological data consistently show higher prevalence and poorer outcomes among socioeconomically deprived populations, highlighting the need for targeted and proportionate interventions (ONS, 2024). Public health strategies therefore increasingly focus on addressing upstream determinants of health, rather than relying solely on individual behaviour change (King’s Fund, 2023).</w:t>
      </w:r>
    </w:p>
    <w:p w14:paraId="7C064F57" w14:textId="77777777" w:rsidR="00047463" w:rsidRDefault="00047463" w:rsidP="00153C8B">
      <w:pPr>
        <w:keepNext/>
        <w:keepLines/>
        <w:spacing w:before="120" w:after="120" w:line="360" w:lineRule="auto"/>
        <w:outlineLvl w:val="1"/>
        <w:rPr>
          <w:rFonts w:ascii="Arial" w:eastAsia="DengXian Light" w:hAnsi="Arial" w:cs="Arial"/>
          <w:sz w:val="22"/>
          <w:szCs w:val="22"/>
          <w:lang w:eastAsia="zh-CN"/>
        </w:rPr>
      </w:pPr>
      <w:r w:rsidRPr="00047463">
        <w:rPr>
          <w:rFonts w:ascii="Arial" w:eastAsia="DengXian Light" w:hAnsi="Arial" w:cs="Arial"/>
          <w:sz w:val="22"/>
          <w:szCs w:val="22"/>
          <w:lang w:eastAsia="zh-CN"/>
        </w:rPr>
        <w:t>In collaboration with the NHS, local authorities play a central role in delivering community-level initiatives that promote healthier diets, encourage physical activity and support weight management. Examples of such interventions include local education programmes, enhanced access to green and recreational spaces, and actions aimed at improving the availability of healthier food options within communities (NHS England, 2023). These strategies acknowledge that individual health behaviours are shaped not only by personal choice but also by wider social, economic and environmental influences.</w:t>
      </w:r>
    </w:p>
    <w:p w14:paraId="11156270" w14:textId="0BC768A6" w:rsidR="00466712" w:rsidRDefault="00153C8B" w:rsidP="00153C8B">
      <w:pPr>
        <w:keepNext/>
        <w:keepLines/>
        <w:spacing w:before="120" w:after="120" w:line="360" w:lineRule="auto"/>
        <w:outlineLvl w:val="1"/>
        <w:rPr>
          <w:rFonts w:ascii="Arial" w:eastAsia="DengXian Light" w:hAnsi="Arial" w:cs="Arial"/>
          <w:sz w:val="22"/>
          <w:szCs w:val="22"/>
          <w:lang w:eastAsia="zh-CN"/>
        </w:rPr>
      </w:pPr>
      <w:r w:rsidRPr="00153C8B">
        <w:rPr>
          <w:rFonts w:ascii="Arial" w:eastAsia="DengXian Light" w:hAnsi="Arial" w:cs="Arial"/>
          <w:sz w:val="22"/>
          <w:szCs w:val="22"/>
          <w:lang w:eastAsia="zh-CN"/>
        </w:rPr>
        <w:lastRenderedPageBreak/>
        <w:t>Public health policy also plays a key role in shaping population health outcomes. National measures such as sugar taxation, calorie labelling and restrictions on unhealthy food marketing aim to create environments that support healthier choices at a population level (King’s Fund, 2023). These policies are particularly important in reducing health inequalities, as they do not rely solely on individual motivation or health literacy. By combining individual-level support with structural interventions, public health approaches to Type 2 Diabetes aim to reduce incidence, improve outcomes and ensure more equitable access to prevention and care services.</w:t>
      </w:r>
    </w:p>
    <w:p w14:paraId="07B4D32C" w14:textId="4995C0E1" w:rsidR="00153C8B" w:rsidRPr="00153C8B" w:rsidRDefault="00153C8B" w:rsidP="00153C8B">
      <w:pPr>
        <w:keepNext/>
        <w:keepLines/>
        <w:spacing w:before="120" w:after="120" w:line="360" w:lineRule="auto"/>
        <w:outlineLvl w:val="1"/>
        <w:rPr>
          <w:rFonts w:ascii="Arial" w:eastAsia="DengXian Light" w:hAnsi="Arial" w:cs="Arial"/>
          <w:sz w:val="22"/>
          <w:szCs w:val="22"/>
          <w:lang w:eastAsia="zh-CN"/>
        </w:rPr>
      </w:pPr>
      <w:r w:rsidRPr="00153C8B">
        <w:rPr>
          <w:rFonts w:ascii="Arial" w:eastAsia="DengXian Light" w:hAnsi="Arial" w:cs="Arial"/>
          <w:sz w:val="22"/>
          <w:szCs w:val="22"/>
          <w:lang w:eastAsia="zh-CN"/>
        </w:rPr>
        <w:t>Prevention and control of Type 2 Diabetes require a comprehensive public health approach. Primary prevention focuses on reducing exposure to modifiable risk factors before disease develops. Public health campaigns promote healthy eating, increased physical activity and weight management, while screening initiatives target high-risk groups such as older adults, individuals with obesity and people from certain ethnic backgrounds (NHS England, 2023). Programmes such as the NHS Diabetes Prevention Programme reflect a shift towards upstream interventions aimed at reducing disease incidence.</w:t>
      </w:r>
    </w:p>
    <w:p w14:paraId="3F15FE4D" w14:textId="346FDAC5" w:rsidR="00153C8B" w:rsidRPr="00153C8B" w:rsidRDefault="00153C8B" w:rsidP="00153C8B">
      <w:pPr>
        <w:keepNext/>
        <w:keepLines/>
        <w:spacing w:before="120" w:after="120" w:line="360" w:lineRule="auto"/>
        <w:outlineLvl w:val="1"/>
        <w:rPr>
          <w:rFonts w:ascii="Arial" w:eastAsia="DengXian Light" w:hAnsi="Arial" w:cs="Arial"/>
          <w:sz w:val="22"/>
          <w:szCs w:val="22"/>
          <w:lang w:eastAsia="zh-CN"/>
        </w:rPr>
      </w:pPr>
      <w:r w:rsidRPr="00153C8B">
        <w:rPr>
          <w:rFonts w:ascii="Arial" w:eastAsia="DengXian Light" w:hAnsi="Arial" w:cs="Arial"/>
          <w:sz w:val="22"/>
          <w:szCs w:val="22"/>
          <w:lang w:eastAsia="zh-CN"/>
        </w:rPr>
        <w:t xml:space="preserve">Clinical management involves a combination of lifestyle modification and pharmacological treatment. </w:t>
      </w:r>
      <w:r w:rsidR="00D544F8" w:rsidRPr="00D544F8">
        <w:rPr>
          <w:rFonts w:ascii="Arial" w:eastAsia="DengXian Light" w:hAnsi="Arial" w:cs="Arial"/>
          <w:sz w:val="22"/>
          <w:szCs w:val="22"/>
          <w:lang w:eastAsia="zh-CN"/>
        </w:rPr>
        <w:t>Dietary changes, increased physical activity and weight loss remain central to effective blood glucose control.</w:t>
      </w:r>
      <w:r w:rsidR="00D544F8">
        <w:rPr>
          <w:rFonts w:ascii="Arial" w:eastAsia="DengXian Light" w:hAnsi="Arial" w:cs="Arial"/>
          <w:sz w:val="22"/>
          <w:szCs w:val="22"/>
          <w:lang w:eastAsia="zh-CN"/>
        </w:rPr>
        <w:t xml:space="preserve"> </w:t>
      </w:r>
      <w:r w:rsidRPr="00153C8B">
        <w:rPr>
          <w:rFonts w:ascii="Arial" w:eastAsia="DengXian Light" w:hAnsi="Arial" w:cs="Arial"/>
          <w:sz w:val="22"/>
          <w:szCs w:val="22"/>
          <w:lang w:eastAsia="zh-CN"/>
        </w:rPr>
        <w:t>Where lifestyle changes alone are insufficient, medications such as metformin and other glucose-lowering therapies are prescribed (NICE, 2023). Regular monitoring of blood glucose levels, blood pressure and cholesterol is essential to reduce the risk of complications. Secondary prevention strategies, including routine GP reviews, retinal screening, kidney function tests and foot checks, aim to detect complications early and minimise disability and hospital admissions (NICE, 2023).</w:t>
      </w:r>
    </w:p>
    <w:p w14:paraId="49C9961B" w14:textId="77777777" w:rsidR="00153C8B" w:rsidRPr="00153C8B" w:rsidRDefault="00153C8B" w:rsidP="00153C8B">
      <w:pPr>
        <w:keepNext/>
        <w:keepLines/>
        <w:spacing w:before="120" w:after="120" w:line="360" w:lineRule="auto"/>
        <w:outlineLvl w:val="1"/>
        <w:rPr>
          <w:rFonts w:ascii="Arial" w:eastAsia="DengXian Light" w:hAnsi="Arial" w:cs="Arial"/>
          <w:sz w:val="22"/>
          <w:szCs w:val="22"/>
          <w:lang w:eastAsia="zh-CN"/>
        </w:rPr>
      </w:pPr>
      <w:r w:rsidRPr="00153C8B">
        <w:rPr>
          <w:rFonts w:ascii="Arial" w:eastAsia="DengXian Light" w:hAnsi="Arial" w:cs="Arial"/>
          <w:sz w:val="22"/>
          <w:szCs w:val="22"/>
          <w:lang w:eastAsia="zh-CN"/>
        </w:rPr>
        <w:t>A wide range of factors influence the development and management of Type 2 Diabetes and its impact on health and wellbeing. Biological factors such as genetics, age, ethnicity and family history interact with lifestyle behaviours to shape individual risk (WHO, 2021). Obesity remains the strongest modifiable risk factor and is closely linked to physical inactivity and unhealthy diets (NICE, 2023). Psychological factors, including stress, anxiety and depression, can negatively affect self-management and blood glucose control. In addition, stigma and feelings of guilt associated with weight and lifestyle may discourage individuals from seeking support (Diabetes UK, 2024).</w:t>
      </w:r>
    </w:p>
    <w:p w14:paraId="5590643F" w14:textId="77777777" w:rsidR="00153C8B" w:rsidRPr="00153C8B" w:rsidRDefault="00153C8B" w:rsidP="00153C8B">
      <w:pPr>
        <w:keepNext/>
        <w:keepLines/>
        <w:spacing w:before="120" w:after="120" w:line="360" w:lineRule="auto"/>
        <w:outlineLvl w:val="1"/>
        <w:rPr>
          <w:rFonts w:ascii="Arial" w:eastAsia="DengXian Light" w:hAnsi="Arial" w:cs="Arial"/>
          <w:sz w:val="22"/>
          <w:szCs w:val="22"/>
          <w:lang w:eastAsia="zh-CN"/>
        </w:rPr>
      </w:pPr>
      <w:r w:rsidRPr="00153C8B">
        <w:rPr>
          <w:rFonts w:ascii="Arial" w:eastAsia="DengXian Light" w:hAnsi="Arial" w:cs="Arial"/>
          <w:sz w:val="22"/>
          <w:szCs w:val="22"/>
          <w:lang w:eastAsia="zh-CN"/>
        </w:rPr>
        <w:lastRenderedPageBreak/>
        <w:t>Social determinants of health play a crucial role in shaping exposure to risk and access to care. Income, education, employment conditions, housing quality and access to healthy food influence opportunities for healthy living (ONS, 2024). Individuals living in deprived areas often face barriers to healthcare access and health-promoting resources, increasing vulnerability to Type 2 Diabetes and its complications. Addressing these wider determinants is essential to reducing avoidable and unjust health inequalities (King’s Fund, 2023).</w:t>
      </w:r>
    </w:p>
    <w:p w14:paraId="7A65D449" w14:textId="77777777" w:rsidR="009D1FC5" w:rsidRDefault="009D1FC5" w:rsidP="00153C8B">
      <w:pPr>
        <w:keepNext/>
        <w:keepLines/>
        <w:spacing w:before="120" w:after="120" w:line="360" w:lineRule="auto"/>
        <w:outlineLvl w:val="1"/>
        <w:rPr>
          <w:rFonts w:ascii="Arial" w:eastAsia="DengXian Light" w:hAnsi="Arial" w:cs="Arial"/>
          <w:sz w:val="22"/>
          <w:szCs w:val="22"/>
          <w:lang w:eastAsia="zh-CN"/>
        </w:rPr>
      </w:pPr>
      <w:r w:rsidRPr="009D1FC5">
        <w:rPr>
          <w:rFonts w:ascii="Arial" w:eastAsia="DengXian Light" w:hAnsi="Arial" w:cs="Arial"/>
          <w:sz w:val="22"/>
          <w:szCs w:val="22"/>
          <w:lang w:eastAsia="zh-CN"/>
        </w:rPr>
        <w:t>The growing burden of Type 2 Diabetes poses a significant challenge for public health systems in the UK. Its increasing prevalence and associated long-term complications have wide-ranging effects on individuals, communities and healthcare services. Beyond its impact on physical health, the condition also affects social and psychological wellbeing and places considerable strain on the NHS, with a substantial proportion of healthcare resources directed towards the management of largely preventable complications (Diabetes UK, 2024).</w:t>
      </w:r>
    </w:p>
    <w:p w14:paraId="540D5F77" w14:textId="2A846BCF" w:rsidR="00153C8B" w:rsidRPr="00153C8B" w:rsidRDefault="00564D7D" w:rsidP="00564D7D">
      <w:pPr>
        <w:spacing w:before="120" w:after="120" w:line="360" w:lineRule="auto"/>
        <w:rPr>
          <w:rFonts w:ascii="Segoe UI" w:eastAsia="DengXian" w:hAnsi="Segoe UI" w:cs="Arial"/>
          <w:sz w:val="20"/>
          <w:szCs w:val="22"/>
          <w:lang w:eastAsia="zh-CN"/>
        </w:rPr>
      </w:pPr>
      <w:r w:rsidRPr="00564D7D">
        <w:rPr>
          <w:rFonts w:ascii="Arial" w:eastAsia="DengXian Light" w:hAnsi="Arial" w:cs="Arial"/>
          <w:sz w:val="22"/>
          <w:szCs w:val="22"/>
          <w:lang w:eastAsia="zh-CN"/>
        </w:rPr>
        <w:t>Managing Type 2 Diabetes effectively depends on an integrated strategy that places equal emphasis on prevention, timely identification and ongoing care. Reducing the impact of the condition requires action on modifiable behavioural risks as well as on the broader social determinants that influence health outcomes. Enhancing public health surveillance, expanding preventive initiatives and providing sustained support to individuals and families living with the condition are therefore central to improving population health and maintaining the long-term viability of health and social care systems (WHO, 2022).</w:t>
      </w:r>
      <w:r w:rsidR="00153C8B" w:rsidRPr="00153C8B">
        <w:rPr>
          <w:rFonts w:ascii="Segoe UI" w:eastAsia="DengXian" w:hAnsi="Segoe UI" w:cs="Arial"/>
          <w:sz w:val="20"/>
          <w:szCs w:val="22"/>
          <w:lang w:eastAsia="zh-CN"/>
        </w:rPr>
        <w:br w:type="page"/>
      </w:r>
    </w:p>
    <w:p w14:paraId="20142E2D" w14:textId="77777777" w:rsidR="00153C8B" w:rsidRPr="00153C8B" w:rsidRDefault="00153C8B" w:rsidP="00153C8B">
      <w:pPr>
        <w:spacing w:before="100" w:beforeAutospacing="1" w:after="100" w:afterAutospacing="1" w:line="240" w:lineRule="auto"/>
        <w:rPr>
          <w:rFonts w:ascii="Arial" w:eastAsia="Times New Roman" w:hAnsi="Arial" w:cs="Arial"/>
          <w:b/>
          <w:bCs/>
          <w:kern w:val="0"/>
          <w:sz w:val="22"/>
          <w:szCs w:val="22"/>
          <w:u w:val="single"/>
          <w:lang w:val="fr-FR" w:eastAsia="en-GB"/>
          <w14:ligatures w14:val="none"/>
        </w:rPr>
      </w:pPr>
      <w:proofErr w:type="spellStart"/>
      <w:r w:rsidRPr="00153C8B">
        <w:rPr>
          <w:rFonts w:ascii="Arial" w:eastAsia="Times New Roman" w:hAnsi="Arial" w:cs="Arial"/>
          <w:b/>
          <w:bCs/>
          <w:kern w:val="0"/>
          <w:sz w:val="22"/>
          <w:szCs w:val="22"/>
          <w:u w:val="single"/>
          <w:lang w:val="fr-FR" w:eastAsia="en-GB"/>
          <w14:ligatures w14:val="none"/>
        </w:rPr>
        <w:lastRenderedPageBreak/>
        <w:t>References</w:t>
      </w:r>
      <w:proofErr w:type="spellEnd"/>
      <w:r w:rsidRPr="00153C8B">
        <w:rPr>
          <w:rFonts w:ascii="Arial" w:eastAsia="Times New Roman" w:hAnsi="Arial" w:cs="Arial"/>
          <w:b/>
          <w:bCs/>
          <w:kern w:val="0"/>
          <w:sz w:val="22"/>
          <w:szCs w:val="22"/>
          <w:u w:val="single"/>
          <w:lang w:val="fr-FR" w:eastAsia="en-GB"/>
          <w14:ligatures w14:val="none"/>
        </w:rPr>
        <w:t xml:space="preserve"> List</w:t>
      </w:r>
    </w:p>
    <w:p w14:paraId="413C34F0"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153C8B">
        <w:rPr>
          <w:rFonts w:ascii="Arial" w:eastAsia="Times New Roman" w:hAnsi="Arial" w:cs="Arial"/>
          <w:kern w:val="0"/>
          <w:sz w:val="22"/>
          <w:szCs w:val="22"/>
          <w:lang w:val="fr-FR" w:eastAsia="en-GB"/>
          <w14:ligatures w14:val="none"/>
        </w:rPr>
        <w:t>Diabetes</w:t>
      </w:r>
      <w:proofErr w:type="spellEnd"/>
      <w:r w:rsidRPr="00153C8B">
        <w:rPr>
          <w:rFonts w:ascii="Arial" w:eastAsia="Times New Roman" w:hAnsi="Arial" w:cs="Arial"/>
          <w:kern w:val="0"/>
          <w:sz w:val="22"/>
          <w:szCs w:val="22"/>
          <w:lang w:val="fr-FR" w:eastAsia="en-GB"/>
          <w14:ligatures w14:val="none"/>
        </w:rPr>
        <w:t xml:space="preserve"> UK (2024) </w:t>
      </w:r>
      <w:proofErr w:type="spellStart"/>
      <w:r w:rsidRPr="00153C8B">
        <w:rPr>
          <w:rFonts w:ascii="Arial" w:eastAsia="Times New Roman" w:hAnsi="Arial" w:cs="Arial"/>
          <w:i/>
          <w:iCs/>
          <w:kern w:val="0"/>
          <w:sz w:val="22"/>
          <w:szCs w:val="22"/>
          <w:lang w:val="fr-FR" w:eastAsia="en-GB"/>
          <w14:ligatures w14:val="none"/>
        </w:rPr>
        <w:t>Diabetes</w:t>
      </w:r>
      <w:proofErr w:type="spellEnd"/>
      <w:r w:rsidRPr="00153C8B">
        <w:rPr>
          <w:rFonts w:ascii="Arial" w:eastAsia="Times New Roman" w:hAnsi="Arial" w:cs="Arial"/>
          <w:i/>
          <w:iCs/>
          <w:kern w:val="0"/>
          <w:sz w:val="22"/>
          <w:szCs w:val="22"/>
          <w:lang w:val="fr-FR" w:eastAsia="en-GB"/>
          <w14:ligatures w14:val="none"/>
        </w:rPr>
        <w:t xml:space="preserve"> </w:t>
      </w:r>
      <w:proofErr w:type="spellStart"/>
      <w:r w:rsidRPr="00153C8B">
        <w:rPr>
          <w:rFonts w:ascii="Arial" w:eastAsia="Times New Roman" w:hAnsi="Arial" w:cs="Arial"/>
          <w:i/>
          <w:iCs/>
          <w:kern w:val="0"/>
          <w:sz w:val="22"/>
          <w:szCs w:val="22"/>
          <w:lang w:val="fr-FR" w:eastAsia="en-GB"/>
          <w14:ligatures w14:val="none"/>
        </w:rPr>
        <w:t>prevalence</w:t>
      </w:r>
      <w:proofErr w:type="spellEnd"/>
      <w:r w:rsidRPr="00153C8B">
        <w:rPr>
          <w:rFonts w:ascii="Arial" w:eastAsia="Times New Roman" w:hAnsi="Arial" w:cs="Arial"/>
          <w:i/>
          <w:iCs/>
          <w:kern w:val="0"/>
          <w:sz w:val="22"/>
          <w:szCs w:val="22"/>
          <w:lang w:val="fr-FR" w:eastAsia="en-GB"/>
          <w14:ligatures w14:val="none"/>
        </w:rPr>
        <w:t xml:space="preserve"> 2024</w:t>
      </w:r>
      <w:r w:rsidRPr="00153C8B">
        <w:rPr>
          <w:rFonts w:ascii="Arial" w:eastAsia="Times New Roman" w:hAnsi="Arial" w:cs="Arial"/>
          <w:kern w:val="0"/>
          <w:sz w:val="22"/>
          <w:szCs w:val="22"/>
          <w:lang w:val="fr-FR" w:eastAsia="en-GB"/>
          <w14:ligatures w14:val="none"/>
        </w:rPr>
        <w:t xml:space="preserve">. </w:t>
      </w:r>
      <w:r w:rsidRPr="00153C8B">
        <w:rPr>
          <w:rFonts w:ascii="Arial" w:eastAsia="Times New Roman" w:hAnsi="Arial" w:cs="Arial"/>
          <w:kern w:val="0"/>
          <w:sz w:val="22"/>
          <w:szCs w:val="22"/>
          <w:lang w:eastAsia="en-GB"/>
          <w14:ligatures w14:val="none"/>
        </w:rPr>
        <w:t xml:space="preserve">London: Diabetes UK. Available at: </w:t>
      </w:r>
      <w:hyperlink r:id="rId5" w:tgtFrame="_new" w:history="1">
        <w:r w:rsidRPr="00153C8B">
          <w:rPr>
            <w:rFonts w:ascii="Arial" w:eastAsia="Times New Roman" w:hAnsi="Arial" w:cs="Arial"/>
            <w:color w:val="0000FF"/>
            <w:kern w:val="0"/>
            <w:sz w:val="22"/>
            <w:szCs w:val="22"/>
            <w:u w:val="single"/>
            <w:lang w:eastAsia="en-GB"/>
            <w14:ligatures w14:val="none"/>
          </w:rPr>
          <w:t>https://www.diabetes.org.uk</w:t>
        </w:r>
      </w:hyperlink>
      <w:r w:rsidRPr="00153C8B">
        <w:rPr>
          <w:rFonts w:ascii="Arial" w:eastAsia="Times New Roman" w:hAnsi="Arial" w:cs="Arial"/>
          <w:kern w:val="0"/>
          <w:sz w:val="22"/>
          <w:szCs w:val="22"/>
          <w:lang w:eastAsia="en-GB"/>
          <w14:ligatures w14:val="none"/>
        </w:rPr>
        <w:t xml:space="preserve"> (Accessed: 10 December 2025).</w:t>
      </w:r>
    </w:p>
    <w:p w14:paraId="3DC7A4B1"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r w:rsidRPr="00153C8B">
        <w:rPr>
          <w:rFonts w:ascii="Arial" w:eastAsia="Times New Roman" w:hAnsi="Arial" w:cs="Arial"/>
          <w:kern w:val="0"/>
          <w:sz w:val="22"/>
          <w:szCs w:val="22"/>
          <w:lang w:eastAsia="en-GB"/>
          <w14:ligatures w14:val="none"/>
        </w:rPr>
        <w:t xml:space="preserve">Kings Fund (2023) </w:t>
      </w:r>
      <w:r w:rsidRPr="00153C8B">
        <w:rPr>
          <w:rFonts w:ascii="Arial" w:eastAsia="Times New Roman" w:hAnsi="Arial" w:cs="Arial"/>
          <w:i/>
          <w:iCs/>
          <w:kern w:val="0"/>
          <w:sz w:val="22"/>
          <w:szCs w:val="22"/>
          <w:lang w:eastAsia="en-GB"/>
          <w14:ligatures w14:val="none"/>
        </w:rPr>
        <w:t>What are health inequalities?</w:t>
      </w:r>
      <w:r w:rsidRPr="00153C8B">
        <w:rPr>
          <w:rFonts w:ascii="Arial" w:eastAsia="Times New Roman" w:hAnsi="Arial" w:cs="Arial"/>
          <w:kern w:val="0"/>
          <w:sz w:val="22"/>
          <w:szCs w:val="22"/>
          <w:lang w:eastAsia="en-GB"/>
          <w14:ligatures w14:val="none"/>
        </w:rPr>
        <w:t xml:space="preserve"> London: </w:t>
      </w:r>
      <w:r w:rsidRPr="00153C8B">
        <w:rPr>
          <w:rFonts w:ascii="Arial" w:eastAsia="Times New Roman" w:hAnsi="Arial" w:cs="Arial"/>
          <w:i/>
          <w:iCs/>
          <w:kern w:val="0"/>
          <w:sz w:val="22"/>
          <w:szCs w:val="22"/>
          <w:lang w:eastAsia="en-GB"/>
          <w14:ligatures w14:val="none"/>
        </w:rPr>
        <w:t>The King’s Fund</w:t>
      </w:r>
      <w:r w:rsidRPr="00153C8B">
        <w:rPr>
          <w:rFonts w:ascii="Arial" w:eastAsia="Times New Roman" w:hAnsi="Arial" w:cs="Arial"/>
          <w:kern w:val="0"/>
          <w:sz w:val="22"/>
          <w:szCs w:val="22"/>
          <w:lang w:eastAsia="en-GB"/>
          <w14:ligatures w14:val="none"/>
        </w:rPr>
        <w:t xml:space="preserve">. Available at: </w:t>
      </w:r>
      <w:hyperlink r:id="rId6" w:tgtFrame="_new" w:history="1">
        <w:r w:rsidRPr="00153C8B">
          <w:rPr>
            <w:rFonts w:ascii="Arial" w:eastAsia="Times New Roman" w:hAnsi="Arial" w:cs="Arial"/>
            <w:color w:val="0000FF"/>
            <w:kern w:val="0"/>
            <w:sz w:val="22"/>
            <w:szCs w:val="22"/>
            <w:u w:val="single"/>
            <w:lang w:eastAsia="en-GB"/>
            <w14:ligatures w14:val="none"/>
          </w:rPr>
          <w:t>https://www.kingsfund.org.uk</w:t>
        </w:r>
      </w:hyperlink>
      <w:r w:rsidRPr="00153C8B">
        <w:rPr>
          <w:rFonts w:ascii="Arial" w:eastAsia="Times New Roman" w:hAnsi="Arial" w:cs="Arial"/>
          <w:kern w:val="0"/>
          <w:sz w:val="22"/>
          <w:szCs w:val="22"/>
          <w:lang w:eastAsia="en-GB"/>
          <w14:ligatures w14:val="none"/>
        </w:rPr>
        <w:t xml:space="preserve"> (Accessed: 10 December 2025).</w:t>
      </w:r>
    </w:p>
    <w:p w14:paraId="2F05FB69"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r w:rsidRPr="00153C8B">
        <w:rPr>
          <w:rFonts w:ascii="Arial" w:eastAsia="Times New Roman" w:hAnsi="Arial" w:cs="Arial"/>
          <w:kern w:val="0"/>
          <w:sz w:val="22"/>
          <w:szCs w:val="22"/>
          <w:lang w:eastAsia="en-GB"/>
          <w14:ligatures w14:val="none"/>
        </w:rPr>
        <w:t xml:space="preserve">National Institute for Health and Care Excellence (NICE) (2023) </w:t>
      </w:r>
      <w:r w:rsidRPr="00153C8B">
        <w:rPr>
          <w:rFonts w:ascii="Arial" w:eastAsia="Times New Roman" w:hAnsi="Arial" w:cs="Arial"/>
          <w:i/>
          <w:iCs/>
          <w:kern w:val="0"/>
          <w:sz w:val="22"/>
          <w:szCs w:val="22"/>
          <w:lang w:eastAsia="en-GB"/>
          <w14:ligatures w14:val="none"/>
        </w:rPr>
        <w:t>Type 2 diabetes in adults: management (NG28)</w:t>
      </w:r>
      <w:r w:rsidRPr="00153C8B">
        <w:rPr>
          <w:rFonts w:ascii="Arial" w:eastAsia="Times New Roman" w:hAnsi="Arial" w:cs="Arial"/>
          <w:kern w:val="0"/>
          <w:sz w:val="22"/>
          <w:szCs w:val="22"/>
          <w:lang w:eastAsia="en-GB"/>
          <w14:ligatures w14:val="none"/>
        </w:rPr>
        <w:t xml:space="preserve">. London: NICE. Available at: </w:t>
      </w:r>
      <w:hyperlink r:id="rId7" w:tgtFrame="_new" w:history="1">
        <w:r w:rsidRPr="00153C8B">
          <w:rPr>
            <w:rFonts w:ascii="Arial" w:eastAsia="Times New Roman" w:hAnsi="Arial" w:cs="Arial"/>
            <w:color w:val="0000FF"/>
            <w:kern w:val="0"/>
            <w:sz w:val="22"/>
            <w:szCs w:val="22"/>
            <w:u w:val="single"/>
            <w:lang w:eastAsia="en-GB"/>
            <w14:ligatures w14:val="none"/>
          </w:rPr>
          <w:t>https://www.nice.org.uk</w:t>
        </w:r>
      </w:hyperlink>
      <w:r w:rsidRPr="00153C8B">
        <w:rPr>
          <w:rFonts w:ascii="Arial" w:eastAsia="Times New Roman" w:hAnsi="Arial" w:cs="Arial"/>
          <w:kern w:val="0"/>
          <w:sz w:val="22"/>
          <w:szCs w:val="22"/>
          <w:lang w:eastAsia="en-GB"/>
          <w14:ligatures w14:val="none"/>
        </w:rPr>
        <w:t xml:space="preserve"> (Accessed: 10 December 2025).</w:t>
      </w:r>
    </w:p>
    <w:p w14:paraId="138AAE35"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r w:rsidRPr="00153C8B">
        <w:rPr>
          <w:rFonts w:ascii="Arial" w:eastAsia="Times New Roman" w:hAnsi="Arial" w:cs="Arial"/>
          <w:kern w:val="0"/>
          <w:sz w:val="22"/>
          <w:szCs w:val="22"/>
          <w:lang w:eastAsia="en-GB"/>
          <w14:ligatures w14:val="none"/>
        </w:rPr>
        <w:t xml:space="preserve">NHS England (2023) </w:t>
      </w:r>
      <w:r w:rsidRPr="00153C8B">
        <w:rPr>
          <w:rFonts w:ascii="Arial" w:eastAsia="Times New Roman" w:hAnsi="Arial" w:cs="Arial"/>
          <w:i/>
          <w:iCs/>
          <w:kern w:val="0"/>
          <w:sz w:val="22"/>
          <w:szCs w:val="22"/>
          <w:lang w:eastAsia="en-GB"/>
          <w14:ligatures w14:val="none"/>
        </w:rPr>
        <w:t>NHS Diabetes Prevention Programme</w:t>
      </w:r>
      <w:r w:rsidRPr="00153C8B">
        <w:rPr>
          <w:rFonts w:ascii="Arial" w:eastAsia="Times New Roman" w:hAnsi="Arial" w:cs="Arial"/>
          <w:kern w:val="0"/>
          <w:sz w:val="22"/>
          <w:szCs w:val="22"/>
          <w:lang w:eastAsia="en-GB"/>
          <w14:ligatures w14:val="none"/>
        </w:rPr>
        <w:t xml:space="preserve">. London: NHS England. Available at: </w:t>
      </w:r>
      <w:hyperlink r:id="rId8" w:tgtFrame="_new" w:history="1">
        <w:r w:rsidRPr="00153C8B">
          <w:rPr>
            <w:rFonts w:ascii="Arial" w:eastAsia="Times New Roman" w:hAnsi="Arial" w:cs="Arial"/>
            <w:color w:val="0000FF"/>
            <w:kern w:val="0"/>
            <w:sz w:val="22"/>
            <w:szCs w:val="22"/>
            <w:u w:val="single"/>
            <w:lang w:eastAsia="en-GB"/>
            <w14:ligatures w14:val="none"/>
          </w:rPr>
          <w:t>https://www.england.nhs.uk</w:t>
        </w:r>
      </w:hyperlink>
      <w:r w:rsidRPr="00153C8B">
        <w:rPr>
          <w:rFonts w:ascii="Arial" w:eastAsia="Times New Roman" w:hAnsi="Arial" w:cs="Arial"/>
          <w:kern w:val="0"/>
          <w:sz w:val="22"/>
          <w:szCs w:val="22"/>
          <w:lang w:eastAsia="en-GB"/>
          <w14:ligatures w14:val="none"/>
        </w:rPr>
        <w:t xml:space="preserve"> (Accessed: 10 December 2025).</w:t>
      </w:r>
    </w:p>
    <w:p w14:paraId="4A49F089"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r w:rsidRPr="00153C8B">
        <w:rPr>
          <w:rFonts w:ascii="Arial" w:eastAsia="Times New Roman" w:hAnsi="Arial" w:cs="Arial"/>
          <w:kern w:val="0"/>
          <w:sz w:val="22"/>
          <w:szCs w:val="22"/>
          <w:lang w:eastAsia="en-GB"/>
          <w14:ligatures w14:val="none"/>
        </w:rPr>
        <w:t xml:space="preserve">Office for National Statistics (ONS) (2024) </w:t>
      </w:r>
      <w:r w:rsidRPr="00153C8B">
        <w:rPr>
          <w:rFonts w:ascii="Arial" w:eastAsia="Times New Roman" w:hAnsi="Arial" w:cs="Arial"/>
          <w:i/>
          <w:iCs/>
          <w:kern w:val="0"/>
          <w:sz w:val="22"/>
          <w:szCs w:val="22"/>
          <w:lang w:eastAsia="en-GB"/>
          <w14:ligatures w14:val="none"/>
        </w:rPr>
        <w:t>Health inequalities and diabetes in England</w:t>
      </w:r>
      <w:r w:rsidRPr="00153C8B">
        <w:rPr>
          <w:rFonts w:ascii="Arial" w:eastAsia="Times New Roman" w:hAnsi="Arial" w:cs="Arial"/>
          <w:kern w:val="0"/>
          <w:sz w:val="22"/>
          <w:szCs w:val="22"/>
          <w:lang w:eastAsia="en-GB"/>
          <w14:ligatures w14:val="none"/>
        </w:rPr>
        <w:t xml:space="preserve">. Newport: ONS. Available at: </w:t>
      </w:r>
      <w:hyperlink r:id="rId9" w:tgtFrame="_new" w:history="1">
        <w:r w:rsidRPr="00153C8B">
          <w:rPr>
            <w:rFonts w:ascii="Arial" w:eastAsia="Times New Roman" w:hAnsi="Arial" w:cs="Arial"/>
            <w:color w:val="0000FF"/>
            <w:kern w:val="0"/>
            <w:sz w:val="22"/>
            <w:szCs w:val="22"/>
            <w:u w:val="single"/>
            <w:lang w:eastAsia="en-GB"/>
            <w14:ligatures w14:val="none"/>
          </w:rPr>
          <w:t>https://www.ons.gov.uk</w:t>
        </w:r>
      </w:hyperlink>
      <w:r w:rsidRPr="00153C8B">
        <w:rPr>
          <w:rFonts w:ascii="Arial" w:eastAsia="Times New Roman" w:hAnsi="Arial" w:cs="Arial"/>
          <w:kern w:val="0"/>
          <w:sz w:val="22"/>
          <w:szCs w:val="22"/>
          <w:lang w:eastAsia="en-GB"/>
          <w14:ligatures w14:val="none"/>
        </w:rPr>
        <w:t xml:space="preserve"> (Accessed: 10 December 2025).</w:t>
      </w:r>
    </w:p>
    <w:p w14:paraId="119D83FA"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r w:rsidRPr="00153C8B">
        <w:rPr>
          <w:rFonts w:ascii="Arial" w:eastAsia="Times New Roman" w:hAnsi="Arial" w:cs="Arial"/>
          <w:kern w:val="0"/>
          <w:sz w:val="22"/>
          <w:szCs w:val="22"/>
          <w:lang w:eastAsia="en-GB"/>
          <w14:ligatures w14:val="none"/>
        </w:rPr>
        <w:t xml:space="preserve">UK Health Security Agency (UKHSA) (2023) </w:t>
      </w:r>
      <w:r w:rsidRPr="00153C8B">
        <w:rPr>
          <w:rFonts w:ascii="Arial" w:eastAsia="Times New Roman" w:hAnsi="Arial" w:cs="Arial"/>
          <w:i/>
          <w:iCs/>
          <w:kern w:val="0"/>
          <w:sz w:val="22"/>
          <w:szCs w:val="22"/>
          <w:lang w:eastAsia="en-GB"/>
          <w14:ligatures w14:val="none"/>
        </w:rPr>
        <w:t>Surveillance of non-communicable diseases</w:t>
      </w:r>
      <w:r w:rsidRPr="00153C8B">
        <w:rPr>
          <w:rFonts w:ascii="Arial" w:eastAsia="Times New Roman" w:hAnsi="Arial" w:cs="Arial"/>
          <w:kern w:val="0"/>
          <w:sz w:val="22"/>
          <w:szCs w:val="22"/>
          <w:lang w:eastAsia="en-GB"/>
          <w14:ligatures w14:val="none"/>
        </w:rPr>
        <w:t xml:space="preserve">. London: UKHSA. Available at: </w:t>
      </w:r>
      <w:hyperlink r:id="rId10" w:tgtFrame="_new" w:history="1">
        <w:r w:rsidRPr="00153C8B">
          <w:rPr>
            <w:rFonts w:ascii="Arial" w:eastAsia="Times New Roman" w:hAnsi="Arial" w:cs="Arial"/>
            <w:color w:val="0000FF"/>
            <w:kern w:val="0"/>
            <w:sz w:val="22"/>
            <w:szCs w:val="22"/>
            <w:u w:val="single"/>
            <w:lang w:eastAsia="en-GB"/>
            <w14:ligatures w14:val="none"/>
          </w:rPr>
          <w:t>https://www.gov.uk/government/organisations/uk-health-security-agency</w:t>
        </w:r>
      </w:hyperlink>
      <w:r w:rsidRPr="00153C8B">
        <w:rPr>
          <w:rFonts w:ascii="Arial" w:eastAsia="Times New Roman" w:hAnsi="Arial" w:cs="Arial"/>
          <w:kern w:val="0"/>
          <w:sz w:val="22"/>
          <w:szCs w:val="22"/>
          <w:lang w:eastAsia="en-GB"/>
          <w14:ligatures w14:val="none"/>
        </w:rPr>
        <w:t xml:space="preserve"> (Accessed: 10 December 2025).</w:t>
      </w:r>
    </w:p>
    <w:p w14:paraId="62DCB6E1"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r w:rsidRPr="00153C8B">
        <w:rPr>
          <w:rFonts w:ascii="Arial" w:eastAsia="Times New Roman" w:hAnsi="Arial" w:cs="Arial"/>
          <w:kern w:val="0"/>
          <w:sz w:val="22"/>
          <w:szCs w:val="22"/>
          <w:lang w:eastAsia="en-GB"/>
          <w14:ligatures w14:val="none"/>
        </w:rPr>
        <w:t xml:space="preserve">World Health Organization (WHO) (2021) </w:t>
      </w:r>
      <w:r w:rsidRPr="00153C8B">
        <w:rPr>
          <w:rFonts w:ascii="Arial" w:eastAsia="Times New Roman" w:hAnsi="Arial" w:cs="Arial"/>
          <w:i/>
          <w:iCs/>
          <w:kern w:val="0"/>
          <w:sz w:val="22"/>
          <w:szCs w:val="22"/>
          <w:lang w:eastAsia="en-GB"/>
          <w14:ligatures w14:val="none"/>
        </w:rPr>
        <w:t>Global report on diabetes</w:t>
      </w:r>
      <w:r w:rsidRPr="00153C8B">
        <w:rPr>
          <w:rFonts w:ascii="Arial" w:eastAsia="Times New Roman" w:hAnsi="Arial" w:cs="Arial"/>
          <w:kern w:val="0"/>
          <w:sz w:val="22"/>
          <w:szCs w:val="22"/>
          <w:lang w:eastAsia="en-GB"/>
          <w14:ligatures w14:val="none"/>
        </w:rPr>
        <w:t xml:space="preserve">. Geneva: World Health Organization. Available at: </w:t>
      </w:r>
      <w:hyperlink r:id="rId11" w:tgtFrame="_new" w:history="1">
        <w:r w:rsidRPr="00153C8B">
          <w:rPr>
            <w:rFonts w:ascii="Arial" w:eastAsia="Times New Roman" w:hAnsi="Arial" w:cs="Arial"/>
            <w:color w:val="0000FF"/>
            <w:kern w:val="0"/>
            <w:sz w:val="22"/>
            <w:szCs w:val="22"/>
            <w:u w:val="single"/>
            <w:lang w:eastAsia="en-GB"/>
            <w14:ligatures w14:val="none"/>
          </w:rPr>
          <w:t>https://www.who.int</w:t>
        </w:r>
      </w:hyperlink>
      <w:r w:rsidRPr="00153C8B">
        <w:rPr>
          <w:rFonts w:ascii="Arial" w:eastAsia="Times New Roman" w:hAnsi="Arial" w:cs="Arial"/>
          <w:kern w:val="0"/>
          <w:sz w:val="22"/>
          <w:szCs w:val="22"/>
          <w:lang w:eastAsia="en-GB"/>
          <w14:ligatures w14:val="none"/>
        </w:rPr>
        <w:t xml:space="preserve"> (Accessed: 10 December 2025).</w:t>
      </w:r>
    </w:p>
    <w:p w14:paraId="4860C442"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r w:rsidRPr="00153C8B">
        <w:rPr>
          <w:rFonts w:ascii="Arial" w:eastAsia="Times New Roman" w:hAnsi="Arial" w:cs="Arial"/>
          <w:kern w:val="0"/>
          <w:sz w:val="22"/>
          <w:szCs w:val="22"/>
          <w:lang w:eastAsia="en-GB"/>
          <w14:ligatures w14:val="none"/>
        </w:rPr>
        <w:t xml:space="preserve">World Health Organization (WHO) (2022) </w:t>
      </w:r>
      <w:r w:rsidRPr="00153C8B">
        <w:rPr>
          <w:rFonts w:ascii="Arial" w:eastAsia="Times New Roman" w:hAnsi="Arial" w:cs="Arial"/>
          <w:i/>
          <w:iCs/>
          <w:kern w:val="0"/>
          <w:sz w:val="22"/>
          <w:szCs w:val="22"/>
          <w:lang w:eastAsia="en-GB"/>
          <w14:ligatures w14:val="none"/>
        </w:rPr>
        <w:t>Noncommunicable diseases</w:t>
      </w:r>
      <w:r w:rsidRPr="00153C8B">
        <w:rPr>
          <w:rFonts w:ascii="Arial" w:eastAsia="Times New Roman" w:hAnsi="Arial" w:cs="Arial"/>
          <w:kern w:val="0"/>
          <w:sz w:val="22"/>
          <w:szCs w:val="22"/>
          <w:lang w:eastAsia="en-GB"/>
          <w14:ligatures w14:val="none"/>
        </w:rPr>
        <w:t xml:space="preserve">. Geneva: World Health Organization. Available at: </w:t>
      </w:r>
      <w:hyperlink r:id="rId12" w:tgtFrame="_new" w:history="1">
        <w:r w:rsidRPr="00153C8B">
          <w:rPr>
            <w:rFonts w:ascii="Arial" w:eastAsia="Times New Roman" w:hAnsi="Arial" w:cs="Arial"/>
            <w:color w:val="0000FF"/>
            <w:kern w:val="0"/>
            <w:sz w:val="22"/>
            <w:szCs w:val="22"/>
            <w:u w:val="single"/>
            <w:lang w:eastAsia="en-GB"/>
            <w14:ligatures w14:val="none"/>
          </w:rPr>
          <w:t>https://www.who.int</w:t>
        </w:r>
      </w:hyperlink>
      <w:r w:rsidRPr="00153C8B">
        <w:rPr>
          <w:rFonts w:ascii="Arial" w:eastAsia="Times New Roman" w:hAnsi="Arial" w:cs="Arial"/>
          <w:kern w:val="0"/>
          <w:sz w:val="22"/>
          <w:szCs w:val="22"/>
          <w:lang w:eastAsia="en-GB"/>
          <w14:ligatures w14:val="none"/>
        </w:rPr>
        <w:t xml:space="preserve"> (Accessed: 10 December 2025).</w:t>
      </w:r>
    </w:p>
    <w:p w14:paraId="4355EEBE" w14:textId="77777777" w:rsidR="00153C8B" w:rsidRPr="00153C8B" w:rsidRDefault="00153C8B" w:rsidP="00153C8B">
      <w:pPr>
        <w:keepNext/>
        <w:keepLines/>
        <w:spacing w:before="40" w:after="0" w:line="259" w:lineRule="auto"/>
        <w:outlineLvl w:val="1"/>
        <w:rPr>
          <w:rFonts w:ascii="Arial" w:eastAsia="DengXian Light" w:hAnsi="Arial" w:cs="Arial"/>
          <w:color w:val="2F5496"/>
          <w:sz w:val="22"/>
          <w:szCs w:val="22"/>
          <w:lang w:eastAsia="zh-CN"/>
        </w:rPr>
      </w:pPr>
    </w:p>
    <w:p w14:paraId="38472001" w14:textId="77777777" w:rsidR="00BD5D8A" w:rsidRDefault="00BD5D8A"/>
    <w:sectPr w:rsidR="00BD5D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D8A"/>
    <w:rsid w:val="00047463"/>
    <w:rsid w:val="0004791F"/>
    <w:rsid w:val="000A72B8"/>
    <w:rsid w:val="00125A1E"/>
    <w:rsid w:val="00153C8B"/>
    <w:rsid w:val="001E24C6"/>
    <w:rsid w:val="002119C2"/>
    <w:rsid w:val="00430D39"/>
    <w:rsid w:val="00466712"/>
    <w:rsid w:val="00564D7D"/>
    <w:rsid w:val="009D1FC5"/>
    <w:rsid w:val="00A31C0C"/>
    <w:rsid w:val="00BD5D8A"/>
    <w:rsid w:val="00C82A5E"/>
    <w:rsid w:val="00D544F8"/>
    <w:rsid w:val="00EF5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43486"/>
  <w15:chartTrackingRefBased/>
  <w15:docId w15:val="{4C9FB3EA-5C6B-4609-8D0D-89678483D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5D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5D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5D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5D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5D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5D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5D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5D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5D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D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5D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5D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5D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5D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5D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5D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5D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5D8A"/>
    <w:rPr>
      <w:rFonts w:eastAsiaTheme="majorEastAsia" w:cstheme="majorBidi"/>
      <w:color w:val="272727" w:themeColor="text1" w:themeTint="D8"/>
    </w:rPr>
  </w:style>
  <w:style w:type="paragraph" w:styleId="Title">
    <w:name w:val="Title"/>
    <w:basedOn w:val="Normal"/>
    <w:next w:val="Normal"/>
    <w:link w:val="TitleChar"/>
    <w:uiPriority w:val="10"/>
    <w:qFormat/>
    <w:rsid w:val="00BD5D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5D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5D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5D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5D8A"/>
    <w:pPr>
      <w:spacing w:before="160"/>
      <w:jc w:val="center"/>
    </w:pPr>
    <w:rPr>
      <w:i/>
      <w:iCs/>
      <w:color w:val="404040" w:themeColor="text1" w:themeTint="BF"/>
    </w:rPr>
  </w:style>
  <w:style w:type="character" w:customStyle="1" w:styleId="QuoteChar">
    <w:name w:val="Quote Char"/>
    <w:basedOn w:val="DefaultParagraphFont"/>
    <w:link w:val="Quote"/>
    <w:uiPriority w:val="29"/>
    <w:rsid w:val="00BD5D8A"/>
    <w:rPr>
      <w:i/>
      <w:iCs/>
      <w:color w:val="404040" w:themeColor="text1" w:themeTint="BF"/>
    </w:rPr>
  </w:style>
  <w:style w:type="paragraph" w:styleId="ListParagraph">
    <w:name w:val="List Paragraph"/>
    <w:basedOn w:val="Normal"/>
    <w:uiPriority w:val="34"/>
    <w:qFormat/>
    <w:rsid w:val="00BD5D8A"/>
    <w:pPr>
      <w:ind w:left="720"/>
      <w:contextualSpacing/>
    </w:pPr>
  </w:style>
  <w:style w:type="character" w:styleId="IntenseEmphasis">
    <w:name w:val="Intense Emphasis"/>
    <w:basedOn w:val="DefaultParagraphFont"/>
    <w:uiPriority w:val="21"/>
    <w:qFormat/>
    <w:rsid w:val="00BD5D8A"/>
    <w:rPr>
      <w:i/>
      <w:iCs/>
      <w:color w:val="0F4761" w:themeColor="accent1" w:themeShade="BF"/>
    </w:rPr>
  </w:style>
  <w:style w:type="paragraph" w:styleId="IntenseQuote">
    <w:name w:val="Intense Quote"/>
    <w:basedOn w:val="Normal"/>
    <w:next w:val="Normal"/>
    <w:link w:val="IntenseQuoteChar"/>
    <w:uiPriority w:val="30"/>
    <w:qFormat/>
    <w:rsid w:val="00BD5D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5D8A"/>
    <w:rPr>
      <w:i/>
      <w:iCs/>
      <w:color w:val="0F4761" w:themeColor="accent1" w:themeShade="BF"/>
    </w:rPr>
  </w:style>
  <w:style w:type="character" w:styleId="IntenseReference">
    <w:name w:val="Intense Reference"/>
    <w:basedOn w:val="DefaultParagraphFont"/>
    <w:uiPriority w:val="32"/>
    <w:qFormat/>
    <w:rsid w:val="00BD5D8A"/>
    <w:rPr>
      <w:b/>
      <w:bCs/>
      <w:smallCaps/>
      <w:color w:val="0F4761" w:themeColor="accent1" w:themeShade="BF"/>
      <w:spacing w:val="5"/>
    </w:rPr>
  </w:style>
  <w:style w:type="paragraph" w:styleId="NormalWeb">
    <w:name w:val="Normal (Web)"/>
    <w:basedOn w:val="Normal"/>
    <w:uiPriority w:val="99"/>
    <w:semiHidden/>
    <w:unhideWhenUsed/>
    <w:rsid w:val="00BD5D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ice.org.uk" TargetMode="External"/><Relationship Id="rId12" Type="http://schemas.openxmlformats.org/officeDocument/2006/relationships/hyperlink" Target="https://www.who.i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kingsfund.org.uk" TargetMode="External"/><Relationship Id="rId11" Type="http://schemas.openxmlformats.org/officeDocument/2006/relationships/hyperlink" Target="https://www.who.int" TargetMode="External"/><Relationship Id="rId5" Type="http://schemas.openxmlformats.org/officeDocument/2006/relationships/hyperlink" Target="https://www.diabetes.org.uk" TargetMode="External"/><Relationship Id="rId10" Type="http://schemas.openxmlformats.org/officeDocument/2006/relationships/hyperlink" Target="https://www.gov.uk/government/organisations/uk-health-security-agency" TargetMode="External"/><Relationship Id="rId4" Type="http://schemas.openxmlformats.org/officeDocument/2006/relationships/image" Target="media/image1.png"/><Relationship Id="rId9" Type="http://schemas.openxmlformats.org/officeDocument/2006/relationships/hyperlink" Target="https://www.ons.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2047</Words>
  <Characters>11669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Poznanska</dc:creator>
  <cp:keywords/>
  <dc:description/>
  <cp:lastModifiedBy>Anna Poznanska</cp:lastModifiedBy>
  <cp:revision>11</cp:revision>
  <dcterms:created xsi:type="dcterms:W3CDTF">2025-12-12T12:50:00Z</dcterms:created>
  <dcterms:modified xsi:type="dcterms:W3CDTF">2025-12-12T14:31:00Z</dcterms:modified>
</cp:coreProperties>
</file>