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631A73" w14:textId="77777777" w:rsidR="00BC60EE" w:rsidRDefault="00510508">
      <w:pPr>
        <w:pStyle w:val="Title"/>
        <w:jc w:val="center"/>
        <w:rPr>
          <w:b/>
          <w:bCs/>
        </w:rPr>
      </w:pPr>
      <w:bookmarkStart w:id="0" w:name="_q7g22jg3mndz" w:colFirst="0" w:colLast="0"/>
      <w:bookmarkEnd w:id="0"/>
      <w:r>
        <w:rPr>
          <w:b/>
          <w:bCs/>
          <w:noProof/>
        </w:rPr>
        <w:drawing>
          <wp:inline distT="114300" distB="114300" distL="114300" distR="114300" wp14:anchorId="3B968275" wp14:editId="18179E25">
            <wp:extent cx="3757613" cy="127958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757613" cy="1279586"/>
                    </a:xfrm>
                    <a:prstGeom prst="rect">
                      <a:avLst/>
                    </a:prstGeom>
                    <a:ln/>
                  </pic:spPr>
                </pic:pic>
              </a:graphicData>
            </a:graphic>
          </wp:inline>
        </w:drawing>
      </w:r>
    </w:p>
    <w:p w14:paraId="6EFA7C4D" w14:textId="77777777" w:rsidR="00BC60EE" w:rsidRDefault="00BC60EE">
      <w:pPr>
        <w:pStyle w:val="Title"/>
        <w:jc w:val="center"/>
        <w:rPr>
          <w:b/>
          <w:bCs/>
        </w:rPr>
      </w:pPr>
      <w:bookmarkStart w:id="1" w:name="_te6jgcmpfobm" w:colFirst="0" w:colLast="0"/>
      <w:bookmarkEnd w:id="1"/>
    </w:p>
    <w:p w14:paraId="1A7F7D9A" w14:textId="77777777" w:rsidR="00BC60EE" w:rsidRDefault="00BC60EE">
      <w:pPr>
        <w:pStyle w:val="Title"/>
        <w:jc w:val="center"/>
        <w:rPr>
          <w:b/>
          <w:bCs/>
        </w:rPr>
      </w:pPr>
      <w:bookmarkStart w:id="2" w:name="_njv0amw70nnl" w:colFirst="0" w:colLast="0"/>
      <w:bookmarkEnd w:id="2"/>
    </w:p>
    <w:p w14:paraId="28023884" w14:textId="77777777" w:rsidR="00BC60EE" w:rsidRDefault="00510508">
      <w:pPr>
        <w:pStyle w:val="Title"/>
        <w:jc w:val="center"/>
        <w:rPr>
          <w:b/>
          <w:bCs/>
          <w:sz w:val="40"/>
          <w:szCs w:val="40"/>
        </w:rPr>
      </w:pPr>
      <w:bookmarkStart w:id="3" w:name="_l8lgds11uz9n" w:colFirst="0" w:colLast="0"/>
      <w:bookmarkEnd w:id="3"/>
      <w:r>
        <w:rPr>
          <w:b/>
          <w:bCs/>
          <w:sz w:val="40"/>
          <w:szCs w:val="40"/>
        </w:rPr>
        <w:t>Methods and Search Strategy Academic Poster</w:t>
      </w:r>
    </w:p>
    <w:p w14:paraId="783EE2F0" w14:textId="77777777" w:rsidR="00BC60EE" w:rsidRDefault="00BC60EE"/>
    <w:p w14:paraId="1F94F9DD" w14:textId="77777777" w:rsidR="00BC60EE" w:rsidRDefault="00BC60EE"/>
    <w:p w14:paraId="314263AF" w14:textId="77777777" w:rsidR="00BC60EE" w:rsidRDefault="00BC60EE"/>
    <w:p w14:paraId="5AF70697" w14:textId="77777777" w:rsidR="00BC60EE" w:rsidRDefault="00BC60EE"/>
    <w:p w14:paraId="51C4BCC6" w14:textId="77777777" w:rsidR="00BC60EE" w:rsidRDefault="00BC60EE"/>
    <w:p w14:paraId="038AE3AE" w14:textId="77777777" w:rsidR="00BC60EE" w:rsidRDefault="00510508">
      <w:pPr>
        <w:rPr>
          <w:b/>
          <w:bCs/>
          <w:sz w:val="32"/>
          <w:szCs w:val="32"/>
        </w:rPr>
      </w:pPr>
      <w:r>
        <w:rPr>
          <w:b/>
          <w:bCs/>
          <w:sz w:val="32"/>
          <w:szCs w:val="32"/>
        </w:rPr>
        <w:t>Student name:</w:t>
      </w:r>
    </w:p>
    <w:p w14:paraId="024D4555" w14:textId="77777777" w:rsidR="00BC60EE" w:rsidRDefault="00510508">
      <w:pPr>
        <w:rPr>
          <w:b/>
          <w:bCs/>
          <w:sz w:val="32"/>
          <w:szCs w:val="32"/>
        </w:rPr>
      </w:pPr>
      <w:r>
        <w:rPr>
          <w:b/>
          <w:bCs/>
          <w:sz w:val="32"/>
          <w:szCs w:val="32"/>
        </w:rPr>
        <w:t>Student ID:</w:t>
      </w:r>
    </w:p>
    <w:p w14:paraId="69698D6A" w14:textId="77777777" w:rsidR="00BC60EE" w:rsidRDefault="00BC60EE">
      <w:pPr>
        <w:rPr>
          <w:b/>
          <w:bCs/>
          <w:sz w:val="32"/>
          <w:szCs w:val="32"/>
        </w:rPr>
      </w:pPr>
    </w:p>
    <w:p w14:paraId="11631CEA" w14:textId="77777777" w:rsidR="00BC60EE" w:rsidRDefault="00510508">
      <w:pPr>
        <w:rPr>
          <w:b/>
          <w:bCs/>
          <w:sz w:val="32"/>
          <w:szCs w:val="32"/>
        </w:rPr>
      </w:pPr>
      <w:r>
        <w:rPr>
          <w:b/>
          <w:bCs/>
          <w:sz w:val="32"/>
          <w:szCs w:val="32"/>
        </w:rPr>
        <w:t>Module name: Independent Project</w:t>
      </w:r>
    </w:p>
    <w:p w14:paraId="2258FBBA" w14:textId="77777777" w:rsidR="00BC60EE" w:rsidRDefault="00510508">
      <w:pPr>
        <w:rPr>
          <w:b/>
          <w:bCs/>
          <w:sz w:val="32"/>
          <w:szCs w:val="32"/>
        </w:rPr>
      </w:pPr>
      <w:r>
        <w:rPr>
          <w:b/>
          <w:bCs/>
          <w:sz w:val="32"/>
          <w:szCs w:val="32"/>
        </w:rPr>
        <w:t xml:space="preserve">Module </w:t>
      </w:r>
      <w:proofErr w:type="gramStart"/>
      <w:r>
        <w:rPr>
          <w:b/>
          <w:bCs/>
          <w:sz w:val="32"/>
          <w:szCs w:val="32"/>
        </w:rPr>
        <w:t>code:BMHP</w:t>
      </w:r>
      <w:proofErr w:type="gramEnd"/>
      <w:r>
        <w:rPr>
          <w:b/>
          <w:bCs/>
          <w:sz w:val="32"/>
          <w:szCs w:val="32"/>
        </w:rPr>
        <w:t>6020</w:t>
      </w:r>
    </w:p>
    <w:p w14:paraId="4ABDC352" w14:textId="77777777" w:rsidR="00BC60EE" w:rsidRDefault="00BC60EE">
      <w:pPr>
        <w:rPr>
          <w:b/>
          <w:bCs/>
          <w:sz w:val="32"/>
          <w:szCs w:val="32"/>
        </w:rPr>
      </w:pPr>
    </w:p>
    <w:p w14:paraId="6CFAF5D5" w14:textId="77777777" w:rsidR="00BC60EE" w:rsidRDefault="00BC60EE">
      <w:pPr>
        <w:spacing w:line="360" w:lineRule="auto"/>
        <w:jc w:val="both"/>
        <w:rPr>
          <w:b/>
          <w:bCs/>
          <w:sz w:val="32"/>
          <w:szCs w:val="32"/>
        </w:rPr>
        <w:sectPr w:rsidR="00BC60EE">
          <w:pgSz w:w="11906" w:h="16838"/>
          <w:pgMar w:top="1440" w:right="1440" w:bottom="1440" w:left="1440" w:header="720" w:footer="720" w:gutter="0"/>
          <w:pgNumType w:start="1"/>
          <w:cols w:space="720"/>
        </w:sectPr>
      </w:pPr>
    </w:p>
    <w:p w14:paraId="72B5CC6F" w14:textId="77777777" w:rsidR="00BC60EE" w:rsidRDefault="00BC60EE">
      <w:pPr>
        <w:spacing w:line="360" w:lineRule="auto"/>
        <w:jc w:val="both"/>
        <w:rPr>
          <w:b/>
          <w:bCs/>
          <w:sz w:val="32"/>
          <w:szCs w:val="32"/>
        </w:rPr>
      </w:pPr>
    </w:p>
    <w:tbl>
      <w:tblPr>
        <w:tblStyle w:val="a"/>
        <w:tblW w:w="14520" w:type="dxa"/>
        <w:tblInd w:w="-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60"/>
        <w:gridCol w:w="6960"/>
      </w:tblGrid>
      <w:tr w:rsidR="00BC60EE" w14:paraId="56869B95" w14:textId="77777777">
        <w:trPr>
          <w:trHeight w:val="440"/>
        </w:trPr>
        <w:tc>
          <w:tcPr>
            <w:tcW w:w="14520" w:type="dxa"/>
            <w:gridSpan w:val="2"/>
            <w:shd w:val="clear" w:color="auto" w:fill="auto"/>
            <w:tcMar>
              <w:top w:w="100" w:type="dxa"/>
              <w:left w:w="100" w:type="dxa"/>
              <w:bottom w:w="100" w:type="dxa"/>
              <w:right w:w="100" w:type="dxa"/>
            </w:tcMar>
          </w:tcPr>
          <w:p w14:paraId="4370B96E"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Dissertation Title:</w:t>
            </w:r>
            <w:r>
              <w:rPr>
                <w:rFonts w:ascii="Times New Roman" w:eastAsia="Times New Roman" w:hAnsi="Times New Roman" w:cs="Times New Roman"/>
                <w:sz w:val="24"/>
                <w:szCs w:val="24"/>
              </w:rPr>
              <w:t xml:space="preserve"> Examining Economic and Geographic Barriers to Healthcare Access in Rural England: Challenges and Solutions</w:t>
            </w:r>
          </w:p>
        </w:tc>
      </w:tr>
      <w:tr w:rsidR="00BC60EE" w14:paraId="661BBD43" w14:textId="77777777">
        <w:tc>
          <w:tcPr>
            <w:tcW w:w="7560" w:type="dxa"/>
            <w:shd w:val="clear" w:color="auto" w:fill="auto"/>
            <w:tcMar>
              <w:top w:w="100" w:type="dxa"/>
              <w:left w:w="100" w:type="dxa"/>
              <w:bottom w:w="100" w:type="dxa"/>
              <w:right w:w="100" w:type="dxa"/>
            </w:tcMar>
          </w:tcPr>
          <w:p w14:paraId="050B8F2E" w14:textId="77777777" w:rsidR="00BC60EE" w:rsidRDefault="0051050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Introduction and Research Aims</w:t>
            </w:r>
          </w:p>
          <w:p w14:paraId="27808857"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methods chapter is a roadmap of a study outlining the exact methods of identifying, selecting and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information to make the research reproducible and rigorous. This poster lists the secondary research methodology that was deployed to explore the </w:t>
            </w:r>
            <w:r>
              <w:rPr>
                <w:rFonts w:ascii="Times New Roman" w:eastAsia="Times New Roman" w:hAnsi="Times New Roman" w:cs="Times New Roman"/>
                <w:sz w:val="24"/>
                <w:szCs w:val="24"/>
              </w:rPr>
              <w:t xml:space="preserve">topic of rural healthcare (Shah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2017).</w:t>
            </w:r>
          </w:p>
          <w:p w14:paraId="08FB4707"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Aim: The study aims to address the problem of geographic or economic constraints to healthcare in rural England.</w:t>
            </w:r>
          </w:p>
          <w:p w14:paraId="2AE08DB8" w14:textId="77777777" w:rsidR="00BC60EE" w:rsidRDefault="00BC60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6960" w:type="dxa"/>
            <w:shd w:val="clear" w:color="auto" w:fill="auto"/>
            <w:tcMar>
              <w:top w:w="100" w:type="dxa"/>
              <w:left w:w="100" w:type="dxa"/>
              <w:bottom w:w="100" w:type="dxa"/>
              <w:right w:w="100" w:type="dxa"/>
            </w:tcMar>
          </w:tcPr>
          <w:p w14:paraId="03A98BD6"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02 Search Strategy</w:t>
            </w:r>
          </w:p>
          <w:p w14:paraId="1A6648DE"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second research search strategy refers to a systematic method of locating the appropriate literature and data by using special keywords, databases, and filters.</w:t>
            </w:r>
          </w:p>
          <w:p w14:paraId="610621FF"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Strategy:</w:t>
            </w:r>
            <w:r>
              <w:rPr>
                <w:rFonts w:ascii="Times New Roman" w:eastAsia="Times New Roman" w:hAnsi="Times New Roman" w:cs="Times New Roman"/>
                <w:sz w:val="24"/>
                <w:szCs w:val="24"/>
              </w:rPr>
              <w:t xml:space="preserve"> In this project, the search terms were operated with Boolean operators (AND/OR) wit</w:t>
            </w:r>
            <w:r>
              <w:rPr>
                <w:rFonts w:ascii="Times New Roman" w:eastAsia="Times New Roman" w:hAnsi="Times New Roman" w:cs="Times New Roman"/>
                <w:sz w:val="24"/>
                <w:szCs w:val="24"/>
              </w:rPr>
              <w:t>h the terms such as: Rural England, Healthcare Access, and Economic Barriers.</w:t>
            </w:r>
          </w:p>
          <w:p w14:paraId="43531A10"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Execution: </w:t>
            </w:r>
            <w:r>
              <w:rPr>
                <w:rFonts w:ascii="Times New Roman" w:eastAsia="Times New Roman" w:hAnsi="Times New Roman" w:cs="Times New Roman"/>
                <w:sz w:val="24"/>
                <w:szCs w:val="24"/>
              </w:rPr>
              <w:t>This guaranteed the retrieved high-quality sources in academic and governmental repositories.</w:t>
            </w:r>
          </w:p>
        </w:tc>
      </w:tr>
      <w:tr w:rsidR="00BC60EE" w14:paraId="1FDF9149" w14:textId="77777777">
        <w:tc>
          <w:tcPr>
            <w:tcW w:w="7560" w:type="dxa"/>
            <w:shd w:val="clear" w:color="auto" w:fill="auto"/>
            <w:tcMar>
              <w:top w:w="100" w:type="dxa"/>
              <w:left w:w="100" w:type="dxa"/>
              <w:bottom w:w="100" w:type="dxa"/>
              <w:right w:w="100" w:type="dxa"/>
            </w:tcMar>
          </w:tcPr>
          <w:p w14:paraId="5138B14B" w14:textId="77777777" w:rsidR="00BC60EE" w:rsidRDefault="00510508">
            <w:pPr>
              <w:widowControl w:val="0"/>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03 Searching for Information</w:t>
            </w:r>
          </w:p>
          <w:p w14:paraId="06F6710D"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search process was based on retrieving the most applicable data on the current health issues in rural areas.</w:t>
            </w:r>
          </w:p>
          <w:p w14:paraId="375BBB4B"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1: Discovery o</w:t>
            </w:r>
            <w:r>
              <w:rPr>
                <w:rFonts w:ascii="Times New Roman" w:eastAsia="Times New Roman" w:hAnsi="Times New Roman" w:cs="Times New Roman"/>
                <w:sz w:val="24"/>
                <w:szCs w:val="24"/>
              </w:rPr>
              <w:t>f important databases such as Google Scholar, PubMed, and the UWTSD Library.</w:t>
            </w:r>
          </w:p>
          <w:p w14:paraId="552CEF3B"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2: Narrowing the search to only articles within the past decade to obtain up-to-date information.</w:t>
            </w:r>
          </w:p>
          <w:p w14:paraId="37E2931C"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Step 3: Screening abstracts and executive summaries to see how much it is </w:t>
            </w:r>
            <w:r>
              <w:rPr>
                <w:rFonts w:ascii="Times New Roman" w:eastAsia="Times New Roman" w:hAnsi="Times New Roman" w:cs="Times New Roman"/>
                <w:sz w:val="24"/>
                <w:szCs w:val="24"/>
              </w:rPr>
              <w:lastRenderedPageBreak/>
              <w:t>re</w:t>
            </w:r>
            <w:r>
              <w:rPr>
                <w:rFonts w:ascii="Times New Roman" w:eastAsia="Times New Roman" w:hAnsi="Times New Roman" w:cs="Times New Roman"/>
                <w:sz w:val="24"/>
                <w:szCs w:val="24"/>
              </w:rPr>
              <w:t>levant to the English rural context.</w:t>
            </w:r>
          </w:p>
        </w:tc>
        <w:tc>
          <w:tcPr>
            <w:tcW w:w="6960" w:type="dxa"/>
            <w:shd w:val="clear" w:color="auto" w:fill="auto"/>
            <w:tcMar>
              <w:top w:w="100" w:type="dxa"/>
              <w:left w:w="100" w:type="dxa"/>
              <w:bottom w:w="100" w:type="dxa"/>
              <w:right w:w="100" w:type="dxa"/>
            </w:tcMar>
          </w:tcPr>
          <w:p w14:paraId="0A326980"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04 Picture / Graph / Visual Aid / Statistics</w:t>
            </w:r>
          </w:p>
          <w:p w14:paraId="4B05FC30"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information lays emphasis on four key obstacles to access to healthcare in rural England. The most extreme limitation is Specialist Access that indicates a great challenge in getting intricate medical treatment (</w:t>
            </w:r>
            <w:proofErr w:type="spellStart"/>
            <w:r>
              <w:rPr>
                <w:rFonts w:ascii="Times New Roman" w:eastAsia="Times New Roman" w:hAnsi="Times New Roman" w:cs="Times New Roman"/>
                <w:sz w:val="24"/>
                <w:szCs w:val="24"/>
              </w:rPr>
              <w:t>Gobburi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Both Travel Dista</w:t>
            </w:r>
            <w:r>
              <w:rPr>
                <w:rFonts w:ascii="Times New Roman" w:eastAsia="Times New Roman" w:hAnsi="Times New Roman" w:cs="Times New Roman"/>
                <w:sz w:val="24"/>
                <w:szCs w:val="24"/>
              </w:rPr>
              <w:t xml:space="preserve">nce and Transport Option are rated high, demonstrating the way geographic distance and the lack of infrastructure compel residents to travel longer distances with less money. Lastly, Practitioner Availability implies that the ratio </w:t>
            </w:r>
            <w:r>
              <w:rPr>
                <w:rFonts w:ascii="Times New Roman" w:eastAsia="Times New Roman" w:hAnsi="Times New Roman" w:cs="Times New Roman"/>
                <w:sz w:val="24"/>
                <w:szCs w:val="24"/>
              </w:rPr>
              <w:lastRenderedPageBreak/>
              <w:t>of the number of medical</w:t>
            </w:r>
            <w:r>
              <w:rPr>
                <w:rFonts w:ascii="Times New Roman" w:eastAsia="Times New Roman" w:hAnsi="Times New Roman" w:cs="Times New Roman"/>
                <w:sz w:val="24"/>
                <w:szCs w:val="24"/>
              </w:rPr>
              <w:t xml:space="preserve"> staff is lower than in cities. All these combined contribute to the current unequal healthcare conditions and require a radical change in policies (Afni, 2023).</w:t>
            </w:r>
          </w:p>
          <w:p w14:paraId="3FA8891E" w14:textId="77777777" w:rsidR="00BC60EE" w:rsidRDefault="0051050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D1AAA89" wp14:editId="630D3357">
                  <wp:extent cx="3424238" cy="2123027"/>
                  <wp:effectExtent l="0" t="0" r="0" b="0"/>
                  <wp:docPr id="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6"/>
                          <a:srcRect/>
                          <a:stretch>
                            <a:fillRect/>
                          </a:stretch>
                        </pic:blipFill>
                        <pic:spPr>
                          <a:xfrm>
                            <a:off x="0" y="0"/>
                            <a:ext cx="3424238" cy="2123027"/>
                          </a:xfrm>
                          <a:prstGeom prst="rect">
                            <a:avLst/>
                          </a:prstGeom>
                          <a:ln/>
                        </pic:spPr>
                      </pic:pic>
                    </a:graphicData>
                  </a:graphic>
                </wp:inline>
              </w:drawing>
            </w:r>
          </w:p>
          <w:p w14:paraId="3FA108E8" w14:textId="77777777" w:rsidR="00BC60EE" w:rsidRDefault="00510508">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Impact score vs Barrier Category (self-made)</w:t>
            </w:r>
          </w:p>
        </w:tc>
      </w:tr>
      <w:tr w:rsidR="00BC60EE" w14:paraId="2A02A0A4" w14:textId="77777777">
        <w:trPr>
          <w:trHeight w:val="440"/>
        </w:trPr>
        <w:tc>
          <w:tcPr>
            <w:tcW w:w="14520" w:type="dxa"/>
            <w:gridSpan w:val="2"/>
            <w:shd w:val="clear" w:color="auto" w:fill="auto"/>
            <w:tcMar>
              <w:top w:w="100" w:type="dxa"/>
              <w:left w:w="100" w:type="dxa"/>
              <w:bottom w:w="100" w:type="dxa"/>
              <w:right w:w="100" w:type="dxa"/>
            </w:tcMar>
          </w:tcPr>
          <w:p w14:paraId="5ED571AA" w14:textId="77777777" w:rsidR="00BC60EE" w:rsidRDefault="00510508">
            <w:pPr>
              <w:widowControl w:val="0"/>
              <w:pBdr>
                <w:top w:val="nil"/>
                <w:left w:val="nil"/>
                <w:bottom w:val="nil"/>
                <w:right w:val="nil"/>
                <w:between w:val="nil"/>
              </w:pBd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05 Research Validation and Analysis</w:t>
            </w:r>
          </w:p>
          <w:p w14:paraId="3D765FEC"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Validation in secondary research can be described as checking the accuracy, credibility and authoritative source of the data collected.</w:t>
            </w:r>
          </w:p>
          <w:p w14:paraId="014AC06C"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Significance: Reliability is essential in coming up with effective policy recommendations.</w:t>
            </w:r>
          </w:p>
          <w:p w14:paraId="2BC4A0FD"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Thematic Analysis h</w:t>
            </w:r>
            <w:r>
              <w:rPr>
                <w:rFonts w:ascii="Times New Roman" w:eastAsia="Times New Roman" w:hAnsi="Times New Roman" w:cs="Times New Roman"/>
                <w:sz w:val="24"/>
                <w:szCs w:val="24"/>
              </w:rPr>
              <w:t>as been applied in this study.</w:t>
            </w:r>
          </w:p>
          <w:p w14:paraId="3160D4C4" w14:textId="77777777" w:rsidR="00BC60EE" w:rsidRDefault="0051050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Process: The literature was coded and trends observed to determine widespread themes (like the "urban-rural divide" and the "gap in specialist care) that will constitute the findings chapter.</w:t>
            </w:r>
          </w:p>
          <w:p w14:paraId="6ACF33C9" w14:textId="77777777" w:rsidR="00BC60EE" w:rsidRDefault="00BC60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BC60EE" w14:paraId="3962ADCA" w14:textId="77777777">
        <w:tc>
          <w:tcPr>
            <w:tcW w:w="7560" w:type="dxa"/>
            <w:shd w:val="clear" w:color="auto" w:fill="auto"/>
            <w:tcMar>
              <w:top w:w="100" w:type="dxa"/>
              <w:left w:w="100" w:type="dxa"/>
              <w:bottom w:w="100" w:type="dxa"/>
              <w:right w:w="100" w:type="dxa"/>
            </w:tcMar>
          </w:tcPr>
          <w:p w14:paraId="41D98420"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06 Inclusion Criteria</w:t>
            </w:r>
          </w:p>
          <w:p w14:paraId="50AEA394"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Recency: </w:t>
            </w:r>
            <w:r>
              <w:rPr>
                <w:rFonts w:ascii="Times New Roman" w:eastAsia="Times New Roman" w:hAnsi="Times New Roman" w:cs="Times New Roman"/>
                <w:sz w:val="24"/>
                <w:szCs w:val="24"/>
              </w:rPr>
              <w:t>The sources published are not older than 10 years (2015-2025).</w:t>
            </w:r>
          </w:p>
          <w:p w14:paraId="56C64A71"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Geography: Data narrowed down to the UK/England.</w:t>
            </w:r>
          </w:p>
          <w:p w14:paraId="1022BD8D"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Accessibility: Online, fully accessible peer-reviewed journal articles and government reports.</w:t>
            </w:r>
          </w:p>
        </w:tc>
        <w:tc>
          <w:tcPr>
            <w:tcW w:w="6960" w:type="dxa"/>
            <w:shd w:val="clear" w:color="auto" w:fill="auto"/>
            <w:tcMar>
              <w:top w:w="100" w:type="dxa"/>
              <w:left w:w="100" w:type="dxa"/>
              <w:bottom w:w="100" w:type="dxa"/>
              <w:right w:w="100" w:type="dxa"/>
            </w:tcMar>
          </w:tcPr>
          <w:p w14:paraId="1FCE7E4D"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07 Exclusion Criteria</w:t>
            </w:r>
          </w:p>
          <w:p w14:paraId="4FD00CAA"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Old Data: Any sources that </w:t>
            </w:r>
            <w:r>
              <w:rPr>
                <w:rFonts w:ascii="Times New Roman" w:eastAsia="Times New Roman" w:hAnsi="Times New Roman" w:cs="Times New Roman"/>
                <w:sz w:val="24"/>
                <w:szCs w:val="24"/>
              </w:rPr>
              <w:t>are above 10 years old.</w:t>
            </w:r>
          </w:p>
          <w:p w14:paraId="7B82B48A"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Inapplicable Scope: Experiments that were carried out in cities or other countries, other than the UK.</w:t>
            </w:r>
          </w:p>
          <w:p w14:paraId="605509B7"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Access: Sources that could not be accessed by the university or another publicly available databases.</w:t>
            </w:r>
          </w:p>
        </w:tc>
      </w:tr>
      <w:tr w:rsidR="00BC60EE" w14:paraId="776360E1" w14:textId="77777777">
        <w:trPr>
          <w:trHeight w:val="440"/>
        </w:trPr>
        <w:tc>
          <w:tcPr>
            <w:tcW w:w="14520" w:type="dxa"/>
            <w:gridSpan w:val="2"/>
            <w:shd w:val="clear" w:color="auto" w:fill="auto"/>
            <w:tcMar>
              <w:top w:w="100" w:type="dxa"/>
              <w:left w:w="100" w:type="dxa"/>
              <w:bottom w:w="100" w:type="dxa"/>
              <w:right w:w="100" w:type="dxa"/>
            </w:tcMar>
          </w:tcPr>
          <w:p w14:paraId="19B1DEF9" w14:textId="77777777" w:rsidR="00BC60EE" w:rsidRDefault="00510508">
            <w:pPr>
              <w:widowControl w:val="0"/>
              <w:pBdr>
                <w:top w:val="nil"/>
                <w:left w:val="nil"/>
                <w:bottom w:val="nil"/>
                <w:right w:val="nil"/>
                <w:between w:val="nil"/>
              </w:pBd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08 Ethical Considerations</w:t>
            </w:r>
          </w:p>
          <w:p w14:paraId="57C3BFF6"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secondary research, the ethical issue concerns the responsible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already existing data, making sure tha</w:t>
            </w:r>
            <w:r>
              <w:rPr>
                <w:rFonts w:ascii="Times New Roman" w:eastAsia="Times New Roman" w:hAnsi="Times New Roman" w:cs="Times New Roman"/>
                <w:sz w:val="24"/>
                <w:szCs w:val="24"/>
              </w:rPr>
              <w:t>t the work of the original authors is not violated and that no additional damage is produced.</w:t>
            </w:r>
          </w:p>
          <w:p w14:paraId="0BA8217A" w14:textId="77777777" w:rsidR="00BC60EE" w:rsidRDefault="0051050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mc:AlternateContent>
                <mc:Choice Requires="wps">
                  <w:drawing>
                    <wp:inline distT="114300" distB="114300" distL="114300" distR="114300" wp14:anchorId="0C778E30" wp14:editId="61968B65">
                      <wp:extent cx="1485900" cy="1295400"/>
                      <wp:effectExtent l="0" t="0" r="0" b="0"/>
                      <wp:docPr id="1" name="Text Box 1"/>
                      <wp:cNvGraphicFramePr/>
                      <a:graphic xmlns:a="http://schemas.openxmlformats.org/drawingml/2006/main">
                        <a:graphicData uri="http://schemas.microsoft.com/office/word/2010/wordprocessingShape">
                          <wps:wsp>
                            <wps:cNvSpPr txBox="1"/>
                            <wps:spPr>
                              <a:xfrm>
                                <a:off x="1114600" y="951000"/>
                                <a:ext cx="1465200" cy="1277400"/>
                              </a:xfrm>
                              <a:prstGeom prst="rect">
                                <a:avLst/>
                              </a:prstGeom>
                              <a:solidFill>
                                <a:srgbClr val="C9DAF8"/>
                              </a:solidFill>
                              <a:ln>
                                <a:noFill/>
                              </a:ln>
                            </wps:spPr>
                            <wps:txbx>
                              <w:txbxContent>
                                <w:p w14:paraId="64DD170D" w14:textId="77777777" w:rsidR="00BC60EE" w:rsidRDefault="00510508">
                                  <w:pPr>
                                    <w:spacing w:line="240" w:lineRule="auto"/>
                                    <w:jc w:val="both"/>
                                    <w:textDirection w:val="btLr"/>
                                  </w:pPr>
                                  <w:r>
                                    <w:rPr>
                                      <w:rFonts w:ascii="Times New Roman" w:eastAsia="Times New Roman" w:hAnsi="Times New Roman" w:cs="Times New Roman"/>
                                      <w:b/>
                                      <w:color w:val="000000"/>
                                    </w:rPr>
                                    <w:t>Intellectual Property</w:t>
                                  </w:r>
                                </w:p>
                                <w:p w14:paraId="10CA4B15" w14:textId="77777777" w:rsidR="00BC60EE" w:rsidRDefault="00510508">
                                  <w:pPr>
                                    <w:spacing w:line="240" w:lineRule="auto"/>
                                    <w:jc w:val="both"/>
                                    <w:textDirection w:val="btLr"/>
                                  </w:pPr>
                                  <w:r>
                                    <w:rPr>
                                      <w:rFonts w:ascii="Times New Roman" w:eastAsia="Times New Roman" w:hAnsi="Times New Roman" w:cs="Times New Roman"/>
                                      <w:color w:val="000000"/>
                                      <w:sz w:val="24"/>
                                    </w:rPr>
                                    <w:t>All original sources have the UWTSD Harvard referencing so that no plagiarism can occur.</w:t>
                                  </w:r>
                                </w:p>
                              </w:txbxContent>
                            </wps:txbx>
                            <wps:bodyPr spcFirstLastPara="1" wrap="square" lIns="91425" tIns="91425" rIns="91425" bIns="91425" anchor="t" anchorCtr="0">
                              <a:spAutoFit/>
                            </wps:bodyPr>
                          </wps:wsp>
                        </a:graphicData>
                      </a:graphic>
                    </wp:inline>
                  </w:drawing>
                </mc:Choice>
                <mc:Fallback>
                  <w:pict>
                    <v:shapetype w14:anchorId="0C778E30" id="_x0000_t202" coordsize="21600,21600" o:spt="202" path="m,l,21600r21600,l21600,xe">
                      <v:stroke joinstyle="miter"/>
                      <v:path gradientshapeok="t" o:connecttype="rect"/>
                    </v:shapetype>
                    <v:shape id="Text Box 1" o:spid="_x0000_s1026" type="#_x0000_t202" style="width:117pt;height:1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" fillcolor="#c9daf8" stroked="f">
                      <v:textbox style="mso-fit-shape-to-text:t" inset="2.53958mm,2.53958mm,2.53958mm,2.53958mm">
                        <w:txbxContent>
                          <w:p w14:paraId="64DD170D" w14:textId="77777777" w:rsidR="00BC60EE" w:rsidRDefault="00510508">
                            <w:pPr>
                              <w:spacing w:line="240" w:lineRule="auto"/>
                              <w:jc w:val="both"/>
                              <w:textDirection w:val="btLr"/>
                            </w:pPr>
                            <w:r>
                              <w:rPr>
                                <w:rFonts w:ascii="Times New Roman" w:eastAsia="Times New Roman" w:hAnsi="Times New Roman" w:cs="Times New Roman"/>
                                <w:b/>
                                <w:color w:val="000000"/>
                              </w:rPr>
                              <w:t>Intellectual Property</w:t>
                            </w:r>
                          </w:p>
                          <w:p w14:paraId="10CA4B15" w14:textId="77777777" w:rsidR="00BC60EE" w:rsidRDefault="00510508">
                            <w:pPr>
                              <w:spacing w:line="240" w:lineRule="auto"/>
                              <w:jc w:val="both"/>
                              <w:textDirection w:val="btLr"/>
                            </w:pPr>
                            <w:r>
                              <w:rPr>
                                <w:rFonts w:ascii="Times New Roman" w:eastAsia="Times New Roman" w:hAnsi="Times New Roman" w:cs="Times New Roman"/>
                                <w:color w:val="000000"/>
                                <w:sz w:val="24"/>
                              </w:rPr>
                              <w:t>All original sources have the UWTSD Harvard referencing so that no plagiarism can occur.</w:t>
                            </w:r>
                          </w:p>
                        </w:txbxContent>
                      </v:textbox>
                      <w10:anchorlock/>
                    </v:shape>
                  </w:pict>
                </mc:Fallback>
              </mc:AlternateConten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mc:AlternateContent>
                <mc:Choice Requires="wps">
                  <w:drawing>
                    <wp:inline distT="114300" distB="114300" distL="114300" distR="114300" wp14:anchorId="676E983A" wp14:editId="18D2D08D">
                      <wp:extent cx="1862138" cy="1247775"/>
                      <wp:effectExtent l="0" t="0" r="0" b="0"/>
                      <wp:docPr id="2" name="Text Box 2"/>
                      <wp:cNvGraphicFramePr/>
                      <a:graphic xmlns:a="http://schemas.openxmlformats.org/drawingml/2006/main">
                        <a:graphicData uri="http://schemas.microsoft.com/office/word/2010/wordprocessingShape">
                          <wps:wsp>
                            <wps:cNvSpPr txBox="1"/>
                            <wps:spPr>
                              <a:xfrm>
                                <a:off x="1690050" y="1812975"/>
                                <a:ext cx="2178000" cy="1477500"/>
                              </a:xfrm>
                              <a:prstGeom prst="rect">
                                <a:avLst/>
                              </a:prstGeom>
                              <a:solidFill>
                                <a:srgbClr val="CFE2F3"/>
                              </a:solidFill>
                              <a:ln>
                                <a:noFill/>
                              </a:ln>
                            </wps:spPr>
                            <wps:txbx>
                              <w:txbxContent>
                                <w:p w14:paraId="4692FD1C"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Data integrity</w:t>
                                  </w:r>
                                  <w:r>
                                    <w:rPr>
                                      <w:rFonts w:ascii="Times New Roman" w:eastAsia="Times New Roman" w:hAnsi="Times New Roman" w:cs="Times New Roman"/>
                                      <w:color w:val="000000"/>
                                      <w:sz w:val="24"/>
                                    </w:rPr>
                                    <w:t xml:space="preserve"> </w:t>
                                  </w:r>
                                </w:p>
                                <w:p w14:paraId="10050187" w14:textId="77777777" w:rsidR="00BC60EE" w:rsidRDefault="00510508">
                                  <w:pPr>
                                    <w:spacing w:line="360" w:lineRule="auto"/>
                                    <w:jc w:val="both"/>
                                    <w:textDirection w:val="btLr"/>
                                  </w:pPr>
                                  <w:r>
                                    <w:rPr>
                                      <w:rFonts w:ascii="Times New Roman" w:eastAsia="Times New Roman" w:hAnsi="Times New Roman" w:cs="Times New Roman"/>
                                      <w:color w:val="000000"/>
                                      <w:sz w:val="24"/>
                                    </w:rPr>
                                    <w:t>The integrity of the study was ensured by using peer reviewed, trustworthy and official governmental sources.</w:t>
                                  </w:r>
                                </w:p>
                              </w:txbxContent>
                            </wps:txbx>
                            <wps:bodyPr spcFirstLastPara="1" wrap="square" lIns="91425" tIns="91425" rIns="91425" bIns="91425" anchor="t" anchorCtr="0">
                              <a:spAutoFit/>
                            </wps:bodyPr>
                          </wps:wsp>
                        </a:graphicData>
                      </a:graphic>
                    </wp:inline>
                  </w:drawing>
                </mc:Choice>
                <mc:Fallback>
                  <w:pict>
                    <v:shape w14:anchorId="676E983A" id="Text Box 2" o:spid="_x0000_s1027" type="#_x0000_t202" style="width:146.65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" fillcolor="#cfe2f3" stroked="f">
                      <v:textbox style="mso-fit-shape-to-text:t" inset="2.53958mm,2.53958mm,2.53958mm,2.53958mm">
                        <w:txbxContent>
                          <w:p w14:paraId="4692FD1C"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Data integrity</w:t>
                            </w:r>
                            <w:r>
                              <w:rPr>
                                <w:rFonts w:ascii="Times New Roman" w:eastAsia="Times New Roman" w:hAnsi="Times New Roman" w:cs="Times New Roman"/>
                                <w:color w:val="000000"/>
                                <w:sz w:val="24"/>
                              </w:rPr>
                              <w:t xml:space="preserve"> </w:t>
                            </w:r>
                          </w:p>
                          <w:p w14:paraId="10050187" w14:textId="77777777" w:rsidR="00BC60EE" w:rsidRDefault="00510508">
                            <w:pPr>
                              <w:spacing w:line="360" w:lineRule="auto"/>
                              <w:jc w:val="both"/>
                              <w:textDirection w:val="btLr"/>
                            </w:pPr>
                            <w:r>
                              <w:rPr>
                                <w:rFonts w:ascii="Times New Roman" w:eastAsia="Times New Roman" w:hAnsi="Times New Roman" w:cs="Times New Roman"/>
                                <w:color w:val="000000"/>
                                <w:sz w:val="24"/>
                              </w:rPr>
                              <w:t>The integrity of the study was ensured by using peer reviewed, trustworthy and official governmental sources.</w:t>
                            </w:r>
                          </w:p>
                        </w:txbxContent>
                      </v:textbox>
                      <w10:anchorlock/>
                    </v:shape>
                  </w:pict>
                </mc:Fallback>
              </mc:AlternateConten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mc:AlternateContent>
                <mc:Choice Requires="wps">
                  <w:drawing>
                    <wp:inline distT="114300" distB="114300" distL="114300" distR="114300" wp14:anchorId="6A975EC7" wp14:editId="4C1BE2EA">
                      <wp:extent cx="3019425" cy="1219200"/>
                      <wp:effectExtent l="0" t="0" r="0" b="0"/>
                      <wp:docPr id="3" name="Text Box 3"/>
                      <wp:cNvGraphicFramePr/>
                      <a:graphic xmlns:a="http://schemas.openxmlformats.org/drawingml/2006/main">
                        <a:graphicData uri="http://schemas.microsoft.com/office/word/2010/wordprocessingShape">
                          <wps:wsp>
                            <wps:cNvSpPr txBox="1"/>
                            <wps:spPr>
                              <a:xfrm>
                                <a:off x="1605425" y="1114600"/>
                                <a:ext cx="3000000" cy="1200600"/>
                              </a:xfrm>
                              <a:prstGeom prst="rect">
                                <a:avLst/>
                              </a:prstGeom>
                              <a:solidFill>
                                <a:srgbClr val="C9DAF8"/>
                              </a:solidFill>
                              <a:ln>
                                <a:noFill/>
                              </a:ln>
                            </wps:spPr>
                            <wps:txbx>
                              <w:txbxContent>
                                <w:p w14:paraId="5EC836F8"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Confidenti</w:t>
                                  </w:r>
                                  <w:r>
                                    <w:rPr>
                                      <w:rFonts w:ascii="Times New Roman" w:eastAsia="Times New Roman" w:hAnsi="Times New Roman" w:cs="Times New Roman"/>
                                      <w:b/>
                                      <w:color w:val="000000"/>
                                      <w:sz w:val="24"/>
                                    </w:rPr>
                                    <w:t>ality</w:t>
                                  </w:r>
                                </w:p>
                                <w:p w14:paraId="41F1AE85" w14:textId="77777777" w:rsidR="00BC60EE" w:rsidRDefault="00510508">
                                  <w:pPr>
                                    <w:spacing w:line="360" w:lineRule="auto"/>
                                    <w:jc w:val="both"/>
                                    <w:textDirection w:val="btLr"/>
                                  </w:pPr>
                                  <w:r>
                                    <w:rPr>
                                      <w:rFonts w:ascii="Times New Roman" w:eastAsia="Times New Roman" w:hAnsi="Times New Roman" w:cs="Times New Roman"/>
                                      <w:color w:val="000000"/>
                                      <w:sz w:val="24"/>
                                    </w:rPr>
                                    <w:t>No human participants were involved, but all the secondary data were managed according to GDPR and privacy principles.</w:t>
                                  </w:r>
                                </w:p>
                              </w:txbxContent>
                            </wps:txbx>
                            <wps:bodyPr spcFirstLastPara="1" wrap="square" lIns="91425" tIns="91425" rIns="91425" bIns="91425" anchor="t" anchorCtr="0">
                              <a:spAutoFit/>
                            </wps:bodyPr>
                          </wps:wsp>
                        </a:graphicData>
                      </a:graphic>
                    </wp:inline>
                  </w:drawing>
                </mc:Choice>
                <mc:Fallback>
                  <w:pict>
                    <v:shape w14:anchorId="6A975EC7" id="Text Box 3" o:spid="_x0000_s1028" type="#_x0000_t202" style="width:237.75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" fillcolor="#c9daf8" stroked="f">
                      <v:textbox style="mso-fit-shape-to-text:t" inset="2.53958mm,2.53958mm,2.53958mm,2.53958mm">
                        <w:txbxContent>
                          <w:p w14:paraId="5EC836F8" w14:textId="77777777" w:rsidR="00BC60EE" w:rsidRDefault="00510508">
                            <w:pPr>
                              <w:spacing w:line="360" w:lineRule="auto"/>
                              <w:jc w:val="center"/>
                              <w:textDirection w:val="btLr"/>
                            </w:pPr>
                            <w:r>
                              <w:rPr>
                                <w:rFonts w:ascii="Times New Roman" w:eastAsia="Times New Roman" w:hAnsi="Times New Roman" w:cs="Times New Roman"/>
                                <w:b/>
                                <w:color w:val="000000"/>
                                <w:sz w:val="24"/>
                              </w:rPr>
                              <w:t>Confidenti</w:t>
                            </w:r>
                            <w:r>
                              <w:rPr>
                                <w:rFonts w:ascii="Times New Roman" w:eastAsia="Times New Roman" w:hAnsi="Times New Roman" w:cs="Times New Roman"/>
                                <w:b/>
                                <w:color w:val="000000"/>
                                <w:sz w:val="24"/>
                              </w:rPr>
                              <w:t>ality</w:t>
                            </w:r>
                          </w:p>
                          <w:p w14:paraId="41F1AE85" w14:textId="77777777" w:rsidR="00BC60EE" w:rsidRDefault="00510508">
                            <w:pPr>
                              <w:spacing w:line="360" w:lineRule="auto"/>
                              <w:jc w:val="both"/>
                              <w:textDirection w:val="btLr"/>
                            </w:pPr>
                            <w:r>
                              <w:rPr>
                                <w:rFonts w:ascii="Times New Roman" w:eastAsia="Times New Roman" w:hAnsi="Times New Roman" w:cs="Times New Roman"/>
                                <w:color w:val="000000"/>
                                <w:sz w:val="24"/>
                              </w:rPr>
                              <w:t>No human participants were involved, but all the secondary data were managed according to GDPR and privacy principles.</w:t>
                            </w:r>
                          </w:p>
                        </w:txbxContent>
                      </v:textbox>
                      <w10:anchorlock/>
                    </v:shape>
                  </w:pict>
                </mc:Fallback>
              </mc:AlternateContent>
            </w:r>
          </w:p>
          <w:p w14:paraId="4C190861" w14:textId="77777777" w:rsidR="00BC60EE" w:rsidRDefault="00BC60E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bl>
    <w:p w14:paraId="3A888A4E" w14:textId="77777777" w:rsidR="00BC60EE" w:rsidRDefault="00BC60EE">
      <w:pPr>
        <w:spacing w:line="360" w:lineRule="auto"/>
        <w:jc w:val="both"/>
        <w:rPr>
          <w:rFonts w:ascii="Times New Roman" w:eastAsia="Times New Roman" w:hAnsi="Times New Roman" w:cs="Times New Roman"/>
          <w:b/>
          <w:bCs/>
          <w:sz w:val="32"/>
          <w:szCs w:val="32"/>
        </w:rPr>
        <w:sectPr w:rsidR="00BC60EE">
          <w:pgSz w:w="16838" w:h="11906" w:orient="landscape"/>
          <w:pgMar w:top="1440" w:right="1440" w:bottom="1440" w:left="1440" w:header="720" w:footer="720" w:gutter="0"/>
          <w:cols w:space="720"/>
        </w:sectPr>
      </w:pPr>
    </w:p>
    <w:p w14:paraId="232EA1D6" w14:textId="77777777" w:rsidR="00BC60EE" w:rsidRDefault="00510508">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lastRenderedPageBreak/>
        <w:t>References</w:t>
      </w:r>
    </w:p>
    <w:p w14:paraId="4A6BE785" w14:textId="77777777" w:rsidR="00510508" w:rsidRDefault="00510508">
      <w:pPr>
        <w:spacing w:before="260" w:after="260" w:line="360" w:lineRule="auto"/>
        <w:jc w:val="both"/>
        <w:rPr>
          <w:rFonts w:ascii="Times New Roman" w:eastAsia="Times New Roman" w:hAnsi="Times New Roman" w:cs="Times New Roman"/>
          <w:sz w:val="24"/>
          <w:szCs w:val="24"/>
          <w:highlight w:val="white"/>
        </w:rPr>
        <w:sectPr w:rsidR="00510508" w:rsidSect="00510508">
          <w:pgSz w:w="11906" w:h="16838" w:code="9"/>
          <w:pgMar w:top="1440" w:right="1440" w:bottom="1440" w:left="1440" w:header="720" w:footer="720" w:gutter="0"/>
          <w:cols w:space="720"/>
          <w:docGrid w:linePitch="299"/>
        </w:sectPr>
      </w:pPr>
    </w:p>
    <w:p w14:paraId="289DB21C"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Afni, N., 2023. Disparities in Healthcare Access: Addressing Systemic Barriers in Urban and Rural Communities. </w:t>
      </w:r>
      <w:r>
        <w:rPr>
          <w:rFonts w:ascii="Times New Roman" w:eastAsia="Times New Roman" w:hAnsi="Times New Roman" w:cs="Times New Roman"/>
          <w:i/>
          <w:iCs/>
          <w:sz w:val="24"/>
          <w:szCs w:val="24"/>
          <w:highlight w:val="white"/>
        </w:rPr>
        <w:t>Journal of Health Literacy and Qualitative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(2), pp.112-122.</w:t>
      </w:r>
    </w:p>
    <w:p w14:paraId="44C69904"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Afni, N., 2023. Disparities in Healthcare Access: Addressing Systemic Barriers in Urban and Rural Communities. </w:t>
      </w:r>
      <w:r>
        <w:rPr>
          <w:rFonts w:ascii="Times New Roman" w:eastAsia="Times New Roman" w:hAnsi="Times New Roman" w:cs="Times New Roman"/>
          <w:i/>
          <w:iCs/>
          <w:sz w:val="24"/>
          <w:szCs w:val="24"/>
          <w:highlight w:val="white"/>
        </w:rPr>
        <w:t>Journal of Health Literacy and Qualitative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(2), pp.112-122.</w:t>
      </w:r>
    </w:p>
    <w:p w14:paraId="11E8F4D0"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Cyr, M.E., </w:t>
      </w:r>
      <w:proofErr w:type="spellStart"/>
      <w:r>
        <w:rPr>
          <w:rFonts w:ascii="Times New Roman" w:eastAsia="Times New Roman" w:hAnsi="Times New Roman" w:cs="Times New Roman"/>
          <w:sz w:val="24"/>
          <w:szCs w:val="24"/>
          <w:highlight w:val="white"/>
        </w:rPr>
        <w:t>Etchin</w:t>
      </w:r>
      <w:proofErr w:type="spellEnd"/>
      <w:r>
        <w:rPr>
          <w:rFonts w:ascii="Times New Roman" w:eastAsia="Times New Roman" w:hAnsi="Times New Roman" w:cs="Times New Roman"/>
          <w:sz w:val="24"/>
          <w:szCs w:val="24"/>
          <w:highlight w:val="white"/>
        </w:rPr>
        <w:t xml:space="preserve">, A.G., Guthrie, B.J. and </w:t>
      </w:r>
      <w:proofErr w:type="spellStart"/>
      <w:r>
        <w:rPr>
          <w:rFonts w:ascii="Times New Roman" w:eastAsia="Times New Roman" w:hAnsi="Times New Roman" w:cs="Times New Roman"/>
          <w:sz w:val="24"/>
          <w:szCs w:val="24"/>
          <w:highlight w:val="white"/>
        </w:rPr>
        <w:t>Benneyan</w:t>
      </w:r>
      <w:proofErr w:type="spellEnd"/>
      <w:r>
        <w:rPr>
          <w:rFonts w:ascii="Times New Roman" w:eastAsia="Times New Roman" w:hAnsi="Times New Roman" w:cs="Times New Roman"/>
          <w:sz w:val="24"/>
          <w:szCs w:val="24"/>
          <w:highlight w:val="white"/>
        </w:rPr>
        <w:t xml:space="preserve">, J.C., 2019. Access to </w:t>
      </w:r>
      <w:proofErr w:type="spellStart"/>
      <w:r>
        <w:rPr>
          <w:rFonts w:ascii="Times New Roman" w:eastAsia="Times New Roman" w:hAnsi="Times New Roman" w:cs="Times New Roman"/>
          <w:sz w:val="24"/>
          <w:szCs w:val="24"/>
          <w:highlight w:val="white"/>
        </w:rPr>
        <w:t>speciality</w:t>
      </w:r>
      <w:proofErr w:type="spellEnd"/>
      <w:r>
        <w:rPr>
          <w:rFonts w:ascii="Times New Roman" w:eastAsia="Times New Roman" w:hAnsi="Times New Roman" w:cs="Times New Roman"/>
          <w:sz w:val="24"/>
          <w:szCs w:val="24"/>
          <w:highlight w:val="white"/>
        </w:rPr>
        <w:t xml:space="preserve"> healthcare in urban versus rural US populations: a systematic literature review. </w:t>
      </w:r>
      <w:r>
        <w:rPr>
          <w:rFonts w:ascii="Times New Roman" w:eastAsia="Times New Roman" w:hAnsi="Times New Roman" w:cs="Times New Roman"/>
          <w:i/>
          <w:iCs/>
          <w:sz w:val="24"/>
          <w:szCs w:val="24"/>
          <w:highlight w:val="white"/>
        </w:rPr>
        <w:t>BMC Health Services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19</w:t>
      </w:r>
      <w:r>
        <w:rPr>
          <w:rFonts w:ascii="Times New Roman" w:eastAsia="Times New Roman" w:hAnsi="Times New Roman" w:cs="Times New Roman"/>
          <w:sz w:val="24"/>
          <w:szCs w:val="24"/>
          <w:highlight w:val="white"/>
        </w:rPr>
        <w:t>(1), p.974.</w:t>
      </w:r>
    </w:p>
    <w:p w14:paraId="3104988B"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Gobburi</w:t>
      </w:r>
      <w:proofErr w:type="spellEnd"/>
      <w:r>
        <w:rPr>
          <w:rFonts w:ascii="Times New Roman" w:eastAsia="Times New Roman" w:hAnsi="Times New Roman" w:cs="Times New Roman"/>
          <w:sz w:val="24"/>
          <w:szCs w:val="24"/>
          <w:highlight w:val="white"/>
        </w:rPr>
        <w:t xml:space="preserve">, R.K., </w:t>
      </w:r>
      <w:proofErr w:type="spellStart"/>
      <w:r>
        <w:rPr>
          <w:rFonts w:ascii="Times New Roman" w:eastAsia="Times New Roman" w:hAnsi="Times New Roman" w:cs="Times New Roman"/>
          <w:sz w:val="24"/>
          <w:szCs w:val="24"/>
          <w:highlight w:val="white"/>
        </w:rPr>
        <w:t>Olawade</w:t>
      </w:r>
      <w:proofErr w:type="spellEnd"/>
      <w:r>
        <w:rPr>
          <w:rFonts w:ascii="Times New Roman" w:eastAsia="Times New Roman" w:hAnsi="Times New Roman" w:cs="Times New Roman"/>
          <w:sz w:val="24"/>
          <w:szCs w:val="24"/>
          <w:highlight w:val="white"/>
        </w:rPr>
        <w:t xml:space="preserve">, D.B., Olatunji, G.D., </w:t>
      </w:r>
      <w:proofErr w:type="spellStart"/>
      <w:r>
        <w:rPr>
          <w:rFonts w:ascii="Times New Roman" w:eastAsia="Times New Roman" w:hAnsi="Times New Roman" w:cs="Times New Roman"/>
          <w:sz w:val="24"/>
          <w:szCs w:val="24"/>
          <w:highlight w:val="white"/>
        </w:rPr>
        <w:t>Kokori</w:t>
      </w:r>
      <w:proofErr w:type="spellEnd"/>
      <w:r>
        <w:rPr>
          <w:rFonts w:ascii="Times New Roman" w:eastAsia="Times New Roman" w:hAnsi="Times New Roman" w:cs="Times New Roman"/>
          <w:sz w:val="24"/>
          <w:szCs w:val="24"/>
          <w:highlight w:val="white"/>
        </w:rPr>
        <w:t xml:space="preserve">, E., </w:t>
      </w:r>
      <w:proofErr w:type="spellStart"/>
      <w:r>
        <w:rPr>
          <w:rFonts w:ascii="Times New Roman" w:eastAsia="Times New Roman" w:hAnsi="Times New Roman" w:cs="Times New Roman"/>
          <w:sz w:val="24"/>
          <w:szCs w:val="24"/>
          <w:highlight w:val="white"/>
        </w:rPr>
        <w:t>Aderinto</w:t>
      </w:r>
      <w:proofErr w:type="spellEnd"/>
      <w:r>
        <w:rPr>
          <w:rFonts w:ascii="Times New Roman" w:eastAsia="Times New Roman" w:hAnsi="Times New Roman" w:cs="Times New Roman"/>
          <w:sz w:val="24"/>
          <w:szCs w:val="24"/>
          <w:highlight w:val="white"/>
        </w:rPr>
        <w:t>, N. and David-</w:t>
      </w:r>
      <w:proofErr w:type="spellStart"/>
      <w:r>
        <w:rPr>
          <w:rFonts w:ascii="Times New Roman" w:eastAsia="Times New Roman" w:hAnsi="Times New Roman" w:cs="Times New Roman"/>
          <w:sz w:val="24"/>
          <w:szCs w:val="24"/>
          <w:highlight w:val="white"/>
        </w:rPr>
        <w:t>Olawade</w:t>
      </w:r>
      <w:proofErr w:type="spellEnd"/>
      <w:r>
        <w:rPr>
          <w:rFonts w:ascii="Times New Roman" w:eastAsia="Times New Roman" w:hAnsi="Times New Roman" w:cs="Times New Roman"/>
          <w:sz w:val="24"/>
          <w:szCs w:val="24"/>
          <w:highlight w:val="white"/>
        </w:rPr>
        <w:t xml:space="preserve">, A.C., 2025. Telemedicine use in rural areas of the United Kingdom to improve access to healthcare facilities: A review of current evidence. </w:t>
      </w:r>
      <w:r>
        <w:rPr>
          <w:rFonts w:ascii="Times New Roman" w:eastAsia="Times New Roman" w:hAnsi="Times New Roman" w:cs="Times New Roman"/>
          <w:i/>
          <w:iCs/>
          <w:sz w:val="24"/>
          <w:szCs w:val="24"/>
          <w:highlight w:val="white"/>
        </w:rPr>
        <w:t>Informatics and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w:t>
      </w:r>
      <w:r>
        <w:rPr>
          <w:rFonts w:ascii="Times New Roman" w:eastAsia="Times New Roman" w:hAnsi="Times New Roman" w:cs="Times New Roman"/>
          <w:sz w:val="24"/>
          <w:szCs w:val="24"/>
          <w:highlight w:val="white"/>
        </w:rPr>
        <w:t>(1), pp.41-48.</w:t>
      </w:r>
    </w:p>
    <w:p w14:paraId="185CE331"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Gobburi</w:t>
      </w:r>
      <w:proofErr w:type="spellEnd"/>
      <w:r>
        <w:rPr>
          <w:rFonts w:ascii="Times New Roman" w:eastAsia="Times New Roman" w:hAnsi="Times New Roman" w:cs="Times New Roman"/>
          <w:sz w:val="24"/>
          <w:szCs w:val="24"/>
          <w:highlight w:val="white"/>
        </w:rPr>
        <w:t xml:space="preserve">, R.K., </w:t>
      </w:r>
      <w:proofErr w:type="spellStart"/>
      <w:r>
        <w:rPr>
          <w:rFonts w:ascii="Times New Roman" w:eastAsia="Times New Roman" w:hAnsi="Times New Roman" w:cs="Times New Roman"/>
          <w:sz w:val="24"/>
          <w:szCs w:val="24"/>
          <w:highlight w:val="white"/>
        </w:rPr>
        <w:t>Olawade</w:t>
      </w:r>
      <w:proofErr w:type="spellEnd"/>
      <w:r>
        <w:rPr>
          <w:rFonts w:ascii="Times New Roman" w:eastAsia="Times New Roman" w:hAnsi="Times New Roman" w:cs="Times New Roman"/>
          <w:sz w:val="24"/>
          <w:szCs w:val="24"/>
          <w:highlight w:val="white"/>
        </w:rPr>
        <w:t xml:space="preserve">, D.B., Olatunji, G.D., </w:t>
      </w:r>
      <w:proofErr w:type="spellStart"/>
      <w:r>
        <w:rPr>
          <w:rFonts w:ascii="Times New Roman" w:eastAsia="Times New Roman" w:hAnsi="Times New Roman" w:cs="Times New Roman"/>
          <w:sz w:val="24"/>
          <w:szCs w:val="24"/>
          <w:highlight w:val="white"/>
        </w:rPr>
        <w:t>Kokori</w:t>
      </w:r>
      <w:proofErr w:type="spellEnd"/>
      <w:r>
        <w:rPr>
          <w:rFonts w:ascii="Times New Roman" w:eastAsia="Times New Roman" w:hAnsi="Times New Roman" w:cs="Times New Roman"/>
          <w:sz w:val="24"/>
          <w:szCs w:val="24"/>
          <w:highlight w:val="white"/>
        </w:rPr>
        <w:t xml:space="preserve">, E., </w:t>
      </w:r>
      <w:proofErr w:type="spellStart"/>
      <w:r>
        <w:rPr>
          <w:rFonts w:ascii="Times New Roman" w:eastAsia="Times New Roman" w:hAnsi="Times New Roman" w:cs="Times New Roman"/>
          <w:sz w:val="24"/>
          <w:szCs w:val="24"/>
          <w:highlight w:val="white"/>
        </w:rPr>
        <w:t>Aderinto</w:t>
      </w:r>
      <w:proofErr w:type="spellEnd"/>
      <w:r>
        <w:rPr>
          <w:rFonts w:ascii="Times New Roman" w:eastAsia="Times New Roman" w:hAnsi="Times New Roman" w:cs="Times New Roman"/>
          <w:sz w:val="24"/>
          <w:szCs w:val="24"/>
          <w:highlight w:val="white"/>
        </w:rPr>
        <w:t>, N. and David-</w:t>
      </w:r>
      <w:proofErr w:type="spellStart"/>
      <w:r>
        <w:rPr>
          <w:rFonts w:ascii="Times New Roman" w:eastAsia="Times New Roman" w:hAnsi="Times New Roman" w:cs="Times New Roman"/>
          <w:sz w:val="24"/>
          <w:szCs w:val="24"/>
          <w:highlight w:val="white"/>
        </w:rPr>
        <w:t>Olawade</w:t>
      </w:r>
      <w:proofErr w:type="spellEnd"/>
      <w:r>
        <w:rPr>
          <w:rFonts w:ascii="Times New Roman" w:eastAsia="Times New Roman" w:hAnsi="Times New Roman" w:cs="Times New Roman"/>
          <w:sz w:val="24"/>
          <w:szCs w:val="24"/>
          <w:highlight w:val="white"/>
        </w:rPr>
        <w:t xml:space="preserve">, A.C., 2025. Telemedicine use in rural areas of the United Kingdom to improve access to healthcare facilities: A review of current evidence. </w:t>
      </w:r>
      <w:r>
        <w:rPr>
          <w:rFonts w:ascii="Times New Roman" w:eastAsia="Times New Roman" w:hAnsi="Times New Roman" w:cs="Times New Roman"/>
          <w:i/>
          <w:iCs/>
          <w:sz w:val="24"/>
          <w:szCs w:val="24"/>
          <w:highlight w:val="white"/>
        </w:rPr>
        <w:t>Informatics and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w:t>
      </w:r>
      <w:r>
        <w:rPr>
          <w:rFonts w:ascii="Times New Roman" w:eastAsia="Times New Roman" w:hAnsi="Times New Roman" w:cs="Times New Roman"/>
          <w:sz w:val="24"/>
          <w:szCs w:val="24"/>
          <w:highlight w:val="white"/>
        </w:rPr>
        <w:t>(1), pp.41-48.</w:t>
      </w:r>
    </w:p>
    <w:p w14:paraId="3E848859"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Huot</w:t>
      </w:r>
      <w:proofErr w:type="spellEnd"/>
      <w:r>
        <w:rPr>
          <w:rFonts w:ascii="Times New Roman" w:eastAsia="Times New Roman" w:hAnsi="Times New Roman" w:cs="Times New Roman"/>
          <w:sz w:val="24"/>
          <w:szCs w:val="24"/>
          <w:highlight w:val="white"/>
        </w:rPr>
        <w:t xml:space="preserve">, S., Ho, H., Ko, A., Lam, S., </w:t>
      </w:r>
      <w:proofErr w:type="spellStart"/>
      <w:r>
        <w:rPr>
          <w:rFonts w:ascii="Times New Roman" w:eastAsia="Times New Roman" w:hAnsi="Times New Roman" w:cs="Times New Roman"/>
          <w:sz w:val="24"/>
          <w:szCs w:val="24"/>
          <w:highlight w:val="white"/>
        </w:rPr>
        <w:t>Tactay</w:t>
      </w:r>
      <w:proofErr w:type="spellEnd"/>
      <w:r>
        <w:rPr>
          <w:rFonts w:ascii="Times New Roman" w:eastAsia="Times New Roman" w:hAnsi="Times New Roman" w:cs="Times New Roman"/>
          <w:sz w:val="24"/>
          <w:szCs w:val="24"/>
          <w:highlight w:val="white"/>
        </w:rPr>
        <w:t xml:space="preserve">, P., MacLachlan, J. and </w:t>
      </w:r>
      <w:proofErr w:type="spellStart"/>
      <w:r>
        <w:rPr>
          <w:rFonts w:ascii="Times New Roman" w:eastAsia="Times New Roman" w:hAnsi="Times New Roman" w:cs="Times New Roman"/>
          <w:sz w:val="24"/>
          <w:szCs w:val="24"/>
          <w:highlight w:val="white"/>
        </w:rPr>
        <w:t>Raanaas</w:t>
      </w:r>
      <w:proofErr w:type="spellEnd"/>
      <w:r>
        <w:rPr>
          <w:rFonts w:ascii="Times New Roman" w:eastAsia="Times New Roman" w:hAnsi="Times New Roman" w:cs="Times New Roman"/>
          <w:sz w:val="24"/>
          <w:szCs w:val="24"/>
          <w:highlight w:val="white"/>
        </w:rPr>
        <w:t xml:space="preserve">, R.K., 2019. Identifying barriers to healthcare delivery and access in the Circumpolar North: important insights for health professionals. </w:t>
      </w:r>
      <w:r>
        <w:rPr>
          <w:rFonts w:ascii="Times New Roman" w:eastAsia="Times New Roman" w:hAnsi="Times New Roman" w:cs="Times New Roman"/>
          <w:i/>
          <w:iCs/>
          <w:sz w:val="24"/>
          <w:szCs w:val="24"/>
          <w:highlight w:val="white"/>
        </w:rPr>
        <w:t>International journal of circumpolar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78</w:t>
      </w:r>
      <w:r>
        <w:rPr>
          <w:rFonts w:ascii="Times New Roman" w:eastAsia="Times New Roman" w:hAnsi="Times New Roman" w:cs="Times New Roman"/>
          <w:sz w:val="24"/>
          <w:szCs w:val="24"/>
          <w:highlight w:val="white"/>
        </w:rPr>
        <w:t>(1), p.1571385.</w:t>
      </w:r>
    </w:p>
    <w:p w14:paraId="7D6F84FC"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Shah, T.I., Milosavljevic, S. and Bath, B., 2017. Measuring geographical accessibility to rural and remote health care services: Challenges and considerations. </w:t>
      </w:r>
      <w:r>
        <w:rPr>
          <w:rFonts w:ascii="Times New Roman" w:eastAsia="Times New Roman" w:hAnsi="Times New Roman" w:cs="Times New Roman"/>
          <w:i/>
          <w:iCs/>
          <w:sz w:val="24"/>
          <w:szCs w:val="24"/>
          <w:highlight w:val="white"/>
        </w:rPr>
        <w:t xml:space="preserve">Spatial and </w:t>
      </w:r>
      <w:proofErr w:type="spellStart"/>
      <w:r>
        <w:rPr>
          <w:rFonts w:ascii="Times New Roman" w:eastAsia="Times New Roman" w:hAnsi="Times New Roman" w:cs="Times New Roman"/>
          <w:i/>
          <w:iCs/>
          <w:sz w:val="24"/>
          <w:szCs w:val="24"/>
          <w:highlight w:val="white"/>
        </w:rPr>
        <w:t>spatio</w:t>
      </w:r>
      <w:proofErr w:type="spellEnd"/>
      <w:r>
        <w:rPr>
          <w:rFonts w:ascii="Times New Roman" w:eastAsia="Times New Roman" w:hAnsi="Times New Roman" w:cs="Times New Roman"/>
          <w:i/>
          <w:iCs/>
          <w:sz w:val="24"/>
          <w:szCs w:val="24"/>
          <w:highlight w:val="white"/>
        </w:rPr>
        <w:t>-temporal epidemiology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w:t>
      </w:r>
      <w:r>
        <w:rPr>
          <w:rFonts w:ascii="Times New Roman" w:eastAsia="Times New Roman" w:hAnsi="Times New Roman" w:cs="Times New Roman"/>
          <w:sz w:val="24"/>
          <w:szCs w:val="24"/>
          <w:highlight w:val="white"/>
        </w:rPr>
        <w:t>, pp.87-96.</w:t>
      </w:r>
    </w:p>
    <w:p w14:paraId="3A4DC2C4"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Shah, T.I., Milosavljevic, S. and Bath, B., 2017. Measuring geographical accessibility to rural and remote health care services: Challenges and considerations. </w:t>
      </w:r>
      <w:r>
        <w:rPr>
          <w:rFonts w:ascii="Times New Roman" w:eastAsia="Times New Roman" w:hAnsi="Times New Roman" w:cs="Times New Roman"/>
          <w:i/>
          <w:iCs/>
          <w:sz w:val="24"/>
          <w:szCs w:val="24"/>
          <w:highlight w:val="white"/>
        </w:rPr>
        <w:t xml:space="preserve">Spatial and </w:t>
      </w:r>
      <w:proofErr w:type="spellStart"/>
      <w:r>
        <w:rPr>
          <w:rFonts w:ascii="Times New Roman" w:eastAsia="Times New Roman" w:hAnsi="Times New Roman" w:cs="Times New Roman"/>
          <w:i/>
          <w:iCs/>
          <w:sz w:val="24"/>
          <w:szCs w:val="24"/>
          <w:highlight w:val="white"/>
        </w:rPr>
        <w:t>spatio</w:t>
      </w:r>
      <w:proofErr w:type="spellEnd"/>
      <w:r>
        <w:rPr>
          <w:rFonts w:ascii="Times New Roman" w:eastAsia="Times New Roman" w:hAnsi="Times New Roman" w:cs="Times New Roman"/>
          <w:i/>
          <w:iCs/>
          <w:sz w:val="24"/>
          <w:szCs w:val="24"/>
          <w:highlight w:val="white"/>
        </w:rPr>
        <w:t>-temporal epidemiology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w:t>
      </w:r>
      <w:r>
        <w:rPr>
          <w:rFonts w:ascii="Times New Roman" w:eastAsia="Times New Roman" w:hAnsi="Times New Roman" w:cs="Times New Roman"/>
          <w:sz w:val="24"/>
          <w:szCs w:val="24"/>
          <w:highlight w:val="white"/>
        </w:rPr>
        <w:t>, pp.87-96.</w:t>
      </w:r>
    </w:p>
    <w:p w14:paraId="54359F8F" w14:textId="77777777" w:rsidR="00510508" w:rsidRDefault="00510508">
      <w:pPr>
        <w:spacing w:before="260" w:after="26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Woods, M., 2025. Rural recovery or rural spatial justice? Responding to multiple crises in the British countryside. </w:t>
      </w:r>
      <w:r>
        <w:rPr>
          <w:rFonts w:ascii="Times New Roman" w:eastAsia="Times New Roman" w:hAnsi="Times New Roman" w:cs="Times New Roman"/>
          <w:i/>
          <w:iCs/>
          <w:sz w:val="24"/>
          <w:szCs w:val="24"/>
          <w:highlight w:val="white"/>
        </w:rPr>
        <w:t>The geographical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191</w:t>
      </w:r>
      <w:r>
        <w:rPr>
          <w:rFonts w:ascii="Times New Roman" w:eastAsia="Times New Roman" w:hAnsi="Times New Roman" w:cs="Times New Roman"/>
          <w:sz w:val="24"/>
          <w:szCs w:val="24"/>
          <w:highlight w:val="white"/>
        </w:rPr>
        <w:t>(4), p.e12541.</w:t>
      </w:r>
    </w:p>
    <w:p w14:paraId="2BF6F15F" w14:textId="77777777" w:rsidR="00BC60EE" w:rsidRDefault="00BC60EE">
      <w:pPr>
        <w:spacing w:line="360" w:lineRule="auto"/>
        <w:jc w:val="both"/>
        <w:rPr>
          <w:rFonts w:ascii="Times New Roman" w:eastAsia="Times New Roman" w:hAnsi="Times New Roman" w:cs="Times New Roman"/>
          <w:sz w:val="24"/>
          <w:szCs w:val="24"/>
        </w:rPr>
      </w:pPr>
    </w:p>
    <w:sectPr w:rsidR="00BC60EE" w:rsidSect="00510508">
      <w:type w:val="continuous"/>
      <w:pgSz w:w="11906" w:h="16838" w:code="9"/>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CFD6620-5D87-4FAF-B055-0743E80CB06F}"/>
  </w:font>
  <w:font w:name="Cambria">
    <w:panose1 w:val="02040503050406030204"/>
    <w:charset w:val="00"/>
    <w:family w:val="roman"/>
    <w:pitch w:val="variable"/>
    <w:sig w:usb0="E00006FF" w:usb1="420024FF" w:usb2="02000000" w:usb3="00000000" w:csb0="0000019F" w:csb1="00000000"/>
    <w:embedRegular r:id="rId2" w:fontKey="{AD427AAE-C710-4227-890D-462A1AFF775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AF2BDF"/>
    <w:multiLevelType w:val="multilevel"/>
    <w:tmpl w:val="93F0D4EC"/>
    <w:lvl w:ilvl="0">
      <w:start w:val="1"/>
      <w:numFmt w:val="decimalZer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0EE"/>
    <w:rsid w:val="00510508"/>
    <w:rsid w:val="00BC6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0E1AF"/>
  <w15:docId w15:val="{631DAC2C-9A15-4E1A-9A0B-3BAB01CB7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857</Words>
  <Characters>4887</Characters>
  <DocSecurity>0</DocSecurity>
  <Lines>40</Lines>
  <Paragraphs>11</Paragraphs>
  <ScaleCrop>false</ScaleCrop>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2026-02-24T19:19:00Z</dcterms:created>
  <dcterms:modified xsi:type="dcterms:W3CDTF">2026-02-24T19:20:00Z</dcterms:modified>
</cp:coreProperties>
</file>