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D4D5C0" w14:textId="4D12D175" w:rsidR="00EC77AB" w:rsidRDefault="005863DB" w:rsidP="005863DB">
      <w:pPr>
        <w:jc w:val="center"/>
        <w:rPr>
          <w:rFonts w:ascii="Arial" w:hAnsi="Arial" w:cs="Arial"/>
          <w:u w:val="single"/>
        </w:rPr>
      </w:pPr>
      <w:r w:rsidRPr="005863DB">
        <w:rPr>
          <w:rFonts w:ascii="Arial" w:hAnsi="Arial" w:cs="Arial"/>
          <w:u w:val="single"/>
        </w:rPr>
        <w:t xml:space="preserve">Regaining Paradise? Sustainability in the Early Years  </w:t>
      </w:r>
    </w:p>
    <w:p w14:paraId="1CCF8ACF" w14:textId="77777777" w:rsidR="005863DB" w:rsidRDefault="005863DB" w:rsidP="005863DB">
      <w:pPr>
        <w:jc w:val="center"/>
        <w:rPr>
          <w:rFonts w:ascii="Arial" w:hAnsi="Arial" w:cs="Arial"/>
          <w:u w:val="single"/>
        </w:rPr>
      </w:pPr>
    </w:p>
    <w:p w14:paraId="54F482FC" w14:textId="525B98E0" w:rsidR="005863DB" w:rsidRPr="005863DB" w:rsidRDefault="005863DB" w:rsidP="001F6ED9">
      <w:pPr>
        <w:spacing w:line="360" w:lineRule="auto"/>
        <w:rPr>
          <w:rFonts w:ascii="Arial" w:hAnsi="Arial" w:cs="Arial"/>
        </w:rPr>
      </w:pPr>
      <w:r>
        <w:rPr>
          <w:rFonts w:ascii="Arial" w:hAnsi="Arial" w:cs="Arial"/>
        </w:rPr>
        <w:t xml:space="preserve">I chose to study Bosherston Lily Ponds as part of this sustainability module as this is somewhere that we visited regularly as a family during my early years of life and I now take my younger cousins and family members to the same lily ponds to create new enriching memories for them similar to those that I was lucky enough to experience as a child. </w:t>
      </w:r>
      <w:r w:rsidR="001F6ED9">
        <w:rPr>
          <w:rFonts w:ascii="Arial" w:hAnsi="Arial" w:cs="Arial"/>
        </w:rPr>
        <w:t>Another reason as to why I have chosen this location is its connection to the beach. The coastal path offers beautiful views of the sandy Broad Haven South beach and is accessible via the footpath from the Lily Ponds so when I go there, I get to experience two of Pembrokeshire’s very different scenes</w:t>
      </w:r>
      <w:r w:rsidR="00BF46EA">
        <w:rPr>
          <w:rFonts w:ascii="Arial" w:hAnsi="Arial" w:cs="Arial"/>
        </w:rPr>
        <w:t xml:space="preserve">, both of which are immersed in wildlife. </w:t>
      </w:r>
    </w:p>
    <w:p w14:paraId="0938250F" w14:textId="1D2AD342" w:rsidR="005863DB" w:rsidRDefault="005863DB" w:rsidP="001F6ED9">
      <w:pPr>
        <w:spacing w:line="360" w:lineRule="auto"/>
        <w:rPr>
          <w:rFonts w:ascii="Arial" w:hAnsi="Arial" w:cs="Arial"/>
        </w:rPr>
      </w:pPr>
      <w:r>
        <w:rPr>
          <w:rFonts w:ascii="Arial" w:hAnsi="Arial" w:cs="Arial"/>
        </w:rPr>
        <w:t>Bosherston lily ponds is l</w:t>
      </w:r>
      <w:r w:rsidRPr="005863DB">
        <w:rPr>
          <w:rFonts w:ascii="Arial" w:hAnsi="Arial" w:cs="Arial"/>
        </w:rPr>
        <w:t>ocated next to the village of Bosherston</w:t>
      </w:r>
      <w:r w:rsidR="007557A1">
        <w:rPr>
          <w:rFonts w:ascii="Arial" w:hAnsi="Arial" w:cs="Arial"/>
        </w:rPr>
        <w:t>, n</w:t>
      </w:r>
      <w:r w:rsidR="007557A1" w:rsidRPr="007557A1">
        <w:rPr>
          <w:rFonts w:ascii="Arial" w:hAnsi="Arial" w:cs="Arial"/>
        </w:rPr>
        <w:t>estled within the expansive Stackpole Estat</w:t>
      </w:r>
      <w:r w:rsidR="007557A1">
        <w:rPr>
          <w:rFonts w:ascii="Arial" w:hAnsi="Arial" w:cs="Arial"/>
        </w:rPr>
        <w:t>e</w:t>
      </w:r>
      <w:r w:rsidRPr="005863DB">
        <w:rPr>
          <w:rFonts w:ascii="Arial" w:hAnsi="Arial" w:cs="Arial"/>
        </w:rPr>
        <w:t xml:space="preserve"> and at the north end of Broad Haven South </w:t>
      </w:r>
      <w:r w:rsidR="007557A1" w:rsidRPr="005863DB">
        <w:rPr>
          <w:rFonts w:ascii="Arial" w:hAnsi="Arial" w:cs="Arial"/>
        </w:rPr>
        <w:t>beach</w:t>
      </w:r>
      <w:r w:rsidR="007557A1">
        <w:rPr>
          <w:rFonts w:ascii="Arial" w:hAnsi="Arial" w:cs="Arial"/>
        </w:rPr>
        <w:t>. The</w:t>
      </w:r>
      <w:r>
        <w:rPr>
          <w:rFonts w:ascii="Arial" w:hAnsi="Arial" w:cs="Arial"/>
        </w:rPr>
        <w:t xml:space="preserve"> </w:t>
      </w:r>
      <w:r w:rsidR="007557A1" w:rsidRPr="007557A1">
        <w:rPr>
          <w:rFonts w:ascii="Arial" w:hAnsi="Arial" w:cs="Arial"/>
        </w:rPr>
        <w:t xml:space="preserve">Lily Ponds are a serene network of three interlinked freshwater lakes. </w:t>
      </w:r>
      <w:r w:rsidR="001F6ED9">
        <w:rPr>
          <w:rFonts w:ascii="Arial" w:hAnsi="Arial" w:cs="Arial"/>
        </w:rPr>
        <w:t>T</w:t>
      </w:r>
      <w:r w:rsidR="007557A1" w:rsidRPr="007557A1">
        <w:rPr>
          <w:rFonts w:ascii="Arial" w:hAnsi="Arial" w:cs="Arial"/>
        </w:rPr>
        <w:t>hese man-made lakes have evolved into a wildlife haven.</w:t>
      </w:r>
    </w:p>
    <w:p w14:paraId="4C922B60" w14:textId="6D89D2A8" w:rsidR="007557A1" w:rsidRDefault="007557A1" w:rsidP="001F6ED9">
      <w:pPr>
        <w:spacing w:line="360" w:lineRule="auto"/>
        <w:rPr>
          <w:rFonts w:ascii="Arial" w:hAnsi="Arial" w:cs="Arial"/>
        </w:rPr>
      </w:pPr>
      <w:r w:rsidRPr="007557A1">
        <w:rPr>
          <w:rFonts w:ascii="Arial" w:hAnsi="Arial" w:cs="Arial"/>
        </w:rPr>
        <w:t>Embarking on the John Muir Award journey at the Bosherston Lily Ponds provided a meaningful opportunity to connect with nature and engage in conservation efforts.</w:t>
      </w:r>
      <w:r>
        <w:rPr>
          <w:rFonts w:ascii="Arial" w:hAnsi="Arial" w:cs="Arial"/>
        </w:rPr>
        <w:t xml:space="preserve"> </w:t>
      </w:r>
      <w:r w:rsidRPr="007557A1">
        <w:rPr>
          <w:rFonts w:ascii="Arial" w:hAnsi="Arial" w:cs="Arial"/>
        </w:rPr>
        <w:t>Exploring th</w:t>
      </w:r>
      <w:r>
        <w:rPr>
          <w:rFonts w:ascii="Arial" w:hAnsi="Arial" w:cs="Arial"/>
        </w:rPr>
        <w:t>e</w:t>
      </w:r>
      <w:r w:rsidRPr="007557A1">
        <w:rPr>
          <w:rFonts w:ascii="Arial" w:hAnsi="Arial" w:cs="Arial"/>
        </w:rPr>
        <w:t xml:space="preserve"> unique habitat</w:t>
      </w:r>
      <w:r>
        <w:rPr>
          <w:rFonts w:ascii="Arial" w:hAnsi="Arial" w:cs="Arial"/>
        </w:rPr>
        <w:t xml:space="preserve"> of the Lily Ponds</w:t>
      </w:r>
      <w:r w:rsidRPr="007557A1">
        <w:rPr>
          <w:rFonts w:ascii="Arial" w:hAnsi="Arial" w:cs="Arial"/>
        </w:rPr>
        <w:t xml:space="preserve"> allowed for a deeper appreciation of its ecological significance and the importance of preserving such environments.</w:t>
      </w:r>
      <w:r>
        <w:rPr>
          <w:rFonts w:ascii="Arial" w:hAnsi="Arial" w:cs="Arial"/>
        </w:rPr>
        <w:t xml:space="preserve"> As part of my John Muir work, I have contributed to the conservation efforts by creating bird feeders as this will attract a variety of bird species which are a pleasure to watch within nature and observing these birds can indicate a healthy ecosystem.  </w:t>
      </w:r>
    </w:p>
    <w:p w14:paraId="72327622" w14:textId="4A5DB476" w:rsidR="005863DB" w:rsidRDefault="00FD2807" w:rsidP="001F6ED9">
      <w:pPr>
        <w:spacing w:line="360" w:lineRule="auto"/>
        <w:rPr>
          <w:rFonts w:ascii="Arial" w:hAnsi="Arial" w:cs="Arial"/>
        </w:rPr>
      </w:pPr>
      <w:r w:rsidRPr="00FD2807">
        <w:rPr>
          <w:rFonts w:ascii="Arial" w:hAnsi="Arial" w:cs="Arial"/>
        </w:rPr>
        <w:t>As I prepared for this presentation, I found myself reflecting on the profound impact that nature has had on my life, particularly the memories of encountering its wonders for the first time as a child. Growing up in Pembrokeshire, I was fortunate to be surrounded by a rich tapestry of natural beauty</w:t>
      </w:r>
      <w:r>
        <w:rPr>
          <w:rFonts w:ascii="Arial" w:hAnsi="Arial" w:cs="Arial"/>
        </w:rPr>
        <w:t xml:space="preserve">. One of my earliest memories of our visits to Bosherston Lily Ponds was seeing the beautiful flowers blooming on top of the floating lily pads. I remember being captivated by the water being so still beneath them, the aquatic life sparking my curiosity. </w:t>
      </w:r>
      <w:r w:rsidRPr="00FD2807">
        <w:rPr>
          <w:rFonts w:ascii="Arial" w:hAnsi="Arial" w:cs="Arial"/>
        </w:rPr>
        <w:t>These experiences were more than mere observations</w:t>
      </w:r>
      <w:r w:rsidR="003A1163">
        <w:rPr>
          <w:rFonts w:ascii="Arial" w:hAnsi="Arial" w:cs="Arial"/>
        </w:rPr>
        <w:t>,</w:t>
      </w:r>
      <w:r w:rsidRPr="00FD2807">
        <w:rPr>
          <w:rFonts w:ascii="Arial" w:hAnsi="Arial" w:cs="Arial"/>
        </w:rPr>
        <w:t xml:space="preserve"> they were formative moments that shaped my understanding of the natural world and my place within it.</w:t>
      </w:r>
    </w:p>
    <w:p w14:paraId="69A19500" w14:textId="4FC64E5A" w:rsidR="00FD2807" w:rsidRDefault="00FD2807" w:rsidP="001F6ED9">
      <w:pPr>
        <w:spacing w:line="360" w:lineRule="auto"/>
        <w:rPr>
          <w:rFonts w:ascii="Arial" w:hAnsi="Arial" w:cs="Arial"/>
        </w:rPr>
      </w:pPr>
      <w:r w:rsidRPr="00FD2807">
        <w:rPr>
          <w:rFonts w:ascii="Arial" w:hAnsi="Arial" w:cs="Arial"/>
        </w:rPr>
        <w:lastRenderedPageBreak/>
        <w:t>As I revisit these memories, I am reminded of the importance of reconnecting with nature. In our fast-paced, technology-driven lives, it's easy to become disconnected from the natural world. Yet, as my childhood experiences have shown, nature has a unique ability to inspire, heal, and ground us. Whether it's observing a heron in flight, admiring the elegance of a lily pad, or walking the coastal path, these encounters remind us of the beauty and resilience of the world around us.</w:t>
      </w:r>
    </w:p>
    <w:p w14:paraId="1E31A786" w14:textId="77777777" w:rsidR="00FD2807" w:rsidRDefault="00FD2807" w:rsidP="00FD2807">
      <w:pPr>
        <w:spacing w:line="360" w:lineRule="auto"/>
        <w:rPr>
          <w:rFonts w:ascii="Arial" w:hAnsi="Arial" w:cs="Arial"/>
        </w:rPr>
      </w:pPr>
      <w:r w:rsidRPr="00FD2807">
        <w:rPr>
          <w:rFonts w:ascii="Arial" w:hAnsi="Arial" w:cs="Arial"/>
        </w:rPr>
        <w:t>Studying the Bosherston Lily Ponds has deepened my appreciation for the intricate connections within natural ecosystems. The interplay between human intervention and natural processes has created a habitat that supports a rich diversity of life. This experience has reinforced the importance of conservation and the need to protect such unique environments for future generations.</w:t>
      </w:r>
    </w:p>
    <w:p w14:paraId="44D14418" w14:textId="77777777" w:rsidR="00F03A1F" w:rsidRPr="00F03A1F" w:rsidRDefault="00F03A1F" w:rsidP="00F03A1F">
      <w:pPr>
        <w:spacing w:line="360" w:lineRule="auto"/>
        <w:rPr>
          <w:rFonts w:ascii="Arial" w:hAnsi="Arial" w:cs="Arial"/>
        </w:rPr>
      </w:pPr>
      <w:r w:rsidRPr="00F03A1F">
        <w:rPr>
          <w:rFonts w:ascii="Arial" w:hAnsi="Arial" w:cs="Arial"/>
        </w:rPr>
        <w:t>Sustainability in early childhood education is not only an educational trend but a foundational element in shaping environmentally conscious future generations. Introducing sustainable practices and environmental awareness at a young age fosters a deep-rooted connection to the planet, instilling values that influence behaviours throughout life (Evans and Huggins, 2018).</w:t>
      </w:r>
    </w:p>
    <w:p w14:paraId="2B2E3851" w14:textId="77777777" w:rsidR="00F03A1F" w:rsidRPr="00F03A1F" w:rsidRDefault="00F03A1F" w:rsidP="00F03A1F">
      <w:pPr>
        <w:spacing w:line="360" w:lineRule="auto"/>
        <w:rPr>
          <w:rFonts w:ascii="Arial" w:hAnsi="Arial" w:cs="Arial"/>
        </w:rPr>
      </w:pPr>
      <w:r w:rsidRPr="00F03A1F">
        <w:rPr>
          <w:rFonts w:ascii="Arial" w:hAnsi="Arial" w:cs="Arial"/>
        </w:rPr>
        <w:t>To support this, a number of policy frameworks and legislative acts reinforce the importance of sustainability in the early years. Both the United Nations Convention on the Rights of the Child (UNCRC) and the Well-being of Future Generations Wales Act 2015 (WFG Act) provide frameworks that influence sustainability in early years education. While the UNCRC focuses on children's rights globally (UNICEF, no date), the WFG Act specifically addresses sustainability within Wales (Future Generations, 2015).</w:t>
      </w:r>
    </w:p>
    <w:p w14:paraId="27334EF9" w14:textId="77777777" w:rsidR="00F03A1F" w:rsidRPr="00F03A1F" w:rsidRDefault="00F03A1F" w:rsidP="00F03A1F">
      <w:pPr>
        <w:spacing w:line="360" w:lineRule="auto"/>
        <w:rPr>
          <w:rFonts w:ascii="Arial" w:hAnsi="Arial" w:cs="Arial"/>
        </w:rPr>
      </w:pPr>
      <w:r w:rsidRPr="00F03A1F">
        <w:rPr>
          <w:rFonts w:ascii="Arial" w:hAnsi="Arial" w:cs="Arial"/>
        </w:rPr>
        <w:t xml:space="preserve">One of the key articles from the UNCRC highlights the connection between environmental sustainability and child well-being. Save The Children (2023) tells us that Article 24 of the UNCRC underscores the fundamental right of every child to enjoy the highest attainable standard of health, which encompasses access to necessary medical care, nutritious food, clean drinking water and a safe environment. This article acknowledges the detrimental effects of environmental pollution on children's health, highlighting the importance of addressing environmental risks to safeguard their well-being. It emphasises that environmental factors such as pollution, inadequate sanitation and exposure to toxic substances </w:t>
      </w:r>
      <w:r w:rsidRPr="00F03A1F">
        <w:rPr>
          <w:rFonts w:ascii="Arial" w:hAnsi="Arial" w:cs="Arial"/>
        </w:rPr>
        <w:lastRenderedPageBreak/>
        <w:t>pose significant threats to children's health, underscoring the necessity for protective measures to mitigate these risks (Bojkov, 2022). By recognising the interdependence between a healthy environment and children's health, Article 24 reinforces the imperative of sustainable development practices to ensure that children can grow and thrive in conditions that promote their physical and mental well-being.</w:t>
      </w:r>
    </w:p>
    <w:p w14:paraId="76696E3C" w14:textId="77777777" w:rsidR="00F03A1F" w:rsidRPr="00F03A1F" w:rsidRDefault="00F03A1F" w:rsidP="00F03A1F">
      <w:pPr>
        <w:spacing w:line="360" w:lineRule="auto"/>
        <w:rPr>
          <w:rFonts w:ascii="Arial" w:hAnsi="Arial" w:cs="Arial"/>
        </w:rPr>
      </w:pPr>
      <w:r w:rsidRPr="00F03A1F">
        <w:rPr>
          <w:rFonts w:ascii="Arial" w:hAnsi="Arial" w:cs="Arial"/>
        </w:rPr>
        <w:t>In the Welsh context, these global rights and responsibilities are embedded within the national education framework. In Wales, the Curriculum for Wales (</w:t>
      </w:r>
      <w:proofErr w:type="spellStart"/>
      <w:r w:rsidRPr="00F03A1F">
        <w:rPr>
          <w:rFonts w:ascii="Arial" w:hAnsi="Arial" w:cs="Arial"/>
        </w:rPr>
        <w:t>CfW</w:t>
      </w:r>
      <w:proofErr w:type="spellEnd"/>
      <w:r w:rsidRPr="00F03A1F">
        <w:rPr>
          <w:rFonts w:ascii="Arial" w:hAnsi="Arial" w:cs="Arial"/>
        </w:rPr>
        <w:t>) and the Education for Sustainable Development and Global Citizenship (ESDGC) framework collaboratively aim to cultivate ethical, informed citizens who are connected to their communities and the wider world. This integration is particularly crucial in early years education, where foundational values and identities are formed (Welsh Government, 2020).</w:t>
      </w:r>
    </w:p>
    <w:p w14:paraId="45B6F473" w14:textId="77777777" w:rsidR="00F03A1F" w:rsidRPr="00F03A1F" w:rsidRDefault="00F03A1F" w:rsidP="00F03A1F">
      <w:pPr>
        <w:spacing w:line="360" w:lineRule="auto"/>
        <w:rPr>
          <w:rFonts w:ascii="Arial" w:hAnsi="Arial" w:cs="Arial"/>
        </w:rPr>
      </w:pPr>
      <w:r w:rsidRPr="00F03A1F">
        <w:rPr>
          <w:rFonts w:ascii="Arial" w:hAnsi="Arial" w:cs="Arial"/>
        </w:rPr>
        <w:t xml:space="preserve">The overarching aims of the </w:t>
      </w:r>
      <w:proofErr w:type="spellStart"/>
      <w:r w:rsidRPr="00F03A1F">
        <w:rPr>
          <w:rFonts w:ascii="Arial" w:hAnsi="Arial" w:cs="Arial"/>
        </w:rPr>
        <w:t>CfW</w:t>
      </w:r>
      <w:proofErr w:type="spellEnd"/>
      <w:r w:rsidRPr="00F03A1F">
        <w:rPr>
          <w:rFonts w:ascii="Arial" w:hAnsi="Arial" w:cs="Arial"/>
        </w:rPr>
        <w:t xml:space="preserve"> provide a strong basis for embedding sustainability in learning. The </w:t>
      </w:r>
      <w:proofErr w:type="spellStart"/>
      <w:r w:rsidRPr="00F03A1F">
        <w:rPr>
          <w:rFonts w:ascii="Arial" w:hAnsi="Arial" w:cs="Arial"/>
        </w:rPr>
        <w:t>CfW</w:t>
      </w:r>
      <w:proofErr w:type="spellEnd"/>
      <w:r w:rsidRPr="00F03A1F">
        <w:rPr>
          <w:rFonts w:ascii="Arial" w:hAnsi="Arial" w:cs="Arial"/>
        </w:rPr>
        <w:t xml:space="preserve"> outlines four purposes. These are, to develop learners who are ambitious, capable learners. Creative contributors who are ethical informed citizens, and healthy, confident individuals (Welsh Government, 2022). ESDGC aligns with these purposes by promoting understanding of the impact of choices on people, the economy and the environment. Through themes such as the natural environment, consumption and waste and identity and culture, ESDGC encourages learners to consider their role in a sustainable future (United Nations, no date).</w:t>
      </w:r>
    </w:p>
    <w:p w14:paraId="16CCB4F9" w14:textId="77777777" w:rsidR="00F03A1F" w:rsidRPr="00F03A1F" w:rsidRDefault="00F03A1F" w:rsidP="00F03A1F">
      <w:pPr>
        <w:spacing w:line="360" w:lineRule="auto"/>
        <w:rPr>
          <w:rFonts w:ascii="Arial" w:hAnsi="Arial" w:cs="Arial"/>
        </w:rPr>
      </w:pPr>
      <w:r w:rsidRPr="00F03A1F">
        <w:rPr>
          <w:rFonts w:ascii="Arial" w:hAnsi="Arial" w:cs="Arial"/>
        </w:rPr>
        <w:t xml:space="preserve">A key concept that underpins the </w:t>
      </w:r>
      <w:proofErr w:type="spellStart"/>
      <w:r w:rsidRPr="00F03A1F">
        <w:rPr>
          <w:rFonts w:ascii="Arial" w:hAnsi="Arial" w:cs="Arial"/>
        </w:rPr>
        <w:t>CfW</w:t>
      </w:r>
      <w:proofErr w:type="spellEnd"/>
      <w:r w:rsidRPr="00F03A1F">
        <w:rPr>
          <w:rFonts w:ascii="Arial" w:hAnsi="Arial" w:cs="Arial"/>
        </w:rPr>
        <w:t xml:space="preserve"> and supports these purposes is the idea of </w:t>
      </w:r>
      <w:proofErr w:type="spellStart"/>
      <w:r w:rsidRPr="00F03A1F">
        <w:rPr>
          <w:rFonts w:ascii="Arial" w:hAnsi="Arial" w:cs="Arial"/>
        </w:rPr>
        <w:t>cynefin</w:t>
      </w:r>
      <w:proofErr w:type="spellEnd"/>
      <w:r w:rsidRPr="00F03A1F">
        <w:rPr>
          <w:rFonts w:ascii="Arial" w:hAnsi="Arial" w:cs="Arial"/>
        </w:rPr>
        <w:t xml:space="preserve">. The concept of </w:t>
      </w:r>
      <w:proofErr w:type="spellStart"/>
      <w:r w:rsidRPr="00F03A1F">
        <w:rPr>
          <w:rFonts w:ascii="Arial" w:hAnsi="Arial" w:cs="Arial"/>
        </w:rPr>
        <w:t>cynefin</w:t>
      </w:r>
      <w:proofErr w:type="spellEnd"/>
      <w:r w:rsidRPr="00F03A1F">
        <w:rPr>
          <w:rFonts w:ascii="Arial" w:hAnsi="Arial" w:cs="Arial"/>
        </w:rPr>
        <w:t xml:space="preserve">, meaning 'habitat' or 'place', is central to the </w:t>
      </w:r>
      <w:proofErr w:type="spellStart"/>
      <w:r w:rsidRPr="00F03A1F">
        <w:rPr>
          <w:rFonts w:ascii="Arial" w:hAnsi="Arial" w:cs="Arial"/>
        </w:rPr>
        <w:t>CfW</w:t>
      </w:r>
      <w:proofErr w:type="spellEnd"/>
      <w:r w:rsidRPr="00F03A1F">
        <w:rPr>
          <w:rFonts w:ascii="Arial" w:hAnsi="Arial" w:cs="Arial"/>
        </w:rPr>
        <w:t>, emphasising the importance of learners understanding their identities, landscapes and histories. This sense of place fosters a strong sense of belonging, which is vital for well-being and community engagement. By exploring local environments and cultures, learners develop pride in their heritage and a commitment to their communities (National Day Nurseries Association, no date).</w:t>
      </w:r>
    </w:p>
    <w:p w14:paraId="46477C17" w14:textId="77777777" w:rsidR="00F03A1F" w:rsidRDefault="00F03A1F" w:rsidP="00F03A1F">
      <w:pPr>
        <w:spacing w:line="360" w:lineRule="auto"/>
        <w:rPr>
          <w:rFonts w:ascii="Arial" w:hAnsi="Arial" w:cs="Arial"/>
        </w:rPr>
      </w:pPr>
      <w:r w:rsidRPr="00F03A1F">
        <w:rPr>
          <w:rFonts w:ascii="Arial" w:hAnsi="Arial" w:cs="Arial"/>
        </w:rPr>
        <w:t xml:space="preserve">This place-based approach naturally aligns with key features of effective early learning, including hands-on, child-led experiences that prioritise learning through real-life contexts, active participation and meaningful engagement. Children are encouraged to explore their surroundings, ask questions and make connections between their immediate environment and broader global issues, principles that </w:t>
      </w:r>
      <w:r w:rsidRPr="00F03A1F">
        <w:rPr>
          <w:rFonts w:ascii="Arial" w:hAnsi="Arial" w:cs="Arial"/>
        </w:rPr>
        <w:lastRenderedPageBreak/>
        <w:t>closely mirror those of Education for Sustainable Development (ESD). ESD promotes critical thinking, problem-solving and participatory learning, empowering children to take ownership of their learning and fostering responsibility for their world (</w:t>
      </w:r>
      <w:proofErr w:type="spellStart"/>
      <w:r w:rsidRPr="00F03A1F">
        <w:rPr>
          <w:rFonts w:ascii="Arial" w:hAnsi="Arial" w:cs="Arial"/>
        </w:rPr>
        <w:t>Unesco</w:t>
      </w:r>
      <w:proofErr w:type="spellEnd"/>
      <w:r w:rsidRPr="00F03A1F">
        <w:rPr>
          <w:rFonts w:ascii="Arial" w:hAnsi="Arial" w:cs="Arial"/>
        </w:rPr>
        <w:t xml:space="preserve">, 2025). In this way, </w:t>
      </w:r>
      <w:proofErr w:type="spellStart"/>
      <w:r w:rsidRPr="00F03A1F">
        <w:rPr>
          <w:rFonts w:ascii="Arial" w:hAnsi="Arial" w:cs="Arial"/>
        </w:rPr>
        <w:t>cynefin</w:t>
      </w:r>
      <w:proofErr w:type="spellEnd"/>
      <w:r w:rsidRPr="00F03A1F">
        <w:rPr>
          <w:rFonts w:ascii="Arial" w:hAnsi="Arial" w:cs="Arial"/>
        </w:rPr>
        <w:t>-inspired learning not only nurtures a deep connection to place but also cultivates the skills, values and attitudes necessary for sustainable living.</w:t>
      </w:r>
    </w:p>
    <w:p w14:paraId="120ED404" w14:textId="760E4ACD" w:rsidR="00F03A1F" w:rsidRPr="00F03A1F" w:rsidRDefault="00F03A1F" w:rsidP="00F03A1F">
      <w:pPr>
        <w:spacing w:line="360" w:lineRule="auto"/>
        <w:rPr>
          <w:rFonts w:ascii="Arial" w:hAnsi="Arial" w:cs="Arial"/>
        </w:rPr>
      </w:pPr>
      <w:r w:rsidRPr="00F03A1F">
        <w:rPr>
          <w:rFonts w:ascii="Arial" w:hAnsi="Arial" w:cs="Arial"/>
        </w:rPr>
        <w:t>Experiences such as those undertaken in Part 1 of the John Muir Award</w:t>
      </w:r>
      <w:r>
        <w:rPr>
          <w:rFonts w:ascii="Arial" w:hAnsi="Arial" w:cs="Arial"/>
        </w:rPr>
        <w:t xml:space="preserve"> </w:t>
      </w:r>
      <w:r w:rsidRPr="00F03A1F">
        <w:rPr>
          <w:rFonts w:ascii="Arial" w:hAnsi="Arial" w:cs="Arial"/>
        </w:rPr>
        <w:t>provide rich, practical opportunities that resonate strongly with the core aspirations of Education for Sustainable Development. ESD, particularly in the early years, emphasises nurturing curiosity, fostering critical thinking and cultivating a sense of agency and responsibility in relation to the natural world. Practical, nature-based experiences are central to achieving these aims and are supported by theorists such as Froebel, Malaguzzi and Montessori, who each foreground nature, child-led learning and respect for the child as a capable and thoughtful learner.</w:t>
      </w:r>
    </w:p>
    <w:p w14:paraId="5DE85CB1" w14:textId="785A80BF" w:rsidR="00F03A1F" w:rsidRPr="001F3D5A" w:rsidRDefault="00F03A1F" w:rsidP="00F03A1F">
      <w:pPr>
        <w:spacing w:line="360" w:lineRule="auto"/>
        <w:rPr>
          <w:rFonts w:ascii="Arial" w:hAnsi="Arial" w:cs="Arial"/>
          <w:b/>
          <w:bCs/>
        </w:rPr>
      </w:pPr>
      <w:r w:rsidRPr="00F03A1F">
        <w:rPr>
          <w:rFonts w:ascii="Arial" w:hAnsi="Arial" w:cs="Arial"/>
        </w:rPr>
        <w:t>Friedrich Froebel, believed that nature is a powerful educator and he advocated for the integration of outdoor experiences in early education to nurture children's innate connection with the natural world</w:t>
      </w:r>
      <w:r w:rsidR="007A7631">
        <w:rPr>
          <w:rFonts w:ascii="Arial" w:hAnsi="Arial" w:cs="Arial"/>
        </w:rPr>
        <w:t xml:space="preserve"> </w:t>
      </w:r>
      <w:r w:rsidR="007A7631" w:rsidRPr="007A7631">
        <w:rPr>
          <w:rFonts w:ascii="Arial" w:hAnsi="Arial" w:cs="Arial"/>
        </w:rPr>
        <w:t>(</w:t>
      </w:r>
      <w:proofErr w:type="spellStart"/>
      <w:r w:rsidR="007A7631" w:rsidRPr="007A7631">
        <w:rPr>
          <w:rFonts w:ascii="Arial" w:hAnsi="Arial" w:cs="Arial"/>
        </w:rPr>
        <w:t>Flemig</w:t>
      </w:r>
      <w:proofErr w:type="spellEnd"/>
      <w:r w:rsidR="007A7631" w:rsidRPr="007A7631">
        <w:rPr>
          <w:rFonts w:ascii="Arial" w:hAnsi="Arial" w:cs="Arial"/>
        </w:rPr>
        <w:t xml:space="preserve"> and McNair, 2022)</w:t>
      </w:r>
      <w:r w:rsidRPr="00F03A1F">
        <w:rPr>
          <w:rFonts w:ascii="Arial" w:hAnsi="Arial" w:cs="Arial"/>
        </w:rPr>
        <w:t xml:space="preserve">. </w:t>
      </w:r>
      <w:r w:rsidRPr="008C5EBD">
        <w:rPr>
          <w:rFonts w:ascii="Arial" w:hAnsi="Arial" w:cs="Arial"/>
        </w:rPr>
        <w:t>Similarly</w:t>
      </w:r>
      <w:r w:rsidR="008C5EBD">
        <w:rPr>
          <w:rFonts w:ascii="Arial" w:hAnsi="Arial" w:cs="Arial"/>
        </w:rPr>
        <w:t>,</w:t>
      </w:r>
      <w:r w:rsidR="008C5EBD" w:rsidRPr="008C5EBD">
        <w:rPr>
          <w:rFonts w:ascii="Arial" w:hAnsi="Arial" w:cs="Arial"/>
        </w:rPr>
        <w:t xml:space="preserve"> Gu (</w:t>
      </w:r>
      <w:r w:rsidR="008C5EBD" w:rsidRPr="008C5EBD">
        <w:rPr>
          <w:rFonts w:ascii="Arial" w:hAnsi="Arial" w:cs="Arial"/>
        </w:rPr>
        <w:t>2020)</w:t>
      </w:r>
      <w:r w:rsidR="008C5EBD" w:rsidRPr="008C5EBD">
        <w:rPr>
          <w:rFonts w:ascii="Arial" w:hAnsi="Arial" w:cs="Arial"/>
        </w:rPr>
        <w:t xml:space="preserve"> explains that</w:t>
      </w:r>
      <w:r w:rsidRPr="008C5EBD">
        <w:rPr>
          <w:rFonts w:ascii="Arial" w:hAnsi="Arial" w:cs="Arial"/>
        </w:rPr>
        <w:t xml:space="preserve"> Maria Montessori saw nature as vital to holistic development, describing the outdoor environment as an "open-air classroom" where children learn through direct experience.</w:t>
      </w:r>
      <w:r w:rsidRPr="001F3D5A">
        <w:rPr>
          <w:rFonts w:ascii="Arial" w:hAnsi="Arial" w:cs="Arial"/>
          <w:b/>
          <w:bCs/>
        </w:rPr>
        <w:t xml:space="preserve"> </w:t>
      </w:r>
      <w:r w:rsidRPr="008C5EBD">
        <w:rPr>
          <w:rFonts w:ascii="Arial" w:hAnsi="Arial" w:cs="Arial"/>
        </w:rPr>
        <w:t>The John Muir Award experiences reflect this philosophy by enabling children to engage physically and emotionally with their environment</w:t>
      </w:r>
      <w:r w:rsidR="001F3D5A" w:rsidRPr="008C5EBD">
        <w:rPr>
          <w:rFonts w:ascii="Arial" w:hAnsi="Arial" w:cs="Arial"/>
        </w:rPr>
        <w:t xml:space="preserve">, </w:t>
      </w:r>
      <w:r w:rsidRPr="008C5EBD">
        <w:rPr>
          <w:rFonts w:ascii="Arial" w:hAnsi="Arial" w:cs="Arial"/>
        </w:rPr>
        <w:t>feeling the textures of pond plants, observing birds in their habitats</w:t>
      </w:r>
      <w:r w:rsidR="001F3D5A" w:rsidRPr="008C5EBD">
        <w:rPr>
          <w:rFonts w:ascii="Arial" w:hAnsi="Arial" w:cs="Arial"/>
        </w:rPr>
        <w:t xml:space="preserve"> </w:t>
      </w:r>
      <w:r w:rsidRPr="008C5EBD">
        <w:rPr>
          <w:rFonts w:ascii="Arial" w:hAnsi="Arial" w:cs="Arial"/>
        </w:rPr>
        <w:t>and expressing their learning creative</w:t>
      </w:r>
      <w:r w:rsidR="008C5EBD" w:rsidRPr="008C5EBD">
        <w:rPr>
          <w:rFonts w:ascii="Arial" w:hAnsi="Arial" w:cs="Arial"/>
        </w:rPr>
        <w:t>ly</w:t>
      </w:r>
      <w:r w:rsidRPr="008C5EBD">
        <w:rPr>
          <w:rFonts w:ascii="Arial" w:hAnsi="Arial" w:cs="Arial"/>
        </w:rPr>
        <w:t>. These are not abstract lessons but embodied experiences that can build foundational ecological literacy and foster lifelong pro-environmental values</w:t>
      </w:r>
      <w:r w:rsidR="001F3D5A" w:rsidRPr="008C5EBD">
        <w:rPr>
          <w:rFonts w:ascii="Arial" w:hAnsi="Arial" w:cs="Arial"/>
        </w:rPr>
        <w:t>.</w:t>
      </w:r>
      <w:r w:rsidR="001F3D5A" w:rsidRPr="001F3D5A">
        <w:rPr>
          <w:rFonts w:ascii="Arial" w:hAnsi="Arial" w:cs="Arial"/>
          <w:b/>
          <w:bCs/>
        </w:rPr>
        <w:t xml:space="preserve"> </w:t>
      </w:r>
    </w:p>
    <w:p w14:paraId="3638D7D4" w14:textId="61E1788B" w:rsidR="00F03A1F" w:rsidRPr="001F3D5A" w:rsidRDefault="00F03A1F" w:rsidP="00F03A1F">
      <w:pPr>
        <w:spacing w:line="360" w:lineRule="auto"/>
        <w:rPr>
          <w:rFonts w:ascii="Arial" w:hAnsi="Arial" w:cs="Arial"/>
          <w:b/>
          <w:bCs/>
        </w:rPr>
      </w:pPr>
      <w:r w:rsidRPr="009C38C4">
        <w:rPr>
          <w:rFonts w:ascii="Arial" w:hAnsi="Arial" w:cs="Arial"/>
        </w:rPr>
        <w:t>Moreover, the approach aligns with Malaguzzi's Reggio Emilia philosoph</w:t>
      </w:r>
      <w:r w:rsidR="009C38C4" w:rsidRPr="009C38C4">
        <w:rPr>
          <w:rFonts w:ascii="Arial" w:hAnsi="Arial" w:cs="Arial"/>
        </w:rPr>
        <w:t>y</w:t>
      </w:r>
      <w:r w:rsidR="009C38C4" w:rsidRPr="009C38C4">
        <w:rPr>
          <w:rFonts w:ascii="Arial" w:hAnsi="Arial" w:cs="Arial"/>
        </w:rPr>
        <w:t>, developed by Loris Malaguzzi</w:t>
      </w:r>
      <w:r w:rsidR="009C38C4" w:rsidRPr="009C38C4">
        <w:rPr>
          <w:rFonts w:ascii="Arial" w:hAnsi="Arial" w:cs="Arial"/>
        </w:rPr>
        <w:t xml:space="preserve"> which </w:t>
      </w:r>
      <w:r w:rsidR="009C38C4" w:rsidRPr="009C38C4">
        <w:rPr>
          <w:rFonts w:ascii="Arial" w:hAnsi="Arial" w:cs="Arial"/>
        </w:rPr>
        <w:t>views children as competent, curious learners who construct knowledge through exploration and social interaction. Central to this philosophy is the belief that children are active participants in their own learning, engaging with their environment and peers to make sense of the world around them. This approach emphasi</w:t>
      </w:r>
      <w:r w:rsidR="009C38C4" w:rsidRPr="009C38C4">
        <w:rPr>
          <w:rFonts w:ascii="Arial" w:hAnsi="Arial" w:cs="Arial"/>
        </w:rPr>
        <w:t>se</w:t>
      </w:r>
      <w:r w:rsidR="009C38C4" w:rsidRPr="009C38C4">
        <w:rPr>
          <w:rFonts w:ascii="Arial" w:hAnsi="Arial" w:cs="Arial"/>
        </w:rPr>
        <w:t>s hands-on experiences, collaborative projects</w:t>
      </w:r>
      <w:r w:rsidR="009C38C4" w:rsidRPr="009C38C4">
        <w:rPr>
          <w:rFonts w:ascii="Arial" w:hAnsi="Arial" w:cs="Arial"/>
        </w:rPr>
        <w:t xml:space="preserve"> </w:t>
      </w:r>
      <w:r w:rsidR="009C38C4" w:rsidRPr="009C38C4">
        <w:rPr>
          <w:rFonts w:ascii="Arial" w:hAnsi="Arial" w:cs="Arial"/>
        </w:rPr>
        <w:t xml:space="preserve">and diverse forms of expression, fostering critical thinking and problem-solving skills. Teachers </w:t>
      </w:r>
      <w:r w:rsidR="009C38C4" w:rsidRPr="009C38C4">
        <w:rPr>
          <w:rFonts w:ascii="Arial" w:hAnsi="Arial" w:cs="Arial"/>
        </w:rPr>
        <w:lastRenderedPageBreak/>
        <w:t>act as facilitators, providing resources and guidance while allowing children the freedom to direct their own learning. By creating an environment that encourages exploration and dialogue, the Reggio Emilia approach nurtures a deep understanding and appreciation of the learning process.</w:t>
      </w:r>
      <w:r w:rsidR="009C38C4" w:rsidRPr="009C38C4">
        <w:rPr>
          <w:rFonts w:ascii="Arial" w:hAnsi="Arial" w:cs="Arial"/>
        </w:rPr>
        <w:t xml:space="preserve"> </w:t>
      </w:r>
      <w:r w:rsidR="009C38C4" w:rsidRPr="009C38C4">
        <w:rPr>
          <w:rFonts w:ascii="Arial" w:hAnsi="Arial" w:cs="Arial"/>
        </w:rPr>
        <w:t>(Evans and Saracho, 2022, p.15)</w:t>
      </w:r>
      <w:r w:rsidRPr="009C38C4">
        <w:rPr>
          <w:rFonts w:ascii="Arial" w:hAnsi="Arial" w:cs="Arial"/>
        </w:rPr>
        <w:t>.</w:t>
      </w:r>
      <w:r w:rsidRPr="001F3D5A">
        <w:rPr>
          <w:rFonts w:ascii="Arial" w:hAnsi="Arial" w:cs="Arial"/>
          <w:b/>
          <w:bCs/>
        </w:rPr>
        <w:t xml:space="preserve"> </w:t>
      </w:r>
      <w:r w:rsidRPr="009C38C4">
        <w:rPr>
          <w:rFonts w:ascii="Arial" w:hAnsi="Arial" w:cs="Arial"/>
        </w:rPr>
        <w:t>Making bird feeders, for instance, is not only an act of conservation but a way to learn through doing, problem-solving and collaboration</w:t>
      </w:r>
      <w:r w:rsidR="001F3D5A" w:rsidRPr="009C38C4">
        <w:rPr>
          <w:rFonts w:ascii="Arial" w:hAnsi="Arial" w:cs="Arial"/>
        </w:rPr>
        <w:t xml:space="preserve">, </w:t>
      </w:r>
      <w:r w:rsidRPr="009C38C4">
        <w:rPr>
          <w:rFonts w:ascii="Arial" w:hAnsi="Arial" w:cs="Arial"/>
        </w:rPr>
        <w:t>key ESD competencies. In this sense, such activities offer more than environmental awareness</w:t>
      </w:r>
      <w:r w:rsidR="009C38C4" w:rsidRPr="009C38C4">
        <w:rPr>
          <w:rFonts w:ascii="Arial" w:hAnsi="Arial" w:cs="Arial"/>
        </w:rPr>
        <w:t xml:space="preserve">, </w:t>
      </w:r>
      <w:r w:rsidRPr="009C38C4">
        <w:rPr>
          <w:rFonts w:ascii="Arial" w:hAnsi="Arial" w:cs="Arial"/>
        </w:rPr>
        <w:t>they can develop empathy, cooperation and systems thinking, all of which are crucial for sustainable development.</w:t>
      </w:r>
    </w:p>
    <w:p w14:paraId="3DBCBE93" w14:textId="7B6C5A96" w:rsidR="00F03A1F" w:rsidRPr="00680F63" w:rsidRDefault="00F03A1F" w:rsidP="00F03A1F">
      <w:pPr>
        <w:spacing w:line="360" w:lineRule="auto"/>
        <w:rPr>
          <w:rFonts w:ascii="Arial" w:hAnsi="Arial" w:cs="Arial"/>
        </w:rPr>
      </w:pPr>
      <w:r w:rsidRPr="00680F63">
        <w:rPr>
          <w:rFonts w:ascii="Arial" w:hAnsi="Arial" w:cs="Arial"/>
        </w:rPr>
        <w:t>However, while these experiences have clear strengths, they are not without limitations. One critical concern is that they can risk being too narrowly focused on environmental aspects of sustainability, potentially neglecting the broader dimensions of ESD, such as social equity, economic understanding</w:t>
      </w:r>
      <w:r w:rsidR="009C38C4" w:rsidRPr="00680F63">
        <w:rPr>
          <w:rFonts w:ascii="Arial" w:hAnsi="Arial" w:cs="Arial"/>
        </w:rPr>
        <w:t xml:space="preserve"> </w:t>
      </w:r>
      <w:r w:rsidRPr="00680F63">
        <w:rPr>
          <w:rFonts w:ascii="Arial" w:hAnsi="Arial" w:cs="Arial"/>
        </w:rPr>
        <w:t>and global citizenship. As</w:t>
      </w:r>
      <w:r w:rsidR="009C38C4" w:rsidRPr="00680F63">
        <w:rPr>
          <w:rFonts w:ascii="Arial" w:hAnsi="Arial" w:cs="Arial"/>
        </w:rPr>
        <w:t xml:space="preserve"> </w:t>
      </w:r>
      <w:proofErr w:type="spellStart"/>
      <w:r w:rsidR="009C38C4" w:rsidRPr="00680F63">
        <w:rPr>
          <w:rFonts w:ascii="Arial" w:hAnsi="Arial" w:cs="Arial"/>
        </w:rPr>
        <w:t>Kopnina</w:t>
      </w:r>
      <w:proofErr w:type="spellEnd"/>
      <w:r w:rsidR="009C38C4" w:rsidRPr="00680F63">
        <w:rPr>
          <w:rFonts w:ascii="Arial" w:hAnsi="Arial" w:cs="Arial"/>
        </w:rPr>
        <w:t xml:space="preserve">, </w:t>
      </w:r>
      <w:r w:rsidR="009C38C4" w:rsidRPr="00680F63">
        <w:rPr>
          <w:rFonts w:ascii="Arial" w:hAnsi="Arial" w:cs="Arial"/>
        </w:rPr>
        <w:t>(</w:t>
      </w:r>
      <w:r w:rsidR="009C38C4" w:rsidRPr="00680F63">
        <w:rPr>
          <w:rFonts w:ascii="Arial" w:hAnsi="Arial" w:cs="Arial"/>
        </w:rPr>
        <w:t>2018</w:t>
      </w:r>
      <w:r w:rsidR="009C38C4" w:rsidRPr="00680F63">
        <w:rPr>
          <w:rFonts w:ascii="Arial" w:hAnsi="Arial" w:cs="Arial"/>
        </w:rPr>
        <w:t xml:space="preserve">) </w:t>
      </w:r>
      <w:r w:rsidRPr="00680F63">
        <w:rPr>
          <w:rFonts w:ascii="Arial" w:hAnsi="Arial" w:cs="Arial"/>
        </w:rPr>
        <w:t>argue, ESD must balance environmental stewardship with the development of awareness around social justice and interdependence. The John Muir Award, while strong on nature connection, may not automatically support these wider perspectives unless explicitly scaffolded by educators.</w:t>
      </w:r>
    </w:p>
    <w:p w14:paraId="0CE7F016" w14:textId="1AD34D89" w:rsidR="00F03A1F" w:rsidRPr="00680F63" w:rsidRDefault="00F03A1F" w:rsidP="00F03A1F">
      <w:pPr>
        <w:spacing w:line="360" w:lineRule="auto"/>
        <w:rPr>
          <w:rFonts w:ascii="Arial" w:hAnsi="Arial" w:cs="Arial"/>
        </w:rPr>
      </w:pPr>
      <w:r w:rsidRPr="00680F63">
        <w:rPr>
          <w:rFonts w:ascii="Arial" w:hAnsi="Arial" w:cs="Arial"/>
        </w:rPr>
        <w:t>Additionally, although experiences like nature walks and creative activities stimulate curiosity and emotional connection, they require intentional reflection and critical dialogue to move from enjoyment of nature to deeper understanding of sustainable development. Without adult mediation or structured opportunities to connect local experiences to global challenges (e.g., biodiversity loss, climate change, consumption), the learning may remain experiential but shallow. This highlights the importance of educators acting as facilitators who guide children to ask questions, make links</w:t>
      </w:r>
      <w:r w:rsidR="00680F63" w:rsidRPr="00680F63">
        <w:rPr>
          <w:rFonts w:ascii="Arial" w:hAnsi="Arial" w:cs="Arial"/>
        </w:rPr>
        <w:t xml:space="preserve"> </w:t>
      </w:r>
      <w:r w:rsidRPr="00680F63">
        <w:rPr>
          <w:rFonts w:ascii="Arial" w:hAnsi="Arial" w:cs="Arial"/>
        </w:rPr>
        <w:t>and consider cause and effect.</w:t>
      </w:r>
    </w:p>
    <w:p w14:paraId="38F237F0" w14:textId="6BBF87A3" w:rsidR="00F03A1F" w:rsidRPr="001F3D5A" w:rsidRDefault="00F03A1F" w:rsidP="00F03A1F">
      <w:pPr>
        <w:spacing w:line="360" w:lineRule="auto"/>
        <w:rPr>
          <w:rFonts w:ascii="Arial" w:hAnsi="Arial" w:cs="Arial"/>
          <w:b/>
          <w:bCs/>
        </w:rPr>
      </w:pPr>
      <w:r w:rsidRPr="003A1163">
        <w:rPr>
          <w:rFonts w:ascii="Arial" w:hAnsi="Arial" w:cs="Arial"/>
        </w:rPr>
        <w:t xml:space="preserve">There are also broader systemic challenges. Not all early </w:t>
      </w:r>
      <w:r w:rsidR="00680F63" w:rsidRPr="003A1163">
        <w:rPr>
          <w:rFonts w:ascii="Arial" w:hAnsi="Arial" w:cs="Arial"/>
        </w:rPr>
        <w:t>year’s</w:t>
      </w:r>
      <w:r w:rsidRPr="003A1163">
        <w:rPr>
          <w:rFonts w:ascii="Arial" w:hAnsi="Arial" w:cs="Arial"/>
        </w:rPr>
        <w:t xml:space="preserve"> settings have easy access to natural environments and practitioners may lack the confidence or training to embed ESD meaningfully into their curriculum. Time pressures, accountability measures and curriculum constraints can limit opportunities for outdoor learning and sustainability-focused projects </w:t>
      </w:r>
      <w:r w:rsidR="00680F63" w:rsidRPr="003A1163">
        <w:rPr>
          <w:rFonts w:ascii="Arial" w:hAnsi="Arial" w:cs="Arial"/>
        </w:rPr>
        <w:t>(Rousell and Cutter-Mackenzie-Knowles, 2022)</w:t>
      </w:r>
      <w:r w:rsidR="00680F63" w:rsidRPr="003A1163">
        <w:rPr>
          <w:rFonts w:ascii="Arial" w:hAnsi="Arial" w:cs="Arial"/>
        </w:rPr>
        <w:t>.</w:t>
      </w:r>
      <w:r w:rsidR="00680F63">
        <w:rPr>
          <w:rFonts w:ascii="Arial" w:hAnsi="Arial" w:cs="Arial"/>
          <w:b/>
          <w:bCs/>
        </w:rPr>
        <w:t xml:space="preserve"> </w:t>
      </w:r>
      <w:r w:rsidRPr="003A1163">
        <w:rPr>
          <w:rFonts w:ascii="Arial" w:hAnsi="Arial" w:cs="Arial"/>
        </w:rPr>
        <w:t xml:space="preserve">Furthermore, although awards like the John Muir are increasingly recognised in schools, their use in the early years sector remains limited, in part due to </w:t>
      </w:r>
      <w:r w:rsidRPr="003A1163">
        <w:rPr>
          <w:rFonts w:ascii="Arial" w:hAnsi="Arial" w:cs="Arial"/>
        </w:rPr>
        <w:lastRenderedPageBreak/>
        <w:t>assumptions about young children’s developmental capacities or the belief that ESD is a concern for older pupils.</w:t>
      </w:r>
    </w:p>
    <w:p w14:paraId="3F58B1A7" w14:textId="09A5FB78" w:rsidR="00F03A1F" w:rsidRPr="003A1163" w:rsidRDefault="00F03A1F" w:rsidP="00F03A1F">
      <w:pPr>
        <w:spacing w:line="360" w:lineRule="auto"/>
        <w:rPr>
          <w:rFonts w:ascii="Arial" w:hAnsi="Arial" w:cs="Arial"/>
        </w:rPr>
      </w:pPr>
      <w:r w:rsidRPr="003A1163">
        <w:rPr>
          <w:rFonts w:ascii="Arial" w:hAnsi="Arial" w:cs="Arial"/>
        </w:rPr>
        <w:t xml:space="preserve">That said, young children are highly capable of engaging with sustainability when it is presented in meaningful, age-appropriate ways. As </w:t>
      </w:r>
      <w:r w:rsidR="003A1163" w:rsidRPr="003A1163">
        <w:rPr>
          <w:rFonts w:ascii="Arial" w:hAnsi="Arial" w:cs="Arial"/>
        </w:rPr>
        <w:t>(Buckler and Creech,</w:t>
      </w:r>
      <w:r w:rsidR="003A1163" w:rsidRPr="003A1163">
        <w:rPr>
          <w:rFonts w:ascii="Arial" w:hAnsi="Arial" w:cs="Arial"/>
        </w:rPr>
        <w:t xml:space="preserve"> (2014) </w:t>
      </w:r>
      <w:r w:rsidRPr="003A1163">
        <w:rPr>
          <w:rFonts w:ascii="Arial" w:hAnsi="Arial" w:cs="Arial"/>
        </w:rPr>
        <w:t>stresses, early childhood is a critical period for laying the foundations of sustainability and programmes like the John Muir Award have the potential to be adapted and expanded to incorporate elements of global citizenship, equity and interdependence</w:t>
      </w:r>
      <w:r w:rsidR="003A1163" w:rsidRPr="003A1163">
        <w:rPr>
          <w:rFonts w:ascii="Arial" w:hAnsi="Arial" w:cs="Arial"/>
        </w:rPr>
        <w:t xml:space="preserve">, </w:t>
      </w:r>
      <w:r w:rsidRPr="003A1163">
        <w:rPr>
          <w:rFonts w:ascii="Arial" w:hAnsi="Arial" w:cs="Arial"/>
        </w:rPr>
        <w:t>particularly if educators are supported to frame these experiences within a wider ESD context.</w:t>
      </w:r>
    </w:p>
    <w:p w14:paraId="48A427BD" w14:textId="22E34120" w:rsidR="00F03A1F" w:rsidRPr="003A1163" w:rsidRDefault="008466F4" w:rsidP="00F03A1F">
      <w:pPr>
        <w:spacing w:line="360" w:lineRule="auto"/>
        <w:rPr>
          <w:rFonts w:ascii="Arial" w:hAnsi="Arial" w:cs="Arial"/>
        </w:rPr>
      </w:pPr>
      <w:r>
        <w:rPr>
          <w:rFonts w:ascii="Arial" w:hAnsi="Arial" w:cs="Arial"/>
        </w:rPr>
        <w:t>T</w:t>
      </w:r>
      <w:r w:rsidR="00F03A1F" w:rsidRPr="003A1163">
        <w:rPr>
          <w:rFonts w:ascii="Arial" w:hAnsi="Arial" w:cs="Arial"/>
        </w:rPr>
        <w:t>he John Muir Award activities undertaken in Part 1 represent a valuable entry point into ESD through experiential, nature-based learning. They align with key pedagogical theories that champion child-led, hands-on exploration and respect for the learner’s voice. However, to fully realise the potential of ESD, such experiences must go beyond environmental appreciation to include critical engagement with broader sustainability issues. This requires intentional planning, reflective practice and supportive infrastructure in early years settings. When these elements come together, young children can become not only nature lovers but also thoughtful, active participants in building a more just and sustainable world.</w:t>
      </w:r>
    </w:p>
    <w:p w14:paraId="0F01A299" w14:textId="696F82B7" w:rsidR="008466F4" w:rsidRPr="008466F4" w:rsidRDefault="008466F4" w:rsidP="008466F4">
      <w:pPr>
        <w:spacing w:line="360" w:lineRule="auto"/>
        <w:rPr>
          <w:rFonts w:ascii="Arial" w:hAnsi="Arial" w:cs="Arial"/>
        </w:rPr>
      </w:pPr>
      <w:r>
        <w:rPr>
          <w:rFonts w:ascii="Arial" w:hAnsi="Arial" w:cs="Arial"/>
        </w:rPr>
        <w:t>To conclude this presentation, I would like to say that t</w:t>
      </w:r>
      <w:r w:rsidRPr="008466F4">
        <w:rPr>
          <w:rFonts w:ascii="Arial" w:hAnsi="Arial" w:cs="Arial"/>
        </w:rPr>
        <w:t xml:space="preserve">his exploration of the </w:t>
      </w:r>
      <w:proofErr w:type="spellStart"/>
      <w:r w:rsidRPr="008466F4">
        <w:rPr>
          <w:rFonts w:ascii="Arial" w:hAnsi="Arial" w:cs="Arial"/>
        </w:rPr>
        <w:t>Bosherston</w:t>
      </w:r>
      <w:proofErr w:type="spellEnd"/>
      <w:r w:rsidRPr="008466F4">
        <w:rPr>
          <w:rFonts w:ascii="Arial" w:hAnsi="Arial" w:cs="Arial"/>
        </w:rPr>
        <w:t xml:space="preserve"> Lily Ponds underscores the profound impact that early, nature-based experiences can have on fostering a deep-rooted connection to the environment. Engaging in conservation activities</w:t>
      </w:r>
      <w:r>
        <w:rPr>
          <w:rFonts w:ascii="Arial" w:hAnsi="Arial" w:cs="Arial"/>
        </w:rPr>
        <w:t xml:space="preserve"> </w:t>
      </w:r>
      <w:r w:rsidRPr="008466F4">
        <w:rPr>
          <w:rFonts w:ascii="Arial" w:hAnsi="Arial" w:cs="Arial"/>
        </w:rPr>
        <w:t>such as creating bird feeders, not only contributes to local biodiversity but also aligns with the principles of Education for Sustainable Development (ESD), emphasi</w:t>
      </w:r>
      <w:r>
        <w:rPr>
          <w:rFonts w:ascii="Arial" w:hAnsi="Arial" w:cs="Arial"/>
        </w:rPr>
        <w:t>s</w:t>
      </w:r>
      <w:r w:rsidRPr="008466F4">
        <w:rPr>
          <w:rFonts w:ascii="Arial" w:hAnsi="Arial" w:cs="Arial"/>
        </w:rPr>
        <w:t>ing hands-on, child-led learning. The integration of policy frameworks like the United Nations Convention on the Rights of the Child and the Well-being of Future Generations (Wales) Act 2015 further reinforces the importance of embedding sustainability into early years education.</w:t>
      </w:r>
    </w:p>
    <w:p w14:paraId="4CC77FDA" w14:textId="16381C3D" w:rsidR="008466F4" w:rsidRDefault="008466F4" w:rsidP="008466F4">
      <w:pPr>
        <w:spacing w:line="360" w:lineRule="auto"/>
        <w:rPr>
          <w:rFonts w:ascii="Arial" w:hAnsi="Arial" w:cs="Arial"/>
        </w:rPr>
      </w:pPr>
      <w:r w:rsidRPr="008466F4">
        <w:rPr>
          <w:rFonts w:ascii="Arial" w:hAnsi="Arial" w:cs="Arial"/>
        </w:rPr>
        <w:t xml:space="preserve">However, while these initiatives are commendable, there is a need to broaden the scope of sustainability education to encompass social equity, economic understanding and global citizenship. By intentionally incorporating these dimensions into curricula, educators can provide a more holistic approach to sustainability. Additionally, addressing systemic challenges such as limited access to natural </w:t>
      </w:r>
      <w:r w:rsidRPr="008466F4">
        <w:rPr>
          <w:rFonts w:ascii="Arial" w:hAnsi="Arial" w:cs="Arial"/>
        </w:rPr>
        <w:lastRenderedPageBreak/>
        <w:t>environments and the need for professional development for educators, is crucial to ensure the effective implementation of sustainability-focused education.</w:t>
      </w:r>
    </w:p>
    <w:p w14:paraId="0ADB2B8D" w14:textId="0EA2BF59" w:rsidR="008466F4" w:rsidRDefault="008466F4" w:rsidP="008466F4">
      <w:pPr>
        <w:spacing w:line="360" w:lineRule="auto"/>
        <w:rPr>
          <w:rFonts w:ascii="Arial" w:hAnsi="Arial" w:cs="Arial"/>
        </w:rPr>
      </w:pPr>
      <w:r>
        <w:rPr>
          <w:rFonts w:ascii="Arial" w:hAnsi="Arial" w:cs="Arial"/>
        </w:rPr>
        <w:t>Thank you for listening!</w:t>
      </w:r>
    </w:p>
    <w:p w14:paraId="764C382C" w14:textId="40A70CE6" w:rsidR="008466F4" w:rsidRPr="008466F4" w:rsidRDefault="008466F4" w:rsidP="008466F4">
      <w:pPr>
        <w:spacing w:line="360" w:lineRule="auto"/>
        <w:rPr>
          <w:rFonts w:ascii="Arial" w:hAnsi="Arial" w:cs="Arial"/>
        </w:rPr>
      </w:pPr>
      <w:proofErr w:type="spellStart"/>
      <w:r>
        <w:rPr>
          <w:rFonts w:ascii="Arial" w:hAnsi="Arial" w:cs="Arial"/>
        </w:rPr>
        <w:t>Diolch</w:t>
      </w:r>
      <w:proofErr w:type="spellEnd"/>
      <w:r>
        <w:rPr>
          <w:rFonts w:ascii="Arial" w:hAnsi="Arial" w:cs="Arial"/>
        </w:rPr>
        <w:t>!</w:t>
      </w:r>
    </w:p>
    <w:p w14:paraId="0D0AEAC9" w14:textId="77777777" w:rsidR="00F03A1F" w:rsidRPr="00F03A1F" w:rsidRDefault="00F03A1F" w:rsidP="00F03A1F">
      <w:pPr>
        <w:spacing w:line="360" w:lineRule="auto"/>
        <w:rPr>
          <w:rFonts w:ascii="Arial" w:hAnsi="Arial" w:cs="Arial"/>
        </w:rPr>
      </w:pPr>
    </w:p>
    <w:p w14:paraId="2DD5957A" w14:textId="77777777" w:rsidR="00DD12C3" w:rsidRDefault="00DD12C3" w:rsidP="00FD2807">
      <w:pPr>
        <w:spacing w:line="360" w:lineRule="auto"/>
        <w:rPr>
          <w:rFonts w:ascii="Arial" w:hAnsi="Arial" w:cs="Arial"/>
        </w:rPr>
      </w:pPr>
    </w:p>
    <w:p w14:paraId="454B856C" w14:textId="77777777" w:rsidR="00B87516" w:rsidRDefault="00B87516" w:rsidP="00FD2807">
      <w:pPr>
        <w:spacing w:line="360" w:lineRule="auto"/>
        <w:rPr>
          <w:rFonts w:ascii="Arial" w:hAnsi="Arial" w:cs="Arial"/>
        </w:rPr>
      </w:pPr>
    </w:p>
    <w:p w14:paraId="3AE8816B" w14:textId="77777777" w:rsidR="00F03A1F" w:rsidRDefault="00F03A1F" w:rsidP="00FD2807">
      <w:pPr>
        <w:spacing w:line="360" w:lineRule="auto"/>
        <w:rPr>
          <w:rFonts w:ascii="Arial" w:hAnsi="Arial" w:cs="Arial"/>
        </w:rPr>
      </w:pPr>
    </w:p>
    <w:p w14:paraId="652798D9" w14:textId="77777777" w:rsidR="00F03A1F" w:rsidRDefault="00F03A1F" w:rsidP="00FD2807">
      <w:pPr>
        <w:spacing w:line="360" w:lineRule="auto"/>
        <w:rPr>
          <w:rFonts w:ascii="Arial" w:hAnsi="Arial" w:cs="Arial"/>
        </w:rPr>
      </w:pPr>
    </w:p>
    <w:p w14:paraId="480EDD32" w14:textId="77777777" w:rsidR="00F03A1F" w:rsidRDefault="00F03A1F" w:rsidP="00FD2807">
      <w:pPr>
        <w:spacing w:line="360" w:lineRule="auto"/>
        <w:rPr>
          <w:rFonts w:ascii="Arial" w:hAnsi="Arial" w:cs="Arial"/>
        </w:rPr>
      </w:pPr>
    </w:p>
    <w:p w14:paraId="67CE0417" w14:textId="77777777" w:rsidR="00F03A1F" w:rsidRDefault="00F03A1F" w:rsidP="00FD2807">
      <w:pPr>
        <w:spacing w:line="360" w:lineRule="auto"/>
        <w:rPr>
          <w:rFonts w:ascii="Arial" w:hAnsi="Arial" w:cs="Arial"/>
        </w:rPr>
      </w:pPr>
    </w:p>
    <w:p w14:paraId="7F22B36C" w14:textId="77777777" w:rsidR="00F03A1F" w:rsidRDefault="00F03A1F" w:rsidP="00FD2807">
      <w:pPr>
        <w:spacing w:line="360" w:lineRule="auto"/>
        <w:rPr>
          <w:rFonts w:ascii="Arial" w:hAnsi="Arial" w:cs="Arial"/>
        </w:rPr>
      </w:pPr>
    </w:p>
    <w:p w14:paraId="464841BF" w14:textId="77777777" w:rsidR="00F03A1F" w:rsidRDefault="00F03A1F" w:rsidP="00FD2807">
      <w:pPr>
        <w:spacing w:line="360" w:lineRule="auto"/>
        <w:rPr>
          <w:rFonts w:ascii="Arial" w:hAnsi="Arial" w:cs="Arial"/>
        </w:rPr>
      </w:pPr>
    </w:p>
    <w:p w14:paraId="641B3DDE" w14:textId="77777777" w:rsidR="003A1163" w:rsidRDefault="003A1163" w:rsidP="00FD2807">
      <w:pPr>
        <w:spacing w:line="360" w:lineRule="auto"/>
        <w:rPr>
          <w:rFonts w:ascii="Arial" w:hAnsi="Arial" w:cs="Arial"/>
        </w:rPr>
      </w:pPr>
    </w:p>
    <w:p w14:paraId="358EF94F" w14:textId="77777777" w:rsidR="003A1163" w:rsidRDefault="003A1163" w:rsidP="008C5EBD">
      <w:pPr>
        <w:spacing w:line="360" w:lineRule="auto"/>
        <w:jc w:val="center"/>
        <w:rPr>
          <w:rFonts w:ascii="Arial" w:hAnsi="Arial" w:cs="Arial"/>
          <w:u w:val="single"/>
        </w:rPr>
      </w:pPr>
    </w:p>
    <w:p w14:paraId="128217F5" w14:textId="77777777" w:rsidR="008466F4" w:rsidRDefault="008466F4" w:rsidP="008C5EBD">
      <w:pPr>
        <w:spacing w:line="360" w:lineRule="auto"/>
        <w:jc w:val="center"/>
        <w:rPr>
          <w:rFonts w:ascii="Arial" w:hAnsi="Arial" w:cs="Arial"/>
          <w:u w:val="single"/>
        </w:rPr>
      </w:pPr>
    </w:p>
    <w:p w14:paraId="0D6F570D" w14:textId="77777777" w:rsidR="008466F4" w:rsidRDefault="008466F4" w:rsidP="008C5EBD">
      <w:pPr>
        <w:spacing w:line="360" w:lineRule="auto"/>
        <w:jc w:val="center"/>
        <w:rPr>
          <w:rFonts w:ascii="Arial" w:hAnsi="Arial" w:cs="Arial"/>
          <w:u w:val="single"/>
        </w:rPr>
      </w:pPr>
    </w:p>
    <w:p w14:paraId="430D6615" w14:textId="77777777" w:rsidR="008466F4" w:rsidRDefault="008466F4" w:rsidP="008C5EBD">
      <w:pPr>
        <w:spacing w:line="360" w:lineRule="auto"/>
        <w:jc w:val="center"/>
        <w:rPr>
          <w:rFonts w:ascii="Arial" w:hAnsi="Arial" w:cs="Arial"/>
          <w:u w:val="single"/>
        </w:rPr>
      </w:pPr>
    </w:p>
    <w:p w14:paraId="71B89BFD" w14:textId="77777777" w:rsidR="008466F4" w:rsidRDefault="008466F4" w:rsidP="008C5EBD">
      <w:pPr>
        <w:spacing w:line="360" w:lineRule="auto"/>
        <w:jc w:val="center"/>
        <w:rPr>
          <w:rFonts w:ascii="Arial" w:hAnsi="Arial" w:cs="Arial"/>
          <w:u w:val="single"/>
        </w:rPr>
      </w:pPr>
    </w:p>
    <w:p w14:paraId="44E65CB2" w14:textId="77777777" w:rsidR="008466F4" w:rsidRDefault="008466F4" w:rsidP="008C5EBD">
      <w:pPr>
        <w:spacing w:line="360" w:lineRule="auto"/>
        <w:jc w:val="center"/>
        <w:rPr>
          <w:rFonts w:ascii="Arial" w:hAnsi="Arial" w:cs="Arial"/>
          <w:u w:val="single"/>
        </w:rPr>
      </w:pPr>
    </w:p>
    <w:p w14:paraId="2549AF1D" w14:textId="77777777" w:rsidR="008466F4" w:rsidRDefault="008466F4" w:rsidP="008C5EBD">
      <w:pPr>
        <w:spacing w:line="360" w:lineRule="auto"/>
        <w:jc w:val="center"/>
        <w:rPr>
          <w:rFonts w:ascii="Arial" w:hAnsi="Arial" w:cs="Arial"/>
          <w:u w:val="single"/>
        </w:rPr>
      </w:pPr>
    </w:p>
    <w:p w14:paraId="3AB7325A" w14:textId="77777777" w:rsidR="008466F4" w:rsidRDefault="008466F4" w:rsidP="008C5EBD">
      <w:pPr>
        <w:spacing w:line="360" w:lineRule="auto"/>
        <w:jc w:val="center"/>
        <w:rPr>
          <w:rFonts w:ascii="Arial" w:hAnsi="Arial" w:cs="Arial"/>
          <w:u w:val="single"/>
        </w:rPr>
      </w:pPr>
    </w:p>
    <w:p w14:paraId="020C1268" w14:textId="77777777" w:rsidR="008466F4" w:rsidRDefault="008466F4" w:rsidP="008C5EBD">
      <w:pPr>
        <w:spacing w:line="360" w:lineRule="auto"/>
        <w:jc w:val="center"/>
        <w:rPr>
          <w:rFonts w:ascii="Arial" w:hAnsi="Arial" w:cs="Arial"/>
          <w:u w:val="single"/>
        </w:rPr>
      </w:pPr>
    </w:p>
    <w:p w14:paraId="185C4F26" w14:textId="77777777" w:rsidR="008466F4" w:rsidRDefault="008466F4" w:rsidP="008C5EBD">
      <w:pPr>
        <w:spacing w:line="360" w:lineRule="auto"/>
        <w:jc w:val="center"/>
        <w:rPr>
          <w:rFonts w:ascii="Arial" w:hAnsi="Arial" w:cs="Arial"/>
          <w:u w:val="single"/>
        </w:rPr>
      </w:pPr>
    </w:p>
    <w:p w14:paraId="63469730" w14:textId="77777777" w:rsidR="008466F4" w:rsidRDefault="008466F4" w:rsidP="008C5EBD">
      <w:pPr>
        <w:spacing w:line="360" w:lineRule="auto"/>
        <w:jc w:val="center"/>
        <w:rPr>
          <w:rFonts w:ascii="Arial" w:hAnsi="Arial" w:cs="Arial"/>
          <w:u w:val="single"/>
        </w:rPr>
      </w:pPr>
    </w:p>
    <w:p w14:paraId="2866CFBC" w14:textId="77777777" w:rsidR="008466F4" w:rsidRDefault="008466F4" w:rsidP="008C5EBD">
      <w:pPr>
        <w:spacing w:line="360" w:lineRule="auto"/>
        <w:jc w:val="center"/>
        <w:rPr>
          <w:rFonts w:ascii="Arial" w:hAnsi="Arial" w:cs="Arial"/>
          <w:u w:val="single"/>
        </w:rPr>
      </w:pPr>
    </w:p>
    <w:p w14:paraId="20858418" w14:textId="77777777" w:rsidR="008466F4" w:rsidRDefault="008466F4" w:rsidP="008C5EBD">
      <w:pPr>
        <w:spacing w:line="360" w:lineRule="auto"/>
        <w:jc w:val="center"/>
        <w:rPr>
          <w:rFonts w:ascii="Arial" w:hAnsi="Arial" w:cs="Arial"/>
          <w:u w:val="single"/>
        </w:rPr>
      </w:pPr>
    </w:p>
    <w:p w14:paraId="13E3994D" w14:textId="0B3C39E4" w:rsidR="00DD12C3" w:rsidRDefault="00DD12C3" w:rsidP="008C5EBD">
      <w:pPr>
        <w:spacing w:line="360" w:lineRule="auto"/>
        <w:jc w:val="center"/>
        <w:rPr>
          <w:rFonts w:ascii="Arial" w:hAnsi="Arial" w:cs="Arial"/>
          <w:u w:val="single"/>
        </w:rPr>
      </w:pPr>
      <w:r>
        <w:rPr>
          <w:rFonts w:ascii="Arial" w:hAnsi="Arial" w:cs="Arial"/>
          <w:u w:val="single"/>
        </w:rPr>
        <w:t>Reference List</w:t>
      </w:r>
    </w:p>
    <w:p w14:paraId="3A20CB9D" w14:textId="3DC2C986" w:rsidR="00913F58" w:rsidRDefault="00913F58" w:rsidP="00913F58">
      <w:pPr>
        <w:rPr>
          <w:rFonts w:ascii="Arial" w:hAnsi="Arial" w:cs="Arial"/>
        </w:rPr>
      </w:pPr>
      <w:r w:rsidRPr="00913F58">
        <w:rPr>
          <w:rFonts w:ascii="Arial" w:hAnsi="Arial" w:cs="Arial"/>
        </w:rPr>
        <w:t>Bojkov, V.D. (2022). The EU Charter of Fundamental Rights. Nomos Verlagsgesellschaft mbH &amp; Co. KG eBooks. Doi:</w:t>
      </w:r>
      <w:r>
        <w:rPr>
          <w:rFonts w:ascii="Arial" w:hAnsi="Arial" w:cs="Arial"/>
        </w:rPr>
        <w:t xml:space="preserve"> </w:t>
      </w:r>
      <w:r w:rsidRPr="00913F58">
        <w:rPr>
          <w:rFonts w:ascii="Arial" w:hAnsi="Arial" w:cs="Arial"/>
        </w:rPr>
        <w:t>https://doi.org/10.5771/9783748913245.</w:t>
      </w:r>
      <w:r>
        <w:rPr>
          <w:rFonts w:ascii="Arial" w:hAnsi="Arial" w:cs="Arial"/>
        </w:rPr>
        <w:t xml:space="preserve"> Available at: </w:t>
      </w:r>
      <w:hyperlink r:id="rId7" w:history="1">
        <w:r w:rsidRPr="006F464B">
          <w:rPr>
            <w:rStyle w:val="Hyperlink"/>
            <w:rFonts w:ascii="Arial" w:hAnsi="Arial" w:cs="Arial"/>
          </w:rPr>
          <w:t>https://www.nomos-elibrary.de/de/10.5771/9783748913245/the-eu-charter-of-fundamental-rights</w:t>
        </w:r>
      </w:hyperlink>
      <w:r>
        <w:rPr>
          <w:rFonts w:ascii="Arial" w:hAnsi="Arial" w:cs="Arial"/>
        </w:rPr>
        <w:t xml:space="preserve"> (Accessed: 12 May 2025). </w:t>
      </w:r>
    </w:p>
    <w:p w14:paraId="55ED78A3" w14:textId="6E6FEE5B" w:rsidR="003A1163" w:rsidRPr="00913F58" w:rsidRDefault="003A1163" w:rsidP="00913F58">
      <w:pPr>
        <w:rPr>
          <w:rFonts w:ascii="Arial" w:hAnsi="Arial" w:cs="Arial"/>
        </w:rPr>
      </w:pPr>
      <w:r w:rsidRPr="003A1163">
        <w:rPr>
          <w:rFonts w:ascii="Arial" w:hAnsi="Arial" w:cs="Arial"/>
        </w:rPr>
        <w:t xml:space="preserve">Buckler, C. and Creech, H. (2014). </w:t>
      </w:r>
      <w:r w:rsidRPr="003A1163">
        <w:rPr>
          <w:rFonts w:ascii="Arial" w:hAnsi="Arial" w:cs="Arial"/>
          <w:i/>
          <w:iCs/>
        </w:rPr>
        <w:t xml:space="preserve">Shaping the Future We </w:t>
      </w:r>
      <w:proofErr w:type="gramStart"/>
      <w:r w:rsidRPr="003A1163">
        <w:rPr>
          <w:rFonts w:ascii="Arial" w:hAnsi="Arial" w:cs="Arial"/>
          <w:i/>
          <w:iCs/>
        </w:rPr>
        <w:t>Want :</w:t>
      </w:r>
      <w:proofErr w:type="gramEnd"/>
      <w:r w:rsidRPr="003A1163">
        <w:rPr>
          <w:rFonts w:ascii="Arial" w:hAnsi="Arial" w:cs="Arial"/>
          <w:i/>
          <w:iCs/>
        </w:rPr>
        <w:t xml:space="preserve"> UN Decade of Education for Sustainable Development (2005-2014</w:t>
      </w:r>
      <w:proofErr w:type="gramStart"/>
      <w:r w:rsidRPr="003A1163">
        <w:rPr>
          <w:rFonts w:ascii="Arial" w:hAnsi="Arial" w:cs="Arial"/>
          <w:i/>
          <w:iCs/>
        </w:rPr>
        <w:t>) :</w:t>
      </w:r>
      <w:proofErr w:type="gramEnd"/>
      <w:r w:rsidRPr="003A1163">
        <w:rPr>
          <w:rFonts w:ascii="Arial" w:hAnsi="Arial" w:cs="Arial"/>
          <w:i/>
          <w:iCs/>
        </w:rPr>
        <w:t xml:space="preserve"> Final Report</w:t>
      </w:r>
      <w:r w:rsidRPr="003A1163">
        <w:rPr>
          <w:rFonts w:ascii="Arial" w:hAnsi="Arial" w:cs="Arial"/>
        </w:rPr>
        <w:t xml:space="preserve">. [online] Paris: UNESCO, pp.30–42. Available at: </w:t>
      </w:r>
      <w:hyperlink r:id="rId8" w:history="1">
        <w:r w:rsidRPr="003A1163">
          <w:rPr>
            <w:rStyle w:val="Hyperlink"/>
            <w:rFonts w:ascii="Arial" w:hAnsi="Arial" w:cs="Arial"/>
          </w:rPr>
          <w:t>https://books.google.co.uk/books?hl=en&amp;lr=&amp;id=ImZuBgAAQBAJ&amp;oi=fnd&amp;pg=PA5&amp;dq=unesco+2014+education+for+sustainable+development&amp;ots=ZGs7QrVI99&amp;sig=W9mA6ALDOk3BfbjdXg7CePeF834&amp;redir_esc=y#v=onepage&amp;q=unesco%202014%20education%20for%20sustainable%20development&amp;f=false</w:t>
        </w:r>
      </w:hyperlink>
      <w:r>
        <w:rPr>
          <w:rFonts w:ascii="Arial" w:hAnsi="Arial" w:cs="Arial"/>
        </w:rPr>
        <w:t xml:space="preserve"> (</w:t>
      </w:r>
      <w:r w:rsidRPr="003A1163">
        <w:rPr>
          <w:rFonts w:ascii="Arial" w:hAnsi="Arial" w:cs="Arial"/>
        </w:rPr>
        <w:t>Accessed 20 May 2025</w:t>
      </w:r>
      <w:r>
        <w:rPr>
          <w:rFonts w:ascii="Arial" w:hAnsi="Arial" w:cs="Arial"/>
        </w:rPr>
        <w:t xml:space="preserve">). </w:t>
      </w:r>
    </w:p>
    <w:p w14:paraId="3034A65E" w14:textId="4196329F" w:rsidR="00DD12C3" w:rsidRDefault="00DD12C3" w:rsidP="00DD12C3">
      <w:pPr>
        <w:spacing w:line="360" w:lineRule="auto"/>
        <w:rPr>
          <w:rFonts w:ascii="Arial" w:hAnsi="Arial" w:cs="Arial"/>
        </w:rPr>
      </w:pPr>
      <w:r w:rsidRPr="00DD12C3">
        <w:rPr>
          <w:rFonts w:ascii="Arial" w:hAnsi="Arial" w:cs="Arial"/>
        </w:rPr>
        <w:t xml:space="preserve">Evans, D. and Huggins, V. (2018). </w:t>
      </w:r>
      <w:r w:rsidRPr="00DD12C3">
        <w:rPr>
          <w:rFonts w:ascii="Arial" w:hAnsi="Arial" w:cs="Arial"/>
          <w:i/>
          <w:iCs/>
        </w:rPr>
        <w:t>Early childhood education and care for sustainability</w:t>
      </w:r>
      <w:r w:rsidRPr="00DD12C3">
        <w:rPr>
          <w:rFonts w:ascii="Arial" w:hAnsi="Arial" w:cs="Arial"/>
        </w:rPr>
        <w:t xml:space="preserve">. [online] New York: Routledge, pp.12–14. Available at: </w:t>
      </w:r>
      <w:hyperlink r:id="rId9" w:history="1">
        <w:r w:rsidRPr="00DD12C3">
          <w:rPr>
            <w:rStyle w:val="Hyperlink"/>
            <w:rFonts w:ascii="Arial" w:hAnsi="Arial" w:cs="Arial"/>
          </w:rPr>
          <w:t>file:///C:/Users/User/Downloads/10.4324_9781315295855_previewpdf.pdf</w:t>
        </w:r>
      </w:hyperlink>
      <w:r>
        <w:rPr>
          <w:rFonts w:ascii="Arial" w:hAnsi="Arial" w:cs="Arial"/>
        </w:rPr>
        <w:t xml:space="preserve"> (Accessed: 12 May 2025). </w:t>
      </w:r>
    </w:p>
    <w:p w14:paraId="0A32F58A" w14:textId="490E7ED7" w:rsidR="009C38C4" w:rsidRDefault="009C38C4" w:rsidP="00DD12C3">
      <w:pPr>
        <w:spacing w:line="360" w:lineRule="auto"/>
        <w:rPr>
          <w:rFonts w:ascii="Arial" w:hAnsi="Arial" w:cs="Arial"/>
        </w:rPr>
      </w:pPr>
      <w:r w:rsidRPr="009C38C4">
        <w:rPr>
          <w:rFonts w:ascii="Arial" w:hAnsi="Arial" w:cs="Arial"/>
        </w:rPr>
        <w:t xml:space="preserve">Evans, R. and Saracho, O.N. (2022). </w:t>
      </w:r>
      <w:r w:rsidRPr="009C38C4">
        <w:rPr>
          <w:rFonts w:ascii="Arial" w:hAnsi="Arial" w:cs="Arial"/>
          <w:i/>
          <w:iCs/>
        </w:rPr>
        <w:t>The influence of theorists and pioneers on early childhood education</w:t>
      </w:r>
      <w:r w:rsidRPr="009C38C4">
        <w:rPr>
          <w:rFonts w:ascii="Arial" w:hAnsi="Arial" w:cs="Arial"/>
        </w:rPr>
        <w:t>. 1st ed. London: Routledge, p.15.</w:t>
      </w:r>
      <w:r>
        <w:rPr>
          <w:rFonts w:ascii="Arial" w:hAnsi="Arial" w:cs="Arial"/>
        </w:rPr>
        <w:t xml:space="preserve"> Available at: </w:t>
      </w:r>
      <w:hyperlink r:id="rId10" w:history="1">
        <w:r w:rsidRPr="00CA0224">
          <w:rPr>
            <w:rStyle w:val="Hyperlink"/>
            <w:rFonts w:ascii="Arial" w:hAnsi="Arial" w:cs="Arial"/>
          </w:rPr>
          <w:t>https://books.google.co.uk/books?hl=en&amp;lr=&amp;id=-XwIEQAAQBAJ&amp;oi=fnd&amp;pg=PP1&amp;dq=the+influence+of+theorists+and+pioneers&amp;ots=Ck6nf5Jf-z&amp;sig=FhgwDzvLWkUqbDbyLbnNogrnW6s#v=onepage&amp;q=the%20influence%20of%20theorists%20and%20pioneers&amp;f=false</w:t>
        </w:r>
      </w:hyperlink>
      <w:r>
        <w:rPr>
          <w:rFonts w:ascii="Arial" w:hAnsi="Arial" w:cs="Arial"/>
        </w:rPr>
        <w:t xml:space="preserve"> (Accessed: 20 May 2025). </w:t>
      </w:r>
    </w:p>
    <w:p w14:paraId="378C90F5" w14:textId="6FEF4532" w:rsidR="007A7631" w:rsidRDefault="007A7631" w:rsidP="00DD12C3">
      <w:pPr>
        <w:spacing w:line="360" w:lineRule="auto"/>
        <w:rPr>
          <w:rFonts w:ascii="Arial" w:hAnsi="Arial" w:cs="Arial"/>
        </w:rPr>
      </w:pPr>
      <w:proofErr w:type="spellStart"/>
      <w:r w:rsidRPr="007A7631">
        <w:rPr>
          <w:rFonts w:ascii="Arial" w:hAnsi="Arial" w:cs="Arial"/>
        </w:rPr>
        <w:t>Flemig</w:t>
      </w:r>
      <w:proofErr w:type="spellEnd"/>
      <w:r w:rsidRPr="007A7631">
        <w:rPr>
          <w:rFonts w:ascii="Arial" w:hAnsi="Arial" w:cs="Arial"/>
        </w:rPr>
        <w:t xml:space="preserve">, S. and McNair, L. (2022). Nature, Nurture and the Space Between: Lessons from Froebel for the Early Years. </w:t>
      </w:r>
      <w:r w:rsidRPr="007A7631">
        <w:rPr>
          <w:rFonts w:ascii="Arial" w:hAnsi="Arial" w:cs="Arial"/>
          <w:i/>
          <w:iCs/>
        </w:rPr>
        <w:t>Global Education Review</w:t>
      </w:r>
      <w:r w:rsidRPr="007A7631">
        <w:rPr>
          <w:rFonts w:ascii="Arial" w:hAnsi="Arial" w:cs="Arial"/>
        </w:rPr>
        <w:t>, 8, pp.28–37.</w:t>
      </w:r>
      <w:r>
        <w:rPr>
          <w:rFonts w:ascii="Arial" w:hAnsi="Arial" w:cs="Arial"/>
        </w:rPr>
        <w:t xml:space="preserve"> Available at: </w:t>
      </w:r>
      <w:hyperlink r:id="rId11" w:history="1">
        <w:r w:rsidRPr="006F464B">
          <w:rPr>
            <w:rStyle w:val="Hyperlink"/>
            <w:rFonts w:ascii="Arial" w:hAnsi="Arial" w:cs="Arial"/>
          </w:rPr>
          <w:t>https://files.eric.ed.gov/fulltext/EJ1353648.pdf</w:t>
        </w:r>
      </w:hyperlink>
      <w:r>
        <w:rPr>
          <w:rFonts w:ascii="Arial" w:hAnsi="Arial" w:cs="Arial"/>
        </w:rPr>
        <w:t xml:space="preserve"> (Accessed: 19 May 2025). </w:t>
      </w:r>
    </w:p>
    <w:p w14:paraId="448C1D49" w14:textId="0BBCC6FE" w:rsidR="00B87516" w:rsidRDefault="00B87516" w:rsidP="00DD12C3">
      <w:pPr>
        <w:spacing w:line="360" w:lineRule="auto"/>
        <w:rPr>
          <w:rFonts w:ascii="Arial" w:hAnsi="Arial" w:cs="Arial"/>
        </w:rPr>
      </w:pPr>
      <w:r>
        <w:rPr>
          <w:rFonts w:ascii="Arial" w:hAnsi="Arial" w:cs="Arial"/>
        </w:rPr>
        <w:t xml:space="preserve">Future Generations (2015) </w:t>
      </w:r>
      <w:r>
        <w:rPr>
          <w:rFonts w:ascii="Arial" w:hAnsi="Arial" w:cs="Arial"/>
          <w:i/>
          <w:iCs/>
        </w:rPr>
        <w:t xml:space="preserve">Well-being of Future Generations Act 2015. </w:t>
      </w:r>
      <w:r>
        <w:rPr>
          <w:rFonts w:ascii="Arial" w:hAnsi="Arial" w:cs="Arial"/>
        </w:rPr>
        <w:t xml:space="preserve">Available at: </w:t>
      </w:r>
      <w:hyperlink r:id="rId12" w:history="1">
        <w:r w:rsidRPr="00B87516">
          <w:rPr>
            <w:rStyle w:val="Hyperlink"/>
            <w:rFonts w:ascii="Arial" w:hAnsi="Arial" w:cs="Arial"/>
          </w:rPr>
          <w:t>https://futuregenerations.wales/discover/about-future-generations-commissioner/future-generations-act-2015/ns Wales</w:t>
        </w:r>
      </w:hyperlink>
      <w:r>
        <w:rPr>
          <w:rFonts w:ascii="Arial" w:hAnsi="Arial" w:cs="Arial"/>
        </w:rPr>
        <w:t xml:space="preserve"> (Accessed: 12 May 2025). </w:t>
      </w:r>
    </w:p>
    <w:p w14:paraId="20C63C49" w14:textId="07C18BEE" w:rsidR="008C5EBD" w:rsidRDefault="008C5EBD" w:rsidP="00DD12C3">
      <w:pPr>
        <w:spacing w:line="360" w:lineRule="auto"/>
        <w:rPr>
          <w:rFonts w:ascii="Arial" w:hAnsi="Arial" w:cs="Arial"/>
        </w:rPr>
      </w:pPr>
      <w:r w:rsidRPr="008C5EBD">
        <w:rPr>
          <w:rFonts w:ascii="Arial" w:hAnsi="Arial" w:cs="Arial"/>
        </w:rPr>
        <w:lastRenderedPageBreak/>
        <w:t xml:space="preserve">Gu, C. (2020). The Influences </w:t>
      </w:r>
      <w:proofErr w:type="gramStart"/>
      <w:r w:rsidRPr="008C5EBD">
        <w:rPr>
          <w:rFonts w:ascii="Arial" w:hAnsi="Arial" w:cs="Arial"/>
        </w:rPr>
        <w:t>From</w:t>
      </w:r>
      <w:proofErr w:type="gramEnd"/>
      <w:r w:rsidRPr="008C5EBD">
        <w:rPr>
          <w:rFonts w:ascii="Arial" w:hAnsi="Arial" w:cs="Arial"/>
        </w:rPr>
        <w:t xml:space="preserve"> Montessori to the Early Years Children. </w:t>
      </w:r>
      <w:r w:rsidRPr="008C5EBD">
        <w:rPr>
          <w:rFonts w:ascii="Arial" w:hAnsi="Arial" w:cs="Arial"/>
          <w:i/>
          <w:iCs/>
        </w:rPr>
        <w:t>Proceedings of the 2020 5th International Conference on Modern Management and Education Technology (MMET 2020)</w:t>
      </w:r>
      <w:r w:rsidRPr="008C5EBD">
        <w:rPr>
          <w:rFonts w:ascii="Arial" w:hAnsi="Arial" w:cs="Arial"/>
        </w:rPr>
        <w:t xml:space="preserve">, [online] 480. </w:t>
      </w:r>
      <w:proofErr w:type="spellStart"/>
      <w:proofErr w:type="gramStart"/>
      <w:r w:rsidRPr="008C5EBD">
        <w:rPr>
          <w:rFonts w:ascii="Arial" w:hAnsi="Arial" w:cs="Arial"/>
        </w:rPr>
        <w:t>doi:https</w:t>
      </w:r>
      <w:proofErr w:type="spellEnd"/>
      <w:r w:rsidRPr="008C5EBD">
        <w:rPr>
          <w:rFonts w:ascii="Arial" w:hAnsi="Arial" w:cs="Arial"/>
        </w:rPr>
        <w:t>://doi.org/10.2991/assehr.k.201023.056</w:t>
      </w:r>
      <w:proofErr w:type="gramEnd"/>
      <w:r w:rsidRPr="008C5EBD">
        <w:rPr>
          <w:rFonts w:ascii="Arial" w:hAnsi="Arial" w:cs="Arial"/>
        </w:rPr>
        <w:t>.</w:t>
      </w:r>
      <w:r>
        <w:rPr>
          <w:rFonts w:ascii="Arial" w:hAnsi="Arial" w:cs="Arial"/>
        </w:rPr>
        <w:t xml:space="preserve"> Available at: </w:t>
      </w:r>
      <w:hyperlink r:id="rId13" w:history="1">
        <w:r w:rsidRPr="00CA0224">
          <w:rPr>
            <w:rStyle w:val="Hyperlink"/>
            <w:rFonts w:ascii="Arial" w:hAnsi="Arial" w:cs="Arial"/>
          </w:rPr>
          <w:t>https://www.atlantis-press.com/proceedings/mmet-20/125945870</w:t>
        </w:r>
      </w:hyperlink>
      <w:r>
        <w:rPr>
          <w:rFonts w:ascii="Arial" w:hAnsi="Arial" w:cs="Arial"/>
        </w:rPr>
        <w:t xml:space="preserve"> (Accessed: 20 May 2025). </w:t>
      </w:r>
    </w:p>
    <w:p w14:paraId="48972FCE" w14:textId="24AB5E46" w:rsidR="009C38C4" w:rsidRDefault="00680F63" w:rsidP="00DD12C3">
      <w:pPr>
        <w:spacing w:line="360" w:lineRule="auto"/>
        <w:rPr>
          <w:rFonts w:ascii="Arial" w:hAnsi="Arial" w:cs="Arial"/>
        </w:rPr>
      </w:pPr>
      <w:proofErr w:type="spellStart"/>
      <w:r w:rsidRPr="00680F63">
        <w:rPr>
          <w:rFonts w:ascii="Arial" w:hAnsi="Arial" w:cs="Arial"/>
        </w:rPr>
        <w:t>Kopnina</w:t>
      </w:r>
      <w:proofErr w:type="spellEnd"/>
      <w:r w:rsidRPr="00680F63">
        <w:rPr>
          <w:rFonts w:ascii="Arial" w:hAnsi="Arial" w:cs="Arial"/>
        </w:rPr>
        <w:t xml:space="preserve">, H. (2018). </w:t>
      </w:r>
      <w:r w:rsidRPr="00680F63">
        <w:rPr>
          <w:rFonts w:ascii="Arial" w:hAnsi="Arial" w:cs="Arial"/>
          <w:i/>
          <w:iCs/>
        </w:rPr>
        <w:t>Environmental and Sustainability Education Policy</w:t>
      </w:r>
      <w:r w:rsidRPr="00680F63">
        <w:rPr>
          <w:rFonts w:ascii="Arial" w:hAnsi="Arial" w:cs="Arial"/>
        </w:rPr>
        <w:t xml:space="preserve">. 1st ed. [online] London: </w:t>
      </w:r>
      <w:proofErr w:type="gramStart"/>
      <w:r w:rsidRPr="00680F63">
        <w:rPr>
          <w:rFonts w:ascii="Arial" w:hAnsi="Arial" w:cs="Arial"/>
        </w:rPr>
        <w:t>Routledge ,</w:t>
      </w:r>
      <w:proofErr w:type="gramEnd"/>
      <w:r w:rsidRPr="00680F63">
        <w:rPr>
          <w:rFonts w:ascii="Arial" w:hAnsi="Arial" w:cs="Arial"/>
        </w:rPr>
        <w:t xml:space="preserve"> pp.68–74. Available at: </w:t>
      </w:r>
      <w:hyperlink r:id="rId14" w:history="1">
        <w:r w:rsidRPr="00680F63">
          <w:rPr>
            <w:rStyle w:val="Hyperlink"/>
            <w:rFonts w:ascii="Arial" w:hAnsi="Arial" w:cs="Arial"/>
          </w:rPr>
          <w:t>https://www.taylorfrancis.com/chapters/edit/10.4324/9780203732359-9/education-sustainable-development-esd-turn-away-environment-environmental-education-helen-kopnina</w:t>
        </w:r>
      </w:hyperlink>
      <w:r>
        <w:rPr>
          <w:rFonts w:ascii="Arial" w:hAnsi="Arial" w:cs="Arial"/>
        </w:rPr>
        <w:t xml:space="preserve"> (</w:t>
      </w:r>
      <w:r w:rsidRPr="00680F63">
        <w:rPr>
          <w:rFonts w:ascii="Arial" w:hAnsi="Arial" w:cs="Arial"/>
        </w:rPr>
        <w:t>Accessed 20 May 2025</w:t>
      </w:r>
      <w:r>
        <w:rPr>
          <w:rFonts w:ascii="Arial" w:hAnsi="Arial" w:cs="Arial"/>
        </w:rPr>
        <w:t>)</w:t>
      </w:r>
      <w:r w:rsidRPr="00680F63">
        <w:rPr>
          <w:rFonts w:ascii="Arial" w:hAnsi="Arial" w:cs="Arial"/>
        </w:rPr>
        <w:t>.</w:t>
      </w:r>
    </w:p>
    <w:p w14:paraId="476BB017" w14:textId="418B4767" w:rsidR="00856D73" w:rsidRDefault="00856D73" w:rsidP="00DD12C3">
      <w:pPr>
        <w:spacing w:line="360" w:lineRule="auto"/>
        <w:rPr>
          <w:rFonts w:ascii="Arial" w:hAnsi="Arial" w:cs="Arial"/>
        </w:rPr>
      </w:pPr>
      <w:r w:rsidRPr="00856D73">
        <w:rPr>
          <w:rFonts w:ascii="Arial" w:hAnsi="Arial" w:cs="Arial"/>
        </w:rPr>
        <w:t>National Day Nurseries Association</w:t>
      </w:r>
      <w:r w:rsidRPr="00465B39">
        <w:rPr>
          <w:rFonts w:ascii="Arial" w:hAnsi="Arial" w:cs="Arial"/>
        </w:rPr>
        <w:t xml:space="preserve"> (n</w:t>
      </w:r>
      <w:r>
        <w:rPr>
          <w:rFonts w:ascii="Arial" w:hAnsi="Arial" w:cs="Arial"/>
        </w:rPr>
        <w:t>o date</w:t>
      </w:r>
      <w:r w:rsidRPr="00465B39">
        <w:rPr>
          <w:rFonts w:ascii="Arial" w:hAnsi="Arial" w:cs="Arial"/>
        </w:rPr>
        <w:t xml:space="preserve">). </w:t>
      </w:r>
      <w:r w:rsidRPr="00465B39">
        <w:rPr>
          <w:rFonts w:ascii="Arial" w:hAnsi="Arial" w:cs="Arial"/>
          <w:i/>
          <w:iCs/>
        </w:rPr>
        <w:t xml:space="preserve">Curriculum for Wales - </w:t>
      </w:r>
      <w:proofErr w:type="spellStart"/>
      <w:r w:rsidRPr="00465B39">
        <w:rPr>
          <w:rFonts w:ascii="Arial" w:hAnsi="Arial" w:cs="Arial"/>
          <w:i/>
          <w:iCs/>
        </w:rPr>
        <w:t>Cynefin</w:t>
      </w:r>
      <w:proofErr w:type="spellEnd"/>
      <w:r w:rsidRPr="00465B39">
        <w:rPr>
          <w:rFonts w:ascii="Arial" w:hAnsi="Arial" w:cs="Arial"/>
        </w:rPr>
        <w:t xml:space="preserve">. [online] Available at: </w:t>
      </w:r>
      <w:hyperlink r:id="rId15" w:history="1">
        <w:r w:rsidRPr="00465B39">
          <w:rPr>
            <w:rStyle w:val="Hyperlink"/>
            <w:rFonts w:ascii="Arial" w:hAnsi="Arial" w:cs="Arial"/>
          </w:rPr>
          <w:t>https://ndna.org.uk/wp-content/uploads/2022/07/Wales-Cynefin-Curriculum-for-Wales-Factsheet.pdf</w:t>
        </w:r>
      </w:hyperlink>
      <w:r>
        <w:rPr>
          <w:rFonts w:ascii="Arial" w:hAnsi="Arial" w:cs="Arial"/>
        </w:rPr>
        <w:t xml:space="preserve"> (Accessed: 13 May 2025). </w:t>
      </w:r>
    </w:p>
    <w:p w14:paraId="54838F96" w14:textId="213B5F33" w:rsidR="00680F63" w:rsidRDefault="00680F63" w:rsidP="00DD12C3">
      <w:pPr>
        <w:spacing w:line="360" w:lineRule="auto"/>
        <w:rPr>
          <w:rFonts w:ascii="Arial" w:hAnsi="Arial" w:cs="Arial"/>
        </w:rPr>
      </w:pPr>
      <w:r w:rsidRPr="00680F63">
        <w:rPr>
          <w:rFonts w:ascii="Arial" w:hAnsi="Arial" w:cs="Arial"/>
        </w:rPr>
        <w:t xml:space="preserve">Rousell, D. and Cutter-Mackenzie-Knowles, A. (2022). </w:t>
      </w:r>
      <w:r w:rsidRPr="00680F63">
        <w:rPr>
          <w:rFonts w:ascii="Arial" w:hAnsi="Arial" w:cs="Arial"/>
          <w:i/>
          <w:iCs/>
        </w:rPr>
        <w:t xml:space="preserve">Posthuman research </w:t>
      </w:r>
      <w:proofErr w:type="spellStart"/>
      <w:r w:rsidRPr="00680F63">
        <w:rPr>
          <w:rFonts w:ascii="Arial" w:hAnsi="Arial" w:cs="Arial"/>
          <w:i/>
          <w:iCs/>
        </w:rPr>
        <w:t>playspaces</w:t>
      </w:r>
      <w:proofErr w:type="spellEnd"/>
      <w:r w:rsidRPr="00680F63">
        <w:rPr>
          <w:rFonts w:ascii="Arial" w:hAnsi="Arial" w:cs="Arial"/>
        </w:rPr>
        <w:t xml:space="preserve">. [online] London: Routledge, pp.12–27. </w:t>
      </w:r>
      <w:proofErr w:type="spellStart"/>
      <w:proofErr w:type="gramStart"/>
      <w:r w:rsidRPr="00680F63">
        <w:rPr>
          <w:rFonts w:ascii="Arial" w:hAnsi="Arial" w:cs="Arial"/>
        </w:rPr>
        <w:t>doi:https</w:t>
      </w:r>
      <w:proofErr w:type="spellEnd"/>
      <w:r w:rsidRPr="00680F63">
        <w:rPr>
          <w:rFonts w:ascii="Arial" w:hAnsi="Arial" w:cs="Arial"/>
        </w:rPr>
        <w:t>://doi.org/10.4324/9781003336006</w:t>
      </w:r>
      <w:proofErr w:type="gramEnd"/>
      <w:r w:rsidRPr="00680F63">
        <w:rPr>
          <w:rFonts w:ascii="Arial" w:hAnsi="Arial" w:cs="Arial"/>
        </w:rPr>
        <w:t>.</w:t>
      </w:r>
      <w:r>
        <w:rPr>
          <w:rFonts w:ascii="Arial" w:hAnsi="Arial" w:cs="Arial"/>
        </w:rPr>
        <w:t xml:space="preserve"> Available at: </w:t>
      </w:r>
      <w:hyperlink r:id="rId16" w:history="1">
        <w:r w:rsidRPr="00CA0224">
          <w:rPr>
            <w:rStyle w:val="Hyperlink"/>
            <w:rFonts w:ascii="Arial" w:hAnsi="Arial" w:cs="Arial"/>
          </w:rPr>
          <w:t>https://www.taylorfrancis.com/books/mono/10.4324/9781003336006/posthuman-research-playspaces-david-rousell-amy-cutter-mackenzie-knowles</w:t>
        </w:r>
      </w:hyperlink>
      <w:r>
        <w:rPr>
          <w:rFonts w:ascii="Arial" w:hAnsi="Arial" w:cs="Arial"/>
        </w:rPr>
        <w:t xml:space="preserve"> (Accessed: 20 May 2025). </w:t>
      </w:r>
    </w:p>
    <w:p w14:paraId="580C2DC4" w14:textId="2A620161" w:rsidR="00B87516" w:rsidRDefault="00B87516" w:rsidP="00DD12C3">
      <w:pPr>
        <w:spacing w:line="360" w:lineRule="auto"/>
        <w:rPr>
          <w:rFonts w:ascii="Arial" w:hAnsi="Arial" w:cs="Arial"/>
        </w:rPr>
      </w:pPr>
      <w:r>
        <w:rPr>
          <w:rFonts w:ascii="Arial" w:hAnsi="Arial" w:cs="Arial"/>
        </w:rPr>
        <w:t xml:space="preserve">Save The Children (2023) </w:t>
      </w:r>
      <w:r w:rsidRPr="00B87516">
        <w:rPr>
          <w:rFonts w:ascii="Arial" w:hAnsi="Arial" w:cs="Arial"/>
          <w:i/>
          <w:iCs/>
        </w:rPr>
        <w:t>UNCRC Article 24: The right to health, food, and water</w:t>
      </w:r>
      <w:r>
        <w:rPr>
          <w:rFonts w:ascii="Arial" w:hAnsi="Arial" w:cs="Arial"/>
          <w:i/>
          <w:iCs/>
        </w:rPr>
        <w:t xml:space="preserve">. </w:t>
      </w:r>
      <w:r>
        <w:rPr>
          <w:rFonts w:ascii="Arial" w:hAnsi="Arial" w:cs="Arial"/>
        </w:rPr>
        <w:t xml:space="preserve">Available at: </w:t>
      </w:r>
      <w:hyperlink r:id="rId17" w:history="1">
        <w:r w:rsidRPr="006F464B">
          <w:rPr>
            <w:rStyle w:val="Hyperlink"/>
            <w:rFonts w:ascii="Arial" w:hAnsi="Arial" w:cs="Arial"/>
          </w:rPr>
          <w:t>https://www.savethechildren.org.au/about-us/save-the-childrens-charity-work/uncrc-article-24-the-right-to-health-food</w:t>
        </w:r>
      </w:hyperlink>
      <w:r>
        <w:rPr>
          <w:rFonts w:ascii="Arial" w:hAnsi="Arial" w:cs="Arial"/>
        </w:rPr>
        <w:t xml:space="preserve"> (Accessed: 12 May 2025). </w:t>
      </w:r>
    </w:p>
    <w:p w14:paraId="52B2EA3E" w14:textId="48FF09E4" w:rsidR="003A1163" w:rsidRPr="00DD12C3" w:rsidRDefault="001E4A93" w:rsidP="00DD12C3">
      <w:pPr>
        <w:spacing w:line="360" w:lineRule="auto"/>
        <w:rPr>
          <w:rFonts w:ascii="Arial" w:hAnsi="Arial" w:cs="Arial"/>
        </w:rPr>
      </w:pPr>
      <w:proofErr w:type="spellStart"/>
      <w:r>
        <w:rPr>
          <w:rFonts w:ascii="Arial" w:hAnsi="Arial" w:cs="Arial"/>
        </w:rPr>
        <w:t>Unesco</w:t>
      </w:r>
      <w:proofErr w:type="spellEnd"/>
      <w:r>
        <w:rPr>
          <w:rFonts w:ascii="Arial" w:hAnsi="Arial" w:cs="Arial"/>
        </w:rPr>
        <w:t xml:space="preserve"> (2025) </w:t>
      </w:r>
      <w:r>
        <w:rPr>
          <w:rFonts w:ascii="Arial" w:hAnsi="Arial" w:cs="Arial"/>
          <w:i/>
          <w:iCs/>
        </w:rPr>
        <w:t xml:space="preserve">Education for sustainable development. </w:t>
      </w:r>
      <w:r>
        <w:rPr>
          <w:rFonts w:ascii="Arial" w:hAnsi="Arial" w:cs="Arial"/>
        </w:rPr>
        <w:t>Available at:</w:t>
      </w:r>
      <w:r w:rsidRPr="001E4A93">
        <w:t xml:space="preserve"> </w:t>
      </w:r>
      <w:hyperlink r:id="rId18" w:history="1">
        <w:r w:rsidRPr="006F464B">
          <w:rPr>
            <w:rStyle w:val="Hyperlink"/>
            <w:rFonts w:ascii="Arial" w:hAnsi="Arial" w:cs="Arial"/>
          </w:rPr>
          <w:t>https://www.unesco.org/en/sustainable-development/education</w:t>
        </w:r>
      </w:hyperlink>
      <w:r>
        <w:rPr>
          <w:rFonts w:ascii="Arial" w:hAnsi="Arial" w:cs="Arial"/>
        </w:rPr>
        <w:t xml:space="preserve"> (Accessed: 19 May 2025).  </w:t>
      </w:r>
    </w:p>
    <w:p w14:paraId="22D7C821" w14:textId="6FAE30F2" w:rsidR="00FD2807" w:rsidRDefault="00FB0D60" w:rsidP="001F6ED9">
      <w:pPr>
        <w:spacing w:line="360" w:lineRule="auto"/>
        <w:rPr>
          <w:rFonts w:ascii="Arial" w:hAnsi="Arial" w:cs="Arial"/>
        </w:rPr>
      </w:pPr>
      <w:r>
        <w:rPr>
          <w:rFonts w:ascii="Arial" w:hAnsi="Arial" w:cs="Arial"/>
        </w:rPr>
        <w:t xml:space="preserve">UNICEF (no date) </w:t>
      </w:r>
      <w:r w:rsidR="00B87516">
        <w:rPr>
          <w:rFonts w:ascii="Arial" w:hAnsi="Arial" w:cs="Arial"/>
          <w:i/>
          <w:iCs/>
        </w:rPr>
        <w:t xml:space="preserve">How We Protect Children’s Rights. </w:t>
      </w:r>
      <w:r w:rsidR="00B87516">
        <w:rPr>
          <w:rFonts w:ascii="Arial" w:hAnsi="Arial" w:cs="Arial"/>
        </w:rPr>
        <w:t xml:space="preserve">Available at: </w:t>
      </w:r>
      <w:hyperlink r:id="rId19" w:history="1">
        <w:r w:rsidR="00B87516" w:rsidRPr="006F464B">
          <w:rPr>
            <w:rStyle w:val="Hyperlink"/>
            <w:rFonts w:ascii="Arial" w:hAnsi="Arial" w:cs="Arial"/>
          </w:rPr>
          <w:t>https://www.unicef.org.uk/what-we-do/un-convention-child-rights/?sisearchengine=284&amp;siproduct=Campaign_G_02_Our_Work&amp;gad_source=1&amp;gad_campaignid=245175965&amp;gbraid=0AAAAAD_ANGcO9LEaQsp1QhFvEN0ZKs-jW&amp;gclid=CjwKCAjwuIbBBhBvEiwAsNypvcYVuPHo8hkVVnbdlwqFjmodudM9qdgXv</w:t>
        </w:r>
        <w:r w:rsidR="00B87516" w:rsidRPr="006F464B">
          <w:rPr>
            <w:rStyle w:val="Hyperlink"/>
            <w:rFonts w:ascii="Arial" w:hAnsi="Arial" w:cs="Arial"/>
          </w:rPr>
          <w:lastRenderedPageBreak/>
          <w:t>c3oZOD6vYWrxu6LK8H1kxoCldgQAvD_BwEConvention on Rights of a Child (UNCRC) - UNICEF UK</w:t>
        </w:r>
      </w:hyperlink>
      <w:r w:rsidR="00B87516">
        <w:rPr>
          <w:rFonts w:ascii="Arial" w:hAnsi="Arial" w:cs="Arial"/>
        </w:rPr>
        <w:t xml:space="preserve"> (Accessed: 12 May 2025). </w:t>
      </w:r>
    </w:p>
    <w:p w14:paraId="26E584C2" w14:textId="7FFDD7EF" w:rsidR="00CB371D" w:rsidRDefault="00CB371D" w:rsidP="001F6ED9">
      <w:pPr>
        <w:spacing w:line="360" w:lineRule="auto"/>
        <w:rPr>
          <w:rFonts w:ascii="Arial" w:hAnsi="Arial" w:cs="Arial"/>
        </w:rPr>
      </w:pPr>
      <w:r>
        <w:rPr>
          <w:rFonts w:ascii="Arial" w:hAnsi="Arial" w:cs="Arial"/>
        </w:rPr>
        <w:t>United Nations (no date)</w:t>
      </w:r>
      <w:r w:rsidRPr="00CB371D">
        <w:rPr>
          <w:rFonts w:ascii="Arial" w:hAnsi="Arial" w:cs="Arial"/>
          <w:i/>
          <w:iCs/>
        </w:rPr>
        <w:t xml:space="preserve"> Education for Sustainable Development and Global Citizenship</w:t>
      </w:r>
      <w:r>
        <w:rPr>
          <w:rFonts w:ascii="Arial" w:hAnsi="Arial" w:cs="Arial"/>
          <w:i/>
          <w:iCs/>
        </w:rPr>
        <w:t xml:space="preserve">. </w:t>
      </w:r>
      <w:r>
        <w:rPr>
          <w:rFonts w:ascii="Arial" w:hAnsi="Arial" w:cs="Arial"/>
        </w:rPr>
        <w:t>Available at:</w:t>
      </w:r>
      <w:r w:rsidRPr="00CB371D">
        <w:t xml:space="preserve"> </w:t>
      </w:r>
      <w:hyperlink r:id="rId20" w:history="1">
        <w:r w:rsidRPr="006F464B">
          <w:rPr>
            <w:rStyle w:val="Hyperlink"/>
            <w:rFonts w:ascii="Arial" w:hAnsi="Arial" w:cs="Arial"/>
          </w:rPr>
          <w:t>https://sdgs.un.org/partnerships/education-sustainable-development-and-global-citizenship</w:t>
        </w:r>
      </w:hyperlink>
      <w:r>
        <w:rPr>
          <w:rFonts w:ascii="Arial" w:hAnsi="Arial" w:cs="Arial"/>
        </w:rPr>
        <w:t xml:space="preserve"> (Accessed: 13 May 2025).  </w:t>
      </w:r>
    </w:p>
    <w:p w14:paraId="0E2C88F4" w14:textId="20FBB709" w:rsidR="00904F1C" w:rsidRDefault="00904F1C" w:rsidP="001F6ED9">
      <w:pPr>
        <w:spacing w:line="360" w:lineRule="auto"/>
        <w:rPr>
          <w:rFonts w:ascii="Arial" w:hAnsi="Arial" w:cs="Arial"/>
        </w:rPr>
      </w:pPr>
      <w:r>
        <w:rPr>
          <w:rFonts w:ascii="Arial" w:hAnsi="Arial" w:cs="Arial"/>
        </w:rPr>
        <w:t xml:space="preserve">Welsh Government (2020) </w:t>
      </w:r>
      <w:r>
        <w:rPr>
          <w:rFonts w:ascii="Arial" w:hAnsi="Arial" w:cs="Arial"/>
          <w:i/>
          <w:iCs/>
        </w:rPr>
        <w:t xml:space="preserve">Health and Well-being. </w:t>
      </w:r>
      <w:r>
        <w:rPr>
          <w:rFonts w:ascii="Arial" w:hAnsi="Arial" w:cs="Arial"/>
        </w:rPr>
        <w:t xml:space="preserve">Available at: </w:t>
      </w:r>
      <w:hyperlink r:id="rId21" w:history="1">
        <w:r w:rsidR="00CB371D" w:rsidRPr="006F464B">
          <w:rPr>
            <w:rStyle w:val="Hyperlink"/>
            <w:rFonts w:ascii="Arial" w:hAnsi="Arial" w:cs="Arial"/>
          </w:rPr>
          <w:t>https://hwb.gov.wales/curriculum-for-wales/health-and-well-being</w:t>
        </w:r>
      </w:hyperlink>
      <w:r w:rsidR="00CB371D">
        <w:rPr>
          <w:rFonts w:ascii="Arial" w:hAnsi="Arial" w:cs="Arial"/>
        </w:rPr>
        <w:t xml:space="preserve"> (Accessed: 13 May 2025). </w:t>
      </w:r>
    </w:p>
    <w:p w14:paraId="73203637" w14:textId="3F3F8AFF" w:rsidR="00CB371D" w:rsidRPr="00CB371D" w:rsidRDefault="00CB371D" w:rsidP="001F6ED9">
      <w:pPr>
        <w:spacing w:line="360" w:lineRule="auto"/>
        <w:rPr>
          <w:rFonts w:ascii="Arial" w:hAnsi="Arial" w:cs="Arial"/>
        </w:rPr>
      </w:pPr>
      <w:r>
        <w:rPr>
          <w:rFonts w:ascii="Arial" w:hAnsi="Arial" w:cs="Arial"/>
        </w:rPr>
        <w:t xml:space="preserve">Welsh Government (2022) </w:t>
      </w:r>
      <w:r>
        <w:rPr>
          <w:rFonts w:ascii="Arial" w:hAnsi="Arial" w:cs="Arial"/>
          <w:i/>
          <w:iCs/>
        </w:rPr>
        <w:t xml:space="preserve">Developing a Vision for Curriculum Design. </w:t>
      </w:r>
      <w:r>
        <w:rPr>
          <w:rFonts w:ascii="Arial" w:hAnsi="Arial" w:cs="Arial"/>
        </w:rPr>
        <w:t xml:space="preserve">Available at: </w:t>
      </w:r>
      <w:hyperlink r:id="rId22" w:history="1">
        <w:r w:rsidRPr="006F464B">
          <w:rPr>
            <w:rStyle w:val="Hyperlink"/>
            <w:rFonts w:ascii="Arial" w:hAnsi="Arial" w:cs="Arial"/>
          </w:rPr>
          <w:t>https://hwb.gov.wales/curriculum-for-wales/designing-your-curriculum/developing-a-vision-for-curriculum-design</w:t>
        </w:r>
      </w:hyperlink>
      <w:r>
        <w:rPr>
          <w:rFonts w:ascii="Arial" w:hAnsi="Arial" w:cs="Arial"/>
        </w:rPr>
        <w:t xml:space="preserve"> (Accessed: 13 May 2025). </w:t>
      </w:r>
    </w:p>
    <w:p w14:paraId="5DDC76C2" w14:textId="77777777" w:rsidR="005863DB" w:rsidRDefault="005863DB" w:rsidP="005863DB">
      <w:pPr>
        <w:jc w:val="center"/>
        <w:rPr>
          <w:u w:val="single"/>
        </w:rPr>
      </w:pPr>
    </w:p>
    <w:p w14:paraId="34FC3B3F" w14:textId="77777777" w:rsidR="005863DB" w:rsidRPr="005863DB" w:rsidRDefault="005863DB" w:rsidP="005863DB">
      <w:pPr>
        <w:rPr>
          <w:rFonts w:ascii="Arial" w:hAnsi="Arial" w:cs="Arial"/>
        </w:rPr>
      </w:pPr>
    </w:p>
    <w:sectPr w:rsidR="005863DB" w:rsidRPr="005863DB">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A8202C" w14:textId="77777777" w:rsidR="00966872" w:rsidRDefault="00966872" w:rsidP="005863DB">
      <w:pPr>
        <w:spacing w:after="0" w:line="240" w:lineRule="auto"/>
      </w:pPr>
      <w:r>
        <w:separator/>
      </w:r>
    </w:p>
  </w:endnote>
  <w:endnote w:type="continuationSeparator" w:id="0">
    <w:p w14:paraId="031BD55E" w14:textId="77777777" w:rsidR="00966872" w:rsidRDefault="00966872" w:rsidP="005863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B7947F" w14:textId="77777777" w:rsidR="00966872" w:rsidRDefault="00966872" w:rsidP="005863DB">
      <w:pPr>
        <w:spacing w:after="0" w:line="240" w:lineRule="auto"/>
      </w:pPr>
      <w:r>
        <w:separator/>
      </w:r>
    </w:p>
  </w:footnote>
  <w:footnote w:type="continuationSeparator" w:id="0">
    <w:p w14:paraId="2FF3153A" w14:textId="77777777" w:rsidR="00966872" w:rsidRDefault="00966872" w:rsidP="005863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939266" w14:textId="40D803CE" w:rsidR="005863DB" w:rsidRDefault="005863DB">
    <w:pPr>
      <w:pStyle w:val="Header"/>
    </w:pPr>
    <w:r>
      <w:t xml:space="preserve">ECEY6005                                                2204216                                           Word count: </w:t>
    </w:r>
    <w:r w:rsidR="003A1163">
      <w:t>2</w:t>
    </w:r>
    <w:r w:rsidR="008466F4">
      <w:t>519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9E0511"/>
    <w:multiLevelType w:val="multilevel"/>
    <w:tmpl w:val="2A520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52529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3DB"/>
    <w:rsid w:val="00105A83"/>
    <w:rsid w:val="001E4A93"/>
    <w:rsid w:val="001F3D5A"/>
    <w:rsid w:val="001F6ED9"/>
    <w:rsid w:val="00224FC1"/>
    <w:rsid w:val="0034285E"/>
    <w:rsid w:val="003A1163"/>
    <w:rsid w:val="00443E64"/>
    <w:rsid w:val="00465B39"/>
    <w:rsid w:val="005863DB"/>
    <w:rsid w:val="005D1295"/>
    <w:rsid w:val="005D6EBD"/>
    <w:rsid w:val="00680F63"/>
    <w:rsid w:val="007557A1"/>
    <w:rsid w:val="007A7631"/>
    <w:rsid w:val="008466F4"/>
    <w:rsid w:val="00856D73"/>
    <w:rsid w:val="008C5EBD"/>
    <w:rsid w:val="00904F1C"/>
    <w:rsid w:val="00913F58"/>
    <w:rsid w:val="00966872"/>
    <w:rsid w:val="009C38C4"/>
    <w:rsid w:val="009F3DF5"/>
    <w:rsid w:val="00B52DB3"/>
    <w:rsid w:val="00B85B4B"/>
    <w:rsid w:val="00B87516"/>
    <w:rsid w:val="00BF46EA"/>
    <w:rsid w:val="00CB371D"/>
    <w:rsid w:val="00DD12C3"/>
    <w:rsid w:val="00EC77AB"/>
    <w:rsid w:val="00F03A1F"/>
    <w:rsid w:val="00FB0D60"/>
    <w:rsid w:val="00FD28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42491C"/>
  <w15:chartTrackingRefBased/>
  <w15:docId w15:val="{D3124B45-B0CA-43CC-A45C-308962C91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63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63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63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63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63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63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63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63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63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63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63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63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63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63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63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63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63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63DB"/>
    <w:rPr>
      <w:rFonts w:eastAsiaTheme="majorEastAsia" w:cstheme="majorBidi"/>
      <w:color w:val="272727" w:themeColor="text1" w:themeTint="D8"/>
    </w:rPr>
  </w:style>
  <w:style w:type="paragraph" w:styleId="Title">
    <w:name w:val="Title"/>
    <w:basedOn w:val="Normal"/>
    <w:next w:val="Normal"/>
    <w:link w:val="TitleChar"/>
    <w:uiPriority w:val="10"/>
    <w:qFormat/>
    <w:rsid w:val="005863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63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63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63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63DB"/>
    <w:pPr>
      <w:spacing w:before="160"/>
      <w:jc w:val="center"/>
    </w:pPr>
    <w:rPr>
      <w:i/>
      <w:iCs/>
      <w:color w:val="404040" w:themeColor="text1" w:themeTint="BF"/>
    </w:rPr>
  </w:style>
  <w:style w:type="character" w:customStyle="1" w:styleId="QuoteChar">
    <w:name w:val="Quote Char"/>
    <w:basedOn w:val="DefaultParagraphFont"/>
    <w:link w:val="Quote"/>
    <w:uiPriority w:val="29"/>
    <w:rsid w:val="005863DB"/>
    <w:rPr>
      <w:i/>
      <w:iCs/>
      <w:color w:val="404040" w:themeColor="text1" w:themeTint="BF"/>
    </w:rPr>
  </w:style>
  <w:style w:type="paragraph" w:styleId="ListParagraph">
    <w:name w:val="List Paragraph"/>
    <w:basedOn w:val="Normal"/>
    <w:uiPriority w:val="34"/>
    <w:qFormat/>
    <w:rsid w:val="005863DB"/>
    <w:pPr>
      <w:ind w:left="720"/>
      <w:contextualSpacing/>
    </w:pPr>
  </w:style>
  <w:style w:type="character" w:styleId="IntenseEmphasis">
    <w:name w:val="Intense Emphasis"/>
    <w:basedOn w:val="DefaultParagraphFont"/>
    <w:uiPriority w:val="21"/>
    <w:qFormat/>
    <w:rsid w:val="005863DB"/>
    <w:rPr>
      <w:i/>
      <w:iCs/>
      <w:color w:val="0F4761" w:themeColor="accent1" w:themeShade="BF"/>
    </w:rPr>
  </w:style>
  <w:style w:type="paragraph" w:styleId="IntenseQuote">
    <w:name w:val="Intense Quote"/>
    <w:basedOn w:val="Normal"/>
    <w:next w:val="Normal"/>
    <w:link w:val="IntenseQuoteChar"/>
    <w:uiPriority w:val="30"/>
    <w:qFormat/>
    <w:rsid w:val="005863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63DB"/>
    <w:rPr>
      <w:i/>
      <w:iCs/>
      <w:color w:val="0F4761" w:themeColor="accent1" w:themeShade="BF"/>
    </w:rPr>
  </w:style>
  <w:style w:type="character" w:styleId="IntenseReference">
    <w:name w:val="Intense Reference"/>
    <w:basedOn w:val="DefaultParagraphFont"/>
    <w:uiPriority w:val="32"/>
    <w:qFormat/>
    <w:rsid w:val="005863DB"/>
    <w:rPr>
      <w:b/>
      <w:bCs/>
      <w:smallCaps/>
      <w:color w:val="0F4761" w:themeColor="accent1" w:themeShade="BF"/>
      <w:spacing w:val="5"/>
    </w:rPr>
  </w:style>
  <w:style w:type="paragraph" w:styleId="Header">
    <w:name w:val="header"/>
    <w:basedOn w:val="Normal"/>
    <w:link w:val="HeaderChar"/>
    <w:uiPriority w:val="99"/>
    <w:unhideWhenUsed/>
    <w:rsid w:val="005863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63DB"/>
  </w:style>
  <w:style w:type="paragraph" w:styleId="Footer">
    <w:name w:val="footer"/>
    <w:basedOn w:val="Normal"/>
    <w:link w:val="FooterChar"/>
    <w:uiPriority w:val="99"/>
    <w:unhideWhenUsed/>
    <w:rsid w:val="005863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63DB"/>
  </w:style>
  <w:style w:type="character" w:styleId="Hyperlink">
    <w:name w:val="Hyperlink"/>
    <w:basedOn w:val="DefaultParagraphFont"/>
    <w:uiPriority w:val="99"/>
    <w:unhideWhenUsed/>
    <w:rsid w:val="005863DB"/>
    <w:rPr>
      <w:color w:val="467886" w:themeColor="hyperlink"/>
      <w:u w:val="single"/>
    </w:rPr>
  </w:style>
  <w:style w:type="character" w:styleId="UnresolvedMention">
    <w:name w:val="Unresolved Mention"/>
    <w:basedOn w:val="DefaultParagraphFont"/>
    <w:uiPriority w:val="99"/>
    <w:semiHidden/>
    <w:unhideWhenUsed/>
    <w:rsid w:val="005863DB"/>
    <w:rPr>
      <w:color w:val="605E5C"/>
      <w:shd w:val="clear" w:color="auto" w:fill="E1DFDD"/>
    </w:rPr>
  </w:style>
  <w:style w:type="character" w:styleId="FollowedHyperlink">
    <w:name w:val="FollowedHyperlink"/>
    <w:basedOn w:val="DefaultParagraphFont"/>
    <w:uiPriority w:val="99"/>
    <w:semiHidden/>
    <w:unhideWhenUsed/>
    <w:rsid w:val="00B87516"/>
    <w:rPr>
      <w:color w:val="96607D" w:themeColor="followedHyperlink"/>
      <w:u w:val="single"/>
    </w:rPr>
  </w:style>
  <w:style w:type="paragraph" w:styleId="NoSpacing">
    <w:name w:val="No Spacing"/>
    <w:uiPriority w:val="1"/>
    <w:qFormat/>
    <w:rsid w:val="00913F5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70094">
      <w:bodyDiv w:val="1"/>
      <w:marLeft w:val="0"/>
      <w:marRight w:val="0"/>
      <w:marTop w:val="0"/>
      <w:marBottom w:val="0"/>
      <w:divBdr>
        <w:top w:val="none" w:sz="0" w:space="0" w:color="auto"/>
        <w:left w:val="none" w:sz="0" w:space="0" w:color="auto"/>
        <w:bottom w:val="none" w:sz="0" w:space="0" w:color="auto"/>
        <w:right w:val="none" w:sz="0" w:space="0" w:color="auto"/>
      </w:divBdr>
      <w:divsChild>
        <w:div w:id="1529172821">
          <w:marLeft w:val="0"/>
          <w:marRight w:val="0"/>
          <w:marTop w:val="0"/>
          <w:marBottom w:val="0"/>
          <w:divBdr>
            <w:top w:val="none" w:sz="0" w:space="0" w:color="auto"/>
            <w:left w:val="none" w:sz="0" w:space="0" w:color="auto"/>
            <w:bottom w:val="none" w:sz="0" w:space="0" w:color="auto"/>
            <w:right w:val="none" w:sz="0" w:space="0" w:color="auto"/>
          </w:divBdr>
        </w:div>
      </w:divsChild>
    </w:div>
    <w:div w:id="38436058">
      <w:bodyDiv w:val="1"/>
      <w:marLeft w:val="0"/>
      <w:marRight w:val="0"/>
      <w:marTop w:val="0"/>
      <w:marBottom w:val="0"/>
      <w:divBdr>
        <w:top w:val="none" w:sz="0" w:space="0" w:color="auto"/>
        <w:left w:val="none" w:sz="0" w:space="0" w:color="auto"/>
        <w:bottom w:val="none" w:sz="0" w:space="0" w:color="auto"/>
        <w:right w:val="none" w:sz="0" w:space="0" w:color="auto"/>
      </w:divBdr>
    </w:div>
    <w:div w:id="55592197">
      <w:bodyDiv w:val="1"/>
      <w:marLeft w:val="0"/>
      <w:marRight w:val="0"/>
      <w:marTop w:val="0"/>
      <w:marBottom w:val="0"/>
      <w:divBdr>
        <w:top w:val="none" w:sz="0" w:space="0" w:color="auto"/>
        <w:left w:val="none" w:sz="0" w:space="0" w:color="auto"/>
        <w:bottom w:val="none" w:sz="0" w:space="0" w:color="auto"/>
        <w:right w:val="none" w:sz="0" w:space="0" w:color="auto"/>
      </w:divBdr>
    </w:div>
    <w:div w:id="96757500">
      <w:bodyDiv w:val="1"/>
      <w:marLeft w:val="0"/>
      <w:marRight w:val="0"/>
      <w:marTop w:val="0"/>
      <w:marBottom w:val="0"/>
      <w:divBdr>
        <w:top w:val="none" w:sz="0" w:space="0" w:color="auto"/>
        <w:left w:val="none" w:sz="0" w:space="0" w:color="auto"/>
        <w:bottom w:val="none" w:sz="0" w:space="0" w:color="auto"/>
        <w:right w:val="none" w:sz="0" w:space="0" w:color="auto"/>
      </w:divBdr>
    </w:div>
    <w:div w:id="117531311">
      <w:bodyDiv w:val="1"/>
      <w:marLeft w:val="0"/>
      <w:marRight w:val="0"/>
      <w:marTop w:val="0"/>
      <w:marBottom w:val="0"/>
      <w:divBdr>
        <w:top w:val="none" w:sz="0" w:space="0" w:color="auto"/>
        <w:left w:val="none" w:sz="0" w:space="0" w:color="auto"/>
        <w:bottom w:val="none" w:sz="0" w:space="0" w:color="auto"/>
        <w:right w:val="none" w:sz="0" w:space="0" w:color="auto"/>
      </w:divBdr>
      <w:divsChild>
        <w:div w:id="1853908939">
          <w:marLeft w:val="0"/>
          <w:marRight w:val="0"/>
          <w:marTop w:val="0"/>
          <w:marBottom w:val="0"/>
          <w:divBdr>
            <w:top w:val="none" w:sz="0" w:space="0" w:color="auto"/>
            <w:left w:val="none" w:sz="0" w:space="0" w:color="auto"/>
            <w:bottom w:val="none" w:sz="0" w:space="0" w:color="auto"/>
            <w:right w:val="none" w:sz="0" w:space="0" w:color="auto"/>
          </w:divBdr>
        </w:div>
      </w:divsChild>
    </w:div>
    <w:div w:id="158232058">
      <w:bodyDiv w:val="1"/>
      <w:marLeft w:val="0"/>
      <w:marRight w:val="0"/>
      <w:marTop w:val="0"/>
      <w:marBottom w:val="0"/>
      <w:divBdr>
        <w:top w:val="none" w:sz="0" w:space="0" w:color="auto"/>
        <w:left w:val="none" w:sz="0" w:space="0" w:color="auto"/>
        <w:bottom w:val="none" w:sz="0" w:space="0" w:color="auto"/>
        <w:right w:val="none" w:sz="0" w:space="0" w:color="auto"/>
      </w:divBdr>
      <w:divsChild>
        <w:div w:id="1076170933">
          <w:marLeft w:val="0"/>
          <w:marRight w:val="0"/>
          <w:marTop w:val="0"/>
          <w:marBottom w:val="0"/>
          <w:divBdr>
            <w:top w:val="none" w:sz="0" w:space="0" w:color="auto"/>
            <w:left w:val="none" w:sz="0" w:space="0" w:color="auto"/>
            <w:bottom w:val="none" w:sz="0" w:space="0" w:color="auto"/>
            <w:right w:val="none" w:sz="0" w:space="0" w:color="auto"/>
          </w:divBdr>
        </w:div>
      </w:divsChild>
    </w:div>
    <w:div w:id="197088491">
      <w:bodyDiv w:val="1"/>
      <w:marLeft w:val="0"/>
      <w:marRight w:val="0"/>
      <w:marTop w:val="0"/>
      <w:marBottom w:val="0"/>
      <w:divBdr>
        <w:top w:val="none" w:sz="0" w:space="0" w:color="auto"/>
        <w:left w:val="none" w:sz="0" w:space="0" w:color="auto"/>
        <w:bottom w:val="none" w:sz="0" w:space="0" w:color="auto"/>
        <w:right w:val="none" w:sz="0" w:space="0" w:color="auto"/>
      </w:divBdr>
    </w:div>
    <w:div w:id="212884548">
      <w:bodyDiv w:val="1"/>
      <w:marLeft w:val="0"/>
      <w:marRight w:val="0"/>
      <w:marTop w:val="0"/>
      <w:marBottom w:val="0"/>
      <w:divBdr>
        <w:top w:val="none" w:sz="0" w:space="0" w:color="auto"/>
        <w:left w:val="none" w:sz="0" w:space="0" w:color="auto"/>
        <w:bottom w:val="none" w:sz="0" w:space="0" w:color="auto"/>
        <w:right w:val="none" w:sz="0" w:space="0" w:color="auto"/>
      </w:divBdr>
    </w:div>
    <w:div w:id="261493344">
      <w:bodyDiv w:val="1"/>
      <w:marLeft w:val="0"/>
      <w:marRight w:val="0"/>
      <w:marTop w:val="0"/>
      <w:marBottom w:val="0"/>
      <w:divBdr>
        <w:top w:val="none" w:sz="0" w:space="0" w:color="auto"/>
        <w:left w:val="none" w:sz="0" w:space="0" w:color="auto"/>
        <w:bottom w:val="none" w:sz="0" w:space="0" w:color="auto"/>
        <w:right w:val="none" w:sz="0" w:space="0" w:color="auto"/>
      </w:divBdr>
    </w:div>
    <w:div w:id="338511289">
      <w:bodyDiv w:val="1"/>
      <w:marLeft w:val="0"/>
      <w:marRight w:val="0"/>
      <w:marTop w:val="0"/>
      <w:marBottom w:val="0"/>
      <w:divBdr>
        <w:top w:val="none" w:sz="0" w:space="0" w:color="auto"/>
        <w:left w:val="none" w:sz="0" w:space="0" w:color="auto"/>
        <w:bottom w:val="none" w:sz="0" w:space="0" w:color="auto"/>
        <w:right w:val="none" w:sz="0" w:space="0" w:color="auto"/>
      </w:divBdr>
    </w:div>
    <w:div w:id="347566638">
      <w:bodyDiv w:val="1"/>
      <w:marLeft w:val="0"/>
      <w:marRight w:val="0"/>
      <w:marTop w:val="0"/>
      <w:marBottom w:val="0"/>
      <w:divBdr>
        <w:top w:val="none" w:sz="0" w:space="0" w:color="auto"/>
        <w:left w:val="none" w:sz="0" w:space="0" w:color="auto"/>
        <w:bottom w:val="none" w:sz="0" w:space="0" w:color="auto"/>
        <w:right w:val="none" w:sz="0" w:space="0" w:color="auto"/>
      </w:divBdr>
    </w:div>
    <w:div w:id="399064362">
      <w:bodyDiv w:val="1"/>
      <w:marLeft w:val="0"/>
      <w:marRight w:val="0"/>
      <w:marTop w:val="0"/>
      <w:marBottom w:val="0"/>
      <w:divBdr>
        <w:top w:val="none" w:sz="0" w:space="0" w:color="auto"/>
        <w:left w:val="none" w:sz="0" w:space="0" w:color="auto"/>
        <w:bottom w:val="none" w:sz="0" w:space="0" w:color="auto"/>
        <w:right w:val="none" w:sz="0" w:space="0" w:color="auto"/>
      </w:divBdr>
      <w:divsChild>
        <w:div w:id="652636622">
          <w:marLeft w:val="0"/>
          <w:marRight w:val="0"/>
          <w:marTop w:val="0"/>
          <w:marBottom w:val="0"/>
          <w:divBdr>
            <w:top w:val="none" w:sz="0" w:space="0" w:color="auto"/>
            <w:left w:val="none" w:sz="0" w:space="0" w:color="auto"/>
            <w:bottom w:val="none" w:sz="0" w:space="0" w:color="auto"/>
            <w:right w:val="none" w:sz="0" w:space="0" w:color="auto"/>
          </w:divBdr>
        </w:div>
      </w:divsChild>
    </w:div>
    <w:div w:id="436415963">
      <w:bodyDiv w:val="1"/>
      <w:marLeft w:val="0"/>
      <w:marRight w:val="0"/>
      <w:marTop w:val="0"/>
      <w:marBottom w:val="0"/>
      <w:divBdr>
        <w:top w:val="none" w:sz="0" w:space="0" w:color="auto"/>
        <w:left w:val="none" w:sz="0" w:space="0" w:color="auto"/>
        <w:bottom w:val="none" w:sz="0" w:space="0" w:color="auto"/>
        <w:right w:val="none" w:sz="0" w:space="0" w:color="auto"/>
      </w:divBdr>
      <w:divsChild>
        <w:div w:id="1592739509">
          <w:marLeft w:val="0"/>
          <w:marRight w:val="0"/>
          <w:marTop w:val="0"/>
          <w:marBottom w:val="0"/>
          <w:divBdr>
            <w:top w:val="none" w:sz="0" w:space="0" w:color="auto"/>
            <w:left w:val="none" w:sz="0" w:space="0" w:color="auto"/>
            <w:bottom w:val="none" w:sz="0" w:space="0" w:color="auto"/>
            <w:right w:val="none" w:sz="0" w:space="0" w:color="auto"/>
          </w:divBdr>
        </w:div>
      </w:divsChild>
    </w:div>
    <w:div w:id="498813366">
      <w:bodyDiv w:val="1"/>
      <w:marLeft w:val="0"/>
      <w:marRight w:val="0"/>
      <w:marTop w:val="0"/>
      <w:marBottom w:val="0"/>
      <w:divBdr>
        <w:top w:val="none" w:sz="0" w:space="0" w:color="auto"/>
        <w:left w:val="none" w:sz="0" w:space="0" w:color="auto"/>
        <w:bottom w:val="none" w:sz="0" w:space="0" w:color="auto"/>
        <w:right w:val="none" w:sz="0" w:space="0" w:color="auto"/>
      </w:divBdr>
    </w:div>
    <w:div w:id="514542631">
      <w:bodyDiv w:val="1"/>
      <w:marLeft w:val="0"/>
      <w:marRight w:val="0"/>
      <w:marTop w:val="0"/>
      <w:marBottom w:val="0"/>
      <w:divBdr>
        <w:top w:val="none" w:sz="0" w:space="0" w:color="auto"/>
        <w:left w:val="none" w:sz="0" w:space="0" w:color="auto"/>
        <w:bottom w:val="none" w:sz="0" w:space="0" w:color="auto"/>
        <w:right w:val="none" w:sz="0" w:space="0" w:color="auto"/>
      </w:divBdr>
    </w:div>
    <w:div w:id="531499362">
      <w:bodyDiv w:val="1"/>
      <w:marLeft w:val="0"/>
      <w:marRight w:val="0"/>
      <w:marTop w:val="0"/>
      <w:marBottom w:val="0"/>
      <w:divBdr>
        <w:top w:val="none" w:sz="0" w:space="0" w:color="auto"/>
        <w:left w:val="none" w:sz="0" w:space="0" w:color="auto"/>
        <w:bottom w:val="none" w:sz="0" w:space="0" w:color="auto"/>
        <w:right w:val="none" w:sz="0" w:space="0" w:color="auto"/>
      </w:divBdr>
    </w:div>
    <w:div w:id="572588244">
      <w:bodyDiv w:val="1"/>
      <w:marLeft w:val="0"/>
      <w:marRight w:val="0"/>
      <w:marTop w:val="0"/>
      <w:marBottom w:val="0"/>
      <w:divBdr>
        <w:top w:val="none" w:sz="0" w:space="0" w:color="auto"/>
        <w:left w:val="none" w:sz="0" w:space="0" w:color="auto"/>
        <w:bottom w:val="none" w:sz="0" w:space="0" w:color="auto"/>
        <w:right w:val="none" w:sz="0" w:space="0" w:color="auto"/>
      </w:divBdr>
    </w:div>
    <w:div w:id="631448192">
      <w:bodyDiv w:val="1"/>
      <w:marLeft w:val="0"/>
      <w:marRight w:val="0"/>
      <w:marTop w:val="0"/>
      <w:marBottom w:val="0"/>
      <w:divBdr>
        <w:top w:val="none" w:sz="0" w:space="0" w:color="auto"/>
        <w:left w:val="none" w:sz="0" w:space="0" w:color="auto"/>
        <w:bottom w:val="none" w:sz="0" w:space="0" w:color="auto"/>
        <w:right w:val="none" w:sz="0" w:space="0" w:color="auto"/>
      </w:divBdr>
    </w:div>
    <w:div w:id="712970605">
      <w:bodyDiv w:val="1"/>
      <w:marLeft w:val="0"/>
      <w:marRight w:val="0"/>
      <w:marTop w:val="0"/>
      <w:marBottom w:val="0"/>
      <w:divBdr>
        <w:top w:val="none" w:sz="0" w:space="0" w:color="auto"/>
        <w:left w:val="none" w:sz="0" w:space="0" w:color="auto"/>
        <w:bottom w:val="none" w:sz="0" w:space="0" w:color="auto"/>
        <w:right w:val="none" w:sz="0" w:space="0" w:color="auto"/>
      </w:divBdr>
      <w:divsChild>
        <w:div w:id="1988363238">
          <w:marLeft w:val="0"/>
          <w:marRight w:val="0"/>
          <w:marTop w:val="0"/>
          <w:marBottom w:val="0"/>
          <w:divBdr>
            <w:top w:val="none" w:sz="0" w:space="0" w:color="auto"/>
            <w:left w:val="none" w:sz="0" w:space="0" w:color="auto"/>
            <w:bottom w:val="none" w:sz="0" w:space="0" w:color="auto"/>
            <w:right w:val="none" w:sz="0" w:space="0" w:color="auto"/>
          </w:divBdr>
        </w:div>
      </w:divsChild>
    </w:div>
    <w:div w:id="721058838">
      <w:bodyDiv w:val="1"/>
      <w:marLeft w:val="0"/>
      <w:marRight w:val="0"/>
      <w:marTop w:val="0"/>
      <w:marBottom w:val="0"/>
      <w:divBdr>
        <w:top w:val="none" w:sz="0" w:space="0" w:color="auto"/>
        <w:left w:val="none" w:sz="0" w:space="0" w:color="auto"/>
        <w:bottom w:val="none" w:sz="0" w:space="0" w:color="auto"/>
        <w:right w:val="none" w:sz="0" w:space="0" w:color="auto"/>
      </w:divBdr>
      <w:divsChild>
        <w:div w:id="1091008258">
          <w:marLeft w:val="0"/>
          <w:marRight w:val="0"/>
          <w:marTop w:val="0"/>
          <w:marBottom w:val="0"/>
          <w:divBdr>
            <w:top w:val="none" w:sz="0" w:space="0" w:color="auto"/>
            <w:left w:val="none" w:sz="0" w:space="0" w:color="auto"/>
            <w:bottom w:val="none" w:sz="0" w:space="0" w:color="auto"/>
            <w:right w:val="none" w:sz="0" w:space="0" w:color="auto"/>
          </w:divBdr>
        </w:div>
      </w:divsChild>
    </w:div>
    <w:div w:id="776025595">
      <w:bodyDiv w:val="1"/>
      <w:marLeft w:val="0"/>
      <w:marRight w:val="0"/>
      <w:marTop w:val="0"/>
      <w:marBottom w:val="0"/>
      <w:divBdr>
        <w:top w:val="none" w:sz="0" w:space="0" w:color="auto"/>
        <w:left w:val="none" w:sz="0" w:space="0" w:color="auto"/>
        <w:bottom w:val="none" w:sz="0" w:space="0" w:color="auto"/>
        <w:right w:val="none" w:sz="0" w:space="0" w:color="auto"/>
      </w:divBdr>
    </w:div>
    <w:div w:id="819615298">
      <w:bodyDiv w:val="1"/>
      <w:marLeft w:val="0"/>
      <w:marRight w:val="0"/>
      <w:marTop w:val="0"/>
      <w:marBottom w:val="0"/>
      <w:divBdr>
        <w:top w:val="none" w:sz="0" w:space="0" w:color="auto"/>
        <w:left w:val="none" w:sz="0" w:space="0" w:color="auto"/>
        <w:bottom w:val="none" w:sz="0" w:space="0" w:color="auto"/>
        <w:right w:val="none" w:sz="0" w:space="0" w:color="auto"/>
      </w:divBdr>
      <w:divsChild>
        <w:div w:id="2105300892">
          <w:marLeft w:val="0"/>
          <w:marRight w:val="0"/>
          <w:marTop w:val="0"/>
          <w:marBottom w:val="0"/>
          <w:divBdr>
            <w:top w:val="none" w:sz="0" w:space="0" w:color="auto"/>
            <w:left w:val="none" w:sz="0" w:space="0" w:color="auto"/>
            <w:bottom w:val="none" w:sz="0" w:space="0" w:color="auto"/>
            <w:right w:val="none" w:sz="0" w:space="0" w:color="auto"/>
          </w:divBdr>
        </w:div>
      </w:divsChild>
    </w:div>
    <w:div w:id="875702807">
      <w:bodyDiv w:val="1"/>
      <w:marLeft w:val="0"/>
      <w:marRight w:val="0"/>
      <w:marTop w:val="0"/>
      <w:marBottom w:val="0"/>
      <w:divBdr>
        <w:top w:val="none" w:sz="0" w:space="0" w:color="auto"/>
        <w:left w:val="none" w:sz="0" w:space="0" w:color="auto"/>
        <w:bottom w:val="none" w:sz="0" w:space="0" w:color="auto"/>
        <w:right w:val="none" w:sz="0" w:space="0" w:color="auto"/>
      </w:divBdr>
    </w:div>
    <w:div w:id="944995343">
      <w:bodyDiv w:val="1"/>
      <w:marLeft w:val="0"/>
      <w:marRight w:val="0"/>
      <w:marTop w:val="0"/>
      <w:marBottom w:val="0"/>
      <w:divBdr>
        <w:top w:val="none" w:sz="0" w:space="0" w:color="auto"/>
        <w:left w:val="none" w:sz="0" w:space="0" w:color="auto"/>
        <w:bottom w:val="none" w:sz="0" w:space="0" w:color="auto"/>
        <w:right w:val="none" w:sz="0" w:space="0" w:color="auto"/>
      </w:divBdr>
      <w:divsChild>
        <w:div w:id="644898674">
          <w:marLeft w:val="0"/>
          <w:marRight w:val="0"/>
          <w:marTop w:val="0"/>
          <w:marBottom w:val="0"/>
          <w:divBdr>
            <w:top w:val="none" w:sz="0" w:space="0" w:color="auto"/>
            <w:left w:val="none" w:sz="0" w:space="0" w:color="auto"/>
            <w:bottom w:val="none" w:sz="0" w:space="0" w:color="auto"/>
            <w:right w:val="none" w:sz="0" w:space="0" w:color="auto"/>
          </w:divBdr>
        </w:div>
      </w:divsChild>
    </w:div>
    <w:div w:id="950207248">
      <w:bodyDiv w:val="1"/>
      <w:marLeft w:val="0"/>
      <w:marRight w:val="0"/>
      <w:marTop w:val="0"/>
      <w:marBottom w:val="0"/>
      <w:divBdr>
        <w:top w:val="none" w:sz="0" w:space="0" w:color="auto"/>
        <w:left w:val="none" w:sz="0" w:space="0" w:color="auto"/>
        <w:bottom w:val="none" w:sz="0" w:space="0" w:color="auto"/>
        <w:right w:val="none" w:sz="0" w:space="0" w:color="auto"/>
      </w:divBdr>
    </w:div>
    <w:div w:id="953176786">
      <w:bodyDiv w:val="1"/>
      <w:marLeft w:val="0"/>
      <w:marRight w:val="0"/>
      <w:marTop w:val="0"/>
      <w:marBottom w:val="0"/>
      <w:divBdr>
        <w:top w:val="none" w:sz="0" w:space="0" w:color="auto"/>
        <w:left w:val="none" w:sz="0" w:space="0" w:color="auto"/>
        <w:bottom w:val="none" w:sz="0" w:space="0" w:color="auto"/>
        <w:right w:val="none" w:sz="0" w:space="0" w:color="auto"/>
      </w:divBdr>
    </w:div>
    <w:div w:id="1021854819">
      <w:bodyDiv w:val="1"/>
      <w:marLeft w:val="0"/>
      <w:marRight w:val="0"/>
      <w:marTop w:val="0"/>
      <w:marBottom w:val="0"/>
      <w:divBdr>
        <w:top w:val="none" w:sz="0" w:space="0" w:color="auto"/>
        <w:left w:val="none" w:sz="0" w:space="0" w:color="auto"/>
        <w:bottom w:val="none" w:sz="0" w:space="0" w:color="auto"/>
        <w:right w:val="none" w:sz="0" w:space="0" w:color="auto"/>
      </w:divBdr>
    </w:div>
    <w:div w:id="1023676417">
      <w:bodyDiv w:val="1"/>
      <w:marLeft w:val="0"/>
      <w:marRight w:val="0"/>
      <w:marTop w:val="0"/>
      <w:marBottom w:val="0"/>
      <w:divBdr>
        <w:top w:val="none" w:sz="0" w:space="0" w:color="auto"/>
        <w:left w:val="none" w:sz="0" w:space="0" w:color="auto"/>
        <w:bottom w:val="none" w:sz="0" w:space="0" w:color="auto"/>
        <w:right w:val="none" w:sz="0" w:space="0" w:color="auto"/>
      </w:divBdr>
      <w:divsChild>
        <w:div w:id="86076939">
          <w:marLeft w:val="0"/>
          <w:marRight w:val="0"/>
          <w:marTop w:val="0"/>
          <w:marBottom w:val="0"/>
          <w:divBdr>
            <w:top w:val="none" w:sz="0" w:space="0" w:color="auto"/>
            <w:left w:val="none" w:sz="0" w:space="0" w:color="auto"/>
            <w:bottom w:val="none" w:sz="0" w:space="0" w:color="auto"/>
            <w:right w:val="none" w:sz="0" w:space="0" w:color="auto"/>
          </w:divBdr>
        </w:div>
      </w:divsChild>
    </w:div>
    <w:div w:id="1039671976">
      <w:bodyDiv w:val="1"/>
      <w:marLeft w:val="0"/>
      <w:marRight w:val="0"/>
      <w:marTop w:val="0"/>
      <w:marBottom w:val="0"/>
      <w:divBdr>
        <w:top w:val="none" w:sz="0" w:space="0" w:color="auto"/>
        <w:left w:val="none" w:sz="0" w:space="0" w:color="auto"/>
        <w:bottom w:val="none" w:sz="0" w:space="0" w:color="auto"/>
        <w:right w:val="none" w:sz="0" w:space="0" w:color="auto"/>
      </w:divBdr>
    </w:div>
    <w:div w:id="1089346953">
      <w:bodyDiv w:val="1"/>
      <w:marLeft w:val="0"/>
      <w:marRight w:val="0"/>
      <w:marTop w:val="0"/>
      <w:marBottom w:val="0"/>
      <w:divBdr>
        <w:top w:val="none" w:sz="0" w:space="0" w:color="auto"/>
        <w:left w:val="none" w:sz="0" w:space="0" w:color="auto"/>
        <w:bottom w:val="none" w:sz="0" w:space="0" w:color="auto"/>
        <w:right w:val="none" w:sz="0" w:space="0" w:color="auto"/>
      </w:divBdr>
      <w:divsChild>
        <w:div w:id="919414468">
          <w:marLeft w:val="0"/>
          <w:marRight w:val="0"/>
          <w:marTop w:val="0"/>
          <w:marBottom w:val="0"/>
          <w:divBdr>
            <w:top w:val="none" w:sz="0" w:space="0" w:color="auto"/>
            <w:left w:val="none" w:sz="0" w:space="0" w:color="auto"/>
            <w:bottom w:val="none" w:sz="0" w:space="0" w:color="auto"/>
            <w:right w:val="none" w:sz="0" w:space="0" w:color="auto"/>
          </w:divBdr>
        </w:div>
      </w:divsChild>
    </w:div>
    <w:div w:id="1218737479">
      <w:bodyDiv w:val="1"/>
      <w:marLeft w:val="0"/>
      <w:marRight w:val="0"/>
      <w:marTop w:val="0"/>
      <w:marBottom w:val="0"/>
      <w:divBdr>
        <w:top w:val="none" w:sz="0" w:space="0" w:color="auto"/>
        <w:left w:val="none" w:sz="0" w:space="0" w:color="auto"/>
        <w:bottom w:val="none" w:sz="0" w:space="0" w:color="auto"/>
        <w:right w:val="none" w:sz="0" w:space="0" w:color="auto"/>
      </w:divBdr>
    </w:div>
    <w:div w:id="1240485162">
      <w:bodyDiv w:val="1"/>
      <w:marLeft w:val="0"/>
      <w:marRight w:val="0"/>
      <w:marTop w:val="0"/>
      <w:marBottom w:val="0"/>
      <w:divBdr>
        <w:top w:val="none" w:sz="0" w:space="0" w:color="auto"/>
        <w:left w:val="none" w:sz="0" w:space="0" w:color="auto"/>
        <w:bottom w:val="none" w:sz="0" w:space="0" w:color="auto"/>
        <w:right w:val="none" w:sz="0" w:space="0" w:color="auto"/>
      </w:divBdr>
    </w:div>
    <w:div w:id="1243561835">
      <w:bodyDiv w:val="1"/>
      <w:marLeft w:val="0"/>
      <w:marRight w:val="0"/>
      <w:marTop w:val="0"/>
      <w:marBottom w:val="0"/>
      <w:divBdr>
        <w:top w:val="none" w:sz="0" w:space="0" w:color="auto"/>
        <w:left w:val="none" w:sz="0" w:space="0" w:color="auto"/>
        <w:bottom w:val="none" w:sz="0" w:space="0" w:color="auto"/>
        <w:right w:val="none" w:sz="0" w:space="0" w:color="auto"/>
      </w:divBdr>
      <w:divsChild>
        <w:div w:id="1904942884">
          <w:marLeft w:val="0"/>
          <w:marRight w:val="0"/>
          <w:marTop w:val="0"/>
          <w:marBottom w:val="0"/>
          <w:divBdr>
            <w:top w:val="none" w:sz="0" w:space="0" w:color="auto"/>
            <w:left w:val="none" w:sz="0" w:space="0" w:color="auto"/>
            <w:bottom w:val="none" w:sz="0" w:space="0" w:color="auto"/>
            <w:right w:val="none" w:sz="0" w:space="0" w:color="auto"/>
          </w:divBdr>
        </w:div>
      </w:divsChild>
    </w:div>
    <w:div w:id="1318340125">
      <w:bodyDiv w:val="1"/>
      <w:marLeft w:val="0"/>
      <w:marRight w:val="0"/>
      <w:marTop w:val="0"/>
      <w:marBottom w:val="0"/>
      <w:divBdr>
        <w:top w:val="none" w:sz="0" w:space="0" w:color="auto"/>
        <w:left w:val="none" w:sz="0" w:space="0" w:color="auto"/>
        <w:bottom w:val="none" w:sz="0" w:space="0" w:color="auto"/>
        <w:right w:val="none" w:sz="0" w:space="0" w:color="auto"/>
      </w:divBdr>
      <w:divsChild>
        <w:div w:id="1053770442">
          <w:marLeft w:val="0"/>
          <w:marRight w:val="0"/>
          <w:marTop w:val="0"/>
          <w:marBottom w:val="0"/>
          <w:divBdr>
            <w:top w:val="none" w:sz="0" w:space="0" w:color="auto"/>
            <w:left w:val="none" w:sz="0" w:space="0" w:color="auto"/>
            <w:bottom w:val="none" w:sz="0" w:space="0" w:color="auto"/>
            <w:right w:val="none" w:sz="0" w:space="0" w:color="auto"/>
          </w:divBdr>
        </w:div>
      </w:divsChild>
    </w:div>
    <w:div w:id="1360468461">
      <w:bodyDiv w:val="1"/>
      <w:marLeft w:val="0"/>
      <w:marRight w:val="0"/>
      <w:marTop w:val="0"/>
      <w:marBottom w:val="0"/>
      <w:divBdr>
        <w:top w:val="none" w:sz="0" w:space="0" w:color="auto"/>
        <w:left w:val="none" w:sz="0" w:space="0" w:color="auto"/>
        <w:bottom w:val="none" w:sz="0" w:space="0" w:color="auto"/>
        <w:right w:val="none" w:sz="0" w:space="0" w:color="auto"/>
      </w:divBdr>
      <w:divsChild>
        <w:div w:id="1773477669">
          <w:marLeft w:val="0"/>
          <w:marRight w:val="0"/>
          <w:marTop w:val="0"/>
          <w:marBottom w:val="0"/>
          <w:divBdr>
            <w:top w:val="none" w:sz="0" w:space="0" w:color="auto"/>
            <w:left w:val="none" w:sz="0" w:space="0" w:color="auto"/>
            <w:bottom w:val="none" w:sz="0" w:space="0" w:color="auto"/>
            <w:right w:val="none" w:sz="0" w:space="0" w:color="auto"/>
          </w:divBdr>
        </w:div>
      </w:divsChild>
    </w:div>
    <w:div w:id="1423525168">
      <w:bodyDiv w:val="1"/>
      <w:marLeft w:val="0"/>
      <w:marRight w:val="0"/>
      <w:marTop w:val="0"/>
      <w:marBottom w:val="0"/>
      <w:divBdr>
        <w:top w:val="none" w:sz="0" w:space="0" w:color="auto"/>
        <w:left w:val="none" w:sz="0" w:space="0" w:color="auto"/>
        <w:bottom w:val="none" w:sz="0" w:space="0" w:color="auto"/>
        <w:right w:val="none" w:sz="0" w:space="0" w:color="auto"/>
      </w:divBdr>
    </w:div>
    <w:div w:id="1502963719">
      <w:bodyDiv w:val="1"/>
      <w:marLeft w:val="0"/>
      <w:marRight w:val="0"/>
      <w:marTop w:val="0"/>
      <w:marBottom w:val="0"/>
      <w:divBdr>
        <w:top w:val="none" w:sz="0" w:space="0" w:color="auto"/>
        <w:left w:val="none" w:sz="0" w:space="0" w:color="auto"/>
        <w:bottom w:val="none" w:sz="0" w:space="0" w:color="auto"/>
        <w:right w:val="none" w:sz="0" w:space="0" w:color="auto"/>
      </w:divBdr>
    </w:div>
    <w:div w:id="1511984874">
      <w:bodyDiv w:val="1"/>
      <w:marLeft w:val="0"/>
      <w:marRight w:val="0"/>
      <w:marTop w:val="0"/>
      <w:marBottom w:val="0"/>
      <w:divBdr>
        <w:top w:val="none" w:sz="0" w:space="0" w:color="auto"/>
        <w:left w:val="none" w:sz="0" w:space="0" w:color="auto"/>
        <w:bottom w:val="none" w:sz="0" w:space="0" w:color="auto"/>
        <w:right w:val="none" w:sz="0" w:space="0" w:color="auto"/>
      </w:divBdr>
    </w:div>
    <w:div w:id="1535771622">
      <w:bodyDiv w:val="1"/>
      <w:marLeft w:val="0"/>
      <w:marRight w:val="0"/>
      <w:marTop w:val="0"/>
      <w:marBottom w:val="0"/>
      <w:divBdr>
        <w:top w:val="none" w:sz="0" w:space="0" w:color="auto"/>
        <w:left w:val="none" w:sz="0" w:space="0" w:color="auto"/>
        <w:bottom w:val="none" w:sz="0" w:space="0" w:color="auto"/>
        <w:right w:val="none" w:sz="0" w:space="0" w:color="auto"/>
      </w:divBdr>
    </w:div>
    <w:div w:id="1609124730">
      <w:bodyDiv w:val="1"/>
      <w:marLeft w:val="0"/>
      <w:marRight w:val="0"/>
      <w:marTop w:val="0"/>
      <w:marBottom w:val="0"/>
      <w:divBdr>
        <w:top w:val="none" w:sz="0" w:space="0" w:color="auto"/>
        <w:left w:val="none" w:sz="0" w:space="0" w:color="auto"/>
        <w:bottom w:val="none" w:sz="0" w:space="0" w:color="auto"/>
        <w:right w:val="none" w:sz="0" w:space="0" w:color="auto"/>
      </w:divBdr>
    </w:div>
    <w:div w:id="1633557441">
      <w:bodyDiv w:val="1"/>
      <w:marLeft w:val="0"/>
      <w:marRight w:val="0"/>
      <w:marTop w:val="0"/>
      <w:marBottom w:val="0"/>
      <w:divBdr>
        <w:top w:val="none" w:sz="0" w:space="0" w:color="auto"/>
        <w:left w:val="none" w:sz="0" w:space="0" w:color="auto"/>
        <w:bottom w:val="none" w:sz="0" w:space="0" w:color="auto"/>
        <w:right w:val="none" w:sz="0" w:space="0" w:color="auto"/>
      </w:divBdr>
    </w:div>
    <w:div w:id="1649361238">
      <w:bodyDiv w:val="1"/>
      <w:marLeft w:val="0"/>
      <w:marRight w:val="0"/>
      <w:marTop w:val="0"/>
      <w:marBottom w:val="0"/>
      <w:divBdr>
        <w:top w:val="none" w:sz="0" w:space="0" w:color="auto"/>
        <w:left w:val="none" w:sz="0" w:space="0" w:color="auto"/>
        <w:bottom w:val="none" w:sz="0" w:space="0" w:color="auto"/>
        <w:right w:val="none" w:sz="0" w:space="0" w:color="auto"/>
      </w:divBdr>
    </w:div>
    <w:div w:id="1672176645">
      <w:bodyDiv w:val="1"/>
      <w:marLeft w:val="0"/>
      <w:marRight w:val="0"/>
      <w:marTop w:val="0"/>
      <w:marBottom w:val="0"/>
      <w:divBdr>
        <w:top w:val="none" w:sz="0" w:space="0" w:color="auto"/>
        <w:left w:val="none" w:sz="0" w:space="0" w:color="auto"/>
        <w:bottom w:val="none" w:sz="0" w:space="0" w:color="auto"/>
        <w:right w:val="none" w:sz="0" w:space="0" w:color="auto"/>
      </w:divBdr>
      <w:divsChild>
        <w:div w:id="725642077">
          <w:marLeft w:val="0"/>
          <w:marRight w:val="0"/>
          <w:marTop w:val="0"/>
          <w:marBottom w:val="0"/>
          <w:divBdr>
            <w:top w:val="none" w:sz="0" w:space="0" w:color="auto"/>
            <w:left w:val="none" w:sz="0" w:space="0" w:color="auto"/>
            <w:bottom w:val="none" w:sz="0" w:space="0" w:color="auto"/>
            <w:right w:val="none" w:sz="0" w:space="0" w:color="auto"/>
          </w:divBdr>
        </w:div>
      </w:divsChild>
    </w:div>
    <w:div w:id="1680963498">
      <w:bodyDiv w:val="1"/>
      <w:marLeft w:val="0"/>
      <w:marRight w:val="0"/>
      <w:marTop w:val="0"/>
      <w:marBottom w:val="0"/>
      <w:divBdr>
        <w:top w:val="none" w:sz="0" w:space="0" w:color="auto"/>
        <w:left w:val="none" w:sz="0" w:space="0" w:color="auto"/>
        <w:bottom w:val="none" w:sz="0" w:space="0" w:color="auto"/>
        <w:right w:val="none" w:sz="0" w:space="0" w:color="auto"/>
      </w:divBdr>
      <w:divsChild>
        <w:div w:id="1993364692">
          <w:marLeft w:val="0"/>
          <w:marRight w:val="0"/>
          <w:marTop w:val="0"/>
          <w:marBottom w:val="0"/>
          <w:divBdr>
            <w:top w:val="none" w:sz="0" w:space="0" w:color="auto"/>
            <w:left w:val="none" w:sz="0" w:space="0" w:color="auto"/>
            <w:bottom w:val="none" w:sz="0" w:space="0" w:color="auto"/>
            <w:right w:val="none" w:sz="0" w:space="0" w:color="auto"/>
          </w:divBdr>
        </w:div>
      </w:divsChild>
    </w:div>
    <w:div w:id="1733964571">
      <w:bodyDiv w:val="1"/>
      <w:marLeft w:val="0"/>
      <w:marRight w:val="0"/>
      <w:marTop w:val="0"/>
      <w:marBottom w:val="0"/>
      <w:divBdr>
        <w:top w:val="none" w:sz="0" w:space="0" w:color="auto"/>
        <w:left w:val="none" w:sz="0" w:space="0" w:color="auto"/>
        <w:bottom w:val="none" w:sz="0" w:space="0" w:color="auto"/>
        <w:right w:val="none" w:sz="0" w:space="0" w:color="auto"/>
      </w:divBdr>
    </w:div>
    <w:div w:id="1755472701">
      <w:bodyDiv w:val="1"/>
      <w:marLeft w:val="0"/>
      <w:marRight w:val="0"/>
      <w:marTop w:val="0"/>
      <w:marBottom w:val="0"/>
      <w:divBdr>
        <w:top w:val="none" w:sz="0" w:space="0" w:color="auto"/>
        <w:left w:val="none" w:sz="0" w:space="0" w:color="auto"/>
        <w:bottom w:val="none" w:sz="0" w:space="0" w:color="auto"/>
        <w:right w:val="none" w:sz="0" w:space="0" w:color="auto"/>
      </w:divBdr>
    </w:div>
    <w:div w:id="1797484998">
      <w:bodyDiv w:val="1"/>
      <w:marLeft w:val="0"/>
      <w:marRight w:val="0"/>
      <w:marTop w:val="0"/>
      <w:marBottom w:val="0"/>
      <w:divBdr>
        <w:top w:val="none" w:sz="0" w:space="0" w:color="auto"/>
        <w:left w:val="none" w:sz="0" w:space="0" w:color="auto"/>
        <w:bottom w:val="none" w:sz="0" w:space="0" w:color="auto"/>
        <w:right w:val="none" w:sz="0" w:space="0" w:color="auto"/>
      </w:divBdr>
    </w:div>
    <w:div w:id="1797749441">
      <w:bodyDiv w:val="1"/>
      <w:marLeft w:val="0"/>
      <w:marRight w:val="0"/>
      <w:marTop w:val="0"/>
      <w:marBottom w:val="0"/>
      <w:divBdr>
        <w:top w:val="none" w:sz="0" w:space="0" w:color="auto"/>
        <w:left w:val="none" w:sz="0" w:space="0" w:color="auto"/>
        <w:bottom w:val="none" w:sz="0" w:space="0" w:color="auto"/>
        <w:right w:val="none" w:sz="0" w:space="0" w:color="auto"/>
      </w:divBdr>
    </w:div>
    <w:div w:id="1864241392">
      <w:bodyDiv w:val="1"/>
      <w:marLeft w:val="0"/>
      <w:marRight w:val="0"/>
      <w:marTop w:val="0"/>
      <w:marBottom w:val="0"/>
      <w:divBdr>
        <w:top w:val="none" w:sz="0" w:space="0" w:color="auto"/>
        <w:left w:val="none" w:sz="0" w:space="0" w:color="auto"/>
        <w:bottom w:val="none" w:sz="0" w:space="0" w:color="auto"/>
        <w:right w:val="none" w:sz="0" w:space="0" w:color="auto"/>
      </w:divBdr>
    </w:div>
    <w:div w:id="1876187703">
      <w:bodyDiv w:val="1"/>
      <w:marLeft w:val="0"/>
      <w:marRight w:val="0"/>
      <w:marTop w:val="0"/>
      <w:marBottom w:val="0"/>
      <w:divBdr>
        <w:top w:val="none" w:sz="0" w:space="0" w:color="auto"/>
        <w:left w:val="none" w:sz="0" w:space="0" w:color="auto"/>
        <w:bottom w:val="none" w:sz="0" w:space="0" w:color="auto"/>
        <w:right w:val="none" w:sz="0" w:space="0" w:color="auto"/>
      </w:divBdr>
      <w:divsChild>
        <w:div w:id="249700070">
          <w:marLeft w:val="0"/>
          <w:marRight w:val="0"/>
          <w:marTop w:val="0"/>
          <w:marBottom w:val="0"/>
          <w:divBdr>
            <w:top w:val="none" w:sz="0" w:space="0" w:color="auto"/>
            <w:left w:val="none" w:sz="0" w:space="0" w:color="auto"/>
            <w:bottom w:val="none" w:sz="0" w:space="0" w:color="auto"/>
            <w:right w:val="none" w:sz="0" w:space="0" w:color="auto"/>
          </w:divBdr>
        </w:div>
      </w:divsChild>
    </w:div>
    <w:div w:id="1934508686">
      <w:bodyDiv w:val="1"/>
      <w:marLeft w:val="0"/>
      <w:marRight w:val="0"/>
      <w:marTop w:val="0"/>
      <w:marBottom w:val="0"/>
      <w:divBdr>
        <w:top w:val="none" w:sz="0" w:space="0" w:color="auto"/>
        <w:left w:val="none" w:sz="0" w:space="0" w:color="auto"/>
        <w:bottom w:val="none" w:sz="0" w:space="0" w:color="auto"/>
        <w:right w:val="none" w:sz="0" w:space="0" w:color="auto"/>
      </w:divBdr>
    </w:div>
    <w:div w:id="1981573293">
      <w:bodyDiv w:val="1"/>
      <w:marLeft w:val="0"/>
      <w:marRight w:val="0"/>
      <w:marTop w:val="0"/>
      <w:marBottom w:val="0"/>
      <w:divBdr>
        <w:top w:val="none" w:sz="0" w:space="0" w:color="auto"/>
        <w:left w:val="none" w:sz="0" w:space="0" w:color="auto"/>
        <w:bottom w:val="none" w:sz="0" w:space="0" w:color="auto"/>
        <w:right w:val="none" w:sz="0" w:space="0" w:color="auto"/>
      </w:divBdr>
    </w:div>
    <w:div w:id="2002151420">
      <w:bodyDiv w:val="1"/>
      <w:marLeft w:val="0"/>
      <w:marRight w:val="0"/>
      <w:marTop w:val="0"/>
      <w:marBottom w:val="0"/>
      <w:divBdr>
        <w:top w:val="none" w:sz="0" w:space="0" w:color="auto"/>
        <w:left w:val="none" w:sz="0" w:space="0" w:color="auto"/>
        <w:bottom w:val="none" w:sz="0" w:space="0" w:color="auto"/>
        <w:right w:val="none" w:sz="0" w:space="0" w:color="auto"/>
      </w:divBdr>
      <w:divsChild>
        <w:div w:id="878711202">
          <w:marLeft w:val="0"/>
          <w:marRight w:val="0"/>
          <w:marTop w:val="0"/>
          <w:marBottom w:val="0"/>
          <w:divBdr>
            <w:top w:val="none" w:sz="0" w:space="0" w:color="auto"/>
            <w:left w:val="none" w:sz="0" w:space="0" w:color="auto"/>
            <w:bottom w:val="none" w:sz="0" w:space="0" w:color="auto"/>
            <w:right w:val="none" w:sz="0" w:space="0" w:color="auto"/>
          </w:divBdr>
        </w:div>
      </w:divsChild>
    </w:div>
    <w:div w:id="2084601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ImZuBgAAQBAJ&amp;oi=fnd&amp;pg=PA5&amp;dq=unesco+2014+education+for+sustainable+development&amp;ots=ZGs7QrVI99&amp;sig=W9mA6ALDOk3BfbjdXg7CePeF834&amp;redir_esc=y#v=onepage&amp;q=unesco%202014%20education%20for%20sustainable%20development&amp;f=false" TargetMode="External"/><Relationship Id="rId13" Type="http://schemas.openxmlformats.org/officeDocument/2006/relationships/hyperlink" Target="https://www.atlantis-press.com/proceedings/mmet-20/125945870" TargetMode="External"/><Relationship Id="rId18" Type="http://schemas.openxmlformats.org/officeDocument/2006/relationships/hyperlink" Target="https://www.unesco.org/en/sustainable-development/education" TargetMode="External"/><Relationship Id="rId3" Type="http://schemas.openxmlformats.org/officeDocument/2006/relationships/settings" Target="settings.xml"/><Relationship Id="rId21" Type="http://schemas.openxmlformats.org/officeDocument/2006/relationships/hyperlink" Target="https://hwb.gov.wales/curriculum-for-wales/health-and-well-being" TargetMode="External"/><Relationship Id="rId7" Type="http://schemas.openxmlformats.org/officeDocument/2006/relationships/hyperlink" Target="https://www.nomos-elibrary.de/de/10.5771/9783748913245/the-eu-charter-of-fundamental-rights" TargetMode="External"/><Relationship Id="rId12" Type="http://schemas.openxmlformats.org/officeDocument/2006/relationships/hyperlink" Target="https://futuregenerations.wales/discover/about-future-generations-commissioner/future-generations-act-2015/" TargetMode="External"/><Relationship Id="rId17" Type="http://schemas.openxmlformats.org/officeDocument/2006/relationships/hyperlink" Target="https://www.savethechildren.org.au/about-us/save-the-childrens-charity-work/uncrc-article-24-the-right-to-health-food"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taylorfrancis.com/books/mono/10.4324/9781003336006/posthuman-research-playspaces-david-rousell-amy-cutter-mackenzie-knowles" TargetMode="External"/><Relationship Id="rId20" Type="http://schemas.openxmlformats.org/officeDocument/2006/relationships/hyperlink" Target="https://sdgs.un.org/partnerships/education-sustainable-development-and-global-citizenship"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iles.eric.ed.gov/fulltext/EJ1353648.pdf"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ndna.org.uk/wp-content/uploads/2022/07/Wales-Cynefin-Curriculum-for-Wales-Factsheet.pdf" TargetMode="External"/><Relationship Id="rId23" Type="http://schemas.openxmlformats.org/officeDocument/2006/relationships/header" Target="header1.xml"/><Relationship Id="rId10" Type="http://schemas.openxmlformats.org/officeDocument/2006/relationships/hyperlink" Target="https://books.google.co.uk/books?hl=en&amp;lr=&amp;id=-XwIEQAAQBAJ&amp;oi=fnd&amp;pg=PP1&amp;dq=the+influence+of+theorists+and+pioneers&amp;ots=Ck6nf5Jf-z&amp;sig=FhgwDzvLWkUqbDbyLbnNogrnW6s#v=onepage&amp;q=the%20influence%20of%20theorists%20and%20pioneers&amp;f=false" TargetMode="External"/><Relationship Id="rId19" Type="http://schemas.openxmlformats.org/officeDocument/2006/relationships/hyperlink" Target="https://www.unicef.org.uk/what-we-do/un-convention-child-rights/?sisearchengine=284&amp;siproduct=Campaign_G_02_Our_Work&amp;gad_source=1&amp;gad_campaignid=245175965&amp;gbraid=0AAAAAD_ANGcO9LEaQsp1QhFvEN0ZKs-jW&amp;gclid=CjwKCAjwuIbBBhBvEiwAsNypvcYVuPHo8hkVVnbdlwqFjmodudM9qdgXvc3oZOD6vYWrxu6LK8H1kxoCldgQAvD_BwEConvention%20on%20Rights%20of%20a%20Child%20(UNCRC)%20-%20UNICEF%20UK" TargetMode="External"/><Relationship Id="rId4" Type="http://schemas.openxmlformats.org/officeDocument/2006/relationships/webSettings" Target="webSettings.xml"/><Relationship Id="rId9" Type="http://schemas.openxmlformats.org/officeDocument/2006/relationships/hyperlink" Target="file:///C:/Users/User/Downloads/10.4324_9781315295855_previewpdf.pdf" TargetMode="External"/><Relationship Id="rId14" Type="http://schemas.openxmlformats.org/officeDocument/2006/relationships/hyperlink" Target="https://www.taylorfrancis.com/chapters/edit/10.4324/9780203732359-9/education-sustainable-development-esd-turn-away-environment-environmental-education-helen-kopnina" TargetMode="External"/><Relationship Id="rId22" Type="http://schemas.openxmlformats.org/officeDocument/2006/relationships/hyperlink" Target="https://hwb.gov.wales/curriculum-for-wales/designing-your-curriculum/developing-a-vision-for-curriculum-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11421</TotalTime>
  <Pages>10</Pages>
  <Words>3257</Words>
  <Characters>18567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Watts (2204216)</dc:creator>
  <cp:keywords/>
  <dc:description/>
  <cp:lastModifiedBy>Lauren Watts (2204216)</cp:lastModifiedBy>
  <cp:revision>6</cp:revision>
  <dcterms:created xsi:type="dcterms:W3CDTF">2025-05-09T17:43:00Z</dcterms:created>
  <dcterms:modified xsi:type="dcterms:W3CDTF">2025-05-22T17:28:00Z</dcterms:modified>
</cp:coreProperties>
</file>