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C08B3" w:rsidR="00A637E7" w:rsidP="004C3532" w:rsidRDefault="00A637E7" w14:paraId="58AD1283" w14:textId="4604ED52">
      <w:pPr>
        <w:spacing w:line="360" w:lineRule="auto"/>
        <w:jc w:val="both"/>
        <w:rPr>
          <w:rFonts w:ascii="Arial" w:hAnsi="Arial" w:cs="Arial"/>
          <w:b w:val="1"/>
          <w:bCs w:val="1"/>
        </w:rPr>
      </w:pPr>
      <w:r w:rsidRPr="7C2DDD92" w:rsidR="7C2DDD92">
        <w:rPr>
          <w:rFonts w:ascii="Arial" w:hAnsi="Arial" w:cs="Arial"/>
          <w:b w:val="1"/>
          <w:bCs w:val="1"/>
          <w:sz w:val="40"/>
          <w:szCs w:val="40"/>
        </w:rPr>
        <w:t xml:space="preserve">Supporting </w:t>
      </w:r>
      <w:r w:rsidRPr="7C2DDD92" w:rsidR="7C2DDD92">
        <w:rPr>
          <w:rFonts w:ascii="Arial" w:hAnsi="Arial" w:cs="Arial"/>
          <w:b w:val="1"/>
          <w:bCs w:val="1"/>
          <w:sz w:val="40"/>
          <w:szCs w:val="40"/>
        </w:rPr>
        <w:t>paper</w:t>
      </w:r>
      <w:r w:rsidRPr="7C2DDD92" w:rsidR="7C2DDD92">
        <w:rPr>
          <w:rFonts w:ascii="Arial" w:hAnsi="Arial" w:cs="Arial"/>
          <w:b w:val="1"/>
          <w:bCs w:val="1"/>
          <w:sz w:val="40"/>
          <w:szCs w:val="40"/>
        </w:rPr>
        <w:t xml:space="preserve"> </w:t>
      </w:r>
    </w:p>
    <w:p w:rsidR="7C2DDD92" w:rsidP="7C2DDD92" w:rsidRDefault="7C2DDD92" w14:paraId="6E949941" w14:textId="4BF7CE1D">
      <w:pPr>
        <w:pStyle w:val="Normal"/>
        <w:spacing w:line="360" w:lineRule="auto"/>
        <w:jc w:val="both"/>
        <w:rPr>
          <w:rFonts w:ascii="Arial" w:hAnsi="Arial" w:cs="Arial"/>
          <w:b w:val="1"/>
          <w:bCs w:val="1"/>
          <w:sz w:val="40"/>
          <w:szCs w:val="40"/>
        </w:rPr>
      </w:pPr>
      <w:r w:rsidRPr="7C2DDD92" w:rsidR="7C2DDD92">
        <w:rPr>
          <w:rFonts w:ascii="Arial" w:hAnsi="Arial" w:cs="Arial"/>
          <w:b w:val="1"/>
          <w:bCs w:val="1"/>
          <w:sz w:val="40"/>
          <w:szCs w:val="40"/>
        </w:rPr>
        <w:t xml:space="preserve">Student </w:t>
      </w:r>
      <w:proofErr w:type="gramStart"/>
      <w:r w:rsidRPr="7C2DDD92" w:rsidR="7C2DDD92">
        <w:rPr>
          <w:rFonts w:ascii="Arial" w:hAnsi="Arial" w:cs="Arial"/>
          <w:b w:val="1"/>
          <w:bCs w:val="1"/>
          <w:sz w:val="40"/>
          <w:szCs w:val="40"/>
        </w:rPr>
        <w:t>name ;Ionela</w:t>
      </w:r>
      <w:proofErr w:type="gramEnd"/>
      <w:r w:rsidRPr="7C2DDD92" w:rsidR="7C2DDD92">
        <w:rPr>
          <w:rFonts w:ascii="Arial" w:hAnsi="Arial" w:cs="Arial"/>
          <w:b w:val="1"/>
          <w:bCs w:val="1"/>
          <w:sz w:val="40"/>
          <w:szCs w:val="40"/>
        </w:rPr>
        <w:t xml:space="preserve">  </w:t>
      </w:r>
      <w:r w:rsidRPr="7C2DDD92" w:rsidR="7C2DDD92">
        <w:rPr>
          <w:rFonts w:ascii="Arial" w:hAnsi="Arial" w:cs="Arial"/>
          <w:b w:val="1"/>
          <w:bCs w:val="1"/>
          <w:sz w:val="40"/>
          <w:szCs w:val="40"/>
        </w:rPr>
        <w:t>Alexandrina</w:t>
      </w:r>
      <w:r w:rsidRPr="7C2DDD92" w:rsidR="7C2DDD92">
        <w:rPr>
          <w:rFonts w:ascii="Arial" w:hAnsi="Arial" w:cs="Arial"/>
          <w:b w:val="1"/>
          <w:bCs w:val="1"/>
          <w:sz w:val="40"/>
          <w:szCs w:val="40"/>
        </w:rPr>
        <w:t xml:space="preserve"> </w:t>
      </w:r>
    </w:p>
    <w:p w:rsidR="7C2DDD92" w:rsidP="7C2DDD92" w:rsidRDefault="7C2DDD92" w14:paraId="489E976F" w14:textId="2B817983">
      <w:pPr>
        <w:pStyle w:val="Normal"/>
        <w:spacing w:line="360" w:lineRule="auto"/>
        <w:jc w:val="both"/>
        <w:rPr>
          <w:rFonts w:ascii="Arial" w:hAnsi="Arial" w:cs="Arial"/>
          <w:b w:val="1"/>
          <w:bCs w:val="1"/>
          <w:sz w:val="40"/>
          <w:szCs w:val="40"/>
        </w:rPr>
      </w:pPr>
      <w:r w:rsidRPr="7C2DDD92" w:rsidR="7C2DDD92">
        <w:rPr>
          <w:rFonts w:ascii="Arial" w:hAnsi="Arial" w:cs="Arial"/>
          <w:b w:val="1"/>
          <w:bCs w:val="1"/>
          <w:sz w:val="40"/>
          <w:szCs w:val="40"/>
        </w:rPr>
        <w:t>Student ID ;1905365</w:t>
      </w:r>
    </w:p>
    <w:p w:rsidR="7C2DDD92" w:rsidP="7C2DDD92" w:rsidRDefault="7C2DDD92" w14:paraId="4272F40B" w14:textId="4D9B8F19">
      <w:pPr>
        <w:pStyle w:val="Normal"/>
        <w:spacing w:line="360" w:lineRule="auto"/>
        <w:jc w:val="both"/>
        <w:rPr>
          <w:rFonts w:ascii="Arial" w:hAnsi="Arial" w:cs="Arial"/>
          <w:b w:val="1"/>
          <w:bCs w:val="1"/>
          <w:sz w:val="40"/>
          <w:szCs w:val="40"/>
        </w:rPr>
      </w:pPr>
      <w:r w:rsidRPr="7C2DDD92" w:rsidR="7C2DDD92">
        <w:rPr>
          <w:rFonts w:ascii="Arial" w:hAnsi="Arial" w:cs="Arial"/>
          <w:b w:val="1"/>
          <w:bCs w:val="1"/>
          <w:sz w:val="40"/>
          <w:szCs w:val="40"/>
        </w:rPr>
        <w:t>Lector name ;Diola Bijhout</w:t>
      </w:r>
    </w:p>
    <w:p w:rsidR="7C2DDD92" w:rsidP="7C2DDD92" w:rsidRDefault="7C2DDD92" w14:paraId="20CB8FC6" w14:textId="41E0A828">
      <w:pPr>
        <w:pStyle w:val="Normal"/>
        <w:spacing w:line="360" w:lineRule="auto"/>
        <w:jc w:val="both"/>
        <w:rPr>
          <w:rFonts w:ascii="Arial" w:hAnsi="Arial" w:cs="Arial"/>
          <w:b w:val="1"/>
          <w:bCs w:val="1"/>
          <w:sz w:val="40"/>
          <w:szCs w:val="40"/>
        </w:rPr>
      </w:pPr>
      <w:r w:rsidRPr="7C2DDD92" w:rsidR="7C2DDD92">
        <w:rPr>
          <w:rFonts w:ascii="Arial" w:hAnsi="Arial" w:cs="Arial"/>
          <w:b w:val="1"/>
          <w:bCs w:val="1"/>
          <w:sz w:val="40"/>
          <w:szCs w:val="40"/>
        </w:rPr>
        <w:t>Module name ;BMHP6009_LON</w:t>
      </w:r>
    </w:p>
    <w:p w:rsidRPr="004C08B3" w:rsidR="00A637E7" w:rsidP="004C3532" w:rsidRDefault="00A637E7" w14:paraId="204CF11D" w14:textId="77777777">
      <w:pPr>
        <w:spacing w:line="360" w:lineRule="auto"/>
        <w:jc w:val="both"/>
        <w:rPr>
          <w:rFonts w:ascii="Arial" w:hAnsi="Arial" w:cs="Arial"/>
          <w:b/>
          <w:bCs/>
        </w:rPr>
      </w:pPr>
    </w:p>
    <w:p w:rsidRPr="004C08B3" w:rsidR="00A637E7" w:rsidP="7C2DDD92" w:rsidRDefault="00A637E7" w14:paraId="725FA51F" w14:textId="3454907F">
      <w:pPr>
        <w:pStyle w:val="Normal"/>
        <w:spacing w:line="360" w:lineRule="auto"/>
        <w:jc w:val="both"/>
      </w:pPr>
      <w:r>
        <w:drawing>
          <wp:inline wp14:editId="102E4338" wp14:anchorId="38FC226D">
            <wp:extent cx="2857500" cy="571500"/>
            <wp:effectExtent l="0" t="0" r="0" b="0"/>
            <wp:docPr id="943337528" name="" title=""/>
            <wp:cNvGraphicFramePr>
              <a:graphicFrameLocks noChangeAspect="1"/>
            </wp:cNvGraphicFramePr>
            <a:graphic>
              <a:graphicData uri="http://schemas.openxmlformats.org/drawingml/2006/picture">
                <pic:pic>
                  <pic:nvPicPr>
                    <pic:cNvPr id="0" name=""/>
                    <pic:cNvPicPr/>
                  </pic:nvPicPr>
                  <pic:blipFill>
                    <a:blip r:embed="R350ee180a9534ac0">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p>
    <w:p w:rsidRPr="004C08B3" w:rsidR="00A637E7" w:rsidP="004C3532" w:rsidRDefault="00A637E7" w14:paraId="146ABF7E" w14:textId="77777777">
      <w:pPr>
        <w:spacing w:line="360" w:lineRule="auto"/>
        <w:jc w:val="both"/>
        <w:rPr>
          <w:rFonts w:ascii="Arial" w:hAnsi="Arial" w:cs="Arial"/>
          <w:b/>
          <w:bCs/>
        </w:rPr>
      </w:pPr>
    </w:p>
    <w:p w:rsidRPr="004C08B3" w:rsidR="00A637E7" w:rsidP="004C3532" w:rsidRDefault="00A637E7" w14:paraId="01B6706E" w14:textId="77777777">
      <w:pPr>
        <w:spacing w:line="360" w:lineRule="auto"/>
        <w:jc w:val="both"/>
        <w:rPr>
          <w:rFonts w:ascii="Arial" w:hAnsi="Arial" w:cs="Arial"/>
          <w:b/>
          <w:bCs/>
        </w:rPr>
      </w:pPr>
    </w:p>
    <w:p w:rsidRPr="004C08B3" w:rsidR="00A637E7" w:rsidP="004C3532" w:rsidRDefault="00A637E7" w14:paraId="60ED90E3" w14:textId="77777777">
      <w:pPr>
        <w:spacing w:line="360" w:lineRule="auto"/>
        <w:jc w:val="both"/>
        <w:rPr>
          <w:rFonts w:ascii="Arial" w:hAnsi="Arial" w:cs="Arial"/>
          <w:b/>
          <w:bCs/>
        </w:rPr>
      </w:pPr>
    </w:p>
    <w:p w:rsidRPr="004C08B3" w:rsidR="00A637E7" w:rsidP="004C3532" w:rsidRDefault="00A637E7" w14:paraId="628F4277" w14:textId="77777777">
      <w:pPr>
        <w:spacing w:line="360" w:lineRule="auto"/>
        <w:jc w:val="both"/>
        <w:rPr>
          <w:rFonts w:ascii="Arial" w:hAnsi="Arial" w:cs="Arial"/>
          <w:b/>
          <w:bCs/>
        </w:rPr>
      </w:pPr>
    </w:p>
    <w:p w:rsidRPr="004C08B3" w:rsidR="00A637E7" w:rsidP="004C3532" w:rsidRDefault="00A637E7" w14:paraId="23AB8D8A" w14:textId="0761B224">
      <w:pPr>
        <w:spacing w:line="360" w:lineRule="auto"/>
        <w:jc w:val="both"/>
        <w:rPr>
          <w:rFonts w:ascii="Arial" w:hAnsi="Arial" w:cs="Arial"/>
          <w:b/>
          <w:bCs/>
        </w:rPr>
      </w:pPr>
    </w:p>
    <w:p w:rsidRPr="004C08B3" w:rsidR="00A637E7" w:rsidP="004C3532" w:rsidRDefault="00A637E7" w14:paraId="49FBC73D" w14:textId="77777777">
      <w:pPr>
        <w:spacing w:line="360" w:lineRule="auto"/>
        <w:jc w:val="both"/>
        <w:rPr>
          <w:rFonts w:ascii="Arial" w:hAnsi="Arial" w:cs="Arial"/>
          <w:b/>
          <w:bCs/>
        </w:rPr>
      </w:pPr>
    </w:p>
    <w:p w:rsidRPr="004C08B3" w:rsidR="00A637E7" w:rsidP="004C3532" w:rsidRDefault="00A637E7" w14:paraId="0AA3B1F9" w14:textId="77777777">
      <w:pPr>
        <w:spacing w:line="360" w:lineRule="auto"/>
        <w:jc w:val="both"/>
        <w:rPr>
          <w:rFonts w:ascii="Arial" w:hAnsi="Arial" w:cs="Arial"/>
          <w:b/>
          <w:bCs/>
          <w:sz w:val="32"/>
          <w:szCs w:val="32"/>
        </w:rPr>
      </w:pPr>
    </w:p>
    <w:p w:rsidRPr="004C08B3" w:rsidR="00A637E7" w:rsidP="004C3532" w:rsidRDefault="00A637E7" w14:paraId="2C6DED95" w14:textId="179DD1D2">
      <w:pPr>
        <w:spacing w:line="360" w:lineRule="auto"/>
        <w:jc w:val="both"/>
        <w:rPr>
          <w:rFonts w:ascii="Arial" w:hAnsi="Arial" w:cs="Arial"/>
          <w:b/>
          <w:bCs/>
          <w:sz w:val="32"/>
          <w:szCs w:val="32"/>
        </w:rPr>
      </w:pPr>
      <w:r w:rsidRPr="004C08B3">
        <w:rPr>
          <w:rFonts w:ascii="Arial" w:hAnsi="Arial" w:cs="Arial"/>
          <w:b/>
          <w:bCs/>
          <w:sz w:val="32"/>
          <w:szCs w:val="32"/>
        </w:rPr>
        <w:t>Is the use of Technology necessary for the elderly UK population or an older person’s life?</w:t>
      </w:r>
    </w:p>
    <w:p w:rsidRPr="004C08B3" w:rsidR="00A637E7" w:rsidP="004C3532" w:rsidRDefault="00A637E7" w14:paraId="0C656FFA" w14:textId="77777777">
      <w:pPr>
        <w:spacing w:line="360" w:lineRule="auto"/>
        <w:jc w:val="both"/>
        <w:rPr>
          <w:rFonts w:ascii="Arial" w:hAnsi="Arial" w:cs="Arial"/>
          <w:b/>
          <w:bCs/>
        </w:rPr>
      </w:pPr>
    </w:p>
    <w:p w:rsidRPr="004C08B3" w:rsidR="00A637E7" w:rsidP="004C3532" w:rsidRDefault="00A637E7" w14:paraId="5EF954B6" w14:textId="77777777">
      <w:pPr>
        <w:spacing w:line="360" w:lineRule="auto"/>
        <w:jc w:val="both"/>
        <w:rPr>
          <w:rFonts w:ascii="Arial" w:hAnsi="Arial" w:cs="Arial"/>
          <w:b/>
          <w:bCs/>
        </w:rPr>
      </w:pPr>
    </w:p>
    <w:p w:rsidRPr="004C08B3" w:rsidR="00A637E7" w:rsidP="004C3532" w:rsidRDefault="00A637E7" w14:paraId="3E5F3D17" w14:textId="77777777">
      <w:pPr>
        <w:spacing w:line="360" w:lineRule="auto"/>
        <w:jc w:val="both"/>
        <w:rPr>
          <w:rFonts w:ascii="Arial" w:hAnsi="Arial" w:cs="Arial"/>
          <w:b/>
          <w:bCs/>
        </w:rPr>
      </w:pPr>
    </w:p>
    <w:p w:rsidRPr="004C08B3" w:rsidR="00A637E7" w:rsidP="004C3532" w:rsidRDefault="00A637E7" w14:paraId="262C1B71" w14:textId="77777777">
      <w:pPr>
        <w:spacing w:line="360" w:lineRule="auto"/>
        <w:jc w:val="both"/>
        <w:rPr>
          <w:rFonts w:ascii="Arial" w:hAnsi="Arial" w:cs="Arial"/>
          <w:b/>
          <w:bCs/>
        </w:rPr>
      </w:pPr>
    </w:p>
    <w:p w:rsidRPr="004C08B3" w:rsidR="00A637E7" w:rsidP="004C3532" w:rsidRDefault="00A637E7" w14:paraId="0D15E4F4" w14:textId="77777777">
      <w:pPr>
        <w:spacing w:line="360" w:lineRule="auto"/>
        <w:jc w:val="both"/>
        <w:rPr>
          <w:rFonts w:ascii="Arial" w:hAnsi="Arial" w:cs="Arial"/>
          <w:b/>
          <w:bCs/>
        </w:rPr>
      </w:pPr>
    </w:p>
    <w:p w:rsidRPr="004C08B3" w:rsidR="00A637E7" w:rsidP="004C3532" w:rsidRDefault="00A637E7" w14:paraId="587EBDF7" w14:textId="77777777">
      <w:pPr>
        <w:spacing w:line="360" w:lineRule="auto"/>
        <w:jc w:val="both"/>
        <w:rPr>
          <w:rFonts w:ascii="Arial" w:hAnsi="Arial" w:cs="Arial"/>
          <w:b/>
          <w:bCs/>
        </w:rPr>
      </w:pPr>
    </w:p>
    <w:p w:rsidRPr="004C08B3" w:rsidR="00A637E7" w:rsidP="004C3532" w:rsidRDefault="00A637E7" w14:paraId="7421D4CF" w14:textId="77777777">
      <w:pPr>
        <w:spacing w:line="360" w:lineRule="auto"/>
        <w:jc w:val="both"/>
        <w:rPr>
          <w:rFonts w:ascii="Arial" w:hAnsi="Arial" w:cs="Arial"/>
          <w:b/>
          <w:bCs/>
        </w:rPr>
      </w:pPr>
    </w:p>
    <w:p w:rsidRPr="004C08B3" w:rsidR="00A637E7" w:rsidP="004C3532" w:rsidRDefault="00A637E7" w14:paraId="5786BF2E" w14:textId="77777777">
      <w:pPr>
        <w:spacing w:line="360" w:lineRule="auto"/>
        <w:jc w:val="both"/>
        <w:rPr>
          <w:rFonts w:ascii="Arial" w:hAnsi="Arial" w:cs="Arial"/>
          <w:b/>
          <w:bCs/>
        </w:rPr>
      </w:pPr>
    </w:p>
    <w:p w:rsidRPr="004C08B3" w:rsidR="00A637E7" w:rsidP="004C3532" w:rsidRDefault="00A637E7" w14:paraId="0A0E4E67" w14:textId="5A4213CA">
      <w:pPr>
        <w:spacing w:line="360" w:lineRule="auto"/>
        <w:jc w:val="both"/>
        <w:rPr>
          <w:rFonts w:ascii="Arial" w:hAnsi="Arial" w:cs="Arial"/>
          <w:b/>
          <w:bCs/>
        </w:rPr>
      </w:pPr>
    </w:p>
    <w:p w:rsidRPr="004C08B3" w:rsidR="004C3532" w:rsidP="004C3532" w:rsidRDefault="004C3532" w14:paraId="33FE24A5" w14:textId="37D095E0">
      <w:pPr>
        <w:spacing w:line="360" w:lineRule="auto"/>
        <w:jc w:val="both"/>
        <w:rPr>
          <w:rFonts w:ascii="Arial" w:hAnsi="Arial" w:cs="Arial"/>
          <w:b/>
          <w:bCs/>
        </w:rPr>
      </w:pPr>
    </w:p>
    <w:p w:rsidR="004C3532" w:rsidP="004C3532" w:rsidRDefault="004C3532" w14:paraId="5812743C" w14:textId="23468605">
      <w:pPr>
        <w:spacing w:line="360" w:lineRule="auto"/>
        <w:jc w:val="both"/>
        <w:rPr>
          <w:rFonts w:ascii="Arial" w:hAnsi="Arial" w:cs="Arial"/>
          <w:b/>
          <w:bCs/>
        </w:rPr>
      </w:pPr>
    </w:p>
    <w:p w:rsidR="004C08B3" w:rsidP="004C3532" w:rsidRDefault="004C08B3" w14:paraId="6390343F" w14:textId="2E314B33">
      <w:pPr>
        <w:spacing w:line="360" w:lineRule="auto"/>
        <w:jc w:val="both"/>
        <w:rPr>
          <w:rFonts w:ascii="Arial" w:hAnsi="Arial" w:cs="Arial"/>
          <w:b/>
          <w:bCs/>
        </w:rPr>
      </w:pPr>
    </w:p>
    <w:p w:rsidRPr="004C08B3" w:rsidR="004C08B3" w:rsidP="004C3532" w:rsidRDefault="004C08B3" w14:paraId="341EB619" w14:textId="77777777">
      <w:pPr>
        <w:spacing w:line="360" w:lineRule="auto"/>
        <w:jc w:val="both"/>
        <w:rPr>
          <w:rFonts w:ascii="Arial" w:hAnsi="Arial" w:cs="Arial"/>
          <w:b/>
          <w:bCs/>
        </w:rPr>
      </w:pPr>
    </w:p>
    <w:p w:rsidRPr="004C08B3" w:rsidR="004C3532" w:rsidP="004C3532" w:rsidRDefault="004C3532" w14:paraId="279EDD67" w14:textId="77777777">
      <w:pPr>
        <w:spacing w:line="360" w:lineRule="auto"/>
        <w:jc w:val="both"/>
        <w:rPr>
          <w:rFonts w:ascii="Arial" w:hAnsi="Arial" w:cs="Arial"/>
          <w:b/>
          <w:bCs/>
        </w:rPr>
      </w:pPr>
    </w:p>
    <w:p w:rsidRPr="004C08B3" w:rsidR="00A637E7" w:rsidP="004C3532" w:rsidRDefault="00A637E7" w14:paraId="57F57373" w14:textId="117D2C04">
      <w:pPr>
        <w:spacing w:line="360" w:lineRule="auto"/>
        <w:jc w:val="both"/>
        <w:rPr>
          <w:rFonts w:ascii="Arial" w:hAnsi="Arial" w:cs="Arial"/>
          <w:b/>
          <w:bCs/>
        </w:rPr>
      </w:pPr>
      <w:r w:rsidRPr="004C08B3">
        <w:rPr>
          <w:rFonts w:ascii="Arial" w:hAnsi="Arial" w:cs="Arial"/>
          <w:b/>
          <w:bCs/>
        </w:rPr>
        <w:t>Introduction</w:t>
      </w:r>
    </w:p>
    <w:p w:rsidRPr="004C08B3" w:rsidR="00736984" w:rsidP="004C3532" w:rsidRDefault="00736984" w14:paraId="6D726DD6" w14:textId="77A033F0">
      <w:pPr>
        <w:spacing w:line="360" w:lineRule="auto"/>
        <w:jc w:val="both"/>
        <w:rPr>
          <w:rFonts w:ascii="Arial" w:hAnsi="Arial" w:cs="Arial"/>
        </w:rPr>
      </w:pPr>
      <w:r w:rsidRPr="004C08B3">
        <w:rPr>
          <w:rFonts w:ascii="Arial" w:hAnsi="Arial" w:cs="Arial"/>
        </w:rPr>
        <w:t xml:space="preserve">Nearly every country, including England, is experiencing an aging population, with the proportion of individuals 65 and older predicted to rise from 16% in 2012 to 26% in 2040. </w:t>
      </w:r>
      <w:r w:rsidRPr="004C08B3" w:rsidR="00A3689D">
        <w:rPr>
          <w:rFonts w:ascii="Arial" w:hAnsi="Arial" w:cs="Arial"/>
        </w:rPr>
        <w:t xml:space="preserve">Age-in-place care is seen by policymakers as an alternative to costly institutional care and a way to address the expected shortage of care professionals. ‘Aging in place may be defined as staying in the community with some degree of freedom rather than in a residential care facility.' In addition to technology, aging in place may also be assisted by it. </w:t>
      </w:r>
      <w:r w:rsidRPr="004C08B3">
        <w:rPr>
          <w:rFonts w:ascii="Arial" w:hAnsi="Arial" w:cs="Arial"/>
        </w:rPr>
        <w:t xml:space="preserve"> In </w:t>
      </w:r>
      <w:r w:rsidRPr="004C08B3" w:rsidR="00A3689D">
        <w:rPr>
          <w:rFonts w:ascii="Arial" w:hAnsi="Arial" w:cs="Arial"/>
        </w:rPr>
        <w:t>England</w:t>
      </w:r>
      <w:r w:rsidRPr="004C08B3">
        <w:rPr>
          <w:rFonts w:ascii="Arial" w:hAnsi="Arial" w:cs="Arial"/>
        </w:rPr>
        <w:t>, for example, technical advancements are predicted to allow for an increase in the number of homes suited for senior citizens.</w:t>
      </w:r>
    </w:p>
    <w:p w:rsidRPr="004C08B3" w:rsidR="00736984" w:rsidP="004C3532" w:rsidRDefault="00A3689D" w14:paraId="76FD2144" w14:textId="033B4CA5">
      <w:pPr>
        <w:spacing w:line="360" w:lineRule="auto"/>
        <w:jc w:val="both"/>
        <w:rPr>
          <w:rFonts w:ascii="Arial" w:hAnsi="Arial" w:cs="Arial"/>
        </w:rPr>
      </w:pPr>
      <w:r w:rsidRPr="004C08B3">
        <w:rPr>
          <w:rFonts w:ascii="Arial" w:hAnsi="Arial" w:cs="Arial"/>
        </w:rPr>
        <w:t xml:space="preserve">A wide range of technologies </w:t>
      </w:r>
      <w:r w:rsidRPr="004C08B3" w:rsidR="00830948">
        <w:rPr>
          <w:rFonts w:ascii="Arial" w:hAnsi="Arial" w:cs="Arial"/>
        </w:rPr>
        <w:t>has</w:t>
      </w:r>
      <w:r w:rsidRPr="004C08B3">
        <w:rPr>
          <w:rFonts w:ascii="Arial" w:hAnsi="Arial" w:cs="Arial"/>
        </w:rPr>
        <w:t xml:space="preserve"> been created to assist the elderly in maintaining their independence as they get older. </w:t>
      </w:r>
      <w:r w:rsidRPr="004C08B3" w:rsidR="00736984">
        <w:rPr>
          <w:rFonts w:ascii="Arial" w:hAnsi="Arial" w:cs="Arial"/>
        </w:rPr>
        <w:t>The term "Smart Home" is occasionally used to describe these systems. A wide variety of technology, including online applications to promote the self-management of chronic illnesses by older individuals, are included in e-Health. There are a variety of reasons why these technologies have not been widely adopted. For a variety of reasons, older adults have an ambivalent view about such technologies: on the one hand, they acknowledge that such technologies might help older people's independence, but on the other hand, they do not believe that they need them. Older persons who want to maintain their independence may benefit from a variety of widely accessible consumer information and communication technologies (ICTs). A few examples include using social networking sites to keep in touch with friends, as well as searching for health-related information on the Internet. However, there are conflicting findings of how ready older persons are to utilize it. Internet usage among those 65 and older is 70% in Holland, while 33% of this demographic uses social networking sites. In contrast, just 30 percent of those aged 75 and older have access to the Internet, and only 18 percent of this group utilize social networking sites. "The digital divide" is a term that has been used to describe this problem</w:t>
      </w:r>
      <w:r w:rsidRPr="004C08B3" w:rsidR="0005549E">
        <w:rPr>
          <w:rFonts w:ascii="Arial" w:hAnsi="Arial" w:cs="Arial"/>
        </w:rPr>
        <w:t xml:space="preserve"> (</w:t>
      </w:r>
      <w:r w:rsidRPr="004C08B3" w:rsidR="0005549E">
        <w:rPr>
          <w:rFonts w:ascii="Arial" w:hAnsi="Arial" w:cs="Arial"/>
          <w:color w:val="222222"/>
          <w:shd w:val="clear" w:color="auto" w:fill="FFFFFF"/>
        </w:rPr>
        <w:t>Fakoya, 2020).</w:t>
      </w:r>
    </w:p>
    <w:p w:rsidRPr="004C08B3" w:rsidR="0005549E" w:rsidP="004C3532" w:rsidRDefault="0005549E" w14:paraId="6533D21F" w14:textId="5AFF8AA7">
      <w:pPr>
        <w:spacing w:line="360" w:lineRule="auto"/>
        <w:jc w:val="both"/>
        <w:rPr>
          <w:rFonts w:ascii="Arial" w:hAnsi="Arial" w:cs="Arial"/>
        </w:rPr>
      </w:pPr>
      <w:r w:rsidRPr="004C08B3">
        <w:rPr>
          <w:rFonts w:ascii="Arial" w:hAnsi="Arial" w:cs="Arial"/>
        </w:rPr>
        <w:t xml:space="preserve">COVID-19 pandemic has been feared to have terrible consequences for the elderly, who have a significant chance of contracting COVID-19 due to their increased vulnerability to infection. As a consequence of physical separation, older persons have been suffering social isolation, which may lead to long-term mental health issues. There have been early indications from China that mental health services should be included in pandemic preparations. Such assistance has yet to be achieved after almost a year of the outbreak. A worldwide appeal was made early on in the pandemic to address the danger of social isolation for older persons, which may be addressed by employing technology that helps decrease social isolation in times of physical separation and address key socializing functions. The requirements of older </w:t>
      </w:r>
      <w:r w:rsidRPr="004C08B3">
        <w:rPr>
          <w:rFonts w:ascii="Arial" w:hAnsi="Arial" w:cs="Arial"/>
        </w:rPr>
        <w:lastRenderedPageBreak/>
        <w:t>individuals' mental health were quickly addressed and supported by health research authorities via a series of funding requests</w:t>
      </w:r>
      <w:r w:rsidR="00424CAC">
        <w:rPr>
          <w:rFonts w:ascii="Arial" w:hAnsi="Arial" w:cs="Arial"/>
        </w:rPr>
        <w:t xml:space="preserve"> (</w:t>
      </w:r>
      <w:r w:rsidRPr="00424CAC" w:rsidR="00424CAC">
        <w:rPr>
          <w:rFonts w:ascii="Arial" w:hAnsi="Arial" w:cs="Arial"/>
          <w:color w:val="222222"/>
          <w:shd w:val="clear" w:color="auto" w:fill="FFFFFF"/>
        </w:rPr>
        <w:t>Goethals,</w:t>
      </w:r>
      <w:r w:rsidR="00424CAC">
        <w:rPr>
          <w:rFonts w:ascii="Arial" w:hAnsi="Arial" w:cs="Arial"/>
          <w:color w:val="222222"/>
          <w:shd w:val="clear" w:color="auto" w:fill="FFFFFF"/>
        </w:rPr>
        <w:t xml:space="preserve"> 2020).</w:t>
      </w:r>
    </w:p>
    <w:p w:rsidRPr="004C08B3" w:rsidR="00736984" w:rsidP="004C3532" w:rsidRDefault="0005549E" w14:paraId="527CB58D" w14:textId="59ADBC12">
      <w:pPr>
        <w:spacing w:line="360" w:lineRule="auto"/>
        <w:jc w:val="both"/>
        <w:rPr>
          <w:rFonts w:ascii="Arial" w:hAnsi="Arial" w:cs="Arial"/>
        </w:rPr>
      </w:pPr>
      <w:r w:rsidRPr="004C08B3">
        <w:rPr>
          <w:rFonts w:ascii="Arial" w:hAnsi="Arial" w:cs="Arial"/>
        </w:rPr>
        <w:t>Technology exists to help alleviate the mental health repercussions of the COVID-19 pandemic's social isolation. Increasing numbers of older persons are using technology, and technology-enabled social connection therapies have a good research basis for enhancing the mental and physical health of the elderly. While convenience sampling and participation in community organizations have provided some data, the majority of this evidence has come from older persons who volunteered to be part of the study. These organizations may not give reliable population-level cross-sectional statistics on the usage and adoption of technology by older individuals. When it comes to non-randomized studies on technology and the elderly, this is especially true. Self-selecting participants are likely to be over-represented by those from upper socioeconomic and younger age groups, as well as those with higher levels of education and more advanced computer literacy. (</w:t>
      </w:r>
      <w:r w:rsidRPr="004C08B3">
        <w:rPr>
          <w:rFonts w:ascii="Arial" w:hAnsi="Arial" w:cs="Arial"/>
          <w:color w:val="222222"/>
          <w:shd w:val="clear" w:color="auto" w:fill="FFFFFF"/>
        </w:rPr>
        <w:t>Abdi, 2019).</w:t>
      </w:r>
    </w:p>
    <w:p w:rsidRPr="004C08B3" w:rsidR="00830948" w:rsidP="004C3532" w:rsidRDefault="00736984" w14:paraId="407AAF44" w14:textId="05DAE0EB">
      <w:pPr>
        <w:spacing w:line="360" w:lineRule="auto"/>
        <w:jc w:val="both"/>
        <w:rPr>
          <w:rFonts w:ascii="Arial" w:hAnsi="Arial" w:cs="Arial"/>
        </w:rPr>
      </w:pPr>
      <w:r w:rsidRPr="004C08B3">
        <w:rPr>
          <w:rFonts w:ascii="Arial" w:hAnsi="Arial" w:cs="Arial"/>
        </w:rPr>
        <w:t xml:space="preserve">The present study's participants often saw technology as having both positive and negative effects, which is consistent with prior studies. </w:t>
      </w:r>
      <w:r w:rsidRPr="004C08B3" w:rsidR="00A3689D">
        <w:rPr>
          <w:rFonts w:ascii="Arial" w:hAnsi="Arial" w:cs="Arial"/>
        </w:rPr>
        <w:t>However, even though research has shown that technology is critical for independent living, such as being able to perform daily tasks, communicate with others, and stay physically active, the majority of those who took part in the study did not see technology as a means to achieve or maintain independence.</w:t>
      </w:r>
    </w:p>
    <w:p w:rsidRPr="004C08B3" w:rsidR="00830948" w:rsidP="004C3532" w:rsidRDefault="00830948" w14:paraId="084466A1" w14:textId="2A9E91BC">
      <w:pPr>
        <w:spacing w:line="360" w:lineRule="auto"/>
        <w:jc w:val="both"/>
        <w:rPr>
          <w:rFonts w:ascii="Arial" w:hAnsi="Arial" w:cs="Arial"/>
        </w:rPr>
      </w:pPr>
      <w:r w:rsidRPr="004C08B3">
        <w:rPr>
          <w:rFonts w:ascii="Arial" w:hAnsi="Arial" w:cs="Arial"/>
        </w:rPr>
        <w:t xml:space="preserve">In the United Kingdom, research by Sri Kurniawan found that women, particularly those in their sixties, were the most likely to use mobile phones indiscriminately, with 60% of those ages 65 to 74 making use of them, while those in their seventies made up just 36% of the population. According to a study conducted among 176 senior persons in Malaysia, 60% of the males in the study were able to utilize their mobile phones. As can be observed from the above, the old in countries with sophisticated technology, such as Asia, are more adept at using high-tech phones than the elderly in nations where technology is still in its infancy and </w:t>
      </w:r>
      <w:r w:rsidRPr="004C08B3" w:rsidR="00A637E7">
        <w:rPr>
          <w:rFonts w:ascii="Arial" w:hAnsi="Arial" w:cs="Arial"/>
        </w:rPr>
        <w:t>underdevelopment</w:t>
      </w:r>
      <w:r w:rsidRPr="004C08B3" w:rsidR="0005549E">
        <w:rPr>
          <w:rFonts w:ascii="Arial" w:hAnsi="Arial" w:cs="Arial"/>
        </w:rPr>
        <w:t xml:space="preserve"> (</w:t>
      </w:r>
      <w:r w:rsidRPr="004C08B3" w:rsidR="0005549E">
        <w:rPr>
          <w:rFonts w:ascii="Arial" w:hAnsi="Arial" w:cs="Arial"/>
          <w:color w:val="222222"/>
          <w:shd w:val="clear" w:color="auto" w:fill="FFFFFF"/>
        </w:rPr>
        <w:t>Seifert, 2021).</w:t>
      </w:r>
    </w:p>
    <w:p w:rsidRPr="004C08B3" w:rsidR="00830948" w:rsidP="004C3532" w:rsidRDefault="00830948" w14:paraId="248817E4" w14:textId="4321D5D3">
      <w:pPr>
        <w:spacing w:line="360" w:lineRule="auto"/>
        <w:jc w:val="both"/>
        <w:rPr>
          <w:rFonts w:ascii="Arial" w:hAnsi="Arial" w:cs="Arial"/>
        </w:rPr>
      </w:pPr>
      <w:r w:rsidRPr="004C08B3">
        <w:rPr>
          <w:rFonts w:ascii="Arial" w:hAnsi="Arial" w:cs="Arial"/>
        </w:rPr>
        <w:t>Results linked to hearing loss in older adults are also important. In other words, 82.3 percent of the over-65 population does not use hearing aids. Women were more likely than males to use hearing aids when on the phone. According to a study done in Kuopio, Finland, in March 2005, around 13% to 15% of senior adults with hearing impairments had used hearing aids. However, the majority of them did not use them because they did not understand how they worked or because they did not choose the ideal item in terms of size and form.</w:t>
      </w:r>
    </w:p>
    <w:p w:rsidRPr="004C08B3" w:rsidR="00A637E7" w:rsidP="004C3532" w:rsidRDefault="00736984" w14:paraId="735D47D5" w14:textId="29C83998">
      <w:pPr>
        <w:spacing w:line="360" w:lineRule="auto"/>
        <w:jc w:val="both"/>
        <w:rPr>
          <w:rFonts w:ascii="Arial" w:hAnsi="Arial" w:cs="Arial"/>
        </w:rPr>
      </w:pPr>
      <w:r w:rsidRPr="004C08B3">
        <w:rPr>
          <w:rFonts w:ascii="Arial" w:hAnsi="Arial" w:cs="Arial"/>
        </w:rPr>
        <w:t xml:space="preserve">In addition, the results of the present investigation suggest that outside influences have a significant effect. </w:t>
      </w:r>
      <w:r w:rsidRPr="004C08B3" w:rsidR="00A3689D">
        <w:rPr>
          <w:rFonts w:ascii="Arial" w:hAnsi="Arial" w:cs="Arial"/>
        </w:rPr>
        <w:t xml:space="preserve">Findings from a study reveal that technology use and attitudes and views are influenced by the participants' social networks and how they interact with others. </w:t>
      </w:r>
      <w:r w:rsidRPr="004C08B3" w:rsidR="00A3689D">
        <w:rPr>
          <w:rFonts w:ascii="Arial" w:hAnsi="Arial" w:cs="Arial"/>
        </w:rPr>
        <w:lastRenderedPageBreak/>
        <w:t xml:space="preserve">Participants and members of their social network did not always agree on the need </w:t>
      </w:r>
      <w:r w:rsidRPr="004C08B3" w:rsidR="00830948">
        <w:rPr>
          <w:rFonts w:ascii="Arial" w:hAnsi="Arial" w:cs="Arial"/>
        </w:rPr>
        <w:t>for</w:t>
      </w:r>
      <w:r w:rsidRPr="004C08B3" w:rsidR="00A3689D">
        <w:rPr>
          <w:rFonts w:ascii="Arial" w:hAnsi="Arial" w:cs="Arial"/>
        </w:rPr>
        <w:t xml:space="preserve"> technology, although support and competent coaching may be crucial for the adoption of technology by older people. </w:t>
      </w:r>
      <w:r w:rsidRPr="004C08B3">
        <w:rPr>
          <w:rFonts w:ascii="Arial" w:hAnsi="Arial" w:cs="Arial"/>
        </w:rPr>
        <w:t>In addition, individuals were reluctant to use technology because they did not want to be a burden to others. Technology acceptance by older individuals in the community is consistent with past research on the significance of relatives to older people and the complicated nature of family connections, as well as earlier studies on the adoption of technology by older persons in the community</w:t>
      </w:r>
      <w:r w:rsidRPr="004C08B3" w:rsidR="0005549E">
        <w:rPr>
          <w:rFonts w:ascii="Arial" w:hAnsi="Arial" w:cs="Arial"/>
        </w:rPr>
        <w:t xml:space="preserve"> (</w:t>
      </w:r>
      <w:r w:rsidRPr="004C08B3" w:rsidR="0005549E">
        <w:rPr>
          <w:rFonts w:ascii="Arial" w:hAnsi="Arial" w:cs="Arial"/>
          <w:color w:val="222222"/>
          <w:shd w:val="clear" w:color="auto" w:fill="FFFFFF"/>
        </w:rPr>
        <w:t>Poscia, 2018).</w:t>
      </w:r>
    </w:p>
    <w:p w:rsidRPr="004C08B3" w:rsidR="00736984" w:rsidP="004C3532" w:rsidRDefault="00736984" w14:paraId="135D8972" w14:textId="1CCF638B">
      <w:pPr>
        <w:spacing w:line="360" w:lineRule="auto"/>
        <w:jc w:val="both"/>
        <w:rPr>
          <w:rFonts w:ascii="Arial" w:hAnsi="Arial" w:cs="Arial"/>
        </w:rPr>
      </w:pPr>
      <w:r w:rsidRPr="004C08B3">
        <w:rPr>
          <w:rFonts w:ascii="Arial" w:hAnsi="Arial" w:cs="Arial"/>
        </w:rPr>
        <w:t xml:space="preserve"> It is clear that technology adoption is more of a social process than a technical one, according to our findings. As a result, it has been largely ignored by traditional models of technology adoption, which focus on a person's subjective norm (i.e., his impression that most people who are important to him believe he should or should not use technology).</w:t>
      </w:r>
      <w:r w:rsidRPr="004C08B3" w:rsidR="00A3689D">
        <w:rPr>
          <w:rFonts w:ascii="Arial" w:hAnsi="Arial" w:cs="Arial"/>
        </w:rPr>
        <w:t xml:space="preserve"> T</w:t>
      </w:r>
      <w:r w:rsidRPr="004C08B3">
        <w:rPr>
          <w:rFonts w:ascii="Arial" w:hAnsi="Arial" w:cs="Arial"/>
        </w:rPr>
        <w:t xml:space="preserve">echnology companies, home care agencies, and entities that pay participants affected how much they used it. </w:t>
      </w:r>
      <w:r w:rsidRPr="004C08B3" w:rsidR="00A3689D">
        <w:rPr>
          <w:rFonts w:ascii="Arial" w:hAnsi="Arial" w:cs="Arial"/>
        </w:rPr>
        <w:t xml:space="preserve">Participants' technology use was heavily influenced by this, as was the way their technology use matched the actual world outside of their homes. </w:t>
      </w:r>
      <w:r w:rsidRPr="004C08B3">
        <w:rPr>
          <w:rFonts w:ascii="Arial" w:hAnsi="Arial" w:cs="Arial"/>
        </w:rPr>
        <w:t>According to a past study, older folks are leery of technology that they deem excessively intrusive in their own houses. Health geography and environmental gerontology have made similar calls for the incorporation of the physical environment into studies of aging humans.</w:t>
      </w:r>
    </w:p>
    <w:p w:rsidRPr="004C08B3" w:rsidR="004C3532" w:rsidP="004C3532" w:rsidRDefault="004C3532" w14:paraId="5B2A86C3" w14:textId="0980DAAF">
      <w:pPr>
        <w:spacing w:line="360" w:lineRule="auto"/>
        <w:jc w:val="both"/>
        <w:rPr>
          <w:rFonts w:ascii="Arial" w:hAnsi="Arial" w:cs="Arial"/>
        </w:rPr>
      </w:pPr>
    </w:p>
    <w:p w:rsidRPr="004C08B3" w:rsidR="004C3532" w:rsidP="004C3532" w:rsidRDefault="004C3532" w14:paraId="2F521802" w14:textId="7B6FD38C">
      <w:pPr>
        <w:spacing w:line="360" w:lineRule="auto"/>
        <w:jc w:val="both"/>
        <w:rPr>
          <w:rFonts w:ascii="Arial" w:hAnsi="Arial" w:cs="Arial"/>
        </w:rPr>
      </w:pPr>
    </w:p>
    <w:p w:rsidRPr="004C08B3" w:rsidR="004C3532" w:rsidP="004C3532" w:rsidRDefault="004C3532" w14:paraId="0C13A55D" w14:textId="68BB8BDE">
      <w:pPr>
        <w:spacing w:line="360" w:lineRule="auto"/>
        <w:jc w:val="both"/>
        <w:rPr>
          <w:rFonts w:ascii="Arial" w:hAnsi="Arial" w:cs="Arial"/>
        </w:rPr>
      </w:pPr>
    </w:p>
    <w:p w:rsidRPr="004C08B3" w:rsidR="004C3532" w:rsidP="004C3532" w:rsidRDefault="004C3532" w14:paraId="7DF1AE7E" w14:textId="3BC018BA">
      <w:pPr>
        <w:spacing w:line="360" w:lineRule="auto"/>
        <w:jc w:val="both"/>
        <w:rPr>
          <w:rFonts w:ascii="Arial" w:hAnsi="Arial" w:cs="Arial"/>
        </w:rPr>
      </w:pPr>
    </w:p>
    <w:p w:rsidRPr="004C08B3" w:rsidR="004C3532" w:rsidP="004C3532" w:rsidRDefault="004C3532" w14:paraId="53816246" w14:textId="25A3F4F1">
      <w:pPr>
        <w:spacing w:line="360" w:lineRule="auto"/>
        <w:jc w:val="both"/>
        <w:rPr>
          <w:rFonts w:ascii="Arial" w:hAnsi="Arial" w:cs="Arial"/>
        </w:rPr>
      </w:pPr>
    </w:p>
    <w:p w:rsidRPr="004C08B3" w:rsidR="004C3532" w:rsidP="004C3532" w:rsidRDefault="004C3532" w14:paraId="1DF88F67" w14:textId="63A231B1">
      <w:pPr>
        <w:spacing w:line="360" w:lineRule="auto"/>
        <w:jc w:val="both"/>
        <w:rPr>
          <w:rFonts w:ascii="Arial" w:hAnsi="Arial" w:cs="Arial"/>
        </w:rPr>
      </w:pPr>
    </w:p>
    <w:p w:rsidR="004C3532" w:rsidP="004C3532" w:rsidRDefault="004C3532" w14:paraId="605933E2" w14:textId="193CBD5E">
      <w:pPr>
        <w:spacing w:line="360" w:lineRule="auto"/>
        <w:jc w:val="both"/>
        <w:rPr>
          <w:rFonts w:ascii="Arial" w:hAnsi="Arial" w:cs="Arial"/>
        </w:rPr>
      </w:pPr>
    </w:p>
    <w:p w:rsidR="004C08B3" w:rsidP="004C3532" w:rsidRDefault="004C08B3" w14:paraId="4A398249" w14:textId="1B47FAC5">
      <w:pPr>
        <w:spacing w:line="360" w:lineRule="auto"/>
        <w:jc w:val="both"/>
        <w:rPr>
          <w:rFonts w:ascii="Arial" w:hAnsi="Arial" w:cs="Arial"/>
        </w:rPr>
      </w:pPr>
    </w:p>
    <w:p w:rsidR="004C08B3" w:rsidP="004C3532" w:rsidRDefault="004C08B3" w14:paraId="336C1FA6" w14:textId="5606F31A">
      <w:pPr>
        <w:spacing w:line="360" w:lineRule="auto"/>
        <w:jc w:val="both"/>
        <w:rPr>
          <w:rFonts w:ascii="Arial" w:hAnsi="Arial" w:cs="Arial"/>
        </w:rPr>
      </w:pPr>
    </w:p>
    <w:p w:rsidR="004C08B3" w:rsidP="004C3532" w:rsidRDefault="004C08B3" w14:paraId="63A91771" w14:textId="68F53293">
      <w:pPr>
        <w:spacing w:line="360" w:lineRule="auto"/>
        <w:jc w:val="both"/>
        <w:rPr>
          <w:rFonts w:ascii="Arial" w:hAnsi="Arial" w:cs="Arial"/>
        </w:rPr>
      </w:pPr>
    </w:p>
    <w:p w:rsidR="004C08B3" w:rsidP="004C3532" w:rsidRDefault="004C08B3" w14:paraId="21A21A27" w14:textId="62D22175">
      <w:pPr>
        <w:spacing w:line="360" w:lineRule="auto"/>
        <w:jc w:val="both"/>
        <w:rPr>
          <w:rFonts w:ascii="Arial" w:hAnsi="Arial" w:cs="Arial"/>
        </w:rPr>
      </w:pPr>
    </w:p>
    <w:p w:rsidRPr="004C08B3" w:rsidR="004C08B3" w:rsidP="004C3532" w:rsidRDefault="004C08B3" w14:paraId="325A76CC" w14:textId="77777777">
      <w:pPr>
        <w:spacing w:line="360" w:lineRule="auto"/>
        <w:jc w:val="both"/>
        <w:rPr>
          <w:rFonts w:ascii="Arial" w:hAnsi="Arial" w:cs="Arial"/>
        </w:rPr>
      </w:pPr>
    </w:p>
    <w:p w:rsidRPr="004C08B3" w:rsidR="004C3532" w:rsidP="004C3532" w:rsidRDefault="004C3532" w14:paraId="78C9CC4C" w14:textId="70AF6F8D">
      <w:pPr>
        <w:spacing w:line="360" w:lineRule="auto"/>
        <w:jc w:val="both"/>
        <w:rPr>
          <w:rFonts w:ascii="Arial" w:hAnsi="Arial" w:cs="Arial"/>
        </w:rPr>
      </w:pPr>
    </w:p>
    <w:p w:rsidRPr="004C08B3" w:rsidR="004C3532" w:rsidP="004C3532" w:rsidRDefault="004C3532" w14:paraId="538274BA" w14:textId="77777777">
      <w:pPr>
        <w:spacing w:line="360" w:lineRule="auto"/>
        <w:jc w:val="both"/>
        <w:rPr>
          <w:rFonts w:ascii="Arial" w:hAnsi="Arial" w:cs="Arial"/>
          <w:b/>
          <w:bCs/>
        </w:rPr>
      </w:pPr>
      <w:r w:rsidRPr="004C08B3">
        <w:rPr>
          <w:rFonts w:ascii="Arial" w:hAnsi="Arial" w:cs="Arial"/>
          <w:b/>
          <w:bCs/>
        </w:rPr>
        <w:lastRenderedPageBreak/>
        <w:t>References</w:t>
      </w:r>
    </w:p>
    <w:p w:rsidRPr="004C08B3" w:rsidR="004C3532" w:rsidP="004C3532" w:rsidRDefault="004C3532" w14:paraId="4EC4F250" w14:textId="77777777">
      <w:pPr>
        <w:spacing w:line="360" w:lineRule="auto"/>
        <w:rPr>
          <w:rFonts w:ascii="Arial" w:hAnsi="Arial" w:cs="Arial"/>
          <w:color w:val="222222"/>
          <w:shd w:val="clear" w:color="auto" w:fill="FFFFFF"/>
        </w:rPr>
      </w:pPr>
      <w:r w:rsidRPr="004C08B3">
        <w:rPr>
          <w:rFonts w:ascii="Arial" w:hAnsi="Arial" w:cs="Arial"/>
          <w:color w:val="222222"/>
          <w:shd w:val="clear" w:color="auto" w:fill="FFFFFF"/>
        </w:rPr>
        <w:t>Fakoya, O.A., McCorry, N.K. and Donnelly, M., 2020. Loneliness and social isolation interventions for older adults: a scoping review of reviews. </w:t>
      </w:r>
      <w:r w:rsidRPr="004C08B3">
        <w:rPr>
          <w:rFonts w:ascii="Arial" w:hAnsi="Arial" w:cs="Arial"/>
          <w:i/>
          <w:iCs/>
          <w:color w:val="222222"/>
          <w:shd w:val="clear" w:color="auto" w:fill="FFFFFF"/>
        </w:rPr>
        <w:t>BMC public health</w:t>
      </w:r>
      <w:r w:rsidRPr="004C08B3">
        <w:rPr>
          <w:rFonts w:ascii="Arial" w:hAnsi="Arial" w:cs="Arial"/>
          <w:color w:val="222222"/>
          <w:shd w:val="clear" w:color="auto" w:fill="FFFFFF"/>
        </w:rPr>
        <w:t>, </w:t>
      </w:r>
      <w:r w:rsidRPr="004C08B3">
        <w:rPr>
          <w:rFonts w:ascii="Arial" w:hAnsi="Arial" w:cs="Arial"/>
          <w:i/>
          <w:iCs/>
          <w:color w:val="222222"/>
          <w:shd w:val="clear" w:color="auto" w:fill="FFFFFF"/>
        </w:rPr>
        <w:t>20</w:t>
      </w:r>
      <w:r w:rsidRPr="004C08B3">
        <w:rPr>
          <w:rFonts w:ascii="Arial" w:hAnsi="Arial" w:cs="Arial"/>
          <w:color w:val="222222"/>
          <w:shd w:val="clear" w:color="auto" w:fill="FFFFFF"/>
        </w:rPr>
        <w:t>(1), pp.1-14.</w:t>
      </w:r>
    </w:p>
    <w:p w:rsidRPr="004C08B3" w:rsidR="004C3532" w:rsidP="004C3532" w:rsidRDefault="004C3532" w14:paraId="7490D2BB" w14:textId="77777777">
      <w:pPr>
        <w:spacing w:line="360" w:lineRule="auto"/>
        <w:rPr>
          <w:rFonts w:ascii="Arial" w:hAnsi="Arial" w:cs="Arial"/>
          <w:color w:val="222222"/>
          <w:shd w:val="clear" w:color="auto" w:fill="FFFFFF"/>
        </w:rPr>
      </w:pPr>
      <w:r w:rsidRPr="004C08B3">
        <w:rPr>
          <w:rFonts w:ascii="Arial" w:hAnsi="Arial" w:cs="Arial"/>
          <w:color w:val="222222"/>
          <w:shd w:val="clear" w:color="auto" w:fill="FFFFFF"/>
        </w:rPr>
        <w:t>Abdi, S., Spann, A., Borilovic, J., de Witte, L., and Hawley, M., 2019. Understanding the care and support needs of older people: a scoping review and categorization using the WHO international classification of functioning, disability, and health framework (ICF). </w:t>
      </w:r>
      <w:r w:rsidRPr="004C08B3">
        <w:rPr>
          <w:rFonts w:ascii="Arial" w:hAnsi="Arial" w:cs="Arial"/>
          <w:i/>
          <w:iCs/>
          <w:color w:val="222222"/>
          <w:shd w:val="clear" w:color="auto" w:fill="FFFFFF"/>
        </w:rPr>
        <w:t>BMC geriatrics</w:t>
      </w:r>
      <w:r w:rsidRPr="004C08B3">
        <w:rPr>
          <w:rFonts w:ascii="Arial" w:hAnsi="Arial" w:cs="Arial"/>
          <w:color w:val="222222"/>
          <w:shd w:val="clear" w:color="auto" w:fill="FFFFFF"/>
        </w:rPr>
        <w:t>, </w:t>
      </w:r>
      <w:r w:rsidRPr="004C08B3">
        <w:rPr>
          <w:rFonts w:ascii="Arial" w:hAnsi="Arial" w:cs="Arial"/>
          <w:i/>
          <w:iCs/>
          <w:color w:val="222222"/>
          <w:shd w:val="clear" w:color="auto" w:fill="FFFFFF"/>
        </w:rPr>
        <w:t>19</w:t>
      </w:r>
      <w:r w:rsidRPr="004C08B3">
        <w:rPr>
          <w:rFonts w:ascii="Arial" w:hAnsi="Arial" w:cs="Arial"/>
          <w:color w:val="222222"/>
          <w:shd w:val="clear" w:color="auto" w:fill="FFFFFF"/>
        </w:rPr>
        <w:t>(1), pp.1-15.</w:t>
      </w:r>
    </w:p>
    <w:p w:rsidRPr="004C08B3" w:rsidR="004C3532" w:rsidP="004C3532" w:rsidRDefault="004C3532" w14:paraId="72F150CF" w14:textId="77777777">
      <w:pPr>
        <w:spacing w:line="360" w:lineRule="auto"/>
        <w:rPr>
          <w:rFonts w:ascii="Arial" w:hAnsi="Arial" w:cs="Arial"/>
          <w:color w:val="222222"/>
          <w:shd w:val="clear" w:color="auto" w:fill="FFFFFF"/>
        </w:rPr>
      </w:pPr>
      <w:r w:rsidRPr="004C08B3">
        <w:rPr>
          <w:rFonts w:ascii="Arial" w:hAnsi="Arial" w:cs="Arial"/>
          <w:color w:val="222222"/>
          <w:shd w:val="clear" w:color="auto" w:fill="FFFFFF"/>
        </w:rPr>
        <w:t>Seifert, A., Cotten, S.R. and Xie, B., 2021. A double burden of exclusion? Digital and social exclusion of older adults in times of COVID-19. </w:t>
      </w:r>
      <w:r w:rsidRPr="004C08B3">
        <w:rPr>
          <w:rFonts w:ascii="Arial" w:hAnsi="Arial" w:cs="Arial"/>
          <w:i/>
          <w:iCs/>
          <w:color w:val="222222"/>
          <w:shd w:val="clear" w:color="auto" w:fill="FFFFFF"/>
        </w:rPr>
        <w:t>The Journals of Gerontology: Series B</w:t>
      </w:r>
      <w:r w:rsidRPr="004C08B3">
        <w:rPr>
          <w:rFonts w:ascii="Arial" w:hAnsi="Arial" w:cs="Arial"/>
          <w:color w:val="222222"/>
          <w:shd w:val="clear" w:color="auto" w:fill="FFFFFF"/>
        </w:rPr>
        <w:t>, </w:t>
      </w:r>
      <w:r w:rsidRPr="004C08B3">
        <w:rPr>
          <w:rFonts w:ascii="Arial" w:hAnsi="Arial" w:cs="Arial"/>
          <w:i/>
          <w:iCs/>
          <w:color w:val="222222"/>
          <w:shd w:val="clear" w:color="auto" w:fill="FFFFFF"/>
        </w:rPr>
        <w:t>76</w:t>
      </w:r>
      <w:r w:rsidRPr="004C08B3">
        <w:rPr>
          <w:rFonts w:ascii="Arial" w:hAnsi="Arial" w:cs="Arial"/>
          <w:color w:val="222222"/>
          <w:shd w:val="clear" w:color="auto" w:fill="FFFFFF"/>
        </w:rPr>
        <w:t>(3), pp.e99-e103.</w:t>
      </w:r>
    </w:p>
    <w:p w:rsidR="004C3532" w:rsidP="004C3532" w:rsidRDefault="004C3532" w14:paraId="2EB5FF39" w14:textId="07F08C9D">
      <w:pPr>
        <w:spacing w:line="360" w:lineRule="auto"/>
        <w:rPr>
          <w:rFonts w:ascii="Arial" w:hAnsi="Arial" w:cs="Arial"/>
          <w:color w:val="222222"/>
          <w:shd w:val="clear" w:color="auto" w:fill="FFFFFF"/>
        </w:rPr>
      </w:pPr>
      <w:r w:rsidRPr="004C08B3">
        <w:rPr>
          <w:rFonts w:ascii="Arial" w:hAnsi="Arial" w:cs="Arial"/>
          <w:color w:val="222222"/>
          <w:shd w:val="clear" w:color="auto" w:fill="FFFFFF"/>
        </w:rPr>
        <w:t>Poscia, A., Stojanovic, J., La Milia, D.I., Duplaga, M., Grysztar, M., Moscato, U., Onder, G., Collamati, A., Ricciardi, W. and Magnavita, N., 2018. Interventions targeting loneliness and social isolation among the older people: An updated systematic review. </w:t>
      </w:r>
      <w:r w:rsidRPr="004C08B3">
        <w:rPr>
          <w:rFonts w:ascii="Arial" w:hAnsi="Arial" w:cs="Arial"/>
          <w:i/>
          <w:iCs/>
          <w:color w:val="222222"/>
          <w:shd w:val="clear" w:color="auto" w:fill="FFFFFF"/>
        </w:rPr>
        <w:t>Experimental gerontology</w:t>
      </w:r>
      <w:r w:rsidRPr="004C08B3">
        <w:rPr>
          <w:rFonts w:ascii="Arial" w:hAnsi="Arial" w:cs="Arial"/>
          <w:color w:val="222222"/>
          <w:shd w:val="clear" w:color="auto" w:fill="FFFFFF"/>
        </w:rPr>
        <w:t>, </w:t>
      </w:r>
      <w:r w:rsidRPr="004C08B3">
        <w:rPr>
          <w:rFonts w:ascii="Arial" w:hAnsi="Arial" w:cs="Arial"/>
          <w:i/>
          <w:iCs/>
          <w:color w:val="222222"/>
          <w:shd w:val="clear" w:color="auto" w:fill="FFFFFF"/>
        </w:rPr>
        <w:t>102</w:t>
      </w:r>
      <w:r w:rsidRPr="004C08B3">
        <w:rPr>
          <w:rFonts w:ascii="Arial" w:hAnsi="Arial" w:cs="Arial"/>
          <w:color w:val="222222"/>
          <w:shd w:val="clear" w:color="auto" w:fill="FFFFFF"/>
        </w:rPr>
        <w:t>, pp.133-144.</w:t>
      </w:r>
    </w:p>
    <w:p w:rsidRPr="00424CAC" w:rsidR="00424CAC" w:rsidP="00424CAC" w:rsidRDefault="00424CAC" w14:paraId="324F19A9" w14:textId="1469C937">
      <w:pPr>
        <w:spacing w:line="360" w:lineRule="auto"/>
        <w:rPr>
          <w:rFonts w:ascii="Arial" w:hAnsi="Arial" w:cs="Arial"/>
        </w:rPr>
      </w:pPr>
      <w:r w:rsidRPr="00424CAC">
        <w:rPr>
          <w:rFonts w:ascii="Arial" w:hAnsi="Arial" w:cs="Arial"/>
          <w:color w:val="222222"/>
          <w:shd w:val="clear" w:color="auto" w:fill="FFFFFF"/>
        </w:rPr>
        <w:t xml:space="preserve">Goethals, L., Barth, N., Guyot, J., Hupin, D., Celarier, T. and Bongue, B., 2020. Impact of home quarantine on physical activity among older adults living at home during the COVID-19 pandemic: </w:t>
      </w:r>
      <w:r>
        <w:rPr>
          <w:rFonts w:ascii="Arial" w:hAnsi="Arial" w:cs="Arial"/>
          <w:color w:val="222222"/>
          <w:shd w:val="clear" w:color="auto" w:fill="FFFFFF"/>
        </w:rPr>
        <w:t xml:space="preserve">a </w:t>
      </w:r>
      <w:r w:rsidRPr="00424CAC">
        <w:rPr>
          <w:rFonts w:ascii="Arial" w:hAnsi="Arial" w:cs="Arial"/>
          <w:color w:val="222222"/>
          <w:shd w:val="clear" w:color="auto" w:fill="FFFFFF"/>
        </w:rPr>
        <w:t>qualitative interview study. </w:t>
      </w:r>
      <w:r w:rsidRPr="00424CAC">
        <w:rPr>
          <w:rFonts w:ascii="Arial" w:hAnsi="Arial" w:cs="Arial"/>
          <w:i/>
          <w:iCs/>
          <w:color w:val="222222"/>
          <w:shd w:val="clear" w:color="auto" w:fill="FFFFFF"/>
        </w:rPr>
        <w:t xml:space="preserve">JMIR </w:t>
      </w:r>
      <w:r>
        <w:rPr>
          <w:rFonts w:ascii="Arial" w:hAnsi="Arial" w:cs="Arial"/>
          <w:i/>
          <w:iCs/>
          <w:color w:val="222222"/>
          <w:shd w:val="clear" w:color="auto" w:fill="FFFFFF"/>
        </w:rPr>
        <w:t>Aging</w:t>
      </w:r>
      <w:r w:rsidRPr="00424CAC">
        <w:rPr>
          <w:rFonts w:ascii="Arial" w:hAnsi="Arial" w:cs="Arial"/>
          <w:color w:val="222222"/>
          <w:shd w:val="clear" w:color="auto" w:fill="FFFFFF"/>
        </w:rPr>
        <w:t>, </w:t>
      </w:r>
      <w:r w:rsidRPr="00424CAC">
        <w:rPr>
          <w:rFonts w:ascii="Arial" w:hAnsi="Arial" w:cs="Arial"/>
          <w:i/>
          <w:iCs/>
          <w:color w:val="222222"/>
          <w:shd w:val="clear" w:color="auto" w:fill="FFFFFF"/>
        </w:rPr>
        <w:t>3</w:t>
      </w:r>
      <w:r w:rsidRPr="00424CAC">
        <w:rPr>
          <w:rFonts w:ascii="Arial" w:hAnsi="Arial" w:cs="Arial"/>
          <w:color w:val="222222"/>
          <w:shd w:val="clear" w:color="auto" w:fill="FFFFFF"/>
        </w:rPr>
        <w:t>(1), p.e19007.</w:t>
      </w:r>
    </w:p>
    <w:p w:rsidRPr="004C08B3" w:rsidR="004C3532" w:rsidP="004C3532" w:rsidRDefault="004C3532" w14:paraId="170D0873" w14:textId="77777777">
      <w:pPr>
        <w:spacing w:line="360" w:lineRule="auto"/>
        <w:jc w:val="both"/>
        <w:rPr>
          <w:rFonts w:ascii="Arial" w:hAnsi="Arial" w:cs="Arial"/>
        </w:rPr>
      </w:pPr>
    </w:p>
    <w:p w:rsidRPr="004C08B3" w:rsidR="004C3532" w:rsidP="004C3532" w:rsidRDefault="004C3532" w14:paraId="6A09D5FA" w14:textId="77777777">
      <w:pPr>
        <w:spacing w:line="360" w:lineRule="auto"/>
        <w:rPr>
          <w:rFonts w:ascii="Arial" w:hAnsi="Arial" w:cs="Arial"/>
        </w:rPr>
      </w:pPr>
    </w:p>
    <w:p w:rsidRPr="004C08B3" w:rsidR="004C3532" w:rsidP="004C3532" w:rsidRDefault="004C3532" w14:paraId="15575C73" w14:textId="77777777">
      <w:pPr>
        <w:spacing w:line="360" w:lineRule="auto"/>
        <w:jc w:val="both"/>
        <w:rPr>
          <w:rFonts w:ascii="Arial" w:hAnsi="Arial" w:cs="Arial"/>
        </w:rPr>
      </w:pPr>
    </w:p>
    <w:p w:rsidRPr="004C08B3" w:rsidR="00A637E7" w:rsidP="004C3532" w:rsidRDefault="00A637E7" w14:paraId="0E4677BE" w14:textId="1C138CFA">
      <w:pPr>
        <w:spacing w:line="360" w:lineRule="auto"/>
        <w:jc w:val="both"/>
        <w:rPr>
          <w:rFonts w:ascii="Arial" w:hAnsi="Arial" w:cs="Arial"/>
        </w:rPr>
      </w:pPr>
    </w:p>
    <w:p w:rsidRPr="004C08B3" w:rsidR="00DC56FD" w:rsidP="004C3532" w:rsidRDefault="00DC56FD" w14:paraId="35142159" w14:textId="60501498">
      <w:pPr>
        <w:spacing w:line="360" w:lineRule="auto"/>
        <w:jc w:val="both"/>
        <w:rPr>
          <w:rFonts w:ascii="Arial" w:hAnsi="Arial" w:cs="Arial"/>
        </w:rPr>
      </w:pPr>
    </w:p>
    <w:p w:rsidRPr="004C08B3" w:rsidR="00DC56FD" w:rsidP="004C3532" w:rsidRDefault="00DC56FD" w14:paraId="7B32ED12" w14:textId="6BBDD448">
      <w:pPr>
        <w:spacing w:line="360" w:lineRule="auto"/>
        <w:jc w:val="both"/>
        <w:rPr>
          <w:rFonts w:ascii="Arial" w:hAnsi="Arial" w:cs="Arial"/>
        </w:rPr>
      </w:pPr>
    </w:p>
    <w:p w:rsidRPr="004C08B3" w:rsidR="00A637E7" w:rsidP="004C3532" w:rsidRDefault="00A637E7" w14:paraId="683007BB" w14:textId="38F35D21">
      <w:pPr>
        <w:spacing w:line="360" w:lineRule="auto"/>
        <w:jc w:val="both"/>
        <w:rPr>
          <w:rFonts w:ascii="Arial" w:hAnsi="Arial" w:cs="Arial"/>
        </w:rPr>
      </w:pPr>
    </w:p>
    <w:p w:rsidRPr="004C08B3" w:rsidR="00102D16" w:rsidP="004C3532" w:rsidRDefault="00102D16" w14:paraId="6B4898F2" w14:textId="77777777">
      <w:pPr>
        <w:spacing w:line="360" w:lineRule="auto"/>
        <w:jc w:val="both"/>
        <w:rPr>
          <w:rFonts w:ascii="Arial" w:hAnsi="Arial" w:cs="Arial"/>
        </w:rPr>
      </w:pPr>
    </w:p>
    <w:sectPr w:rsidRPr="004C08B3" w:rsidR="00102D16" w:rsidSect="00102D16">
      <w:footerReference w:type="default" r:id="rId6"/>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0788E" w:rsidP="00102D16" w:rsidRDefault="00B0788E" w14:paraId="231D08DD" w14:textId="77777777">
      <w:pPr>
        <w:spacing w:after="0" w:line="240" w:lineRule="auto"/>
      </w:pPr>
      <w:r>
        <w:separator/>
      </w:r>
    </w:p>
  </w:endnote>
  <w:endnote w:type="continuationSeparator" w:id="0">
    <w:p w:rsidR="00B0788E" w:rsidP="00102D16" w:rsidRDefault="00B0788E" w14:paraId="45A7048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3784229"/>
      <w:docPartObj>
        <w:docPartGallery w:val="Page Numbers (Bottom of Page)"/>
        <w:docPartUnique/>
      </w:docPartObj>
    </w:sdtPr>
    <w:sdtEndPr>
      <w:rPr>
        <w:noProof/>
      </w:rPr>
    </w:sdtEndPr>
    <w:sdtContent>
      <w:p w:rsidR="00102D16" w:rsidRDefault="00102D16" w14:paraId="3AED8194" w14:textId="042EF0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02D16" w:rsidRDefault="00102D16" w14:paraId="7106F32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0788E" w:rsidP="00102D16" w:rsidRDefault="00B0788E" w14:paraId="37913EAE" w14:textId="77777777">
      <w:pPr>
        <w:spacing w:after="0" w:line="240" w:lineRule="auto"/>
      </w:pPr>
      <w:r>
        <w:separator/>
      </w:r>
    </w:p>
  </w:footnote>
  <w:footnote w:type="continuationSeparator" w:id="0">
    <w:p w:rsidR="00B0788E" w:rsidP="00102D16" w:rsidRDefault="00B0788E" w14:paraId="59FA7061"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984"/>
    <w:rsid w:val="0005549E"/>
    <w:rsid w:val="000D2A31"/>
    <w:rsid w:val="00102D16"/>
    <w:rsid w:val="00177930"/>
    <w:rsid w:val="00275B9D"/>
    <w:rsid w:val="00287997"/>
    <w:rsid w:val="00330C90"/>
    <w:rsid w:val="00424CAC"/>
    <w:rsid w:val="004C08B3"/>
    <w:rsid w:val="004C3532"/>
    <w:rsid w:val="00736984"/>
    <w:rsid w:val="00830948"/>
    <w:rsid w:val="00A3689D"/>
    <w:rsid w:val="00A637E7"/>
    <w:rsid w:val="00AE42B7"/>
    <w:rsid w:val="00B0788E"/>
    <w:rsid w:val="00C1239D"/>
    <w:rsid w:val="00D16AFF"/>
    <w:rsid w:val="00DC56FD"/>
    <w:rsid w:val="00E83F1C"/>
    <w:rsid w:val="7C2DDD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1E07E"/>
  <w15:chartTrackingRefBased/>
  <w15:docId w15:val="{4DA35D96-C3C7-47ED-8CF6-267CF48E6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02D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102D16"/>
  </w:style>
  <w:style w:type="paragraph" w:styleId="Footer">
    <w:name w:val="footer"/>
    <w:basedOn w:val="Normal"/>
    <w:link w:val="FooterChar"/>
    <w:uiPriority w:val="99"/>
    <w:unhideWhenUsed/>
    <w:rsid w:val="00102D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102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png" Id="R350ee180a9534ac0" /><Relationship Type="http://schemas.openxmlformats.org/officeDocument/2006/relationships/glossaryDocument" Target="glossary/document.xml" Id="R56b38806571d401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8d34e5b-ebd1-46f3-8662-8ec1b73d5db4}"/>
      </w:docPartPr>
      <w:docPartBody>
        <w:p w14:paraId="3D484CB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Yogesh Soni</dc:creator>
  <keywords/>
  <dc:description/>
  <lastModifiedBy>alexandrina stan</lastModifiedBy>
  <revision>15</revision>
  <dcterms:created xsi:type="dcterms:W3CDTF">2022-03-14T09:27:00.0000000Z</dcterms:created>
  <dcterms:modified xsi:type="dcterms:W3CDTF">2022-03-29T12:36:23.6863842Z</dcterms:modified>
</coreProperties>
</file>