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7A0DE" w14:textId="77777777" w:rsidR="009427D5" w:rsidRDefault="002D309F">
      <w:pPr>
        <w:spacing w:after="0" w:line="254" w:lineRule="auto"/>
        <w:ind w:left="1"/>
      </w:pPr>
      <w:r>
        <w:rPr>
          <w:rFonts w:ascii="Calibri" w:eastAsia="Calibri" w:hAnsi="Calibri" w:cs="Calibri"/>
          <w:b/>
          <w:noProof/>
          <w:sz w:val="20"/>
        </w:rPr>
        <w:drawing>
          <wp:inline distT="0" distB="0" distL="0" distR="0" wp14:anchorId="16C62202" wp14:editId="4A135A94">
            <wp:extent cx="2751063" cy="1272652"/>
            <wp:effectExtent l="0" t="0" r="0" b="3698"/>
            <wp:docPr id="606850468" name="Picture 1" descr="Black text on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751063" cy="1272652"/>
                    </a:xfrm>
                    <a:prstGeom prst="rect">
                      <a:avLst/>
                    </a:prstGeom>
                    <a:noFill/>
                    <a:ln>
                      <a:noFill/>
                      <a:prstDash/>
                    </a:ln>
                  </pic:spPr>
                </pic:pic>
              </a:graphicData>
            </a:graphic>
          </wp:inline>
        </w:drawing>
      </w:r>
      <w:r>
        <w:rPr>
          <w:rFonts w:ascii="Calibri" w:eastAsia="Calibri" w:hAnsi="Calibri" w:cs="Calibri"/>
          <w:b/>
          <w:sz w:val="20"/>
        </w:rPr>
        <w:t xml:space="preserve"> </w:t>
      </w:r>
    </w:p>
    <w:p w14:paraId="2B9327B6" w14:textId="77777777" w:rsidR="009427D5" w:rsidRDefault="009427D5">
      <w:pPr>
        <w:spacing w:after="0" w:line="254" w:lineRule="auto"/>
        <w:ind w:left="1"/>
        <w:rPr>
          <w:rFonts w:ascii="Calibri" w:eastAsia="Calibri" w:hAnsi="Calibri" w:cs="Calibri"/>
          <w:b/>
          <w:sz w:val="20"/>
        </w:rPr>
      </w:pPr>
    </w:p>
    <w:p w14:paraId="47673A66" w14:textId="77777777" w:rsidR="009427D5" w:rsidRDefault="009427D5">
      <w:pPr>
        <w:spacing w:after="0" w:line="254" w:lineRule="auto"/>
        <w:ind w:left="1"/>
        <w:rPr>
          <w:rFonts w:ascii="Calibri" w:eastAsia="Calibri" w:hAnsi="Calibri" w:cs="Calibri"/>
          <w:b/>
          <w:sz w:val="20"/>
        </w:rPr>
      </w:pPr>
    </w:p>
    <w:p w14:paraId="5E382741" w14:textId="77777777" w:rsidR="009427D5" w:rsidRDefault="009427D5">
      <w:pPr>
        <w:spacing w:after="0" w:line="254" w:lineRule="auto"/>
        <w:ind w:left="1"/>
      </w:pPr>
    </w:p>
    <w:p w14:paraId="2B46DE67" w14:textId="77777777" w:rsidR="009427D5" w:rsidRDefault="002D309F">
      <w:r>
        <w:rPr>
          <w:noProof/>
        </w:rPr>
        <w:drawing>
          <wp:inline distT="0" distB="0" distL="0" distR="0" wp14:anchorId="6386ADEA" wp14:editId="40CAD528">
            <wp:extent cx="3814483" cy="1510735"/>
            <wp:effectExtent l="0" t="0" r="0" b="0"/>
            <wp:docPr id="85539453" name="Picture 8" descr="A building with a corner of the stree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814483" cy="1510735"/>
                    </a:xfrm>
                    <a:prstGeom prst="rect">
                      <a:avLst/>
                    </a:prstGeom>
                    <a:noFill/>
                    <a:ln>
                      <a:noFill/>
                      <a:prstDash/>
                    </a:ln>
                  </pic:spPr>
                </pic:pic>
              </a:graphicData>
            </a:graphic>
          </wp:inline>
        </w:drawing>
      </w:r>
    </w:p>
    <w:p w14:paraId="58CEDD93" w14:textId="77777777" w:rsidR="009427D5" w:rsidRDefault="009427D5">
      <w:pPr>
        <w:rPr>
          <w:rFonts w:ascii="Arial" w:hAnsi="Arial" w:cs="Arial"/>
          <w:b/>
          <w:bCs/>
        </w:rPr>
      </w:pPr>
    </w:p>
    <w:p w14:paraId="1317272C" w14:textId="77777777" w:rsidR="009427D5" w:rsidRDefault="002D309F">
      <w:pPr>
        <w:rPr>
          <w:rFonts w:ascii="Arial" w:hAnsi="Arial" w:cs="Arial"/>
          <w:b/>
          <w:bCs/>
        </w:rPr>
      </w:pPr>
      <w:r>
        <w:rPr>
          <w:rFonts w:ascii="Arial" w:hAnsi="Arial" w:cs="Arial"/>
          <w:b/>
          <w:bCs/>
        </w:rPr>
        <w:t xml:space="preserve">     The Role of Employees in Achieving HR Operational Excellence:</w:t>
      </w:r>
    </w:p>
    <w:p w14:paraId="7A46837F" w14:textId="77777777" w:rsidR="009427D5" w:rsidRDefault="002D309F">
      <w:pPr>
        <w:rPr>
          <w:rFonts w:ascii="Arial" w:hAnsi="Arial" w:cs="Arial"/>
          <w:b/>
          <w:bCs/>
        </w:rPr>
      </w:pPr>
      <w:r>
        <w:rPr>
          <w:rFonts w:ascii="Arial" w:hAnsi="Arial" w:cs="Arial"/>
          <w:b/>
          <w:bCs/>
        </w:rPr>
        <w:t xml:space="preserve">               Insights from Ibis London Placement Experience</w:t>
      </w:r>
    </w:p>
    <w:p w14:paraId="7E2F8808" w14:textId="77777777" w:rsidR="009427D5" w:rsidRDefault="009427D5">
      <w:pPr>
        <w:rPr>
          <w:rFonts w:ascii="Arial" w:hAnsi="Arial" w:cs="Arial"/>
          <w:b/>
          <w:bCs/>
        </w:rPr>
      </w:pPr>
    </w:p>
    <w:p w14:paraId="0082A680" w14:textId="77777777" w:rsidR="009427D5" w:rsidRDefault="009427D5">
      <w:pPr>
        <w:rPr>
          <w:rFonts w:ascii="Arial" w:hAnsi="Arial" w:cs="Arial"/>
          <w:b/>
          <w:bCs/>
        </w:rPr>
      </w:pPr>
    </w:p>
    <w:p w14:paraId="2F3A3F43" w14:textId="77777777" w:rsidR="009427D5" w:rsidRDefault="009427D5">
      <w:pPr>
        <w:rPr>
          <w:rFonts w:ascii="Arial" w:hAnsi="Arial" w:cs="Arial"/>
          <w:b/>
          <w:bCs/>
        </w:rPr>
      </w:pPr>
    </w:p>
    <w:p w14:paraId="6899C11C" w14:textId="77777777" w:rsidR="009427D5" w:rsidRDefault="002D309F">
      <w:pPr>
        <w:rPr>
          <w:rFonts w:ascii="Arial" w:hAnsi="Arial" w:cs="Arial"/>
          <w:b/>
          <w:bCs/>
        </w:rPr>
      </w:pPr>
      <w:r>
        <w:rPr>
          <w:rFonts w:ascii="Arial" w:hAnsi="Arial" w:cs="Arial"/>
          <w:b/>
          <w:bCs/>
        </w:rPr>
        <w:t>Student name: Ana Maria Stoica</w:t>
      </w:r>
    </w:p>
    <w:p w14:paraId="6D92375B" w14:textId="77777777" w:rsidR="009427D5" w:rsidRDefault="002D309F">
      <w:pPr>
        <w:rPr>
          <w:rFonts w:ascii="Arial" w:hAnsi="Arial" w:cs="Arial"/>
          <w:b/>
          <w:bCs/>
        </w:rPr>
      </w:pPr>
      <w:r>
        <w:rPr>
          <w:rFonts w:ascii="Arial" w:hAnsi="Arial" w:cs="Arial"/>
          <w:b/>
          <w:bCs/>
        </w:rPr>
        <w:t>Student id: 2210328</w:t>
      </w:r>
    </w:p>
    <w:p w14:paraId="1D62A109" w14:textId="77777777" w:rsidR="009427D5" w:rsidRDefault="002D309F">
      <w:pPr>
        <w:rPr>
          <w:rFonts w:ascii="Arial" w:hAnsi="Arial" w:cs="Arial"/>
          <w:b/>
          <w:bCs/>
        </w:rPr>
      </w:pPr>
      <w:r>
        <w:rPr>
          <w:rFonts w:ascii="Arial" w:hAnsi="Arial" w:cs="Arial"/>
          <w:b/>
          <w:bCs/>
        </w:rPr>
        <w:t xml:space="preserve">Module name: Placement Project </w:t>
      </w:r>
    </w:p>
    <w:p w14:paraId="6BC89D39" w14:textId="77777777" w:rsidR="009427D5" w:rsidRDefault="002D309F">
      <w:pPr>
        <w:rPr>
          <w:rFonts w:ascii="Arial" w:hAnsi="Arial" w:cs="Arial"/>
          <w:b/>
          <w:bCs/>
        </w:rPr>
      </w:pPr>
      <w:r>
        <w:rPr>
          <w:rFonts w:ascii="Arial" w:hAnsi="Arial" w:cs="Arial"/>
          <w:b/>
          <w:bCs/>
        </w:rPr>
        <w:t xml:space="preserve">Module code: BMIH6008 </w:t>
      </w:r>
    </w:p>
    <w:p w14:paraId="0A449470" w14:textId="77777777" w:rsidR="009427D5" w:rsidRDefault="002D309F">
      <w:pPr>
        <w:rPr>
          <w:rFonts w:ascii="Arial" w:hAnsi="Arial" w:cs="Arial"/>
          <w:b/>
          <w:bCs/>
        </w:rPr>
      </w:pPr>
      <w:r>
        <w:rPr>
          <w:rFonts w:ascii="Arial" w:hAnsi="Arial" w:cs="Arial"/>
          <w:b/>
          <w:bCs/>
        </w:rPr>
        <w:t xml:space="preserve">Lecturer name: Ben Ka Po Chong </w:t>
      </w:r>
    </w:p>
    <w:p w14:paraId="03FF426A" w14:textId="77777777" w:rsidR="009427D5" w:rsidRDefault="009427D5">
      <w:pPr>
        <w:rPr>
          <w:rFonts w:ascii="Arial" w:hAnsi="Arial" w:cs="Arial"/>
          <w:b/>
          <w:bCs/>
        </w:rPr>
      </w:pPr>
    </w:p>
    <w:p w14:paraId="72A3990C" w14:textId="77777777" w:rsidR="009427D5" w:rsidRDefault="009427D5">
      <w:pPr>
        <w:rPr>
          <w:rFonts w:ascii="Arial" w:hAnsi="Arial" w:cs="Arial"/>
          <w:b/>
          <w:bCs/>
        </w:rPr>
      </w:pPr>
    </w:p>
    <w:p w14:paraId="09335893" w14:textId="77777777" w:rsidR="009427D5" w:rsidRDefault="009427D5">
      <w:pPr>
        <w:rPr>
          <w:rFonts w:ascii="Arial" w:hAnsi="Arial" w:cs="Arial"/>
          <w:b/>
          <w:bCs/>
        </w:rPr>
      </w:pPr>
    </w:p>
    <w:p w14:paraId="11D9B295" w14:textId="77777777" w:rsidR="009427D5" w:rsidRDefault="002D309F">
      <w:pPr>
        <w:rPr>
          <w:rFonts w:ascii="Arial" w:hAnsi="Arial" w:cs="Arial"/>
          <w:b/>
          <w:bCs/>
        </w:rPr>
      </w:pPr>
      <w:r>
        <w:rPr>
          <w:rFonts w:ascii="Arial" w:hAnsi="Arial" w:cs="Arial"/>
          <w:b/>
          <w:bCs/>
        </w:rPr>
        <w:t xml:space="preserve">I confirm that I did not use any AI tools in the research and creation of this assignment. I confirm that I have not presented any AI generated materials as my own work. I confirm I have copy of my drafts, notes, and other resources I used, which I may be asked to provide in evidence.  </w:t>
      </w:r>
    </w:p>
    <w:p w14:paraId="67A4B3ED" w14:textId="77777777" w:rsidR="009427D5" w:rsidRDefault="009427D5">
      <w:pPr>
        <w:rPr>
          <w:rFonts w:ascii="Arial" w:hAnsi="Arial" w:cs="Arial"/>
          <w:b/>
          <w:bCs/>
        </w:rPr>
      </w:pPr>
    </w:p>
    <w:p w14:paraId="349774F9" w14:textId="77777777" w:rsidR="009427D5" w:rsidRDefault="009427D5">
      <w:pPr>
        <w:rPr>
          <w:rFonts w:ascii="Arial" w:hAnsi="Arial" w:cs="Arial"/>
          <w:b/>
          <w:bCs/>
        </w:rPr>
      </w:pPr>
    </w:p>
    <w:p w14:paraId="316F412F" w14:textId="77777777" w:rsidR="009427D5" w:rsidRDefault="002D309F">
      <w:pPr>
        <w:pStyle w:val="Heading1"/>
      </w:pPr>
      <w:bookmarkStart w:id="0" w:name="_Toc198565145"/>
      <w:r>
        <w:t>Abstract</w:t>
      </w:r>
      <w:bookmarkEnd w:id="0"/>
    </w:p>
    <w:p w14:paraId="142481EB" w14:textId="77777777" w:rsidR="009427D5" w:rsidRDefault="002D309F">
      <w:pPr>
        <w:spacing w:after="0" w:line="360" w:lineRule="auto"/>
        <w:jc w:val="both"/>
        <w:rPr>
          <w:rFonts w:ascii="Arial" w:hAnsi="Arial" w:cs="Arial"/>
        </w:rPr>
      </w:pPr>
      <w:r>
        <w:rPr>
          <w:rFonts w:ascii="Arial" w:hAnsi="Arial" w:cs="Arial"/>
        </w:rPr>
        <w:t>This study examines employee contributions to HR operational excellence in hospitality through a case study from Ibis London Barking. Operational excellence involves putting HR strategies into practice to achieve high performance levels alongside consistent service quality and active employee engagement during daily work activities. The research investigates the ways in which front-line employees affect operational success through their behavior patterns and their involvement in training alongside their communication methods and teamwork efforts.</w:t>
      </w:r>
    </w:p>
    <w:p w14:paraId="5798BFAE" w14:textId="77777777" w:rsidR="009427D5" w:rsidRDefault="002D309F">
      <w:pPr>
        <w:spacing w:after="0" w:line="360" w:lineRule="auto"/>
        <w:jc w:val="both"/>
        <w:rPr>
          <w:rFonts w:ascii="Arial" w:hAnsi="Arial" w:cs="Arial"/>
        </w:rPr>
      </w:pPr>
      <w:r>
        <w:rPr>
          <w:rFonts w:ascii="Arial" w:hAnsi="Arial" w:cs="Arial"/>
        </w:rPr>
        <w:t>The research intends to assess how worker participation bolsters HR performance while identifying actionable approaches to improve employee service delivery contributions. The key objectives are: The research focuses on understanding how employee practices affect operational performance while evaluating current HR support systems and developing recommendations that enhance HR excellence at Ibis London through employee input.</w:t>
      </w:r>
    </w:p>
    <w:p w14:paraId="19FE4F9A" w14:textId="77777777" w:rsidR="009427D5" w:rsidRDefault="002D309F">
      <w:pPr>
        <w:spacing w:after="0" w:line="360" w:lineRule="auto"/>
        <w:jc w:val="both"/>
        <w:rPr>
          <w:rFonts w:ascii="Arial" w:hAnsi="Arial" w:cs="Arial"/>
        </w:rPr>
      </w:pPr>
      <w:r>
        <w:rPr>
          <w:rFonts w:ascii="Arial" w:hAnsi="Arial" w:cs="Arial"/>
        </w:rPr>
        <w:t>The research utilized a qualitative case study method which incorporated personal observation along with informal discussions and reflective notes gathered during the hotel placement. HR policies along with hospitality industry reports and academic journals functioned as secondary sources to confirm and back up the primary data findings.</w:t>
      </w:r>
    </w:p>
    <w:p w14:paraId="4C40952C" w14:textId="77777777" w:rsidR="009427D5" w:rsidRDefault="002D309F">
      <w:pPr>
        <w:spacing w:after="0" w:line="360" w:lineRule="auto"/>
        <w:jc w:val="both"/>
        <w:rPr>
          <w:rFonts w:ascii="Arial" w:hAnsi="Arial" w:cs="Arial"/>
        </w:rPr>
      </w:pPr>
      <w:r>
        <w:rPr>
          <w:rFonts w:ascii="Arial" w:hAnsi="Arial" w:cs="Arial"/>
        </w:rPr>
        <w:t>At Ibis London employees maintain service continuity by utilizing structured onboarding procedures along with routine team briefings and mentoring from seasoned staff members. The study identified deficiencies in communication flow and recognition schemes as well as feedback mechanisms that sometimes negatively affected staff motivation and operational effectiveness.</w:t>
      </w:r>
    </w:p>
    <w:p w14:paraId="64A784BC" w14:textId="77777777" w:rsidR="009427D5" w:rsidRDefault="002D309F">
      <w:pPr>
        <w:spacing w:after="0" w:line="360" w:lineRule="auto"/>
        <w:jc w:val="both"/>
        <w:rPr>
          <w:rFonts w:ascii="Arial" w:hAnsi="Arial" w:cs="Arial"/>
        </w:rPr>
      </w:pPr>
      <w:r>
        <w:rPr>
          <w:rFonts w:ascii="Arial" w:hAnsi="Arial" w:cs="Arial"/>
        </w:rPr>
        <w:t xml:space="preserve">The analysis connects these findings with previous studies which demonstrate how employee empowerment along with specific training programs and adaptable HR systems maintain operational excellence (Baum, 2020; </w:t>
      </w:r>
      <w:proofErr w:type="spellStart"/>
      <w:r>
        <w:rPr>
          <w:rFonts w:ascii="Arial" w:hAnsi="Arial" w:cs="Arial"/>
        </w:rPr>
        <w:t>Nickson</w:t>
      </w:r>
      <w:proofErr w:type="spellEnd"/>
      <w:r>
        <w:rPr>
          <w:rFonts w:ascii="Arial" w:hAnsi="Arial" w:cs="Arial"/>
        </w:rPr>
        <w:t>, 2013). Research highlights specific challenges for budget hotels including limited resources combined with high staff turnover, which forces HR to uphold consistent standards.</w:t>
      </w:r>
    </w:p>
    <w:p w14:paraId="099C12A4" w14:textId="77777777" w:rsidR="009427D5" w:rsidRDefault="002D309F">
      <w:pPr>
        <w:spacing w:after="0" w:line="360" w:lineRule="auto"/>
        <w:jc w:val="both"/>
        <w:rPr>
          <w:rFonts w:ascii="Arial" w:hAnsi="Arial" w:cs="Arial"/>
        </w:rPr>
      </w:pPr>
      <w:r>
        <w:rPr>
          <w:rFonts w:ascii="Arial" w:hAnsi="Arial" w:cs="Arial"/>
        </w:rPr>
        <w:t xml:space="preserve">The research establishes employee involvement as the key element for reaching HR operational objectives at Ibis London. The research demonstrates that employee </w:t>
      </w:r>
      <w:r>
        <w:rPr>
          <w:rFonts w:ascii="Arial" w:hAnsi="Arial" w:cs="Arial"/>
        </w:rPr>
        <w:lastRenderedPageBreak/>
        <w:t>engagement and capability are essential to achieving successful HR outcomes alongside systems and policies. Hotel operations depend on employees to execute HR strategies through their everyday tasks.</w:t>
      </w:r>
    </w:p>
    <w:p w14:paraId="4383D819" w14:textId="77777777" w:rsidR="009427D5" w:rsidRDefault="002D309F">
      <w:pPr>
        <w:spacing w:after="0" w:line="360" w:lineRule="auto"/>
        <w:jc w:val="both"/>
        <w:rPr>
          <w:rFonts w:ascii="Arial" w:hAnsi="Arial" w:cs="Arial"/>
        </w:rPr>
      </w:pPr>
      <w:r>
        <w:rPr>
          <w:rFonts w:ascii="Arial" w:hAnsi="Arial" w:cs="Arial"/>
        </w:rPr>
        <w:t>The research findings lead to project recommendations that include employee-centric programs such as improved internal communication systems, reward systems, learning workshops for ongoing education, and cross-training opportunities across various departments. These strategies work to improve staff performance and satisfaction while increasing retention rates which leads to stronger HR operations together with better guest service delivery.</w:t>
      </w:r>
    </w:p>
    <w:p w14:paraId="34060B9A" w14:textId="77777777" w:rsidR="009427D5" w:rsidRDefault="002D309F">
      <w:pPr>
        <w:spacing w:after="0" w:line="360" w:lineRule="auto"/>
        <w:jc w:val="both"/>
        <w:rPr>
          <w:rFonts w:ascii="Arial" w:hAnsi="Arial" w:cs="Arial"/>
        </w:rPr>
      </w:pPr>
      <w:r>
        <w:rPr>
          <w:rFonts w:ascii="Arial" w:hAnsi="Arial" w:cs="Arial"/>
        </w:rPr>
        <w:t>This report provides meaningful information to hospitality HR research while delivering functional advice to midscale hotels seeking operational success through employee empowerment.</w:t>
      </w:r>
    </w:p>
    <w:p w14:paraId="66F7E896" w14:textId="77777777" w:rsidR="009427D5" w:rsidRDefault="009427D5">
      <w:pPr>
        <w:spacing w:after="0" w:line="360" w:lineRule="auto"/>
        <w:jc w:val="both"/>
        <w:rPr>
          <w:rFonts w:ascii="Arial" w:hAnsi="Arial" w:cs="Arial"/>
        </w:rPr>
      </w:pPr>
    </w:p>
    <w:p w14:paraId="4FA2B3EF" w14:textId="77777777" w:rsidR="009427D5" w:rsidRDefault="009427D5">
      <w:pPr>
        <w:spacing w:after="0" w:line="360" w:lineRule="auto"/>
        <w:jc w:val="both"/>
        <w:rPr>
          <w:rFonts w:ascii="Arial" w:hAnsi="Arial" w:cs="Arial"/>
        </w:rPr>
      </w:pPr>
    </w:p>
    <w:p w14:paraId="2FDDB1D0" w14:textId="77777777" w:rsidR="009427D5" w:rsidRDefault="009427D5">
      <w:pPr>
        <w:spacing w:after="0" w:line="360" w:lineRule="auto"/>
        <w:jc w:val="both"/>
        <w:rPr>
          <w:rFonts w:ascii="Arial" w:hAnsi="Arial" w:cs="Arial"/>
        </w:rPr>
      </w:pPr>
    </w:p>
    <w:p w14:paraId="66FB582B" w14:textId="77777777" w:rsidR="009427D5" w:rsidRDefault="009427D5">
      <w:pPr>
        <w:spacing w:after="0" w:line="360" w:lineRule="auto"/>
        <w:jc w:val="both"/>
        <w:rPr>
          <w:rFonts w:ascii="Arial" w:hAnsi="Arial" w:cs="Arial"/>
        </w:rPr>
      </w:pPr>
    </w:p>
    <w:p w14:paraId="53726121" w14:textId="77777777" w:rsidR="009427D5" w:rsidRDefault="009427D5">
      <w:pPr>
        <w:spacing w:after="0" w:line="360" w:lineRule="auto"/>
        <w:jc w:val="both"/>
        <w:rPr>
          <w:rFonts w:ascii="Arial" w:hAnsi="Arial" w:cs="Arial"/>
        </w:rPr>
      </w:pPr>
    </w:p>
    <w:p w14:paraId="66052453" w14:textId="77777777" w:rsidR="009427D5" w:rsidRDefault="009427D5">
      <w:pPr>
        <w:spacing w:after="0" w:line="360" w:lineRule="auto"/>
        <w:jc w:val="both"/>
        <w:rPr>
          <w:rFonts w:ascii="Arial" w:hAnsi="Arial" w:cs="Arial"/>
        </w:rPr>
      </w:pPr>
    </w:p>
    <w:p w14:paraId="6E4F6F39" w14:textId="77777777" w:rsidR="009427D5" w:rsidRDefault="002D309F">
      <w:pPr>
        <w:pStyle w:val="TOCHeading"/>
        <w:outlineLvl w:val="9"/>
      </w:pPr>
      <w:r>
        <w:t>Table of Contents</w:t>
      </w:r>
    </w:p>
    <w:p w14:paraId="786ACD32" w14:textId="77777777" w:rsidR="009427D5" w:rsidRDefault="002D309F">
      <w:pPr>
        <w:pStyle w:val="TOC1"/>
        <w:tabs>
          <w:tab w:val="right" w:leader="dot" w:pos="9350"/>
        </w:tabs>
      </w:pPr>
      <w:r>
        <w:rPr>
          <w:rFonts w:ascii="Aptos Display" w:eastAsia="Times New Roman" w:hAnsi="Aptos Display"/>
          <w:color w:val="0F4761"/>
          <w:kern w:val="0"/>
          <w:sz w:val="32"/>
          <w:szCs w:val="32"/>
        </w:rPr>
        <w:fldChar w:fldCharType="begin"/>
      </w:r>
      <w:r>
        <w:instrText xml:space="preserve"> TOC \o "1-3" \u \h </w:instrText>
      </w:r>
      <w:r>
        <w:rPr>
          <w:rFonts w:ascii="Aptos Display" w:eastAsia="Times New Roman" w:hAnsi="Aptos Display"/>
          <w:color w:val="0F4761"/>
          <w:kern w:val="0"/>
          <w:sz w:val="32"/>
          <w:szCs w:val="32"/>
        </w:rPr>
        <w:fldChar w:fldCharType="separate"/>
      </w:r>
      <w:hyperlink w:anchor="_Toc198565145" w:history="1">
        <w:r>
          <w:rPr>
            <w:rStyle w:val="Hyperlink"/>
          </w:rPr>
          <w:t>Abstract</w:t>
        </w:r>
        <w:r>
          <w:tab/>
          <w:t>2</w:t>
        </w:r>
      </w:hyperlink>
    </w:p>
    <w:p w14:paraId="344F0228" w14:textId="77777777" w:rsidR="009427D5" w:rsidRDefault="002D309F">
      <w:pPr>
        <w:pStyle w:val="TOC1"/>
        <w:tabs>
          <w:tab w:val="right" w:leader="dot" w:pos="9350"/>
        </w:tabs>
      </w:pPr>
      <w:hyperlink w:anchor="_Toc198565146" w:history="1">
        <w:r>
          <w:rPr>
            <w:rStyle w:val="Hyperlink"/>
          </w:rPr>
          <w:t>Introduction</w:t>
        </w:r>
        <w:r>
          <w:tab/>
          <w:t>5</w:t>
        </w:r>
      </w:hyperlink>
    </w:p>
    <w:p w14:paraId="56129045" w14:textId="77777777" w:rsidR="009427D5" w:rsidRDefault="002D309F">
      <w:pPr>
        <w:pStyle w:val="TOC1"/>
        <w:tabs>
          <w:tab w:val="right" w:leader="dot" w:pos="9350"/>
        </w:tabs>
      </w:pPr>
      <w:hyperlink w:anchor="_Toc198565147" w:history="1">
        <w:r>
          <w:rPr>
            <w:rStyle w:val="Hyperlink"/>
          </w:rPr>
          <w:t>Literature Review</w:t>
        </w:r>
        <w:r>
          <w:tab/>
          <w:t>7</w:t>
        </w:r>
      </w:hyperlink>
    </w:p>
    <w:p w14:paraId="21359BCF" w14:textId="77777777" w:rsidR="009427D5" w:rsidRDefault="002D309F">
      <w:pPr>
        <w:pStyle w:val="TOC1"/>
        <w:tabs>
          <w:tab w:val="right" w:leader="dot" w:pos="9350"/>
        </w:tabs>
      </w:pPr>
      <w:hyperlink w:anchor="_Toc198565148" w:history="1">
        <w:r>
          <w:rPr>
            <w:rStyle w:val="Hyperlink"/>
          </w:rPr>
          <w:t>Methodology</w:t>
        </w:r>
        <w:r>
          <w:tab/>
          <w:t>12</w:t>
        </w:r>
      </w:hyperlink>
    </w:p>
    <w:p w14:paraId="20A70787" w14:textId="77777777" w:rsidR="009427D5" w:rsidRDefault="002D309F">
      <w:pPr>
        <w:pStyle w:val="TOC1"/>
        <w:tabs>
          <w:tab w:val="right" w:leader="dot" w:pos="9350"/>
        </w:tabs>
      </w:pPr>
      <w:hyperlink w:anchor="_Toc198565149" w:history="1">
        <w:r>
          <w:rPr>
            <w:rStyle w:val="Hyperlink"/>
          </w:rPr>
          <w:t>Employee Engagement and HR Operational Patterns at Ibis London: Fieldwork Results</w:t>
        </w:r>
        <w:r>
          <w:tab/>
          <w:t>15</w:t>
        </w:r>
      </w:hyperlink>
    </w:p>
    <w:p w14:paraId="42D889C7" w14:textId="77777777" w:rsidR="009427D5" w:rsidRDefault="002D309F">
      <w:pPr>
        <w:pStyle w:val="TOC1"/>
        <w:tabs>
          <w:tab w:val="right" w:leader="dot" w:pos="9350"/>
        </w:tabs>
      </w:pPr>
      <w:hyperlink w:anchor="_Toc198565150" w:history="1">
        <w:r>
          <w:rPr>
            <w:rStyle w:val="Hyperlink"/>
          </w:rPr>
          <w:t>Summary of Findings</w:t>
        </w:r>
        <w:r>
          <w:tab/>
          <w:t>16</w:t>
        </w:r>
      </w:hyperlink>
    </w:p>
    <w:p w14:paraId="082A78EE" w14:textId="77777777" w:rsidR="009427D5" w:rsidRDefault="002D309F">
      <w:pPr>
        <w:pStyle w:val="TOC1"/>
        <w:tabs>
          <w:tab w:val="right" w:leader="dot" w:pos="9350"/>
        </w:tabs>
      </w:pPr>
      <w:hyperlink w:anchor="_Toc198565152" w:history="1">
        <w:r>
          <w:rPr>
            <w:rStyle w:val="Hyperlink"/>
          </w:rPr>
          <w:t>Limited Learning and Development Access</w:t>
        </w:r>
        <w:r>
          <w:tab/>
          <w:t>19</w:t>
        </w:r>
      </w:hyperlink>
    </w:p>
    <w:p w14:paraId="606DE992" w14:textId="77777777" w:rsidR="009427D5" w:rsidRDefault="002D309F">
      <w:pPr>
        <w:pStyle w:val="TOC1"/>
        <w:tabs>
          <w:tab w:val="right" w:leader="dot" w:pos="9350"/>
        </w:tabs>
      </w:pPr>
      <w:hyperlink w:anchor="_Toc198565153" w:history="1">
        <w:r>
          <w:rPr>
            <w:rStyle w:val="Hyperlink"/>
          </w:rPr>
          <w:t>Impact on HR Operational Excellence</w:t>
        </w:r>
        <w:r>
          <w:tab/>
          <w:t>20</w:t>
        </w:r>
      </w:hyperlink>
    </w:p>
    <w:p w14:paraId="73A67F32" w14:textId="77777777" w:rsidR="009427D5" w:rsidRDefault="002D309F">
      <w:pPr>
        <w:pStyle w:val="TOC1"/>
        <w:tabs>
          <w:tab w:val="right" w:leader="dot" w:pos="9350"/>
        </w:tabs>
      </w:pPr>
      <w:hyperlink w:anchor="_Toc198565154" w:history="1">
        <w:r>
          <w:rPr>
            <w:rStyle w:val="Hyperlink"/>
          </w:rPr>
          <w:t>Discussion Summary</w:t>
        </w:r>
        <w:r>
          <w:tab/>
          <w:t>21</w:t>
        </w:r>
      </w:hyperlink>
    </w:p>
    <w:p w14:paraId="556A965A" w14:textId="77777777" w:rsidR="009427D5" w:rsidRDefault="002D309F">
      <w:pPr>
        <w:pStyle w:val="TOC1"/>
        <w:tabs>
          <w:tab w:val="right" w:leader="dot" w:pos="9350"/>
        </w:tabs>
      </w:pPr>
      <w:hyperlink w:anchor="_Toc198565155" w:history="1">
        <w:r>
          <w:rPr>
            <w:rStyle w:val="Hyperlink"/>
          </w:rPr>
          <w:t>Conclusion</w:t>
        </w:r>
        <w:r>
          <w:tab/>
          <w:t>21</w:t>
        </w:r>
      </w:hyperlink>
    </w:p>
    <w:p w14:paraId="7516D7D4" w14:textId="77777777" w:rsidR="009427D5" w:rsidRDefault="002D309F">
      <w:pPr>
        <w:pStyle w:val="TOC1"/>
        <w:tabs>
          <w:tab w:val="right" w:leader="dot" w:pos="9350"/>
        </w:tabs>
      </w:pPr>
      <w:hyperlink w:anchor="_Toc198565156" w:history="1">
        <w:r>
          <w:rPr>
            <w:rStyle w:val="Hyperlink"/>
          </w:rPr>
          <w:t>Recommendations and Practical Strategies</w:t>
        </w:r>
        <w:r>
          <w:tab/>
          <w:t>24</w:t>
        </w:r>
      </w:hyperlink>
    </w:p>
    <w:p w14:paraId="0862D7C1" w14:textId="77777777" w:rsidR="009427D5" w:rsidRDefault="002D309F">
      <w:pPr>
        <w:pStyle w:val="TOC1"/>
        <w:tabs>
          <w:tab w:val="right" w:leader="dot" w:pos="9350"/>
        </w:tabs>
      </w:pPr>
      <w:hyperlink w:anchor="_Toc198565157" w:history="1">
        <w:r>
          <w:rPr>
            <w:rStyle w:val="Hyperlink"/>
          </w:rPr>
          <w:t>References</w:t>
        </w:r>
        <w:r>
          <w:tab/>
          <w:t>29</w:t>
        </w:r>
      </w:hyperlink>
    </w:p>
    <w:p w14:paraId="52FBC4A1" w14:textId="77777777" w:rsidR="009427D5" w:rsidRDefault="002D309F">
      <w:r>
        <w:lastRenderedPageBreak/>
        <w:fldChar w:fldCharType="end"/>
      </w:r>
    </w:p>
    <w:p w14:paraId="1FB33333" w14:textId="77777777" w:rsidR="009427D5" w:rsidRDefault="009427D5">
      <w:pPr>
        <w:spacing w:after="0" w:line="360" w:lineRule="auto"/>
        <w:jc w:val="both"/>
        <w:rPr>
          <w:rFonts w:ascii="Arial" w:hAnsi="Arial" w:cs="Arial"/>
        </w:rPr>
      </w:pPr>
    </w:p>
    <w:p w14:paraId="38BFF5C8" w14:textId="77777777" w:rsidR="009427D5" w:rsidRDefault="009427D5">
      <w:pPr>
        <w:spacing w:after="0" w:line="360" w:lineRule="auto"/>
        <w:jc w:val="both"/>
        <w:rPr>
          <w:rFonts w:ascii="Arial" w:hAnsi="Arial" w:cs="Arial"/>
        </w:rPr>
      </w:pPr>
    </w:p>
    <w:p w14:paraId="3744D3B9" w14:textId="77777777" w:rsidR="009427D5" w:rsidRDefault="009427D5">
      <w:pPr>
        <w:spacing w:after="0" w:line="360" w:lineRule="auto"/>
        <w:jc w:val="both"/>
        <w:rPr>
          <w:rFonts w:ascii="Arial" w:hAnsi="Arial" w:cs="Arial"/>
        </w:rPr>
      </w:pPr>
    </w:p>
    <w:p w14:paraId="667B206B" w14:textId="77777777" w:rsidR="009427D5" w:rsidRDefault="009427D5">
      <w:pPr>
        <w:spacing w:after="0" w:line="360" w:lineRule="auto"/>
        <w:jc w:val="both"/>
        <w:rPr>
          <w:rFonts w:ascii="Arial" w:hAnsi="Arial" w:cs="Arial"/>
        </w:rPr>
      </w:pPr>
    </w:p>
    <w:p w14:paraId="1C979C43" w14:textId="77777777" w:rsidR="009427D5" w:rsidRDefault="009427D5">
      <w:pPr>
        <w:spacing w:after="0" w:line="360" w:lineRule="auto"/>
        <w:jc w:val="both"/>
        <w:rPr>
          <w:rFonts w:ascii="Arial" w:hAnsi="Arial" w:cs="Arial"/>
        </w:rPr>
      </w:pPr>
    </w:p>
    <w:p w14:paraId="7F5285AF" w14:textId="77777777" w:rsidR="009427D5" w:rsidRDefault="009427D5">
      <w:pPr>
        <w:spacing w:after="0" w:line="360" w:lineRule="auto"/>
        <w:jc w:val="both"/>
        <w:rPr>
          <w:rFonts w:ascii="Arial" w:hAnsi="Arial" w:cs="Arial"/>
        </w:rPr>
      </w:pPr>
    </w:p>
    <w:p w14:paraId="1BDF987E" w14:textId="77777777" w:rsidR="009427D5" w:rsidRDefault="009427D5">
      <w:pPr>
        <w:spacing w:after="0" w:line="360" w:lineRule="auto"/>
        <w:jc w:val="both"/>
        <w:rPr>
          <w:rFonts w:ascii="Arial" w:hAnsi="Arial" w:cs="Arial"/>
        </w:rPr>
      </w:pPr>
    </w:p>
    <w:p w14:paraId="6BE9CE4C" w14:textId="77777777" w:rsidR="009427D5" w:rsidRDefault="009427D5">
      <w:pPr>
        <w:spacing w:after="0" w:line="360" w:lineRule="auto"/>
        <w:jc w:val="both"/>
        <w:rPr>
          <w:rFonts w:ascii="Arial" w:hAnsi="Arial" w:cs="Arial"/>
        </w:rPr>
      </w:pPr>
    </w:p>
    <w:p w14:paraId="039C201E" w14:textId="77777777" w:rsidR="009427D5" w:rsidRDefault="009427D5">
      <w:pPr>
        <w:spacing w:after="0" w:line="360" w:lineRule="auto"/>
        <w:jc w:val="both"/>
        <w:rPr>
          <w:rFonts w:ascii="Arial" w:hAnsi="Arial" w:cs="Arial"/>
        </w:rPr>
      </w:pPr>
    </w:p>
    <w:p w14:paraId="1788BE99" w14:textId="77777777" w:rsidR="009427D5" w:rsidRDefault="009427D5">
      <w:pPr>
        <w:spacing w:after="0" w:line="360" w:lineRule="auto"/>
        <w:jc w:val="both"/>
        <w:rPr>
          <w:rFonts w:ascii="Arial" w:hAnsi="Arial" w:cs="Arial"/>
        </w:rPr>
      </w:pPr>
    </w:p>
    <w:p w14:paraId="7404A0B0" w14:textId="77777777" w:rsidR="009427D5" w:rsidRDefault="009427D5">
      <w:pPr>
        <w:spacing w:after="0" w:line="360" w:lineRule="auto"/>
        <w:jc w:val="both"/>
        <w:rPr>
          <w:rFonts w:ascii="Arial" w:hAnsi="Arial" w:cs="Arial"/>
        </w:rPr>
      </w:pPr>
    </w:p>
    <w:p w14:paraId="7095671C" w14:textId="77777777" w:rsidR="009427D5" w:rsidRDefault="009427D5">
      <w:pPr>
        <w:spacing w:after="0" w:line="360" w:lineRule="auto"/>
        <w:jc w:val="both"/>
        <w:rPr>
          <w:rFonts w:ascii="Arial" w:hAnsi="Arial" w:cs="Arial"/>
        </w:rPr>
      </w:pPr>
    </w:p>
    <w:p w14:paraId="2EA1A205" w14:textId="77777777" w:rsidR="009427D5" w:rsidRDefault="009427D5">
      <w:pPr>
        <w:spacing w:after="0" w:line="360" w:lineRule="auto"/>
        <w:jc w:val="both"/>
        <w:rPr>
          <w:rFonts w:ascii="Arial" w:hAnsi="Arial" w:cs="Arial"/>
        </w:rPr>
      </w:pPr>
    </w:p>
    <w:p w14:paraId="09D1759B" w14:textId="77777777" w:rsidR="009427D5" w:rsidRDefault="009427D5">
      <w:pPr>
        <w:spacing w:after="0" w:line="360" w:lineRule="auto"/>
        <w:jc w:val="both"/>
        <w:rPr>
          <w:rFonts w:ascii="Arial" w:hAnsi="Arial" w:cs="Arial"/>
        </w:rPr>
      </w:pPr>
    </w:p>
    <w:p w14:paraId="43998257" w14:textId="77777777" w:rsidR="009427D5" w:rsidRDefault="002D309F">
      <w:pPr>
        <w:pStyle w:val="Heading1"/>
      </w:pPr>
      <w:bookmarkStart w:id="1" w:name="_Toc198565146"/>
      <w:r>
        <w:t>Introduction</w:t>
      </w:r>
      <w:bookmarkEnd w:id="1"/>
    </w:p>
    <w:p w14:paraId="732A24EF" w14:textId="77777777" w:rsidR="009427D5" w:rsidRDefault="002D309F">
      <w:pPr>
        <w:spacing w:after="0" w:line="360" w:lineRule="auto"/>
        <w:jc w:val="both"/>
        <w:rPr>
          <w:rFonts w:ascii="Arial" w:hAnsi="Arial" w:cs="Arial"/>
        </w:rPr>
      </w:pPr>
      <w:r>
        <w:rPr>
          <w:rFonts w:ascii="Arial" w:hAnsi="Arial" w:cs="Arial"/>
        </w:rPr>
        <w:t>For budget hotels like Ibis London Barking resource limitations make operational consistency crucial so employees must apply HR practices in their daily tasks to achieve operational excellence in hospitality. HR operational excellence requires effective HR activity execution through recruitment and training processes while maintaining communication and employee motivation to achieve service consistency and reach long-term performance objectives at the hotel (</w:t>
      </w:r>
      <w:proofErr w:type="spellStart"/>
      <w:r>
        <w:rPr>
          <w:rFonts w:ascii="Arial" w:hAnsi="Arial" w:cs="Arial"/>
        </w:rPr>
        <w:t>Nickson</w:t>
      </w:r>
      <w:proofErr w:type="spellEnd"/>
      <w:r>
        <w:rPr>
          <w:rFonts w:ascii="Arial" w:hAnsi="Arial" w:cs="Arial"/>
        </w:rPr>
        <w:t>, 2013; Baum, 2020). Hospitality industry employees must execute technical tasks and provide emotional support while demonstrating adaptability and teamwork capabilities in fast-paced work environments (Baum et al., 2016).</w:t>
      </w:r>
    </w:p>
    <w:p w14:paraId="32D7E328" w14:textId="77777777" w:rsidR="009427D5" w:rsidRDefault="002D309F">
      <w:pPr>
        <w:spacing w:after="0" w:line="360" w:lineRule="auto"/>
        <w:jc w:val="both"/>
        <w:rPr>
          <w:rFonts w:ascii="Arial" w:hAnsi="Arial" w:cs="Arial"/>
        </w:rPr>
      </w:pPr>
      <w:r>
        <w:rPr>
          <w:rFonts w:ascii="Arial" w:hAnsi="Arial" w:cs="Arial"/>
        </w:rPr>
        <w:t xml:space="preserve">The hospitality sector currently operates in a competitive and post-pandemic landscape where HR operational excellence has returned to prominence. The combination of employee shortages together with evolving workforce expectations and higher service quality standards creates additional pressure for frontline employees to maintain brand values through their daily actions. Hospitality workers now face amplified demands which make consistent HR processes and effective staff </w:t>
      </w:r>
      <w:r>
        <w:rPr>
          <w:rFonts w:ascii="Arial" w:hAnsi="Arial" w:cs="Arial"/>
        </w:rPr>
        <w:lastRenderedPageBreak/>
        <w:t>engagement essential for maintaining operational stability and addressing both emotional and physical challenges.</w:t>
      </w:r>
    </w:p>
    <w:p w14:paraId="1F323273" w14:textId="77777777" w:rsidR="009427D5" w:rsidRDefault="002D309F">
      <w:pPr>
        <w:spacing w:after="0" w:line="360" w:lineRule="auto"/>
        <w:jc w:val="both"/>
        <w:rPr>
          <w:rFonts w:ascii="Arial" w:hAnsi="Arial" w:cs="Arial"/>
        </w:rPr>
      </w:pPr>
      <w:r>
        <w:rPr>
          <w:rFonts w:ascii="Arial" w:hAnsi="Arial" w:cs="Arial"/>
        </w:rPr>
        <w:t>The study investigates how Ibis London Barking staff members contribute to HR operational excellence through their behavior and training involvement as well as their responses to HR systems. Using firsthand fieldwork observations the researcher investigates how frontline employees engage with company HR policies. The research aims to evaluate how employee behavior affects HR performance and to discover methods for improving existing systems to raise hotel effectiveness.</w:t>
      </w:r>
    </w:p>
    <w:p w14:paraId="63C6331A" w14:textId="77777777" w:rsidR="009427D5" w:rsidRDefault="002D309F">
      <w:pPr>
        <w:spacing w:after="0" w:line="360" w:lineRule="auto"/>
        <w:jc w:val="both"/>
        <w:rPr>
          <w:rFonts w:ascii="Arial" w:hAnsi="Arial" w:cs="Arial"/>
        </w:rPr>
      </w:pPr>
      <w:r>
        <w:rPr>
          <w:rFonts w:ascii="Arial" w:hAnsi="Arial" w:cs="Arial"/>
        </w:rPr>
        <w:t>Ibis London Barking functions as a budget hotel within the UK hospitality sector as part of the Accor group and requires staff to fulfill their responsibilities within challenging work environments. Budget hotel chains face challenges due to high employee turnover rates and poor career progression opportunities which require HR departments to prioritize staff motivation strategies (Wilton, 2022). Ibis team members must follow strict procedures yet show adaptability and proactive problem-solving to deliver outstanding guest experiences throughout all service interactions.</w:t>
      </w:r>
    </w:p>
    <w:p w14:paraId="45A357AB" w14:textId="77777777" w:rsidR="009427D5" w:rsidRDefault="002D309F">
      <w:pPr>
        <w:spacing w:after="0" w:line="360" w:lineRule="auto"/>
        <w:jc w:val="both"/>
        <w:rPr>
          <w:rFonts w:ascii="Arial" w:hAnsi="Arial" w:cs="Arial"/>
        </w:rPr>
      </w:pPr>
      <w:r>
        <w:rPr>
          <w:rFonts w:ascii="Arial" w:hAnsi="Arial" w:cs="Arial"/>
        </w:rPr>
        <w:t>This research examines how the operational challenge emerges from the need for both standardized service delivery and personalized human interaction to operate at the same time. The study examines the disconnect between standard HR procedures and frontline implementation when operating in a labor-intensive setting that demands cost efficiency. The placement experience demonstrated that operational excellence requires an integrated approach which places human service delivery at its core. This study delivers important findings for hospitality organizations that want to improve employee engagement and human resources processes to achieve high service standards and ensure operational continuity.</w:t>
      </w:r>
    </w:p>
    <w:p w14:paraId="26671231" w14:textId="77777777" w:rsidR="009427D5" w:rsidRDefault="002D309F">
      <w:pPr>
        <w:spacing w:after="0" w:line="360" w:lineRule="auto"/>
        <w:jc w:val="both"/>
        <w:rPr>
          <w:rFonts w:ascii="Arial" w:hAnsi="Arial" w:cs="Arial"/>
        </w:rPr>
      </w:pPr>
      <w:r>
        <w:rPr>
          <w:rFonts w:ascii="Arial" w:hAnsi="Arial" w:cs="Arial"/>
        </w:rPr>
        <w:t>The study’s objectives are as follows:</w:t>
      </w:r>
    </w:p>
    <w:p w14:paraId="5B3197D3" w14:textId="77777777" w:rsidR="009427D5" w:rsidRDefault="002D309F">
      <w:pPr>
        <w:numPr>
          <w:ilvl w:val="0"/>
          <w:numId w:val="1"/>
        </w:numPr>
        <w:spacing w:after="0" w:line="360" w:lineRule="auto"/>
        <w:jc w:val="both"/>
        <w:rPr>
          <w:rFonts w:ascii="Arial" w:hAnsi="Arial" w:cs="Arial"/>
        </w:rPr>
      </w:pPr>
      <w:r>
        <w:rPr>
          <w:rFonts w:ascii="Arial" w:hAnsi="Arial" w:cs="Arial"/>
        </w:rPr>
        <w:t>To evaluate how employee involvement contributes to HR operational excellence.</w:t>
      </w:r>
    </w:p>
    <w:p w14:paraId="189A5212" w14:textId="77777777" w:rsidR="009427D5" w:rsidRDefault="002D309F">
      <w:pPr>
        <w:numPr>
          <w:ilvl w:val="0"/>
          <w:numId w:val="1"/>
        </w:numPr>
        <w:spacing w:after="0" w:line="360" w:lineRule="auto"/>
        <w:jc w:val="both"/>
        <w:rPr>
          <w:rFonts w:ascii="Arial" w:hAnsi="Arial" w:cs="Arial"/>
        </w:rPr>
      </w:pPr>
      <w:r>
        <w:rPr>
          <w:rFonts w:ascii="Arial" w:hAnsi="Arial" w:cs="Arial"/>
        </w:rPr>
        <w:t>To assess the effectiveness of current HR practices at Ibis London Barking.</w:t>
      </w:r>
    </w:p>
    <w:p w14:paraId="734B3CE6" w14:textId="77777777" w:rsidR="009427D5" w:rsidRDefault="002D309F">
      <w:pPr>
        <w:numPr>
          <w:ilvl w:val="0"/>
          <w:numId w:val="1"/>
        </w:numPr>
        <w:spacing w:after="0" w:line="360" w:lineRule="auto"/>
        <w:jc w:val="both"/>
        <w:rPr>
          <w:rFonts w:ascii="Arial" w:hAnsi="Arial" w:cs="Arial"/>
        </w:rPr>
      </w:pPr>
      <w:r>
        <w:rPr>
          <w:rFonts w:ascii="Arial" w:hAnsi="Arial" w:cs="Arial"/>
        </w:rPr>
        <w:t>To recommend improvements based on employee insights and practical challenges identified during the placement.</w:t>
      </w:r>
    </w:p>
    <w:p w14:paraId="286C44E2" w14:textId="77777777" w:rsidR="009427D5" w:rsidRDefault="009427D5">
      <w:pPr>
        <w:spacing w:after="0" w:line="360" w:lineRule="auto"/>
        <w:jc w:val="both"/>
        <w:rPr>
          <w:rFonts w:ascii="Arial" w:hAnsi="Arial" w:cs="Arial"/>
        </w:rPr>
      </w:pPr>
    </w:p>
    <w:p w14:paraId="5C9B5935" w14:textId="77777777" w:rsidR="009427D5" w:rsidRDefault="002D309F">
      <w:pPr>
        <w:spacing w:after="0" w:line="360" w:lineRule="auto"/>
        <w:jc w:val="both"/>
        <w:rPr>
          <w:rFonts w:ascii="Arial" w:hAnsi="Arial" w:cs="Arial"/>
        </w:rPr>
      </w:pPr>
      <w:r>
        <w:rPr>
          <w:rFonts w:ascii="Arial" w:hAnsi="Arial" w:cs="Arial"/>
        </w:rPr>
        <w:t xml:space="preserve">Current hospitality industry trends make this topic exceptionally pertinent. The post-COVID-19 recovery period demands organizations like Ibis to enhance their HR operations by investing in workforce engagement and internal communication as </w:t>
      </w:r>
      <w:r>
        <w:rPr>
          <w:rFonts w:ascii="Arial" w:hAnsi="Arial" w:cs="Arial"/>
        </w:rPr>
        <w:lastRenderedPageBreak/>
        <w:t>workforce expectations evolve and competition increases (</w:t>
      </w:r>
      <w:proofErr w:type="spellStart"/>
      <w:r>
        <w:rPr>
          <w:rFonts w:ascii="Arial" w:hAnsi="Arial" w:cs="Arial"/>
        </w:rPr>
        <w:t>Giousmpasoglou</w:t>
      </w:r>
      <w:proofErr w:type="spellEnd"/>
      <w:r>
        <w:rPr>
          <w:rFonts w:ascii="Arial" w:hAnsi="Arial" w:cs="Arial"/>
        </w:rPr>
        <w:t xml:space="preserve"> et al., 2021). Studies demonstrate that when employees receive training and recognition their performance improves resulting in higher service delivery standards and strengthened hotel brand performance (Tracey &amp; </w:t>
      </w:r>
      <w:proofErr w:type="spellStart"/>
      <w:r>
        <w:rPr>
          <w:rFonts w:ascii="Arial" w:hAnsi="Arial" w:cs="Arial"/>
        </w:rPr>
        <w:t>Hinkin</w:t>
      </w:r>
      <w:proofErr w:type="spellEnd"/>
      <w:r>
        <w:rPr>
          <w:rFonts w:ascii="Arial" w:hAnsi="Arial" w:cs="Arial"/>
        </w:rPr>
        <w:t>, 2008).</w:t>
      </w:r>
    </w:p>
    <w:p w14:paraId="4EBA2E8E" w14:textId="77777777" w:rsidR="009427D5" w:rsidRDefault="002D309F">
      <w:pPr>
        <w:spacing w:after="0" w:line="360" w:lineRule="auto"/>
        <w:jc w:val="both"/>
        <w:rPr>
          <w:rFonts w:ascii="Arial" w:hAnsi="Arial" w:cs="Arial"/>
        </w:rPr>
      </w:pPr>
      <w:r>
        <w:rPr>
          <w:rFonts w:ascii="Arial" w:hAnsi="Arial" w:cs="Arial"/>
        </w:rPr>
        <w:t>This report investigates the impact of employee behavior and mindset on HR operational targets using Ibis London Barking as the main case study. The research merges academic literature with placement-based observations to offer valuable insights and actionable recommendations which will enable HR process enhancements through employee collaboration and innovation. The subsequent chapter delivers a literature review about HR operational excellence and examines employee engagement within the hospitality industry.</w:t>
      </w:r>
    </w:p>
    <w:p w14:paraId="5798D16E" w14:textId="77777777" w:rsidR="009427D5" w:rsidRDefault="002D309F">
      <w:pPr>
        <w:pStyle w:val="Heading1"/>
      </w:pPr>
      <w:bookmarkStart w:id="2" w:name="_Toc198565147"/>
      <w:r>
        <w:t>Literature Review</w:t>
      </w:r>
      <w:bookmarkEnd w:id="2"/>
    </w:p>
    <w:p w14:paraId="1CA74C9E" w14:textId="77777777" w:rsidR="009427D5" w:rsidRDefault="002D309F">
      <w:pPr>
        <w:spacing w:after="0" w:line="360" w:lineRule="auto"/>
        <w:jc w:val="both"/>
        <w:rPr>
          <w:rFonts w:ascii="Arial" w:hAnsi="Arial" w:cs="Arial"/>
        </w:rPr>
      </w:pPr>
      <w:r>
        <w:rPr>
          <w:rFonts w:ascii="Arial" w:hAnsi="Arial" w:cs="Arial"/>
        </w:rPr>
        <w:t xml:space="preserve">Effective hotel administration is based on operational excellence in human resource management, especially in midscale and low-cost hospitality settings. HR operational excellence, according to </w:t>
      </w:r>
      <w:proofErr w:type="spellStart"/>
      <w:r>
        <w:rPr>
          <w:rFonts w:ascii="Arial" w:hAnsi="Arial" w:cs="Arial"/>
        </w:rPr>
        <w:t>Boxall</w:t>
      </w:r>
      <w:proofErr w:type="spellEnd"/>
      <w:r>
        <w:rPr>
          <w:rFonts w:ascii="Arial" w:hAnsi="Arial" w:cs="Arial"/>
        </w:rPr>
        <w:t xml:space="preserve"> and Purcell (2016), is the strategic and regular performance of HR tasks including hiring, performance reviews, employee interactions, and training while coordinating these operations with the service objectives of the company. For budget chains like Ibis London, where tight workforce structures and high visitor expectations require dependable and scalable human resource procedures, this alignment is especially crucial.</w:t>
      </w:r>
    </w:p>
    <w:p w14:paraId="59331334" w14:textId="77777777" w:rsidR="009427D5" w:rsidRDefault="002D309F">
      <w:pPr>
        <w:spacing w:after="0" w:line="360" w:lineRule="auto"/>
        <w:jc w:val="both"/>
        <w:rPr>
          <w:rFonts w:ascii="Arial" w:hAnsi="Arial" w:cs="Arial"/>
        </w:rPr>
      </w:pPr>
      <w:r>
        <w:rPr>
          <w:rFonts w:ascii="Arial" w:hAnsi="Arial" w:cs="Arial"/>
        </w:rPr>
        <w:t xml:space="preserve">The connection between employee engagement and the caliber of HR systems is constantly emphasized in academic publications. According to Baum (2020), HR procedures serve as behavioral anchors for front-line staff, influencing their interactions with visitors and performance under duress. High-performing HR systems improve staff alignment with service objectives and support operational continuity, according to study by Tracey and </w:t>
      </w:r>
      <w:proofErr w:type="spellStart"/>
      <w:r>
        <w:rPr>
          <w:rFonts w:ascii="Arial" w:hAnsi="Arial" w:cs="Arial"/>
        </w:rPr>
        <w:t>Hinkin</w:t>
      </w:r>
      <w:proofErr w:type="spellEnd"/>
      <w:r>
        <w:rPr>
          <w:rFonts w:ascii="Arial" w:hAnsi="Arial" w:cs="Arial"/>
        </w:rPr>
        <w:t xml:space="preserve"> (2008). These solutions are especially important in low-cost hotels where human service delivery is still the primary source of brand uniqueness and automation is scarce (</w:t>
      </w:r>
      <w:proofErr w:type="spellStart"/>
      <w:r>
        <w:rPr>
          <w:rFonts w:ascii="Arial" w:hAnsi="Arial" w:cs="Arial"/>
        </w:rPr>
        <w:t>Solnet</w:t>
      </w:r>
      <w:proofErr w:type="spellEnd"/>
      <w:r>
        <w:rPr>
          <w:rFonts w:ascii="Arial" w:hAnsi="Arial" w:cs="Arial"/>
        </w:rPr>
        <w:t xml:space="preserve"> et al., 2015).</w:t>
      </w:r>
    </w:p>
    <w:p w14:paraId="17748883" w14:textId="77777777" w:rsidR="009427D5" w:rsidRDefault="002D309F">
      <w:pPr>
        <w:spacing w:after="0" w:line="360" w:lineRule="auto"/>
        <w:jc w:val="both"/>
        <w:rPr>
          <w:rFonts w:ascii="Arial" w:hAnsi="Arial" w:cs="Arial"/>
        </w:rPr>
      </w:pPr>
      <w:r>
        <w:rPr>
          <w:rFonts w:ascii="Arial" w:hAnsi="Arial" w:cs="Arial"/>
        </w:rPr>
        <w:t xml:space="preserve">Well-trained and highly engaged employees are more likely to display organizational citizenship behaviors, which boost team morale and customer satisfaction, according to </w:t>
      </w:r>
      <w:proofErr w:type="spellStart"/>
      <w:r>
        <w:rPr>
          <w:rFonts w:ascii="Arial" w:hAnsi="Arial" w:cs="Arial"/>
        </w:rPr>
        <w:t>Karatepe</w:t>
      </w:r>
      <w:proofErr w:type="spellEnd"/>
      <w:r>
        <w:rPr>
          <w:rFonts w:ascii="Arial" w:hAnsi="Arial" w:cs="Arial"/>
        </w:rPr>
        <w:t xml:space="preserve"> and </w:t>
      </w:r>
      <w:proofErr w:type="spellStart"/>
      <w:r>
        <w:rPr>
          <w:rFonts w:ascii="Arial" w:hAnsi="Arial" w:cs="Arial"/>
        </w:rPr>
        <w:t>Olugbade</w:t>
      </w:r>
      <w:proofErr w:type="spellEnd"/>
      <w:r>
        <w:rPr>
          <w:rFonts w:ascii="Arial" w:hAnsi="Arial" w:cs="Arial"/>
        </w:rPr>
        <w:t xml:space="preserve"> (2017). Their results are in line with Ibis London's operating approach, which places a high value on employee adaptability and service flexibility. </w:t>
      </w:r>
      <w:r>
        <w:rPr>
          <w:rFonts w:ascii="Arial" w:hAnsi="Arial" w:cs="Arial"/>
        </w:rPr>
        <w:lastRenderedPageBreak/>
        <w:t xml:space="preserve">Recent literature further emphasizes the dynamic relationship between strategic HR practices and organizational agility in hospitality. According to Becton and </w:t>
      </w:r>
      <w:proofErr w:type="spellStart"/>
      <w:r>
        <w:rPr>
          <w:rFonts w:ascii="Arial" w:hAnsi="Arial" w:cs="Arial"/>
        </w:rPr>
        <w:t>Schraeder</w:t>
      </w:r>
      <w:proofErr w:type="spellEnd"/>
      <w:r>
        <w:rPr>
          <w:rFonts w:ascii="Arial" w:hAnsi="Arial" w:cs="Arial"/>
        </w:rPr>
        <w:t xml:space="preserve"> (2020), HR operational excellence is not only about consistency but also about responsiveness to evolving service demands. Their study identifies predictive workforce planning as an emerging HR capability that supports operational continuity. Similarly, Mohsin and </w:t>
      </w:r>
      <w:proofErr w:type="spellStart"/>
      <w:r>
        <w:rPr>
          <w:rFonts w:ascii="Arial" w:hAnsi="Arial" w:cs="Arial"/>
        </w:rPr>
        <w:t>Lengler</w:t>
      </w:r>
      <w:proofErr w:type="spellEnd"/>
      <w:r>
        <w:rPr>
          <w:rFonts w:ascii="Arial" w:hAnsi="Arial" w:cs="Arial"/>
        </w:rPr>
        <w:t xml:space="preserve"> (2015) argue that employee-centered HRM contributes directly to service differentiation in competitive hotel markets, particularly where personalized service cannot be replaced by automation.</w:t>
      </w:r>
    </w:p>
    <w:p w14:paraId="6CA5BC2A" w14:textId="77777777" w:rsidR="009427D5" w:rsidRDefault="002D309F">
      <w:pPr>
        <w:spacing w:after="0" w:line="360" w:lineRule="auto"/>
        <w:jc w:val="both"/>
        <w:rPr>
          <w:rFonts w:ascii="Arial" w:hAnsi="Arial" w:cs="Arial"/>
        </w:rPr>
      </w:pPr>
      <w:r>
        <w:rPr>
          <w:rFonts w:ascii="Arial" w:hAnsi="Arial" w:cs="Arial"/>
        </w:rPr>
        <w:t xml:space="preserve">Further insights by Albrecht et al. (2015) suggest that high-performance HR practices can influence employee well-being and commitment, especially when employees perceive procedural fairness and role clarity. Incorporating participatory management practices, as outlined by </w:t>
      </w:r>
      <w:proofErr w:type="spellStart"/>
      <w:r>
        <w:rPr>
          <w:rFonts w:ascii="Arial" w:hAnsi="Arial" w:cs="Arial"/>
        </w:rPr>
        <w:t>Kundu</w:t>
      </w:r>
      <w:proofErr w:type="spellEnd"/>
      <w:r>
        <w:rPr>
          <w:rFonts w:ascii="Arial" w:hAnsi="Arial" w:cs="Arial"/>
        </w:rPr>
        <w:t xml:space="preserve"> and </w:t>
      </w:r>
      <w:proofErr w:type="spellStart"/>
      <w:r>
        <w:rPr>
          <w:rFonts w:ascii="Arial" w:hAnsi="Arial" w:cs="Arial"/>
        </w:rPr>
        <w:t>Gahlawat</w:t>
      </w:r>
      <w:proofErr w:type="spellEnd"/>
      <w:r>
        <w:rPr>
          <w:rFonts w:ascii="Arial" w:hAnsi="Arial" w:cs="Arial"/>
        </w:rPr>
        <w:t xml:space="preserve"> (2016), enhances job satisfaction and minimizes attrition risks in budget hotels. Moreover, empirical research by Kang et al. (2020) demonstrates that empowerment combined with transparent feedback systems significantly improves job </w:t>
      </w:r>
      <w:proofErr w:type="spellStart"/>
      <w:r>
        <w:rPr>
          <w:rFonts w:ascii="Arial" w:hAnsi="Arial" w:cs="Arial"/>
        </w:rPr>
        <w:t>embeddedness</w:t>
      </w:r>
      <w:proofErr w:type="spellEnd"/>
      <w:r>
        <w:rPr>
          <w:rFonts w:ascii="Arial" w:hAnsi="Arial" w:cs="Arial"/>
        </w:rPr>
        <w:t xml:space="preserve"> in frontline staff. As digital tools evolve, Lee and Ok (2014) found that integrating HR analytics into operational strategies results in better alignment between workforce capacity and guest demand cycles.</w:t>
      </w:r>
    </w:p>
    <w:p w14:paraId="2D308867" w14:textId="77777777" w:rsidR="009427D5" w:rsidRDefault="002D309F">
      <w:pPr>
        <w:spacing w:after="0" w:line="360" w:lineRule="auto"/>
        <w:jc w:val="both"/>
        <w:rPr>
          <w:rFonts w:ascii="Arial" w:hAnsi="Arial" w:cs="Arial"/>
        </w:rPr>
      </w:pPr>
      <w:r>
        <w:rPr>
          <w:rFonts w:ascii="Arial" w:hAnsi="Arial" w:cs="Arial"/>
        </w:rPr>
        <w:t>One recurrent subject in the literature on hotel HR is onboarding procedures. Structured orientation lowers staff turnover and speeds up job familiarity, which lowers service faults (</w:t>
      </w:r>
      <w:proofErr w:type="spellStart"/>
      <w:r>
        <w:rPr>
          <w:rFonts w:ascii="Arial" w:hAnsi="Arial" w:cs="Arial"/>
        </w:rPr>
        <w:t>Willton</w:t>
      </w:r>
      <w:proofErr w:type="spellEnd"/>
      <w:r>
        <w:rPr>
          <w:rFonts w:ascii="Arial" w:hAnsi="Arial" w:cs="Arial"/>
        </w:rPr>
        <w:t>, 2022). Immediate post-hire training interventions boost staff confidence and lower guest complaints, according to Chan and Hawkins (2012). Effective onboarding offers coherence and clarity, which are crucial for lean team management and rapid job adaption in the context of Ibis London, where operational responsibilities cover various functions.</w:t>
      </w:r>
    </w:p>
    <w:p w14:paraId="39ED9589" w14:textId="77777777" w:rsidR="009427D5" w:rsidRDefault="002D309F">
      <w:pPr>
        <w:spacing w:after="0" w:line="360" w:lineRule="auto"/>
        <w:jc w:val="both"/>
        <w:rPr>
          <w:rFonts w:ascii="Arial" w:hAnsi="Arial" w:cs="Arial"/>
        </w:rPr>
      </w:pPr>
      <w:r>
        <w:rPr>
          <w:rFonts w:ascii="Arial" w:hAnsi="Arial" w:cs="Arial"/>
        </w:rPr>
        <w:t xml:space="preserve">Another foundational element of HR operational success is communication. Multidirectional communication, both across departments and between management and employees, promotes understanding, lowers conflict, and increases expectations' transparency, according to Baum et al. (2016). </w:t>
      </w:r>
      <w:proofErr w:type="spellStart"/>
      <w:r>
        <w:rPr>
          <w:rFonts w:ascii="Arial" w:hAnsi="Arial" w:cs="Arial"/>
        </w:rPr>
        <w:t>Karatepe</w:t>
      </w:r>
      <w:proofErr w:type="spellEnd"/>
      <w:r>
        <w:rPr>
          <w:rFonts w:ascii="Arial" w:hAnsi="Arial" w:cs="Arial"/>
        </w:rPr>
        <w:t xml:space="preserve"> and </w:t>
      </w:r>
      <w:proofErr w:type="spellStart"/>
      <w:r>
        <w:rPr>
          <w:rFonts w:ascii="Arial" w:hAnsi="Arial" w:cs="Arial"/>
        </w:rPr>
        <w:t>Kilic</w:t>
      </w:r>
      <w:proofErr w:type="spellEnd"/>
      <w:r>
        <w:rPr>
          <w:rFonts w:ascii="Arial" w:hAnsi="Arial" w:cs="Arial"/>
        </w:rPr>
        <w:t xml:space="preserve"> (2007) support this idea, arguing that peer mentorship and feedback loops foster trust and boost discretionary effort. Even though Ibis Barking's daily briefings are regular, they frequently lack the depth required for knowledge sharing and feedback facilitation, exposing gaps in two-way communication.</w:t>
      </w:r>
    </w:p>
    <w:p w14:paraId="6A8E727F" w14:textId="77777777" w:rsidR="009427D5" w:rsidRDefault="002D309F">
      <w:pPr>
        <w:spacing w:after="0" w:line="360" w:lineRule="auto"/>
        <w:jc w:val="both"/>
        <w:rPr>
          <w:rFonts w:ascii="Arial" w:hAnsi="Arial" w:cs="Arial"/>
        </w:rPr>
      </w:pPr>
      <w:r>
        <w:rPr>
          <w:rFonts w:ascii="Arial" w:hAnsi="Arial" w:cs="Arial"/>
        </w:rPr>
        <w:t xml:space="preserve">It is often acknowledged that motivation and acknowledgment are key factors in maintaining employee success. According to </w:t>
      </w:r>
      <w:proofErr w:type="spellStart"/>
      <w:r>
        <w:rPr>
          <w:rFonts w:ascii="Arial" w:hAnsi="Arial" w:cs="Arial"/>
        </w:rPr>
        <w:t>Herzberg's</w:t>
      </w:r>
      <w:proofErr w:type="spellEnd"/>
      <w:r>
        <w:rPr>
          <w:rFonts w:ascii="Arial" w:hAnsi="Arial" w:cs="Arial"/>
        </w:rPr>
        <w:t xml:space="preserve"> (1959) two-factor theory, </w:t>
      </w:r>
      <w:r>
        <w:rPr>
          <w:rFonts w:ascii="Arial" w:hAnsi="Arial" w:cs="Arial"/>
        </w:rPr>
        <w:lastRenderedPageBreak/>
        <w:t xml:space="preserve">long-term engagement is fueled by internal motivators like recognition and professional advancement, while extrinsic variables like pay and working circumstances prevent unhappiness. This perspective is supported by Robbins and Judge (2019), who claim that intrinsic incentives enhance psychological connection to the workplace. </w:t>
      </w:r>
      <w:proofErr w:type="spellStart"/>
      <w:r>
        <w:rPr>
          <w:rFonts w:ascii="Arial" w:hAnsi="Arial" w:cs="Arial"/>
        </w:rPr>
        <w:t>Hoque</w:t>
      </w:r>
      <w:proofErr w:type="spellEnd"/>
      <w:r>
        <w:rPr>
          <w:rFonts w:ascii="Arial" w:hAnsi="Arial" w:cs="Arial"/>
        </w:rPr>
        <w:t xml:space="preserve"> (2013) explicitly applies this idea to the hospitality industry, where acknowledgment is vital but sometimes disregarded because of the emotional nature of positions involving interactions with guests. Informal peer support seems to take the place of official recognition at Ibis London, which might lower morale if institutional plans aren't in place to supplement it.</w:t>
      </w:r>
    </w:p>
    <w:p w14:paraId="75CB6825" w14:textId="77777777" w:rsidR="009427D5" w:rsidRDefault="002D309F">
      <w:pPr>
        <w:spacing w:after="0" w:line="360" w:lineRule="auto"/>
        <w:jc w:val="both"/>
        <w:rPr>
          <w:rFonts w:ascii="Arial" w:hAnsi="Arial" w:cs="Arial"/>
        </w:rPr>
      </w:pPr>
      <w:r>
        <w:rPr>
          <w:rFonts w:ascii="Arial" w:hAnsi="Arial" w:cs="Arial"/>
        </w:rPr>
        <w:t xml:space="preserve">HR operations and organizational results are further connected via high-performance work systems (HPWS). According to </w:t>
      </w:r>
      <w:proofErr w:type="spellStart"/>
      <w:r>
        <w:rPr>
          <w:rFonts w:ascii="Arial" w:hAnsi="Arial" w:cs="Arial"/>
        </w:rPr>
        <w:t>Delery</w:t>
      </w:r>
      <w:proofErr w:type="spellEnd"/>
      <w:r>
        <w:rPr>
          <w:rFonts w:ascii="Arial" w:hAnsi="Arial" w:cs="Arial"/>
        </w:rPr>
        <w:t xml:space="preserve"> and Doty (1996), operational consistency is greatly increased when procedures like training, assessment, and feedback are included into an integrated HR strategy. According to Paauwe (2004), strategic HRM has to be flexible enough to meet the rapidly evolving service needs of hotels, where staff members serve as both the product and the service provider. These frameworks are applicable to Ibis London, where employees must manage operational restrictions while internalizing brand ideals.HR operational excellence in hospitality also depends on aligning workforce expectations with evolving service demands. According to Sparrow et al. (2016), the strategic integration of HRM practices with business goals enhances organizational agility, which is vital in dynamic hotel environments. Studies by </w:t>
      </w:r>
      <w:proofErr w:type="spellStart"/>
      <w:r>
        <w:rPr>
          <w:rFonts w:ascii="Arial" w:hAnsi="Arial" w:cs="Arial"/>
        </w:rPr>
        <w:t>Bratton</w:t>
      </w:r>
      <w:proofErr w:type="spellEnd"/>
      <w:r>
        <w:rPr>
          <w:rFonts w:ascii="Arial" w:hAnsi="Arial" w:cs="Arial"/>
        </w:rPr>
        <w:t xml:space="preserve"> and Gold (2017) further emphasize that HR capabilities must be built through knowledge-sharing cultures, which improve teamwork and retention.</w:t>
      </w:r>
    </w:p>
    <w:p w14:paraId="176756DE" w14:textId="77777777" w:rsidR="009427D5" w:rsidRDefault="002D309F">
      <w:pPr>
        <w:spacing w:after="0" w:line="360" w:lineRule="auto"/>
        <w:jc w:val="both"/>
        <w:rPr>
          <w:rFonts w:ascii="Arial" w:hAnsi="Arial" w:cs="Arial"/>
        </w:rPr>
      </w:pPr>
      <w:r>
        <w:rPr>
          <w:rFonts w:ascii="Arial" w:hAnsi="Arial" w:cs="Arial"/>
        </w:rPr>
        <w:t xml:space="preserve">Hospitality settings with high emotional labor demands benefit from resilience-focused HR strategies. Research by </w:t>
      </w:r>
      <w:proofErr w:type="spellStart"/>
      <w:r>
        <w:rPr>
          <w:rFonts w:ascii="Arial" w:hAnsi="Arial" w:cs="Arial"/>
        </w:rPr>
        <w:t>Grandey</w:t>
      </w:r>
      <w:proofErr w:type="spellEnd"/>
      <w:r>
        <w:rPr>
          <w:rFonts w:ascii="Arial" w:hAnsi="Arial" w:cs="Arial"/>
        </w:rPr>
        <w:t xml:space="preserve"> (2000) and </w:t>
      </w:r>
      <w:proofErr w:type="spellStart"/>
      <w:r>
        <w:rPr>
          <w:rFonts w:ascii="Arial" w:hAnsi="Arial" w:cs="Arial"/>
        </w:rPr>
        <w:t>Brotheridge</w:t>
      </w:r>
      <w:proofErr w:type="spellEnd"/>
      <w:r>
        <w:rPr>
          <w:rFonts w:ascii="Arial" w:hAnsi="Arial" w:cs="Arial"/>
        </w:rPr>
        <w:t xml:space="preserve"> and Lee (2003) show that emotional regulation support directly improves employee well-being and service consistency. Frontline workers who face daily customer pressure require psychological resources, making resilience training a key component of operational strategy (</w:t>
      </w:r>
      <w:proofErr w:type="spellStart"/>
      <w:r>
        <w:rPr>
          <w:rFonts w:ascii="Arial" w:hAnsi="Arial" w:cs="Arial"/>
        </w:rPr>
        <w:t>Totterdell</w:t>
      </w:r>
      <w:proofErr w:type="spellEnd"/>
      <w:r>
        <w:rPr>
          <w:rFonts w:ascii="Arial" w:hAnsi="Arial" w:cs="Arial"/>
        </w:rPr>
        <w:t xml:space="preserve"> and Holman, 2003).</w:t>
      </w:r>
    </w:p>
    <w:p w14:paraId="727C4D0D" w14:textId="77777777" w:rsidR="009427D5" w:rsidRDefault="002D309F">
      <w:pPr>
        <w:spacing w:after="0" w:line="360" w:lineRule="auto"/>
        <w:jc w:val="both"/>
        <w:rPr>
          <w:rFonts w:ascii="Arial" w:hAnsi="Arial" w:cs="Arial"/>
        </w:rPr>
      </w:pPr>
      <w:r>
        <w:rPr>
          <w:rFonts w:ascii="Arial" w:hAnsi="Arial" w:cs="Arial"/>
        </w:rPr>
        <w:t>Moreover, the psychological contract between staff and employer must be managed through transparent communication and consistency. Rousseau (2001) argues that broken psychological contracts lead to disengagement and reduced discretionary effort. Trust-building HR strategies, including participative decision-making and role clarity, are essential for hospitality success (</w:t>
      </w:r>
      <w:proofErr w:type="spellStart"/>
      <w:r>
        <w:rPr>
          <w:rFonts w:ascii="Arial" w:hAnsi="Arial" w:cs="Arial"/>
        </w:rPr>
        <w:t>Kraak</w:t>
      </w:r>
      <w:proofErr w:type="spellEnd"/>
      <w:r>
        <w:rPr>
          <w:rFonts w:ascii="Arial" w:hAnsi="Arial" w:cs="Arial"/>
        </w:rPr>
        <w:t xml:space="preserve"> et al., 2017). This aligns with the findings of </w:t>
      </w:r>
      <w:proofErr w:type="spellStart"/>
      <w:r>
        <w:rPr>
          <w:rFonts w:ascii="Arial" w:hAnsi="Arial" w:cs="Arial"/>
        </w:rPr>
        <w:t>Suutari</w:t>
      </w:r>
      <w:proofErr w:type="spellEnd"/>
      <w:r>
        <w:rPr>
          <w:rFonts w:ascii="Arial" w:hAnsi="Arial" w:cs="Arial"/>
        </w:rPr>
        <w:t xml:space="preserve"> et al. (2018), who report that when employees perceive HR as a </w:t>
      </w:r>
      <w:r>
        <w:rPr>
          <w:rFonts w:ascii="Arial" w:hAnsi="Arial" w:cs="Arial"/>
        </w:rPr>
        <w:lastRenderedPageBreak/>
        <w:t>partner rather than an authority, service innovation and performance increase significantly.</w:t>
      </w:r>
    </w:p>
    <w:p w14:paraId="25A4D3BA" w14:textId="77777777" w:rsidR="009427D5" w:rsidRDefault="002D309F">
      <w:pPr>
        <w:spacing w:after="0" w:line="360" w:lineRule="auto"/>
        <w:jc w:val="both"/>
        <w:rPr>
          <w:rFonts w:ascii="Arial" w:hAnsi="Arial" w:cs="Arial"/>
        </w:rPr>
      </w:pPr>
      <w:r>
        <w:rPr>
          <w:rFonts w:ascii="Arial" w:hAnsi="Arial" w:cs="Arial"/>
        </w:rPr>
        <w:t xml:space="preserve">In the service sector, empowerment is likewise seen as a fundamental component of excellence. Giving workers freedom and the ability to solve problems encourages service responsiveness, claims </w:t>
      </w:r>
      <w:proofErr w:type="spellStart"/>
      <w:r>
        <w:rPr>
          <w:rFonts w:ascii="Arial" w:hAnsi="Arial" w:cs="Arial"/>
        </w:rPr>
        <w:t>Lashley</w:t>
      </w:r>
      <w:proofErr w:type="spellEnd"/>
      <w:r>
        <w:rPr>
          <w:rFonts w:ascii="Arial" w:hAnsi="Arial" w:cs="Arial"/>
        </w:rPr>
        <w:t xml:space="preserve"> (2001). According to Bowen and </w:t>
      </w:r>
      <w:proofErr w:type="spellStart"/>
      <w:r>
        <w:rPr>
          <w:rFonts w:ascii="Arial" w:hAnsi="Arial" w:cs="Arial"/>
        </w:rPr>
        <w:t>Lawler</w:t>
      </w:r>
      <w:proofErr w:type="spellEnd"/>
      <w:r>
        <w:rPr>
          <w:rFonts w:ascii="Arial" w:hAnsi="Arial" w:cs="Arial"/>
        </w:rPr>
        <w:t xml:space="preserve"> (1992), empowered staff members exhibit more accountability and provide better client experiences. This equates to improved service personalization and quicker client issue resolution in hotel settings, which is in line with Ibis Barking's operating objectives.</w:t>
      </w:r>
    </w:p>
    <w:p w14:paraId="3F5B3E8B" w14:textId="77777777" w:rsidR="009427D5" w:rsidRDefault="002D309F">
      <w:pPr>
        <w:spacing w:after="0" w:line="360" w:lineRule="auto"/>
        <w:jc w:val="both"/>
        <w:rPr>
          <w:rFonts w:ascii="Arial" w:hAnsi="Arial" w:cs="Arial"/>
        </w:rPr>
      </w:pPr>
      <w:r>
        <w:rPr>
          <w:rFonts w:ascii="Arial" w:hAnsi="Arial" w:cs="Arial"/>
        </w:rPr>
        <w:t xml:space="preserve">Organizational culture is the subject of another important subfield of HR writing. According to </w:t>
      </w:r>
      <w:proofErr w:type="spellStart"/>
      <w:r>
        <w:rPr>
          <w:rFonts w:ascii="Arial" w:hAnsi="Arial" w:cs="Arial"/>
        </w:rPr>
        <w:t>Schein</w:t>
      </w:r>
      <w:proofErr w:type="spellEnd"/>
      <w:r>
        <w:rPr>
          <w:rFonts w:ascii="Arial" w:hAnsi="Arial" w:cs="Arial"/>
        </w:rPr>
        <w:t xml:space="preserve"> (2010), employee views of appropriate norms and practices are shaped by culture, which controls behavior. This is examined in the hotel industry by </w:t>
      </w:r>
      <w:proofErr w:type="spellStart"/>
      <w:r>
        <w:rPr>
          <w:rFonts w:ascii="Arial" w:hAnsi="Arial" w:cs="Arial"/>
        </w:rPr>
        <w:t>Giousmpasoglou</w:t>
      </w:r>
      <w:proofErr w:type="spellEnd"/>
      <w:r>
        <w:rPr>
          <w:rFonts w:ascii="Arial" w:hAnsi="Arial" w:cs="Arial"/>
        </w:rPr>
        <w:t xml:space="preserve"> et al. (2021), who contend that culture acts as an operational compass, especially in settings where working realities differ but rules are standardized. The informal mentorship and cross-role support culture at Ibis London helps to some extent to offset the absence of formal frameworks, but if institutional standards aren't upheld, it might lead to inconsistencies.</w:t>
      </w:r>
    </w:p>
    <w:p w14:paraId="2A7B2846" w14:textId="77777777" w:rsidR="009427D5" w:rsidRDefault="002D309F">
      <w:pPr>
        <w:spacing w:after="0" w:line="360" w:lineRule="auto"/>
        <w:jc w:val="both"/>
        <w:rPr>
          <w:rFonts w:ascii="Arial" w:hAnsi="Arial" w:cs="Arial"/>
        </w:rPr>
      </w:pPr>
      <w:r>
        <w:rPr>
          <w:rFonts w:ascii="Arial" w:hAnsi="Arial" w:cs="Arial"/>
        </w:rPr>
        <w:t xml:space="preserve">The literature also examines the difficulties particular to HRM in the hotel industry. According to Lucas and </w:t>
      </w:r>
      <w:proofErr w:type="spellStart"/>
      <w:r>
        <w:rPr>
          <w:rFonts w:ascii="Arial" w:hAnsi="Arial" w:cs="Arial"/>
        </w:rPr>
        <w:t>Deery</w:t>
      </w:r>
      <w:proofErr w:type="spellEnd"/>
      <w:r>
        <w:rPr>
          <w:rFonts w:ascii="Arial" w:hAnsi="Arial" w:cs="Arial"/>
        </w:rPr>
        <w:t xml:space="preserve"> (2004), emotional labor, work boredom, and high turnover are persistent problems that call for innovative HR solutions. Baum (2015) elaborates on this by showing how a lack of opportunities for career advancement at low-cost hotels increases employee discontent, particularly among younger employees. These observations are consistent with Ibis Barking's high attrition rates and role fluidity, which frequently occur without appropriate cross-training or advancement opportunities.</w:t>
      </w:r>
    </w:p>
    <w:p w14:paraId="51C4CDBC" w14:textId="77777777" w:rsidR="009427D5" w:rsidRDefault="002D309F">
      <w:pPr>
        <w:spacing w:after="0" w:line="360" w:lineRule="auto"/>
        <w:jc w:val="both"/>
        <w:rPr>
          <w:rFonts w:ascii="Arial" w:hAnsi="Arial" w:cs="Arial"/>
        </w:rPr>
      </w:pPr>
      <w:r>
        <w:rPr>
          <w:rFonts w:ascii="Arial" w:hAnsi="Arial" w:cs="Arial"/>
        </w:rPr>
        <w:t xml:space="preserve">The importance of digital HR technologies in attaining excellence has been the focus of recent study. Stone and </w:t>
      </w:r>
      <w:proofErr w:type="spellStart"/>
      <w:r>
        <w:rPr>
          <w:rFonts w:ascii="Arial" w:hAnsi="Arial" w:cs="Arial"/>
        </w:rPr>
        <w:t>Deadrick</w:t>
      </w:r>
      <w:proofErr w:type="spellEnd"/>
      <w:r>
        <w:rPr>
          <w:rFonts w:ascii="Arial" w:hAnsi="Arial" w:cs="Arial"/>
        </w:rPr>
        <w:t xml:space="preserve"> (2015) emphasize how employee self-service portals, performance dashboards, and e-learning platforms boost engagement and transparency. Budget hotels may still profit from rudimentary forms of digital scheduling, onboarding, and feedback systems, even as luxury hotels embrace these solutions more quickly. According to research by </w:t>
      </w:r>
      <w:proofErr w:type="spellStart"/>
      <w:r>
        <w:rPr>
          <w:rFonts w:ascii="Arial" w:hAnsi="Arial" w:cs="Arial"/>
        </w:rPr>
        <w:t>Bondarouk</w:t>
      </w:r>
      <w:proofErr w:type="spellEnd"/>
      <w:r>
        <w:rPr>
          <w:rFonts w:ascii="Arial" w:hAnsi="Arial" w:cs="Arial"/>
        </w:rPr>
        <w:t xml:space="preserve"> and Brewster (2016), even a small amount of digital integration increases HR effectiveness and facilitates employee performance monitoring.</w:t>
      </w:r>
    </w:p>
    <w:p w14:paraId="06158A01" w14:textId="77777777" w:rsidR="009427D5" w:rsidRDefault="002D309F">
      <w:pPr>
        <w:spacing w:after="0" w:line="360" w:lineRule="auto"/>
        <w:jc w:val="both"/>
        <w:rPr>
          <w:rFonts w:ascii="Arial" w:hAnsi="Arial" w:cs="Arial"/>
        </w:rPr>
      </w:pPr>
      <w:r>
        <w:rPr>
          <w:rFonts w:ascii="Arial" w:hAnsi="Arial" w:cs="Arial"/>
        </w:rPr>
        <w:t xml:space="preserve">Academic interest in emotional labor and resilience has also increased, particularly in the wake of the epidemic. </w:t>
      </w:r>
      <w:proofErr w:type="spellStart"/>
      <w:r>
        <w:rPr>
          <w:rFonts w:ascii="Arial" w:hAnsi="Arial" w:cs="Arial"/>
        </w:rPr>
        <w:t>Pizam</w:t>
      </w:r>
      <w:proofErr w:type="spellEnd"/>
      <w:r>
        <w:rPr>
          <w:rFonts w:ascii="Arial" w:hAnsi="Arial" w:cs="Arial"/>
        </w:rPr>
        <w:t xml:space="preserve"> et al. (2021) states that employees in the hotel </w:t>
      </w:r>
      <w:r>
        <w:rPr>
          <w:rFonts w:ascii="Arial" w:hAnsi="Arial" w:cs="Arial"/>
        </w:rPr>
        <w:lastRenderedPageBreak/>
        <w:t>industry experience high levels of psychological stress and need HR assistance that strikes a balance between emotional demands and wellness programs. According to Kim et al. (2020), social support, organized training, and recognition programs can all help to build frontline resilience. Given the difficulty of the work and the demands placed on guests in low-cost hospitality environments, our findings underscore the pressing need for Ibis Barking to incorporate emotional well-being into HR policies.</w:t>
      </w:r>
    </w:p>
    <w:p w14:paraId="035C00A3" w14:textId="77777777" w:rsidR="009427D5" w:rsidRDefault="002D309F">
      <w:pPr>
        <w:spacing w:after="0" w:line="360" w:lineRule="auto"/>
        <w:jc w:val="both"/>
        <w:rPr>
          <w:rFonts w:ascii="Arial" w:hAnsi="Arial" w:cs="Arial"/>
        </w:rPr>
      </w:pPr>
      <w:r>
        <w:rPr>
          <w:rFonts w:ascii="Arial" w:hAnsi="Arial" w:cs="Arial"/>
        </w:rPr>
        <w:t>The incorporation of employee voice tools is a developing HR trend, to sum up. According to Bryson et al. (2013), employees who work in participatory HR cultures where they help create policies or innovate services are more loyal and absentee. The lack of organized feedback channels and little knowledge of HR regulations in the Ibis environment offer a chance to institutionalize employee voice mechanisms. To match frontline views with strategic objectives, these might include open-door feedback sessions, anonymous idea platforms, and staff councils.</w:t>
      </w:r>
    </w:p>
    <w:p w14:paraId="7B91307F" w14:textId="77777777" w:rsidR="009427D5" w:rsidRDefault="002D309F">
      <w:pPr>
        <w:spacing w:after="0" w:line="360" w:lineRule="auto"/>
        <w:jc w:val="both"/>
        <w:rPr>
          <w:rFonts w:ascii="Arial" w:hAnsi="Arial" w:cs="Arial"/>
        </w:rPr>
      </w:pPr>
      <w:r>
        <w:rPr>
          <w:rFonts w:ascii="Arial" w:hAnsi="Arial" w:cs="Arial"/>
        </w:rPr>
        <w:t>In summary, the scholarly literature offers a strong basis for examining HR operational excellence from a variety of angles, including formal onboarding, internal communication, employee empowerment, motivation, culture, and digital integration. The Ibis London Barking instance presents special chances for innovation and HR system optimization, while also being in line with many of the sector-wide issues noted in research, such as excessive employee turnover, poor communication, and inadequate recognition methods. These topics will direct the assessment of field results and aid in the creation of practical suggestions for enhancing operational excellence via human resources.</w:t>
      </w:r>
    </w:p>
    <w:p w14:paraId="0BFE7CB0" w14:textId="77777777" w:rsidR="009427D5" w:rsidRDefault="009427D5">
      <w:pPr>
        <w:spacing w:after="0" w:line="360" w:lineRule="auto"/>
        <w:jc w:val="both"/>
        <w:rPr>
          <w:rFonts w:ascii="Arial" w:hAnsi="Arial" w:cs="Arial"/>
        </w:rPr>
      </w:pPr>
    </w:p>
    <w:p w14:paraId="3D022BDA" w14:textId="77777777" w:rsidR="009427D5" w:rsidRDefault="002D309F">
      <w:pPr>
        <w:pStyle w:val="Heading1"/>
      </w:pPr>
      <w:bookmarkStart w:id="3" w:name="_Toc198565148"/>
      <w:r>
        <w:t>Methodology</w:t>
      </w:r>
      <w:bookmarkEnd w:id="3"/>
    </w:p>
    <w:p w14:paraId="175921B7" w14:textId="77777777" w:rsidR="009427D5" w:rsidRDefault="002D309F">
      <w:pPr>
        <w:spacing w:after="0" w:line="360" w:lineRule="auto"/>
        <w:jc w:val="both"/>
        <w:rPr>
          <w:rFonts w:ascii="Arial" w:hAnsi="Arial" w:cs="Arial"/>
        </w:rPr>
      </w:pPr>
      <w:r>
        <w:rPr>
          <w:rFonts w:ascii="Arial" w:hAnsi="Arial" w:cs="Arial"/>
        </w:rPr>
        <w:t>Through qualitative case study methods this research investigates employee contributions to HR operational excellence at the mid-range budget hotel Ibis London Barking. The case study method proves especially suitable for hospitality research because it facilitates comprehensive and integrated analysis of real-life social interactions which allows researchers to study complex human behavior in natural environments (Yin, 2018). The selected site allows researchers to gain distinctive insights because it combines lean operations with high service standards and direct employee-customer communications.</w:t>
      </w:r>
    </w:p>
    <w:p w14:paraId="516F22F3" w14:textId="77777777" w:rsidR="009427D5" w:rsidRDefault="002D309F">
      <w:pPr>
        <w:spacing w:after="0" w:line="360" w:lineRule="auto"/>
        <w:jc w:val="both"/>
        <w:rPr>
          <w:rFonts w:ascii="Arial" w:hAnsi="Arial" w:cs="Arial"/>
        </w:rPr>
      </w:pPr>
      <w:r>
        <w:rPr>
          <w:rFonts w:ascii="Arial" w:hAnsi="Arial" w:cs="Arial"/>
        </w:rPr>
        <w:lastRenderedPageBreak/>
        <w:t xml:space="preserve">The study follows an </w:t>
      </w:r>
      <w:proofErr w:type="spellStart"/>
      <w:r>
        <w:rPr>
          <w:rFonts w:ascii="Arial" w:hAnsi="Arial" w:cs="Arial"/>
        </w:rPr>
        <w:t>interpretivist</w:t>
      </w:r>
      <w:proofErr w:type="spellEnd"/>
      <w:r>
        <w:rPr>
          <w:rFonts w:ascii="Arial" w:hAnsi="Arial" w:cs="Arial"/>
        </w:rPr>
        <w:t xml:space="preserve"> philosophical approach based on the understanding that employee perceptions and experiences create social reality. The approach embraces the ontological perspective that subjective meanings influence organizational dynamics within service industries like hotels (Saunders et al., 2019). The </w:t>
      </w:r>
      <w:proofErr w:type="spellStart"/>
      <w:r>
        <w:rPr>
          <w:rFonts w:ascii="Arial" w:hAnsi="Arial" w:cs="Arial"/>
        </w:rPr>
        <w:t>interpretivist</w:t>
      </w:r>
      <w:proofErr w:type="spellEnd"/>
      <w:r>
        <w:rPr>
          <w:rFonts w:ascii="Arial" w:hAnsi="Arial" w:cs="Arial"/>
        </w:rPr>
        <w:t xml:space="preserve"> approach enables researchers to study how employees decode HR practices and organizational systems while carrying out their roles amidst workplace challenges (</w:t>
      </w:r>
      <w:proofErr w:type="spellStart"/>
      <w:r>
        <w:rPr>
          <w:rFonts w:ascii="Arial" w:hAnsi="Arial" w:cs="Arial"/>
        </w:rPr>
        <w:t>Creswell</w:t>
      </w:r>
      <w:proofErr w:type="spellEnd"/>
      <w:r>
        <w:rPr>
          <w:rFonts w:ascii="Arial" w:hAnsi="Arial" w:cs="Arial"/>
        </w:rPr>
        <w:t xml:space="preserve"> &amp; </w:t>
      </w:r>
      <w:proofErr w:type="spellStart"/>
      <w:r>
        <w:rPr>
          <w:rFonts w:ascii="Arial" w:hAnsi="Arial" w:cs="Arial"/>
        </w:rPr>
        <w:t>Poth</w:t>
      </w:r>
      <w:proofErr w:type="spellEnd"/>
      <w:r>
        <w:rPr>
          <w:rFonts w:ascii="Arial" w:hAnsi="Arial" w:cs="Arial"/>
        </w:rPr>
        <w:t>, 2018).</w:t>
      </w:r>
    </w:p>
    <w:p w14:paraId="2F9CAA55" w14:textId="77777777" w:rsidR="009427D5" w:rsidRDefault="002D309F">
      <w:pPr>
        <w:spacing w:after="0" w:line="360" w:lineRule="auto"/>
        <w:jc w:val="both"/>
        <w:rPr>
          <w:rFonts w:ascii="Arial" w:hAnsi="Arial" w:cs="Arial"/>
        </w:rPr>
      </w:pPr>
      <w:r>
        <w:rPr>
          <w:rFonts w:ascii="Arial" w:hAnsi="Arial" w:cs="Arial"/>
        </w:rPr>
        <w:t>The study utilized a qualitative method that emphasized depth of analysis to collect detailed and meaningful insights from its participants. Qualitative research focuses on understanding workplace culture through studying employee attitudes and behaviors which quantitative methods cannot measure because they depend on numerical data (Flick, 2014). The selected approach effectively examines HR elements that lack physical form such as motivation practices and systems for communication and feedback delivery.</w:t>
      </w:r>
    </w:p>
    <w:p w14:paraId="283F417E" w14:textId="77777777" w:rsidR="009427D5" w:rsidRDefault="002D309F">
      <w:pPr>
        <w:spacing w:after="0" w:line="360" w:lineRule="auto"/>
        <w:jc w:val="both"/>
        <w:rPr>
          <w:rFonts w:ascii="Arial" w:hAnsi="Arial" w:cs="Arial"/>
        </w:rPr>
      </w:pPr>
      <w:r>
        <w:rPr>
          <w:rFonts w:ascii="Arial" w:hAnsi="Arial" w:cs="Arial"/>
        </w:rPr>
        <w:t>The research team gathered data through multiple methods such as participant observation alongside informal interviews and ethnographic document analysis. For a six-week period the researcher participated in the Ibis London team to observe daily operations throughout various departments. Researchers studying hospitality gain genuine insights into team dynamics and service behaviors through observational studies which are more authentic than retrospective surveys or interviews according to Veal (2017). The researcher kept a daily log to document interactions as well as team briefings and informal recognition practices.</w:t>
      </w:r>
    </w:p>
    <w:p w14:paraId="1DC0449C" w14:textId="77777777" w:rsidR="009427D5" w:rsidRDefault="002D309F">
      <w:pPr>
        <w:spacing w:after="0" w:line="360" w:lineRule="auto"/>
        <w:jc w:val="both"/>
        <w:rPr>
          <w:rFonts w:ascii="Arial" w:hAnsi="Arial" w:cs="Arial"/>
        </w:rPr>
      </w:pPr>
      <w:r>
        <w:rPr>
          <w:rFonts w:ascii="Arial" w:hAnsi="Arial" w:cs="Arial"/>
        </w:rPr>
        <w:t xml:space="preserve">Team members were engaged in informal discussions throughout their work shifts and during breaks. The unstructured interviews enabled participants to express themselves freely while capturing genuine responses that formal questions would have restricted. </w:t>
      </w:r>
      <w:proofErr w:type="spellStart"/>
      <w:r>
        <w:rPr>
          <w:rFonts w:ascii="Arial" w:hAnsi="Arial" w:cs="Arial"/>
        </w:rPr>
        <w:t>Denzin</w:t>
      </w:r>
      <w:proofErr w:type="spellEnd"/>
      <w:r>
        <w:rPr>
          <w:rFonts w:ascii="Arial" w:hAnsi="Arial" w:cs="Arial"/>
        </w:rPr>
        <w:t xml:space="preserve"> &amp; Lincoln (2018) note that informal dialogues reduce power disparities and build connections between participants which encourages them to express themselves openly. The discussions were transformed into paraphrased versions and stripped of identifying information to protect confidentiality while strengthening ethical standards.</w:t>
      </w:r>
    </w:p>
    <w:p w14:paraId="7414D33C" w14:textId="77777777" w:rsidR="009427D5" w:rsidRDefault="002D309F">
      <w:pPr>
        <w:spacing w:after="0" w:line="360" w:lineRule="auto"/>
        <w:jc w:val="both"/>
        <w:rPr>
          <w:rFonts w:ascii="Arial" w:hAnsi="Arial" w:cs="Arial"/>
        </w:rPr>
      </w:pPr>
      <w:r>
        <w:rPr>
          <w:rFonts w:ascii="Arial" w:hAnsi="Arial" w:cs="Arial"/>
        </w:rPr>
        <w:t xml:space="preserve">The researcher applied </w:t>
      </w:r>
      <w:proofErr w:type="spellStart"/>
      <w:r>
        <w:rPr>
          <w:rFonts w:ascii="Arial" w:hAnsi="Arial" w:cs="Arial"/>
        </w:rPr>
        <w:t>netnography</w:t>
      </w:r>
      <w:proofErr w:type="spellEnd"/>
      <w:r>
        <w:rPr>
          <w:rFonts w:ascii="Arial" w:hAnsi="Arial" w:cs="Arial"/>
        </w:rPr>
        <w:t xml:space="preserve"> which expands ethnographic methods for use in digital and organizational settings to triangulate findings (</w:t>
      </w:r>
      <w:proofErr w:type="spellStart"/>
      <w:r>
        <w:rPr>
          <w:rFonts w:ascii="Arial" w:hAnsi="Arial" w:cs="Arial"/>
        </w:rPr>
        <w:t>Kozinets</w:t>
      </w:r>
      <w:proofErr w:type="spellEnd"/>
      <w:r>
        <w:rPr>
          <w:rFonts w:ascii="Arial" w:hAnsi="Arial" w:cs="Arial"/>
        </w:rPr>
        <w:t xml:space="preserve">, 2015). The researcher examined onboarding checklists, Rota schedules and e-learning platforms to understand the formal HR frameworks currently implemented. Through triangulation </w:t>
      </w:r>
      <w:r>
        <w:rPr>
          <w:rFonts w:ascii="Arial" w:hAnsi="Arial" w:cs="Arial"/>
        </w:rPr>
        <w:lastRenderedPageBreak/>
        <w:t xml:space="preserve">researchers confirm data reliability by comparing employee perceptions with official organizational documents and systems according to </w:t>
      </w:r>
      <w:proofErr w:type="spellStart"/>
      <w:r>
        <w:rPr>
          <w:rFonts w:ascii="Arial" w:hAnsi="Arial" w:cs="Arial"/>
        </w:rPr>
        <w:t>Bryman</w:t>
      </w:r>
      <w:proofErr w:type="spellEnd"/>
      <w:r>
        <w:rPr>
          <w:rFonts w:ascii="Arial" w:hAnsi="Arial" w:cs="Arial"/>
        </w:rPr>
        <w:t xml:space="preserve"> (2016).</w:t>
      </w:r>
    </w:p>
    <w:p w14:paraId="5DF89856" w14:textId="77777777" w:rsidR="009427D5" w:rsidRDefault="002D309F">
      <w:pPr>
        <w:spacing w:after="0" w:line="360" w:lineRule="auto"/>
        <w:jc w:val="both"/>
        <w:rPr>
          <w:rFonts w:ascii="Arial" w:hAnsi="Arial" w:cs="Arial"/>
        </w:rPr>
      </w:pPr>
      <w:r>
        <w:rPr>
          <w:rFonts w:ascii="Arial" w:hAnsi="Arial" w:cs="Arial"/>
        </w:rPr>
        <w:t xml:space="preserve">The study included 15 operational employees who were selected via a convenience sampling approach. The sampling method restricted the ability to generalize findings yet enabled direct access to individuals in crucial operational positions. The study's sample featured front desk agents along with housekeeping staff and F&amp;B personnel to achieve representation from various departments. Placement-based qualitative research frequently uses convenience sampling because this method effectively navigates the access, and ethical limitations present within organizational settings (Marshall &amp; </w:t>
      </w:r>
      <w:proofErr w:type="spellStart"/>
      <w:r>
        <w:rPr>
          <w:rFonts w:ascii="Arial" w:hAnsi="Arial" w:cs="Arial"/>
        </w:rPr>
        <w:t>Rossman</w:t>
      </w:r>
      <w:proofErr w:type="spellEnd"/>
      <w:r>
        <w:rPr>
          <w:rFonts w:ascii="Arial" w:hAnsi="Arial" w:cs="Arial"/>
        </w:rPr>
        <w:t>, 2016).</w:t>
      </w:r>
    </w:p>
    <w:p w14:paraId="24F8F888" w14:textId="77777777" w:rsidR="009427D5" w:rsidRDefault="002D309F">
      <w:pPr>
        <w:spacing w:after="0" w:line="360" w:lineRule="auto"/>
        <w:jc w:val="both"/>
        <w:rPr>
          <w:rFonts w:ascii="Arial" w:hAnsi="Arial" w:cs="Arial"/>
        </w:rPr>
      </w:pPr>
      <w:r>
        <w:rPr>
          <w:rFonts w:ascii="Arial" w:hAnsi="Arial" w:cs="Arial"/>
        </w:rPr>
        <w:t>The analysis of data followed the six-step thematic analysis framework established by Braun and Clarke (2006). The research approach included data coding followed by pattern identification which led to the categorization of information into main themes like communication practices, recognition systems and onboarding processes. Thematic analysis serves as a dependable and adaptable method for detecting recurring patterns within qualitative data which proves especially useful for case-based research in the hospitality field (</w:t>
      </w:r>
      <w:proofErr w:type="spellStart"/>
      <w:r>
        <w:rPr>
          <w:rFonts w:ascii="Arial" w:hAnsi="Arial" w:cs="Arial"/>
        </w:rPr>
        <w:t>Nowell</w:t>
      </w:r>
      <w:proofErr w:type="spellEnd"/>
      <w:r>
        <w:rPr>
          <w:rFonts w:ascii="Arial" w:hAnsi="Arial" w:cs="Arial"/>
        </w:rPr>
        <w:t xml:space="preserve"> et al., 2017).</w:t>
      </w:r>
    </w:p>
    <w:p w14:paraId="7E633259" w14:textId="77777777" w:rsidR="009427D5" w:rsidRDefault="002D309F">
      <w:pPr>
        <w:spacing w:after="0" w:line="360" w:lineRule="auto"/>
        <w:jc w:val="both"/>
        <w:rPr>
          <w:rFonts w:ascii="Arial" w:hAnsi="Arial" w:cs="Arial"/>
        </w:rPr>
      </w:pPr>
      <w:r>
        <w:rPr>
          <w:rFonts w:ascii="Arial" w:hAnsi="Arial" w:cs="Arial"/>
        </w:rPr>
        <w:t>Because the data volume was limited the research team used manual coding as well as repeated verification procedures to maintain accuracy. The research team-maintained credibility by consistently discussing data interpretations with their supervisor while simultaneously checking against pertinent literature in real time. The researcher practiced reflexivity by engaging in consistent journaling which helped them recognize their own biases and how these biases affected their interpretation work (Tracy, 2010).</w:t>
      </w:r>
    </w:p>
    <w:p w14:paraId="3E8F8255" w14:textId="77777777" w:rsidR="009427D5" w:rsidRDefault="002D309F">
      <w:pPr>
        <w:spacing w:after="0" w:line="360" w:lineRule="auto"/>
        <w:jc w:val="both"/>
        <w:rPr>
          <w:rFonts w:ascii="Arial" w:hAnsi="Arial" w:cs="Arial"/>
        </w:rPr>
      </w:pPr>
      <w:r>
        <w:rPr>
          <w:rFonts w:ascii="Arial" w:hAnsi="Arial" w:cs="Arial"/>
        </w:rPr>
        <w:t xml:space="preserve">The research received ethical approval based on UWTSD standards for student researcher projects in 2023. The study obtained verbal consent from participants for their observation and subsequent data usage. Participant identification details remained confidential, and researchers implemented procedures to prevent disturbance to hotel activities. The researcher adopted a passive observational approach and made certain that all data collection processes followed ethical standards such as maintaining anonymity and securing voluntary participation while avoiding harm to participants (Bell &amp; </w:t>
      </w:r>
      <w:proofErr w:type="spellStart"/>
      <w:r>
        <w:rPr>
          <w:rFonts w:ascii="Arial" w:hAnsi="Arial" w:cs="Arial"/>
        </w:rPr>
        <w:t>Bryman</w:t>
      </w:r>
      <w:proofErr w:type="spellEnd"/>
      <w:r>
        <w:rPr>
          <w:rFonts w:ascii="Arial" w:hAnsi="Arial" w:cs="Arial"/>
        </w:rPr>
        <w:t>, 2007).</w:t>
      </w:r>
    </w:p>
    <w:p w14:paraId="2287D66A" w14:textId="77777777" w:rsidR="009427D5" w:rsidRDefault="002D309F">
      <w:pPr>
        <w:spacing w:after="0" w:line="360" w:lineRule="auto"/>
        <w:jc w:val="both"/>
        <w:rPr>
          <w:rFonts w:ascii="Arial" w:hAnsi="Arial" w:cs="Arial"/>
        </w:rPr>
      </w:pPr>
      <w:r>
        <w:rPr>
          <w:rFonts w:ascii="Arial" w:hAnsi="Arial" w:cs="Arial"/>
        </w:rPr>
        <w:t xml:space="preserve">The research recognized the intrinsic limitations present within qualitative case study methodologies. The study's findings apply exclusively to Ibis London Barking and lack </w:t>
      </w:r>
      <w:r>
        <w:rPr>
          <w:rFonts w:ascii="Arial" w:hAnsi="Arial" w:cs="Arial"/>
        </w:rPr>
        <w:lastRenderedPageBreak/>
        <w:t>the statistical power to extend to all budget hotels. The detailed contextual findings provide useful knowledge for organizations in the hospitality sector that function similarly. Future research will improve by conducting comparative case studies across a variety of hotel brands to assess wider applicability.</w:t>
      </w:r>
    </w:p>
    <w:p w14:paraId="50396AB0" w14:textId="77777777" w:rsidR="009427D5" w:rsidRDefault="002D309F">
      <w:pPr>
        <w:spacing w:after="0" w:line="360" w:lineRule="auto"/>
        <w:jc w:val="both"/>
        <w:rPr>
          <w:rFonts w:ascii="Arial" w:hAnsi="Arial" w:cs="Arial"/>
        </w:rPr>
      </w:pPr>
      <w:r>
        <w:rPr>
          <w:rFonts w:ascii="Arial" w:hAnsi="Arial" w:cs="Arial"/>
        </w:rPr>
        <w:t xml:space="preserve">The adoption of a qualitative </w:t>
      </w:r>
      <w:proofErr w:type="spellStart"/>
      <w:r>
        <w:rPr>
          <w:rFonts w:ascii="Arial" w:hAnsi="Arial" w:cs="Arial"/>
        </w:rPr>
        <w:t>interpretivist</w:t>
      </w:r>
      <w:proofErr w:type="spellEnd"/>
      <w:r>
        <w:rPr>
          <w:rFonts w:ascii="Arial" w:hAnsi="Arial" w:cs="Arial"/>
        </w:rPr>
        <w:t xml:space="preserve"> case study approach has allowed the researcher to observe employee engagement and HR operational excellence as they happen. Combining observational methods with informal conversations and </w:t>
      </w:r>
      <w:proofErr w:type="spellStart"/>
      <w:r>
        <w:rPr>
          <w:rFonts w:ascii="Arial" w:hAnsi="Arial" w:cs="Arial"/>
        </w:rPr>
        <w:t>netnographic</w:t>
      </w:r>
      <w:proofErr w:type="spellEnd"/>
      <w:r>
        <w:rPr>
          <w:rFonts w:ascii="Arial" w:hAnsi="Arial" w:cs="Arial"/>
        </w:rPr>
        <w:t xml:space="preserve"> document analysis has created a multidimensional perspective on workplace dynamics. The research team used thematic analysis as a structured method to interpret employee behaviors and organizational practices to support the objective of improving HR systems in budget hotels. This methodology integrates field experience with academic frameworks to achieve a thorough ethical examination of HR operational excellence that remains relevant to its context.</w:t>
      </w:r>
    </w:p>
    <w:p w14:paraId="45BEB508" w14:textId="77777777" w:rsidR="009427D5" w:rsidRDefault="009427D5">
      <w:pPr>
        <w:spacing w:after="0" w:line="360" w:lineRule="auto"/>
        <w:jc w:val="both"/>
        <w:rPr>
          <w:rFonts w:ascii="Arial" w:hAnsi="Arial" w:cs="Arial"/>
        </w:rPr>
      </w:pPr>
    </w:p>
    <w:p w14:paraId="4033DE9B" w14:textId="77777777" w:rsidR="009427D5" w:rsidRDefault="009427D5">
      <w:pPr>
        <w:spacing w:after="0" w:line="360" w:lineRule="auto"/>
        <w:jc w:val="both"/>
        <w:rPr>
          <w:rFonts w:ascii="Arial" w:hAnsi="Arial" w:cs="Arial"/>
        </w:rPr>
      </w:pPr>
    </w:p>
    <w:p w14:paraId="20EFACF6" w14:textId="77777777" w:rsidR="009427D5" w:rsidRDefault="009427D5">
      <w:pPr>
        <w:spacing w:after="0" w:line="360" w:lineRule="auto"/>
        <w:jc w:val="both"/>
        <w:rPr>
          <w:rFonts w:ascii="Arial" w:hAnsi="Arial" w:cs="Arial"/>
        </w:rPr>
      </w:pPr>
    </w:p>
    <w:p w14:paraId="25CB2C3D" w14:textId="77777777" w:rsidR="009427D5" w:rsidRDefault="002D309F">
      <w:pPr>
        <w:pStyle w:val="Heading1"/>
      </w:pPr>
      <w:bookmarkStart w:id="4" w:name="_Toc198565101"/>
      <w:bookmarkStart w:id="5" w:name="_Toc198565149"/>
      <w:r>
        <w:t>Employee Engagement and HR Operational Patterns at Ibis London: Fieldwork Results</w:t>
      </w:r>
      <w:bookmarkEnd w:id="4"/>
      <w:bookmarkEnd w:id="5"/>
    </w:p>
    <w:p w14:paraId="7E6CF5F3" w14:textId="77777777" w:rsidR="009427D5" w:rsidRDefault="002D309F">
      <w:pPr>
        <w:spacing w:after="0" w:line="360" w:lineRule="auto"/>
        <w:jc w:val="both"/>
        <w:rPr>
          <w:rFonts w:ascii="Arial" w:hAnsi="Arial" w:cs="Arial"/>
          <w:i/>
          <w:iCs/>
          <w:u w:val="single"/>
        </w:rPr>
      </w:pPr>
      <w:r>
        <w:rPr>
          <w:rFonts w:ascii="Arial" w:hAnsi="Arial" w:cs="Arial"/>
          <w:i/>
          <w:iCs/>
          <w:u w:val="single"/>
        </w:rPr>
        <w:t>Findings</w:t>
      </w:r>
    </w:p>
    <w:p w14:paraId="35246AA8" w14:textId="77777777" w:rsidR="009427D5" w:rsidRDefault="002D309F">
      <w:pPr>
        <w:spacing w:after="0" w:line="360" w:lineRule="auto"/>
        <w:jc w:val="both"/>
        <w:rPr>
          <w:rFonts w:ascii="Arial" w:hAnsi="Arial" w:cs="Arial"/>
        </w:rPr>
      </w:pPr>
      <w:r>
        <w:rPr>
          <w:rFonts w:ascii="Arial" w:hAnsi="Arial" w:cs="Arial"/>
        </w:rPr>
        <w:t>This section presents the objective results collected during a six-week hotel placement at Ibis London Barking. Data was gathered through personal observation, informal conversations with staff, and internal document review. Findings are presented thematically to reflect patterns in employee behavior, HR processes, and operational practices that influence HR operational excellence.</w:t>
      </w:r>
    </w:p>
    <w:p w14:paraId="511C80C7" w14:textId="77777777" w:rsidR="009427D5" w:rsidRDefault="009427D5">
      <w:pPr>
        <w:spacing w:after="0" w:line="360" w:lineRule="auto"/>
        <w:jc w:val="both"/>
        <w:rPr>
          <w:rFonts w:ascii="Arial" w:hAnsi="Arial" w:cs="Arial"/>
        </w:rPr>
      </w:pPr>
    </w:p>
    <w:p w14:paraId="4D8532A6" w14:textId="77777777" w:rsidR="009427D5" w:rsidRDefault="002D309F">
      <w:pPr>
        <w:spacing w:after="0" w:line="360" w:lineRule="auto"/>
        <w:jc w:val="both"/>
        <w:rPr>
          <w:rFonts w:ascii="Arial" w:hAnsi="Arial" w:cs="Arial"/>
        </w:rPr>
      </w:pPr>
      <w:r>
        <w:rPr>
          <w:rFonts w:ascii="Arial" w:hAnsi="Arial" w:cs="Arial"/>
        </w:rPr>
        <w:t>Theme 1: Onboarding and Training Consistency</w:t>
      </w:r>
    </w:p>
    <w:p w14:paraId="09F4FAC7" w14:textId="77777777" w:rsidR="009427D5" w:rsidRDefault="002D309F">
      <w:pPr>
        <w:spacing w:after="0" w:line="360" w:lineRule="auto"/>
        <w:jc w:val="both"/>
        <w:rPr>
          <w:rFonts w:ascii="Arial" w:hAnsi="Arial" w:cs="Arial"/>
        </w:rPr>
      </w:pPr>
      <w:r>
        <w:rPr>
          <w:rFonts w:ascii="Arial" w:hAnsi="Arial" w:cs="Arial"/>
        </w:rPr>
        <w:t>The onboarding process varied across departments. While front-desk employees received system training and shadowing, housekeeping staff often began without formal instruction, relying on peers for guidance. A cleaner explained, “No one really showed me just watched others and guessed.” Inconsistent induction across departments led to uncertainty in service expectations, and standard operating procedures (SOPs) were not always referenced.</w:t>
      </w:r>
    </w:p>
    <w:p w14:paraId="16454A0F" w14:textId="77777777" w:rsidR="009427D5" w:rsidRDefault="002D309F">
      <w:pPr>
        <w:spacing w:after="0" w:line="360" w:lineRule="auto"/>
        <w:jc w:val="both"/>
        <w:rPr>
          <w:rFonts w:ascii="Arial" w:hAnsi="Arial" w:cs="Arial"/>
        </w:rPr>
      </w:pPr>
      <w:r>
        <w:rPr>
          <w:rFonts w:ascii="Arial" w:hAnsi="Arial" w:cs="Arial"/>
        </w:rPr>
        <w:lastRenderedPageBreak/>
        <w:t>Theme 2: Internal Communication Structure</w:t>
      </w:r>
    </w:p>
    <w:p w14:paraId="7B36E9E7" w14:textId="77777777" w:rsidR="009427D5" w:rsidRDefault="002D309F">
      <w:pPr>
        <w:spacing w:after="0" w:line="360" w:lineRule="auto"/>
        <w:jc w:val="both"/>
        <w:rPr>
          <w:rFonts w:ascii="Arial" w:hAnsi="Arial" w:cs="Arial"/>
        </w:rPr>
      </w:pPr>
      <w:r>
        <w:rPr>
          <w:rFonts w:ascii="Arial" w:hAnsi="Arial" w:cs="Arial"/>
        </w:rPr>
        <w:t>Daily briefings at reception occurred regularly but were brief, focusing mainly on task distribution. Little time was allocated for HR updates or team feedback. Communication between front office and housekeeping was inconsistent. One receptionist said, “We only find out rooms aren’t ready when guests arrive.” WhatsApp and Rota boards were used for schedules but did not support feedback or staff input.</w:t>
      </w:r>
    </w:p>
    <w:p w14:paraId="04B83590" w14:textId="77777777" w:rsidR="009427D5" w:rsidRDefault="002D309F">
      <w:pPr>
        <w:spacing w:after="0" w:line="360" w:lineRule="auto"/>
        <w:jc w:val="both"/>
        <w:rPr>
          <w:rFonts w:ascii="Arial" w:hAnsi="Arial" w:cs="Arial"/>
        </w:rPr>
      </w:pPr>
      <w:r>
        <w:rPr>
          <w:rFonts w:ascii="Arial" w:hAnsi="Arial" w:cs="Arial"/>
        </w:rPr>
        <w:t>Theme 3: Employee Motivation and Recognition</w:t>
      </w:r>
    </w:p>
    <w:p w14:paraId="29EB8558" w14:textId="77777777" w:rsidR="009427D5" w:rsidRDefault="002D309F">
      <w:pPr>
        <w:spacing w:after="0" w:line="360" w:lineRule="auto"/>
        <w:jc w:val="both"/>
        <w:rPr>
          <w:rFonts w:ascii="Arial" w:hAnsi="Arial" w:cs="Arial"/>
        </w:rPr>
      </w:pPr>
      <w:r>
        <w:rPr>
          <w:rFonts w:ascii="Arial" w:hAnsi="Arial" w:cs="Arial"/>
        </w:rPr>
        <w:t>Employees expressed pride in doing their jobs well but lacked structured recognition. “No one says thank you unless we make a mistake,” one receptionist stated. There was no formal incentive scheme such as ‘Employee of the Month.’ Informal peer support was evident, especially during busy shifts, but the absence of organized rewards affected morale and engagement.</w:t>
      </w:r>
    </w:p>
    <w:p w14:paraId="4B674501" w14:textId="77777777" w:rsidR="009427D5" w:rsidRDefault="002D309F">
      <w:pPr>
        <w:spacing w:after="0" w:line="360" w:lineRule="auto"/>
        <w:jc w:val="both"/>
        <w:rPr>
          <w:rFonts w:ascii="Arial" w:hAnsi="Arial" w:cs="Arial"/>
        </w:rPr>
      </w:pPr>
      <w:r>
        <w:rPr>
          <w:rFonts w:ascii="Arial" w:hAnsi="Arial" w:cs="Arial"/>
        </w:rPr>
        <w:t>Theme 4: Performance Support and Feedback</w:t>
      </w:r>
    </w:p>
    <w:p w14:paraId="53CF0E81" w14:textId="77777777" w:rsidR="009427D5" w:rsidRDefault="002D309F">
      <w:pPr>
        <w:spacing w:after="0" w:line="360" w:lineRule="auto"/>
        <w:jc w:val="both"/>
        <w:rPr>
          <w:rFonts w:ascii="Arial" w:hAnsi="Arial" w:cs="Arial"/>
        </w:rPr>
      </w:pPr>
      <w:r>
        <w:rPr>
          <w:rFonts w:ascii="Arial" w:hAnsi="Arial" w:cs="Arial"/>
        </w:rPr>
        <w:t>Performance feedback was largely verbal and corrective, typically delivered in brief interactions between supervisors and staff. There were no documented performance reviews during the placement. “We only talk when something’s wrong,” mentioned a team member. Checklists and Rota sheets were visible, but no connection to performance goals or training targets was observed.</w:t>
      </w:r>
    </w:p>
    <w:p w14:paraId="496C4E38" w14:textId="77777777" w:rsidR="009427D5" w:rsidRDefault="002D309F">
      <w:pPr>
        <w:spacing w:after="0" w:line="360" w:lineRule="auto"/>
        <w:jc w:val="both"/>
        <w:rPr>
          <w:rFonts w:ascii="Arial" w:hAnsi="Arial" w:cs="Arial"/>
        </w:rPr>
      </w:pPr>
      <w:r>
        <w:rPr>
          <w:rFonts w:ascii="Arial" w:hAnsi="Arial" w:cs="Arial"/>
        </w:rPr>
        <w:t>Theme 5: Staff Turnover and Job Flexibility</w:t>
      </w:r>
    </w:p>
    <w:p w14:paraId="5B018EA3" w14:textId="77777777" w:rsidR="009427D5" w:rsidRDefault="002D309F">
      <w:pPr>
        <w:spacing w:after="0" w:line="360" w:lineRule="auto"/>
        <w:jc w:val="both"/>
        <w:rPr>
          <w:rFonts w:ascii="Arial" w:hAnsi="Arial" w:cs="Arial"/>
        </w:rPr>
      </w:pPr>
      <w:r>
        <w:rPr>
          <w:rFonts w:ascii="Arial" w:hAnsi="Arial" w:cs="Arial"/>
        </w:rPr>
        <w:t>During the placement, three staff members resigned, mainly due to workload pressure and limited growth. Several team members covered multiple roles without cross-training. For instance, a receptionist helped in breakfast service without preparation. The lack of formal rotation planning caused task confusion and dependency on experienced staff to provide guidance.</w:t>
      </w:r>
    </w:p>
    <w:p w14:paraId="65C9EA50" w14:textId="77777777" w:rsidR="009427D5" w:rsidRDefault="009427D5">
      <w:pPr>
        <w:spacing w:after="0" w:line="360" w:lineRule="auto"/>
        <w:jc w:val="both"/>
        <w:rPr>
          <w:rFonts w:ascii="Arial" w:hAnsi="Arial" w:cs="Arial"/>
        </w:rPr>
      </w:pPr>
    </w:p>
    <w:p w14:paraId="0E2EFCDF" w14:textId="77777777" w:rsidR="009427D5" w:rsidRDefault="002D309F">
      <w:pPr>
        <w:spacing w:after="0" w:line="360" w:lineRule="auto"/>
        <w:jc w:val="both"/>
        <w:rPr>
          <w:rFonts w:ascii="Arial" w:hAnsi="Arial" w:cs="Arial"/>
        </w:rPr>
      </w:pPr>
      <w:r>
        <w:rPr>
          <w:rFonts w:ascii="Arial" w:hAnsi="Arial" w:cs="Arial"/>
        </w:rPr>
        <w:t>Theme 6: HR Policy Awareness and Application</w:t>
      </w:r>
    </w:p>
    <w:p w14:paraId="3BA7A984" w14:textId="77777777" w:rsidR="009427D5" w:rsidRDefault="002D309F">
      <w:pPr>
        <w:spacing w:after="0" w:line="360" w:lineRule="auto"/>
        <w:jc w:val="both"/>
        <w:rPr>
          <w:rFonts w:ascii="Arial" w:hAnsi="Arial" w:cs="Arial"/>
        </w:rPr>
      </w:pPr>
      <w:r>
        <w:rPr>
          <w:rFonts w:ascii="Arial" w:hAnsi="Arial" w:cs="Arial"/>
        </w:rPr>
        <w:t>Employees demonstrated limited knowledge of HR policies. One supervisor noted, “Most issues go to head office we don’t manage HR here.” Although a staff handbook existed, many workers had not seen it or did not know procedures for grievances. Centralized HR limited local resolution of staff concerns.</w:t>
      </w:r>
    </w:p>
    <w:p w14:paraId="2A1EF0C4" w14:textId="77777777" w:rsidR="009427D5" w:rsidRDefault="002D309F">
      <w:pPr>
        <w:spacing w:after="0" w:line="360" w:lineRule="auto"/>
        <w:jc w:val="both"/>
        <w:rPr>
          <w:rFonts w:ascii="Arial" w:hAnsi="Arial" w:cs="Arial"/>
        </w:rPr>
      </w:pPr>
      <w:r>
        <w:rPr>
          <w:rFonts w:ascii="Arial" w:hAnsi="Arial" w:cs="Arial"/>
        </w:rPr>
        <w:t>Theme 7: Learning and Development Access</w:t>
      </w:r>
    </w:p>
    <w:p w14:paraId="00075172" w14:textId="77777777" w:rsidR="009427D5" w:rsidRDefault="002D309F">
      <w:pPr>
        <w:spacing w:after="0" w:line="360" w:lineRule="auto"/>
        <w:jc w:val="both"/>
        <w:rPr>
          <w:rFonts w:ascii="Arial" w:hAnsi="Arial" w:cs="Arial"/>
        </w:rPr>
      </w:pPr>
      <w:r>
        <w:rPr>
          <w:rFonts w:ascii="Arial" w:hAnsi="Arial" w:cs="Arial"/>
        </w:rPr>
        <w:t xml:space="preserve">The Accor e-learning platform was available but underused. Many employees said they lacked time for digital learning. No in-person development sessions were observed, and staff expressed frustration about career stagnation. “I’d like to learn </w:t>
      </w:r>
      <w:r>
        <w:rPr>
          <w:rFonts w:ascii="Arial" w:hAnsi="Arial" w:cs="Arial"/>
        </w:rPr>
        <w:lastRenderedPageBreak/>
        <w:t>night shifts or bookings,” said one junior receptionist, “but nobody offers training for that.”</w:t>
      </w:r>
    </w:p>
    <w:p w14:paraId="33CC2568" w14:textId="77777777" w:rsidR="009427D5" w:rsidRDefault="009427D5">
      <w:pPr>
        <w:spacing w:after="0" w:line="360" w:lineRule="auto"/>
        <w:jc w:val="both"/>
        <w:rPr>
          <w:rFonts w:ascii="Arial" w:hAnsi="Arial" w:cs="Arial"/>
        </w:rPr>
      </w:pPr>
    </w:p>
    <w:p w14:paraId="39C3D9F4" w14:textId="77777777" w:rsidR="009427D5" w:rsidRDefault="002D309F">
      <w:pPr>
        <w:pStyle w:val="Heading1"/>
      </w:pPr>
      <w:bookmarkStart w:id="6" w:name="_Toc198565150"/>
      <w:r>
        <w:t>Summary of Findings</w:t>
      </w:r>
      <w:bookmarkEnd w:id="6"/>
    </w:p>
    <w:p w14:paraId="298D3E95" w14:textId="77777777" w:rsidR="009427D5" w:rsidRDefault="002D309F">
      <w:pPr>
        <w:spacing w:after="0" w:line="360" w:lineRule="auto"/>
        <w:jc w:val="both"/>
        <w:rPr>
          <w:rFonts w:ascii="Arial" w:hAnsi="Arial" w:cs="Arial"/>
        </w:rPr>
      </w:pPr>
      <w:r>
        <w:rPr>
          <w:rFonts w:ascii="Arial" w:hAnsi="Arial" w:cs="Arial"/>
        </w:rPr>
        <w:t>The field data revealed several consistent issues:</w:t>
      </w:r>
    </w:p>
    <w:p w14:paraId="2AA6A4E9" w14:textId="77777777" w:rsidR="009427D5" w:rsidRDefault="002D309F">
      <w:pPr>
        <w:pStyle w:val="ListParagraph"/>
        <w:numPr>
          <w:ilvl w:val="0"/>
          <w:numId w:val="2"/>
        </w:numPr>
        <w:spacing w:after="0" w:line="360" w:lineRule="auto"/>
        <w:jc w:val="both"/>
        <w:rPr>
          <w:rFonts w:ascii="Arial" w:hAnsi="Arial" w:cs="Arial"/>
        </w:rPr>
      </w:pPr>
      <w:r>
        <w:rPr>
          <w:rFonts w:ascii="Arial" w:hAnsi="Arial" w:cs="Arial"/>
        </w:rPr>
        <w:t>Onboarding is inconsistent and informal across departments.</w:t>
      </w:r>
    </w:p>
    <w:p w14:paraId="56113CC2" w14:textId="77777777" w:rsidR="009427D5" w:rsidRDefault="002D309F">
      <w:pPr>
        <w:numPr>
          <w:ilvl w:val="0"/>
          <w:numId w:val="3"/>
        </w:numPr>
        <w:spacing w:after="0" w:line="360" w:lineRule="auto"/>
        <w:jc w:val="both"/>
        <w:rPr>
          <w:rFonts w:ascii="Arial" w:hAnsi="Arial" w:cs="Arial"/>
        </w:rPr>
      </w:pPr>
      <w:r>
        <w:rPr>
          <w:rFonts w:ascii="Arial" w:hAnsi="Arial" w:cs="Arial"/>
        </w:rPr>
        <w:t>Internal communication supports operations but not employee feedback.</w:t>
      </w:r>
    </w:p>
    <w:p w14:paraId="6E54CE91" w14:textId="77777777" w:rsidR="009427D5" w:rsidRDefault="002D309F">
      <w:pPr>
        <w:numPr>
          <w:ilvl w:val="0"/>
          <w:numId w:val="3"/>
        </w:numPr>
        <w:spacing w:after="0" w:line="360" w:lineRule="auto"/>
        <w:jc w:val="both"/>
        <w:rPr>
          <w:rFonts w:ascii="Arial" w:hAnsi="Arial" w:cs="Arial"/>
        </w:rPr>
      </w:pPr>
      <w:r>
        <w:rPr>
          <w:rFonts w:ascii="Arial" w:hAnsi="Arial" w:cs="Arial"/>
        </w:rPr>
        <w:t>Motivation relies on peer support in the absence of recognition systems.</w:t>
      </w:r>
    </w:p>
    <w:p w14:paraId="468586B0" w14:textId="77777777" w:rsidR="009427D5" w:rsidRDefault="002D309F">
      <w:pPr>
        <w:numPr>
          <w:ilvl w:val="0"/>
          <w:numId w:val="3"/>
        </w:numPr>
        <w:spacing w:after="0" w:line="360" w:lineRule="auto"/>
        <w:jc w:val="both"/>
        <w:rPr>
          <w:rFonts w:ascii="Arial" w:hAnsi="Arial" w:cs="Arial"/>
        </w:rPr>
      </w:pPr>
      <w:r>
        <w:rPr>
          <w:rFonts w:ascii="Arial" w:hAnsi="Arial" w:cs="Arial"/>
        </w:rPr>
        <w:t>Formal feedback and performance development are lacking.</w:t>
      </w:r>
    </w:p>
    <w:p w14:paraId="0B8CEB14" w14:textId="77777777" w:rsidR="009427D5" w:rsidRDefault="002D309F">
      <w:pPr>
        <w:numPr>
          <w:ilvl w:val="0"/>
          <w:numId w:val="3"/>
        </w:numPr>
        <w:spacing w:after="0" w:line="360" w:lineRule="auto"/>
        <w:jc w:val="both"/>
        <w:rPr>
          <w:rFonts w:ascii="Arial" w:hAnsi="Arial" w:cs="Arial"/>
        </w:rPr>
      </w:pPr>
      <w:r>
        <w:rPr>
          <w:rFonts w:ascii="Arial" w:hAnsi="Arial" w:cs="Arial"/>
        </w:rPr>
        <w:t>Staff turnover is high, and multitasking occurs without structured training.</w:t>
      </w:r>
    </w:p>
    <w:p w14:paraId="38230946" w14:textId="77777777" w:rsidR="009427D5" w:rsidRDefault="002D309F">
      <w:pPr>
        <w:numPr>
          <w:ilvl w:val="0"/>
          <w:numId w:val="3"/>
        </w:numPr>
        <w:spacing w:after="0" w:line="360" w:lineRule="auto"/>
        <w:jc w:val="both"/>
        <w:rPr>
          <w:rFonts w:ascii="Arial" w:hAnsi="Arial" w:cs="Arial"/>
        </w:rPr>
      </w:pPr>
      <w:r>
        <w:rPr>
          <w:rFonts w:ascii="Arial" w:hAnsi="Arial" w:cs="Arial"/>
        </w:rPr>
        <w:t>HR policies are centralized, and employees lack procedural clarity.</w:t>
      </w:r>
    </w:p>
    <w:p w14:paraId="3327A64F" w14:textId="77777777" w:rsidR="009427D5" w:rsidRDefault="002D309F">
      <w:pPr>
        <w:numPr>
          <w:ilvl w:val="0"/>
          <w:numId w:val="3"/>
        </w:numPr>
        <w:spacing w:after="0" w:line="360" w:lineRule="auto"/>
        <w:jc w:val="both"/>
        <w:rPr>
          <w:rFonts w:ascii="Arial" w:hAnsi="Arial" w:cs="Arial"/>
        </w:rPr>
      </w:pPr>
      <w:r>
        <w:rPr>
          <w:rFonts w:ascii="Arial" w:hAnsi="Arial" w:cs="Arial"/>
        </w:rPr>
        <w:t>Development opportunities are limited, and learning systems are not actively promoted.</w:t>
      </w:r>
    </w:p>
    <w:p w14:paraId="13240369" w14:textId="77777777" w:rsidR="009427D5" w:rsidRDefault="009427D5">
      <w:pPr>
        <w:spacing w:after="0" w:line="360" w:lineRule="auto"/>
        <w:jc w:val="both"/>
        <w:rPr>
          <w:rFonts w:ascii="Arial" w:hAnsi="Arial" w:cs="Arial"/>
        </w:rPr>
      </w:pPr>
    </w:p>
    <w:p w14:paraId="67A39D65" w14:textId="77777777" w:rsidR="009427D5" w:rsidRDefault="002D309F">
      <w:pPr>
        <w:spacing w:after="0" w:line="360" w:lineRule="auto"/>
        <w:jc w:val="both"/>
        <w:rPr>
          <w:rFonts w:ascii="Arial" w:hAnsi="Arial" w:cs="Arial"/>
          <w:i/>
          <w:iCs/>
          <w:u w:val="single"/>
        </w:rPr>
      </w:pPr>
      <w:r>
        <w:rPr>
          <w:rFonts w:ascii="Arial" w:hAnsi="Arial" w:cs="Arial"/>
          <w:i/>
          <w:iCs/>
          <w:u w:val="single"/>
        </w:rPr>
        <w:t xml:space="preserve">Discussion </w:t>
      </w:r>
    </w:p>
    <w:p w14:paraId="0ADA2C1F" w14:textId="77777777" w:rsidR="009427D5" w:rsidRDefault="002D309F">
      <w:pPr>
        <w:spacing w:after="0" w:line="360" w:lineRule="auto"/>
        <w:jc w:val="both"/>
        <w:rPr>
          <w:rFonts w:ascii="Arial" w:hAnsi="Arial" w:cs="Arial"/>
        </w:rPr>
      </w:pPr>
      <w:r>
        <w:rPr>
          <w:rFonts w:ascii="Arial" w:hAnsi="Arial" w:cs="Arial"/>
        </w:rPr>
        <w:t>This section conducts a critical examination of the Ibis London Barking case study findings by comparing them with theoretical frameworks and academic research presented in Chapter 2. The placement revealed multiple themes that were examined through existing research to gain better insight into their significance for HR operational excellence.</w:t>
      </w:r>
    </w:p>
    <w:p w14:paraId="6EDB6179" w14:textId="77777777" w:rsidR="009427D5" w:rsidRDefault="009427D5">
      <w:pPr>
        <w:spacing w:after="0" w:line="360" w:lineRule="auto"/>
        <w:jc w:val="both"/>
        <w:rPr>
          <w:rFonts w:ascii="Arial" w:hAnsi="Arial" w:cs="Arial"/>
        </w:rPr>
      </w:pPr>
    </w:p>
    <w:p w14:paraId="71375258" w14:textId="77777777" w:rsidR="009427D5" w:rsidRDefault="002D309F">
      <w:pPr>
        <w:spacing w:after="0" w:line="360" w:lineRule="auto"/>
        <w:jc w:val="both"/>
        <w:rPr>
          <w:rFonts w:ascii="Arial" w:hAnsi="Arial" w:cs="Arial"/>
        </w:rPr>
      </w:pPr>
      <w:r>
        <w:rPr>
          <w:rFonts w:ascii="Arial" w:hAnsi="Arial" w:cs="Arial"/>
        </w:rPr>
        <w:t xml:space="preserve">Onboarding and Training Consistency </w:t>
      </w:r>
    </w:p>
    <w:p w14:paraId="725EEFAE" w14:textId="77777777" w:rsidR="009427D5" w:rsidRDefault="002D309F">
      <w:pPr>
        <w:spacing w:after="0" w:line="360" w:lineRule="auto"/>
        <w:jc w:val="both"/>
        <w:rPr>
          <w:rFonts w:ascii="Arial" w:hAnsi="Arial" w:cs="Arial"/>
        </w:rPr>
      </w:pPr>
      <w:r>
        <w:rPr>
          <w:rFonts w:ascii="Arial" w:hAnsi="Arial" w:cs="Arial"/>
        </w:rPr>
        <w:t xml:space="preserve">The observed inconsistencies in onboarding procedures confirm Wilton's (2022) claim that weak induction structures lead to role ambiguity and diminished early-stage employee performance. Structured onboarding processes are essential for the hospitality sector to maintain service quality and minimize early employee turnover as shown by Chan &amp; Hawkins (2012). Ibis shows inconsistent standards in their front-desk and housekeeping induction processes which </w:t>
      </w:r>
      <w:proofErr w:type="spellStart"/>
      <w:r>
        <w:rPr>
          <w:rFonts w:ascii="Arial" w:hAnsi="Arial" w:cs="Arial"/>
        </w:rPr>
        <w:t>Nickson</w:t>
      </w:r>
      <w:proofErr w:type="spellEnd"/>
      <w:r>
        <w:rPr>
          <w:rFonts w:ascii="Arial" w:hAnsi="Arial" w:cs="Arial"/>
        </w:rPr>
        <w:t xml:space="preserve"> (2013) identifies as a risk factor for fragmented service delivery and weakened employee confidence. New employees need clear orientation combined with practical support to avoid relying on peer advice that leads to inconsistent results.</w:t>
      </w:r>
    </w:p>
    <w:p w14:paraId="3F1DCDD6" w14:textId="77777777" w:rsidR="009427D5" w:rsidRDefault="002D309F">
      <w:pPr>
        <w:spacing w:after="0" w:line="360" w:lineRule="auto"/>
        <w:jc w:val="both"/>
        <w:rPr>
          <w:rFonts w:ascii="Arial" w:hAnsi="Arial" w:cs="Arial"/>
        </w:rPr>
      </w:pPr>
      <w:r>
        <w:rPr>
          <w:rFonts w:ascii="Arial" w:hAnsi="Arial" w:cs="Arial"/>
        </w:rPr>
        <w:t xml:space="preserve">Internal Communication Gaps </w:t>
      </w:r>
    </w:p>
    <w:p w14:paraId="756E6CAC" w14:textId="77777777" w:rsidR="009427D5" w:rsidRDefault="002D309F">
      <w:pPr>
        <w:spacing w:after="0" w:line="360" w:lineRule="auto"/>
        <w:jc w:val="both"/>
        <w:rPr>
          <w:rFonts w:ascii="Arial" w:hAnsi="Arial" w:cs="Arial"/>
        </w:rPr>
      </w:pPr>
      <w:r>
        <w:rPr>
          <w:rFonts w:ascii="Arial" w:hAnsi="Arial" w:cs="Arial"/>
        </w:rPr>
        <w:lastRenderedPageBreak/>
        <w:t xml:space="preserve">Baum et al.'s findings are validated by the absence of strategic internal communication even though briefings and WhatsApp messaging exist. Baum et al.'s (2016) research demonstrates that operational communication needs to progress past simple task-level information sharing. According to </w:t>
      </w:r>
      <w:proofErr w:type="spellStart"/>
      <w:r>
        <w:rPr>
          <w:rFonts w:ascii="Arial" w:hAnsi="Arial" w:cs="Arial"/>
        </w:rPr>
        <w:t>Karatepe</w:t>
      </w:r>
      <w:proofErr w:type="spellEnd"/>
      <w:r>
        <w:rPr>
          <w:rFonts w:ascii="Arial" w:hAnsi="Arial" w:cs="Arial"/>
        </w:rPr>
        <w:t xml:space="preserve"> and </w:t>
      </w:r>
      <w:proofErr w:type="spellStart"/>
      <w:r>
        <w:rPr>
          <w:rFonts w:ascii="Arial" w:hAnsi="Arial" w:cs="Arial"/>
        </w:rPr>
        <w:t>Kilic</w:t>
      </w:r>
      <w:proofErr w:type="spellEnd"/>
      <w:r>
        <w:rPr>
          <w:rFonts w:ascii="Arial" w:hAnsi="Arial" w:cs="Arial"/>
        </w:rPr>
        <w:t xml:space="preserve"> (2007), implementing two-way communication boosts staff morale while minimizing workplace conflicts. Without established mechanisms for employee voice, including formal meetings and suggestion systems the ability to establish feedback loops is limited. Our findings are consistent with those reported by </w:t>
      </w:r>
      <w:proofErr w:type="spellStart"/>
      <w:r>
        <w:rPr>
          <w:rFonts w:ascii="Arial" w:hAnsi="Arial" w:cs="Arial"/>
        </w:rPr>
        <w:t>Giousmpasoglou</w:t>
      </w:r>
      <w:proofErr w:type="spellEnd"/>
      <w:r>
        <w:rPr>
          <w:rFonts w:ascii="Arial" w:hAnsi="Arial" w:cs="Arial"/>
        </w:rPr>
        <w:t xml:space="preserve"> et al. </w:t>
      </w:r>
      <w:proofErr w:type="spellStart"/>
      <w:r>
        <w:rPr>
          <w:rFonts w:ascii="Arial" w:hAnsi="Arial" w:cs="Arial"/>
        </w:rPr>
        <w:t>Giousmpasoglou</w:t>
      </w:r>
      <w:proofErr w:type="spellEnd"/>
      <w:r>
        <w:rPr>
          <w:rFonts w:ascii="Arial" w:hAnsi="Arial" w:cs="Arial"/>
        </w:rPr>
        <w:t xml:space="preserve"> et al. (2021) discovered that staff at budget hotels usually do not have formal channels to communicate with HR departments.</w:t>
      </w:r>
    </w:p>
    <w:p w14:paraId="284BEBD6" w14:textId="77777777" w:rsidR="009427D5" w:rsidRDefault="002D309F">
      <w:pPr>
        <w:spacing w:after="0" w:line="360" w:lineRule="auto"/>
        <w:jc w:val="both"/>
        <w:rPr>
          <w:rFonts w:ascii="Arial" w:hAnsi="Arial" w:cs="Arial"/>
        </w:rPr>
      </w:pPr>
      <w:r>
        <w:rPr>
          <w:rFonts w:ascii="Arial" w:hAnsi="Arial" w:cs="Arial"/>
        </w:rPr>
        <w:t xml:space="preserve">Motivation and Lack of Recognition Systems </w:t>
      </w:r>
    </w:p>
    <w:p w14:paraId="03A3330F" w14:textId="77777777" w:rsidR="009427D5" w:rsidRDefault="002D309F">
      <w:pPr>
        <w:spacing w:after="0" w:line="360" w:lineRule="auto"/>
        <w:jc w:val="both"/>
        <w:rPr>
          <w:rFonts w:ascii="Arial" w:hAnsi="Arial" w:cs="Arial"/>
        </w:rPr>
      </w:pPr>
      <w:proofErr w:type="spellStart"/>
      <w:r>
        <w:rPr>
          <w:rFonts w:ascii="Arial" w:hAnsi="Arial" w:cs="Arial"/>
        </w:rPr>
        <w:t>Herzberg’s</w:t>
      </w:r>
      <w:proofErr w:type="spellEnd"/>
      <w:r>
        <w:rPr>
          <w:rFonts w:ascii="Arial" w:hAnsi="Arial" w:cs="Arial"/>
        </w:rPr>
        <w:t xml:space="preserve"> Two-Factor Theory (1959) demonstrates recognition as an essential motivational factor. The lack of recognition practices at Ibis demonstrates that basic hygiene factors such as salary alone cannot maintain employee engagement. The observation of missing formal reward systems creates a negative impact on sustained employee motivation. </w:t>
      </w:r>
      <w:proofErr w:type="spellStart"/>
      <w:r>
        <w:rPr>
          <w:rFonts w:ascii="Arial" w:hAnsi="Arial" w:cs="Arial"/>
        </w:rPr>
        <w:t>Hoque</w:t>
      </w:r>
      <w:proofErr w:type="spellEnd"/>
      <w:r>
        <w:rPr>
          <w:rFonts w:ascii="Arial" w:hAnsi="Arial" w:cs="Arial"/>
        </w:rPr>
        <w:t xml:space="preserve"> (2013) stated that organizations with high employee turnover must implement structured motivational tools in order to maintain employee morale. Strategic appreciation practices must replace informal peer recognition to maintain value. The observation supports Robbins and Judge's (2019) claim about the necessity of intrinsic incentives for employee engagement and productivity.</w:t>
      </w:r>
    </w:p>
    <w:p w14:paraId="26EA7069" w14:textId="77777777" w:rsidR="009427D5" w:rsidRDefault="002D309F">
      <w:pPr>
        <w:spacing w:after="0" w:line="360" w:lineRule="auto"/>
        <w:jc w:val="both"/>
        <w:rPr>
          <w:rFonts w:ascii="Arial" w:hAnsi="Arial" w:cs="Arial"/>
        </w:rPr>
      </w:pPr>
      <w:r>
        <w:rPr>
          <w:rFonts w:ascii="Arial" w:hAnsi="Arial" w:cs="Arial"/>
        </w:rPr>
        <w:t xml:space="preserve">Minimal Feedback and Performance Support </w:t>
      </w:r>
    </w:p>
    <w:p w14:paraId="0AE73B33" w14:textId="77777777" w:rsidR="009427D5" w:rsidRDefault="002D309F">
      <w:pPr>
        <w:spacing w:after="0" w:line="360" w:lineRule="auto"/>
        <w:jc w:val="both"/>
        <w:rPr>
          <w:rFonts w:ascii="Arial" w:hAnsi="Arial" w:cs="Arial"/>
        </w:rPr>
      </w:pPr>
      <w:r>
        <w:rPr>
          <w:rFonts w:ascii="Arial" w:hAnsi="Arial" w:cs="Arial"/>
        </w:rPr>
        <w:t xml:space="preserve">The research reveals that Ibis does not have established performance evaluation mechanisms. Tracey &amp; </w:t>
      </w:r>
      <w:proofErr w:type="spellStart"/>
      <w:r>
        <w:rPr>
          <w:rFonts w:ascii="Arial" w:hAnsi="Arial" w:cs="Arial"/>
        </w:rPr>
        <w:t>Hinkin</w:t>
      </w:r>
      <w:proofErr w:type="spellEnd"/>
      <w:r>
        <w:rPr>
          <w:rFonts w:ascii="Arial" w:hAnsi="Arial" w:cs="Arial"/>
        </w:rPr>
        <w:t xml:space="preserve"> (2008) state that feedback enhances employee growth and role understanding although Ibis's use of corrective feedback as its primary method risks demotivating its workforce. Paauwe’s 2004 research indicates performance systems must address both control mechanisms and capability enhancement. Employee development opportunities are missing when organizations fail to implement KPIs and regular performance appraisals or one-on-one reviews. When neglected by their organization employees may interpret the lack of developmental opportunities as a sign that they are undervalued.</w:t>
      </w:r>
    </w:p>
    <w:p w14:paraId="63D6B8D7" w14:textId="77777777" w:rsidR="009427D5" w:rsidRDefault="002D309F">
      <w:pPr>
        <w:spacing w:after="0" w:line="360" w:lineRule="auto"/>
        <w:jc w:val="both"/>
        <w:rPr>
          <w:rFonts w:ascii="Arial" w:hAnsi="Arial" w:cs="Arial"/>
        </w:rPr>
      </w:pPr>
      <w:r>
        <w:rPr>
          <w:rFonts w:ascii="Arial" w:hAnsi="Arial" w:cs="Arial"/>
        </w:rPr>
        <w:t xml:space="preserve">Staff Turnover and Lack of Role Clarity </w:t>
      </w:r>
    </w:p>
    <w:p w14:paraId="3F7DFB7A" w14:textId="77777777" w:rsidR="009427D5" w:rsidRDefault="002D309F">
      <w:pPr>
        <w:spacing w:after="0" w:line="360" w:lineRule="auto"/>
        <w:jc w:val="both"/>
        <w:rPr>
          <w:rFonts w:ascii="Arial" w:hAnsi="Arial" w:cs="Arial"/>
        </w:rPr>
      </w:pPr>
      <w:r>
        <w:rPr>
          <w:rFonts w:ascii="Arial" w:hAnsi="Arial" w:cs="Arial"/>
        </w:rPr>
        <w:t xml:space="preserve">The resignations along with unclear work responsibilities endorse Baum’s (2020) argument that budget hotels experience high staff turnover because of repetitive work, limited career advancement opportunities and emotional burnout. </w:t>
      </w:r>
      <w:proofErr w:type="spellStart"/>
      <w:r>
        <w:rPr>
          <w:rFonts w:ascii="Arial" w:hAnsi="Arial" w:cs="Arial"/>
        </w:rPr>
        <w:t>Solnet</w:t>
      </w:r>
      <w:proofErr w:type="spellEnd"/>
      <w:r>
        <w:rPr>
          <w:rFonts w:ascii="Arial" w:hAnsi="Arial" w:cs="Arial"/>
        </w:rPr>
        <w:t xml:space="preserve"> et al. </w:t>
      </w:r>
      <w:r>
        <w:rPr>
          <w:rFonts w:ascii="Arial" w:hAnsi="Arial" w:cs="Arial"/>
        </w:rPr>
        <w:lastRenderedPageBreak/>
        <w:t xml:space="preserve">According to </w:t>
      </w:r>
      <w:proofErr w:type="spellStart"/>
      <w:r>
        <w:rPr>
          <w:rFonts w:ascii="Arial" w:hAnsi="Arial" w:cs="Arial"/>
        </w:rPr>
        <w:t>Solnet</w:t>
      </w:r>
      <w:proofErr w:type="spellEnd"/>
      <w:r>
        <w:rPr>
          <w:rFonts w:ascii="Arial" w:hAnsi="Arial" w:cs="Arial"/>
        </w:rPr>
        <w:t xml:space="preserve"> et al. (2015) when employees engage in multitasking without proper cross-training it results in both increased stress levels and reduced work efficiency. Lean teams need flexibility, but this requirement depends on training frameworks to ensure it is properly planned and implemented. Without proper support systems staff morale declines and customer service quality will diminish. The Ibis case study demonstrates these risks particularly because multitasking happened reactively instead of through strategic planning.</w:t>
      </w:r>
    </w:p>
    <w:p w14:paraId="5F255C52" w14:textId="77777777" w:rsidR="009427D5" w:rsidRDefault="002D309F">
      <w:pPr>
        <w:spacing w:after="0" w:line="360" w:lineRule="auto"/>
        <w:jc w:val="both"/>
        <w:rPr>
          <w:rFonts w:ascii="Arial" w:hAnsi="Arial" w:cs="Arial"/>
        </w:rPr>
      </w:pPr>
      <w:r>
        <w:rPr>
          <w:rFonts w:ascii="Arial" w:hAnsi="Arial" w:cs="Arial"/>
        </w:rPr>
        <w:t xml:space="preserve">HR Policy Disconnection </w:t>
      </w:r>
    </w:p>
    <w:p w14:paraId="3753B04C" w14:textId="77777777" w:rsidR="009427D5" w:rsidRDefault="002D309F">
      <w:pPr>
        <w:spacing w:after="0" w:line="360" w:lineRule="auto"/>
        <w:jc w:val="both"/>
        <w:rPr>
          <w:rFonts w:ascii="Arial" w:hAnsi="Arial" w:cs="Arial"/>
        </w:rPr>
      </w:pPr>
      <w:proofErr w:type="spellStart"/>
      <w:r>
        <w:rPr>
          <w:rFonts w:ascii="Arial" w:hAnsi="Arial" w:cs="Arial"/>
        </w:rPr>
        <w:t>Boxall</w:t>
      </w:r>
      <w:proofErr w:type="spellEnd"/>
      <w:r>
        <w:rPr>
          <w:rFonts w:ascii="Arial" w:hAnsi="Arial" w:cs="Arial"/>
        </w:rPr>
        <w:t xml:space="preserve"> and Purcell’s (2016) concept of “HRM in practice” explains how strategic policies often fail to reach front-line staff as shown by the discovery that numerous employees lacked knowledge of formal HR procedures. HR functions centralization within the Accor group results in local problems being escalated instead of being resolved locally which diminishes response speed. Lucas &amp; </w:t>
      </w:r>
      <w:proofErr w:type="spellStart"/>
      <w:r>
        <w:rPr>
          <w:rFonts w:ascii="Arial" w:hAnsi="Arial" w:cs="Arial"/>
        </w:rPr>
        <w:t>Deery</w:t>
      </w:r>
      <w:proofErr w:type="spellEnd"/>
      <w:r>
        <w:rPr>
          <w:rFonts w:ascii="Arial" w:hAnsi="Arial" w:cs="Arial"/>
        </w:rPr>
        <w:t xml:space="preserve"> (2004) discovered that inaccessible or poorly communicated policies lead to employee disengagement while reducing both trust and procedural transparency.</w:t>
      </w:r>
    </w:p>
    <w:p w14:paraId="209F2CC7" w14:textId="77777777" w:rsidR="009427D5" w:rsidRDefault="009427D5">
      <w:pPr>
        <w:spacing w:after="0" w:line="360" w:lineRule="auto"/>
        <w:jc w:val="both"/>
        <w:rPr>
          <w:rFonts w:ascii="Arial" w:hAnsi="Arial" w:cs="Arial"/>
        </w:rPr>
      </w:pPr>
    </w:p>
    <w:p w14:paraId="1585879E" w14:textId="77777777" w:rsidR="009427D5" w:rsidRDefault="002D309F">
      <w:pPr>
        <w:pStyle w:val="Heading1"/>
      </w:pPr>
      <w:bookmarkStart w:id="7" w:name="_Toc198565152"/>
      <w:r>
        <w:t>Limited Learning and Development Access</w:t>
      </w:r>
      <w:bookmarkEnd w:id="7"/>
      <w:r>
        <w:t xml:space="preserve"> </w:t>
      </w:r>
    </w:p>
    <w:p w14:paraId="3EB06A27" w14:textId="77777777" w:rsidR="009427D5" w:rsidRDefault="002D309F">
      <w:r>
        <w:rPr>
          <w:noProof/>
        </w:rPr>
        <w:drawing>
          <wp:inline distT="0" distB="0" distL="0" distR="0" wp14:anchorId="40602FA1" wp14:editId="451013FF">
            <wp:extent cx="5951729" cy="2617817"/>
            <wp:effectExtent l="0" t="0" r="0" b="0"/>
            <wp:docPr id="986431170" name="Picture 1" descr="A person looking at the camera&#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51729" cy="2617817"/>
                    </a:xfrm>
                    <a:prstGeom prst="rect">
                      <a:avLst/>
                    </a:prstGeom>
                    <a:noFill/>
                    <a:ln>
                      <a:noFill/>
                      <a:prstDash/>
                    </a:ln>
                  </pic:spPr>
                </pic:pic>
              </a:graphicData>
            </a:graphic>
          </wp:inline>
        </w:drawing>
      </w:r>
    </w:p>
    <w:p w14:paraId="10E52506" w14:textId="77777777" w:rsidR="009427D5" w:rsidRDefault="002D309F">
      <w:r>
        <w:t xml:space="preserve">                                                                              (Created by learner)</w:t>
      </w:r>
    </w:p>
    <w:p w14:paraId="41CA1C44" w14:textId="77777777" w:rsidR="009427D5" w:rsidRDefault="002D309F">
      <w:pPr>
        <w:spacing w:after="0" w:line="360" w:lineRule="auto"/>
        <w:jc w:val="both"/>
        <w:rPr>
          <w:rFonts w:ascii="Arial" w:hAnsi="Arial" w:cs="Arial"/>
        </w:rPr>
      </w:pPr>
      <w:r>
        <w:rPr>
          <w:rFonts w:ascii="Arial" w:hAnsi="Arial" w:cs="Arial"/>
        </w:rPr>
        <w:t xml:space="preserve">At Ibis the presence of e-learning platforms has not been maximized because employees face time limitations and lack sufficient motivation to use them. </w:t>
      </w:r>
      <w:proofErr w:type="spellStart"/>
      <w:r>
        <w:rPr>
          <w:rFonts w:ascii="Arial" w:hAnsi="Arial" w:cs="Arial"/>
        </w:rPr>
        <w:t>Lashley</w:t>
      </w:r>
      <w:proofErr w:type="spellEnd"/>
      <w:r>
        <w:rPr>
          <w:rFonts w:ascii="Arial" w:hAnsi="Arial" w:cs="Arial"/>
        </w:rPr>
        <w:t xml:space="preserve"> (2001) together with Bowen &amp; </w:t>
      </w:r>
      <w:proofErr w:type="spellStart"/>
      <w:r>
        <w:rPr>
          <w:rFonts w:ascii="Arial" w:hAnsi="Arial" w:cs="Arial"/>
        </w:rPr>
        <w:t>Lawler</w:t>
      </w:r>
      <w:proofErr w:type="spellEnd"/>
      <w:r>
        <w:rPr>
          <w:rFonts w:ascii="Arial" w:hAnsi="Arial" w:cs="Arial"/>
        </w:rPr>
        <w:t xml:space="preserve"> (1992) maintained that staff members need </w:t>
      </w:r>
      <w:r>
        <w:rPr>
          <w:rFonts w:ascii="Arial" w:hAnsi="Arial" w:cs="Arial"/>
        </w:rPr>
        <w:lastRenderedPageBreak/>
        <w:t xml:space="preserve">direct access to development paths to develop a sense of investment. Weak retention and stagnant skills develop from missing in-person training and mentorship programs along with absent internal promotion plans. </w:t>
      </w:r>
      <w:proofErr w:type="spellStart"/>
      <w:r>
        <w:rPr>
          <w:rFonts w:ascii="Arial" w:hAnsi="Arial" w:cs="Arial"/>
        </w:rPr>
        <w:t>Herzberg’s</w:t>
      </w:r>
      <w:proofErr w:type="spellEnd"/>
      <w:r>
        <w:rPr>
          <w:rFonts w:ascii="Arial" w:hAnsi="Arial" w:cs="Arial"/>
        </w:rPr>
        <w:t xml:space="preserve"> theory identifies career progression as a fundamental motivational factor but employees at Ibis experience minimal growth opportunities.</w:t>
      </w:r>
    </w:p>
    <w:p w14:paraId="01AB2251" w14:textId="77777777" w:rsidR="009427D5" w:rsidRDefault="002D309F">
      <w:pPr>
        <w:spacing w:after="0" w:line="360" w:lineRule="auto"/>
        <w:jc w:val="both"/>
        <w:rPr>
          <w:rFonts w:ascii="Arial" w:hAnsi="Arial" w:cs="Arial"/>
        </w:rPr>
      </w:pPr>
      <w:r>
        <w:rPr>
          <w:rFonts w:ascii="Arial" w:hAnsi="Arial" w:cs="Arial"/>
        </w:rPr>
        <w:t xml:space="preserve">Connecting Theory to Practice </w:t>
      </w:r>
    </w:p>
    <w:p w14:paraId="1D502717" w14:textId="77777777" w:rsidR="009427D5" w:rsidRDefault="002D309F">
      <w:pPr>
        <w:spacing w:after="0" w:line="360" w:lineRule="auto"/>
        <w:jc w:val="both"/>
        <w:rPr>
          <w:rFonts w:ascii="Arial" w:hAnsi="Arial" w:cs="Arial"/>
        </w:rPr>
      </w:pPr>
      <w:r>
        <w:rPr>
          <w:rFonts w:ascii="Arial" w:hAnsi="Arial" w:cs="Arial"/>
        </w:rPr>
        <w:t xml:space="preserve">The analyzed themes demonstrate an evident disconnect between HR theoretical frameworks and their practical implementation at Ibis. The high-performance HR systems formulated by </w:t>
      </w:r>
      <w:proofErr w:type="spellStart"/>
      <w:r>
        <w:rPr>
          <w:rFonts w:ascii="Arial" w:hAnsi="Arial" w:cs="Arial"/>
        </w:rPr>
        <w:t>Delery</w:t>
      </w:r>
      <w:proofErr w:type="spellEnd"/>
      <w:r>
        <w:rPr>
          <w:rFonts w:ascii="Arial" w:hAnsi="Arial" w:cs="Arial"/>
        </w:rPr>
        <w:t xml:space="preserve"> &amp; Doty (1996) emphasize integrated approaches to training, appraisal, and communication but the Ibis case shows that such integration occurs only partially or inconsistently. The research shows that HR practices at Ibis prioritize operational demands above employee development. The operational environment's state deteriorates service delivery and challenges operational excellence according to definitions by </w:t>
      </w:r>
      <w:proofErr w:type="spellStart"/>
      <w:r>
        <w:rPr>
          <w:rFonts w:ascii="Arial" w:hAnsi="Arial" w:cs="Arial"/>
        </w:rPr>
        <w:t>Nickson</w:t>
      </w:r>
      <w:proofErr w:type="spellEnd"/>
      <w:r>
        <w:rPr>
          <w:rFonts w:ascii="Arial" w:hAnsi="Arial" w:cs="Arial"/>
        </w:rPr>
        <w:t xml:space="preserve"> (2013) and Baum (2020).</w:t>
      </w:r>
    </w:p>
    <w:p w14:paraId="26F85089" w14:textId="77777777" w:rsidR="009427D5" w:rsidRDefault="002D309F">
      <w:pPr>
        <w:spacing w:after="0" w:line="360" w:lineRule="auto"/>
        <w:jc w:val="both"/>
        <w:rPr>
          <w:rFonts w:ascii="Arial" w:hAnsi="Arial" w:cs="Arial"/>
        </w:rPr>
      </w:pPr>
      <w:r>
        <w:rPr>
          <w:rFonts w:ascii="Arial" w:hAnsi="Arial" w:cs="Arial"/>
        </w:rPr>
        <w:t xml:space="preserve">Research conducted by </w:t>
      </w:r>
      <w:proofErr w:type="spellStart"/>
      <w:r>
        <w:rPr>
          <w:rFonts w:ascii="Arial" w:hAnsi="Arial" w:cs="Arial"/>
        </w:rPr>
        <w:t>Malhotra</w:t>
      </w:r>
      <w:proofErr w:type="spellEnd"/>
      <w:r>
        <w:rPr>
          <w:rFonts w:ascii="Arial" w:hAnsi="Arial" w:cs="Arial"/>
        </w:rPr>
        <w:t xml:space="preserve"> and </w:t>
      </w:r>
      <w:proofErr w:type="spellStart"/>
      <w:r>
        <w:rPr>
          <w:rFonts w:ascii="Arial" w:hAnsi="Arial" w:cs="Arial"/>
        </w:rPr>
        <w:t>Mukherjee</w:t>
      </w:r>
      <w:proofErr w:type="spellEnd"/>
      <w:r>
        <w:rPr>
          <w:rFonts w:ascii="Arial" w:hAnsi="Arial" w:cs="Arial"/>
        </w:rPr>
        <w:t xml:space="preserve"> (2004) confirms that the disconnect between HR frameworks and real-world application often results from a lack of employee consultation during policy creation. Similarly, </w:t>
      </w:r>
      <w:proofErr w:type="spellStart"/>
      <w:r>
        <w:rPr>
          <w:rFonts w:ascii="Arial" w:hAnsi="Arial" w:cs="Arial"/>
        </w:rPr>
        <w:t>Christou</w:t>
      </w:r>
      <w:proofErr w:type="spellEnd"/>
      <w:r>
        <w:rPr>
          <w:rFonts w:ascii="Arial" w:hAnsi="Arial" w:cs="Arial"/>
        </w:rPr>
        <w:t xml:space="preserve"> (2011) found that hospitality employees are more responsive to HR strategies when policies are co-designed and reinforced through continuous feedback. In service-intensive environments, proactive HR alignment is crucial. According to Chiang et al. (2014), organizations that frequently audit HR effectiveness using frontline input report higher employee retention and operational efficiency. These audits bridge the gap between corporate HR plans and departmental realities. Furthermore, empirical evidence by </w:t>
      </w:r>
      <w:proofErr w:type="spellStart"/>
      <w:r>
        <w:rPr>
          <w:rFonts w:ascii="Arial" w:hAnsi="Arial" w:cs="Arial"/>
        </w:rPr>
        <w:t>Deery</w:t>
      </w:r>
      <w:proofErr w:type="spellEnd"/>
      <w:r>
        <w:rPr>
          <w:rFonts w:ascii="Arial" w:hAnsi="Arial" w:cs="Arial"/>
        </w:rPr>
        <w:t xml:space="preserve"> and </w:t>
      </w:r>
      <w:proofErr w:type="spellStart"/>
      <w:r>
        <w:rPr>
          <w:rFonts w:ascii="Arial" w:hAnsi="Arial" w:cs="Arial"/>
        </w:rPr>
        <w:t>Jago</w:t>
      </w:r>
      <w:proofErr w:type="spellEnd"/>
      <w:r>
        <w:rPr>
          <w:rFonts w:ascii="Arial" w:hAnsi="Arial" w:cs="Arial"/>
        </w:rPr>
        <w:t xml:space="preserve"> (2015) highlights that role ambiguity common in under-resourced hotels can be reduced by combining HR training with job design practices. Also, Jin et al. (2012) suggest that real-time HR data analytics help predict turnover trends and guide localized retention strategies in budget hotel settings. Lastly, </w:t>
      </w:r>
      <w:proofErr w:type="spellStart"/>
      <w:r>
        <w:rPr>
          <w:rFonts w:ascii="Arial" w:hAnsi="Arial" w:cs="Arial"/>
        </w:rPr>
        <w:t>Yavas</w:t>
      </w:r>
      <w:proofErr w:type="spellEnd"/>
      <w:r>
        <w:rPr>
          <w:rFonts w:ascii="Arial" w:hAnsi="Arial" w:cs="Arial"/>
        </w:rPr>
        <w:t xml:space="preserve"> et al. (2008) stress that in emotionally demanding roles, such as housekeeping or front desk, HR excellence depends on both structural policy clarity and immediate supervisory support, which together foster job satisfaction and reduce stress-induced absenteeism.</w:t>
      </w:r>
    </w:p>
    <w:p w14:paraId="1F366493" w14:textId="77777777" w:rsidR="009427D5" w:rsidRDefault="002D309F">
      <w:pPr>
        <w:pStyle w:val="Heading1"/>
      </w:pPr>
      <w:bookmarkStart w:id="8" w:name="_Toc198565153"/>
      <w:r>
        <w:lastRenderedPageBreak/>
        <w:t>Impact on HR Operational Excellence</w:t>
      </w:r>
      <w:bookmarkEnd w:id="8"/>
      <w:r>
        <w:t xml:space="preserve"> </w:t>
      </w:r>
    </w:p>
    <w:p w14:paraId="04BD15DA" w14:textId="77777777" w:rsidR="009427D5" w:rsidRDefault="002D309F">
      <w:pPr>
        <w:spacing w:after="0" w:line="360" w:lineRule="auto"/>
        <w:jc w:val="both"/>
        <w:rPr>
          <w:rFonts w:ascii="Arial" w:hAnsi="Arial" w:cs="Arial"/>
        </w:rPr>
      </w:pPr>
      <w:r>
        <w:rPr>
          <w:rFonts w:ascii="Arial" w:hAnsi="Arial" w:cs="Arial"/>
        </w:rPr>
        <w:t>Achieving HR operational excellence from a strategic viewpoint demands the integration of human resources with systems and organizational goals (</w:t>
      </w:r>
      <w:proofErr w:type="spellStart"/>
      <w:r>
        <w:rPr>
          <w:rFonts w:ascii="Arial" w:hAnsi="Arial" w:cs="Arial"/>
        </w:rPr>
        <w:t>Boxall</w:t>
      </w:r>
      <w:proofErr w:type="spellEnd"/>
      <w:r>
        <w:rPr>
          <w:rFonts w:ascii="Arial" w:hAnsi="Arial" w:cs="Arial"/>
        </w:rPr>
        <w:t xml:space="preserve"> &amp; Purcell, 2016). Ibis frontline staff show strong commitment and flexibility, yet the HR practices require further reinforcement. HR cannot maintain high standards without performance reviews, feedback loops, and career planning mechanisms. According to Paauwe (2004) long-term human resources success depends on both structural systems and employee engagement. Employees who remain committed will struggle in their performance or feel compelled to leave if they do not receive sufficient support.</w:t>
      </w:r>
    </w:p>
    <w:p w14:paraId="64FBF362" w14:textId="77777777" w:rsidR="009427D5" w:rsidRDefault="002D309F">
      <w:pPr>
        <w:spacing w:after="0" w:line="360" w:lineRule="auto"/>
        <w:jc w:val="both"/>
        <w:rPr>
          <w:rFonts w:ascii="Arial" w:hAnsi="Arial" w:cs="Arial"/>
        </w:rPr>
      </w:pPr>
      <w:r>
        <w:rPr>
          <w:rFonts w:ascii="Arial" w:hAnsi="Arial" w:cs="Arial"/>
        </w:rPr>
        <w:t xml:space="preserve">Sector-Specific Considerations </w:t>
      </w:r>
    </w:p>
    <w:p w14:paraId="30B4D05E" w14:textId="77777777" w:rsidR="009427D5" w:rsidRDefault="002D309F">
      <w:pPr>
        <w:spacing w:after="0" w:line="360" w:lineRule="auto"/>
        <w:jc w:val="both"/>
        <w:rPr>
          <w:rFonts w:ascii="Arial" w:hAnsi="Arial" w:cs="Arial"/>
        </w:rPr>
      </w:pPr>
      <w:r>
        <w:rPr>
          <w:rFonts w:ascii="Arial" w:hAnsi="Arial" w:cs="Arial"/>
        </w:rPr>
        <w:t xml:space="preserve">Budget hotels face amplified difficulties because they operate with narrow profit margins while striving to meet high occupancy goals and work with minimal HR staff. The findings support </w:t>
      </w:r>
      <w:proofErr w:type="spellStart"/>
      <w:r>
        <w:rPr>
          <w:rFonts w:ascii="Arial" w:hAnsi="Arial" w:cs="Arial"/>
        </w:rPr>
        <w:t>Giousmpasoglou</w:t>
      </w:r>
      <w:proofErr w:type="spellEnd"/>
      <w:r>
        <w:rPr>
          <w:rFonts w:ascii="Arial" w:hAnsi="Arial" w:cs="Arial"/>
        </w:rPr>
        <w:t xml:space="preserve"> et al. </w:t>
      </w:r>
      <w:proofErr w:type="spellStart"/>
      <w:r>
        <w:rPr>
          <w:rFonts w:ascii="Arial" w:hAnsi="Arial" w:cs="Arial"/>
        </w:rPr>
        <w:t>Giousmpasoglou</w:t>
      </w:r>
      <w:proofErr w:type="spellEnd"/>
      <w:r>
        <w:rPr>
          <w:rFonts w:ascii="Arial" w:hAnsi="Arial" w:cs="Arial"/>
        </w:rPr>
        <w:t xml:space="preserve"> et al. (2021) emphasize that HR strategies in this sector require both agility and a focus on employees. The Ibis hotel case reveals that employee motivation alone cannot sustain performance without systems that provide learning opportunities and feedback and recognition strategies.</w:t>
      </w:r>
    </w:p>
    <w:p w14:paraId="23AA70DB" w14:textId="77777777" w:rsidR="009427D5" w:rsidRDefault="002D309F">
      <w:pPr>
        <w:pStyle w:val="Heading1"/>
      </w:pPr>
      <w:bookmarkStart w:id="9" w:name="_Toc198565154"/>
      <w:r>
        <w:t>Discussion Summary</w:t>
      </w:r>
      <w:bookmarkEnd w:id="9"/>
      <w:r>
        <w:t xml:space="preserve"> </w:t>
      </w:r>
    </w:p>
    <w:p w14:paraId="5CB838B4" w14:textId="77777777" w:rsidR="009427D5" w:rsidRDefault="002D309F">
      <w:pPr>
        <w:spacing w:after="0" w:line="360" w:lineRule="auto"/>
        <w:jc w:val="both"/>
        <w:rPr>
          <w:rFonts w:ascii="Arial" w:hAnsi="Arial" w:cs="Arial"/>
        </w:rPr>
      </w:pPr>
      <w:r>
        <w:rPr>
          <w:rFonts w:ascii="Arial" w:hAnsi="Arial" w:cs="Arial"/>
        </w:rPr>
        <w:t>The case of Ibis London Barking reflects a common reality in the midscale hotel sector: The workforce at Ibis London Barking demonstrates strong dedication yet faces inadequate and sporadic HR support systems. The study results validate research findings which show that employee onboarding processes together with feedback mechanisms and recognition systems are vital for development. Ibis excels in operational agility and informal teamwork but requires structured HR systems to maintain performance levels. Long-term operational excellence depends on effectively connecting HR policy with frontline practice.</w:t>
      </w:r>
    </w:p>
    <w:p w14:paraId="2264459B" w14:textId="77777777" w:rsidR="009427D5" w:rsidRDefault="002D309F">
      <w:pPr>
        <w:pStyle w:val="Heading1"/>
      </w:pPr>
      <w:bookmarkStart w:id="10" w:name="_Toc198565155"/>
      <w:r>
        <w:t>Conclusion</w:t>
      </w:r>
      <w:bookmarkEnd w:id="10"/>
    </w:p>
    <w:p w14:paraId="7BCF1A94" w14:textId="77777777" w:rsidR="009427D5" w:rsidRDefault="002D309F">
      <w:pPr>
        <w:spacing w:after="0" w:line="360" w:lineRule="auto"/>
        <w:jc w:val="both"/>
        <w:rPr>
          <w:rFonts w:ascii="Arial" w:hAnsi="Arial" w:cs="Arial"/>
        </w:rPr>
      </w:pPr>
      <w:r>
        <w:rPr>
          <w:rFonts w:ascii="Arial" w:hAnsi="Arial" w:cs="Arial"/>
        </w:rPr>
        <w:t xml:space="preserve">Ibis London Barking research proved that HR operational excellence in budget hotel settings depends critically on employee engagement. Operational success requires strategic HR systems alongside the interpretation, reception and application of these </w:t>
      </w:r>
      <w:r>
        <w:rPr>
          <w:rFonts w:ascii="Arial" w:hAnsi="Arial" w:cs="Arial"/>
        </w:rPr>
        <w:lastRenderedPageBreak/>
        <w:t xml:space="preserve">systems by front-line employees. This final section summarizes the study's main findings while showing how they apply to HRM research and practical use in the hospitality industry. The placement revealed inconsistent onboarding and training procedures throughout various departments. The front-desk team underwent a formal induction program while housekeeping personnel depended on informal training from their peers. Research by Wilton (2022) alongside Chan and Hawkins (2012) reveals that inconsistent onboarding practices produce role confusion and inefficiency which result in elevated early-stage employee turnover. The inconsistency in onboarding processes shows a division between central HR planning and its execution at the local level which supports </w:t>
      </w:r>
      <w:proofErr w:type="spellStart"/>
      <w:r>
        <w:rPr>
          <w:rFonts w:ascii="Arial" w:hAnsi="Arial" w:cs="Arial"/>
        </w:rPr>
        <w:t>Boxall</w:t>
      </w:r>
      <w:proofErr w:type="spellEnd"/>
      <w:r>
        <w:rPr>
          <w:rFonts w:ascii="Arial" w:hAnsi="Arial" w:cs="Arial"/>
        </w:rPr>
        <w:t xml:space="preserve"> and Purcell’s (2016) argument about practical HRM diverging from theoretical policy goals.</w:t>
      </w:r>
    </w:p>
    <w:p w14:paraId="533BA6B6" w14:textId="77777777" w:rsidR="009427D5" w:rsidRDefault="002D309F">
      <w:pPr>
        <w:spacing w:after="0" w:line="360" w:lineRule="auto"/>
        <w:jc w:val="both"/>
        <w:rPr>
          <w:rFonts w:ascii="Arial" w:hAnsi="Arial" w:cs="Arial"/>
        </w:rPr>
      </w:pPr>
      <w:r>
        <w:rPr>
          <w:rFonts w:ascii="Arial" w:hAnsi="Arial" w:cs="Arial"/>
        </w:rPr>
        <w:t xml:space="preserve">Internal communication emerged as another major concern. Daily briefings along with informal platforms like WhatsApp did not achieve the necessary level of coordination between departments or facilitate proper employee feedback. As pointed out by Baum et al. According to Baum et al. (2016) and </w:t>
      </w:r>
      <w:proofErr w:type="spellStart"/>
      <w:r>
        <w:rPr>
          <w:rFonts w:ascii="Arial" w:hAnsi="Arial" w:cs="Arial"/>
        </w:rPr>
        <w:t>Karatepe</w:t>
      </w:r>
      <w:proofErr w:type="spellEnd"/>
      <w:r>
        <w:rPr>
          <w:rFonts w:ascii="Arial" w:hAnsi="Arial" w:cs="Arial"/>
        </w:rPr>
        <w:t xml:space="preserve"> and </w:t>
      </w:r>
      <w:proofErr w:type="spellStart"/>
      <w:r>
        <w:rPr>
          <w:rFonts w:ascii="Arial" w:hAnsi="Arial" w:cs="Arial"/>
        </w:rPr>
        <w:t>Kilic</w:t>
      </w:r>
      <w:proofErr w:type="spellEnd"/>
      <w:r>
        <w:rPr>
          <w:rFonts w:ascii="Arial" w:hAnsi="Arial" w:cs="Arial"/>
        </w:rPr>
        <w:t xml:space="preserve"> (2007) multidirectional communication is essential for boosting employee engagement and conflict reduction. Employee participation in operational enhancements and team unity faced limitations at Ibis because of restricted feedback flow with a specific lack of upward communication.</w:t>
      </w:r>
    </w:p>
    <w:p w14:paraId="32777334" w14:textId="77777777" w:rsidR="009427D5" w:rsidRDefault="002D309F">
      <w:pPr>
        <w:spacing w:after="0" w:line="360" w:lineRule="auto"/>
        <w:jc w:val="both"/>
        <w:rPr>
          <w:rFonts w:ascii="Arial" w:hAnsi="Arial" w:cs="Arial"/>
        </w:rPr>
      </w:pPr>
      <w:r>
        <w:rPr>
          <w:rFonts w:ascii="Arial" w:hAnsi="Arial" w:cs="Arial"/>
        </w:rPr>
        <w:t xml:space="preserve">Motivation and recognition deficiencies were also apparent. Employee statements showed that not having formal recognition programs such as ‘Employee of the Month’ was demotivating and this conclusion aligns with </w:t>
      </w:r>
      <w:proofErr w:type="spellStart"/>
      <w:r>
        <w:rPr>
          <w:rFonts w:ascii="Arial" w:hAnsi="Arial" w:cs="Arial"/>
        </w:rPr>
        <w:t>Herzberg's</w:t>
      </w:r>
      <w:proofErr w:type="spellEnd"/>
      <w:r>
        <w:rPr>
          <w:rFonts w:ascii="Arial" w:hAnsi="Arial" w:cs="Arial"/>
        </w:rPr>
        <w:t xml:space="preserve"> Two-Factor Theory from 1959. Informal peer support had a positive impact on morale but could not adequately replace structured incentive systems. The research confirms </w:t>
      </w:r>
      <w:proofErr w:type="spellStart"/>
      <w:r>
        <w:rPr>
          <w:rFonts w:ascii="Arial" w:hAnsi="Arial" w:cs="Arial"/>
        </w:rPr>
        <w:t>Hoque’s</w:t>
      </w:r>
      <w:proofErr w:type="spellEnd"/>
      <w:r>
        <w:rPr>
          <w:rFonts w:ascii="Arial" w:hAnsi="Arial" w:cs="Arial"/>
        </w:rPr>
        <w:t xml:space="preserve"> (2013) discovery that intrinsic motivation plays a vital role in environments with high employee turnover such as budget hotels.</w:t>
      </w:r>
    </w:p>
    <w:p w14:paraId="2B8B58A0" w14:textId="77777777" w:rsidR="009427D5" w:rsidRDefault="002D309F">
      <w:pPr>
        <w:spacing w:after="0" w:line="360" w:lineRule="auto"/>
        <w:jc w:val="both"/>
        <w:rPr>
          <w:rFonts w:ascii="Arial" w:hAnsi="Arial" w:cs="Arial"/>
        </w:rPr>
      </w:pPr>
      <w:r>
        <w:rPr>
          <w:rFonts w:ascii="Arial" w:hAnsi="Arial" w:cs="Arial"/>
        </w:rPr>
        <w:t xml:space="preserve">A key finding indicated a deficiency in structured performance feedback systems. Most feedback appeared to be corrective in nature and informal without any developmental purpose. The lack of written performance reviews and appraisals goes against HR best practices described by Paauwe (2004) and Tracey &amp; </w:t>
      </w:r>
      <w:proofErr w:type="spellStart"/>
      <w:r>
        <w:rPr>
          <w:rFonts w:ascii="Arial" w:hAnsi="Arial" w:cs="Arial"/>
        </w:rPr>
        <w:t>Hinkin</w:t>
      </w:r>
      <w:proofErr w:type="spellEnd"/>
      <w:r>
        <w:rPr>
          <w:rFonts w:ascii="Arial" w:hAnsi="Arial" w:cs="Arial"/>
        </w:rPr>
        <w:t xml:space="preserve"> (2008) who emphasize structured feedback systems as fundamental to developing employee capabilities and retaining staff. The absence of clear performance expectations and career advancement paths made staff members feel </w:t>
      </w:r>
      <w:proofErr w:type="spellStart"/>
      <w:r>
        <w:rPr>
          <w:rFonts w:ascii="Arial" w:hAnsi="Arial" w:cs="Arial"/>
        </w:rPr>
        <w:t>underappreciated</w:t>
      </w:r>
      <w:proofErr w:type="spellEnd"/>
      <w:r>
        <w:rPr>
          <w:rFonts w:ascii="Arial" w:hAnsi="Arial" w:cs="Arial"/>
        </w:rPr>
        <w:t xml:space="preserve"> and directionless.</w:t>
      </w:r>
    </w:p>
    <w:p w14:paraId="1BD3B796" w14:textId="77777777" w:rsidR="009427D5" w:rsidRDefault="002D309F">
      <w:pPr>
        <w:spacing w:after="0" w:line="360" w:lineRule="auto"/>
        <w:jc w:val="both"/>
        <w:rPr>
          <w:rFonts w:ascii="Arial" w:hAnsi="Arial" w:cs="Arial"/>
        </w:rPr>
      </w:pPr>
      <w:r>
        <w:rPr>
          <w:rFonts w:ascii="Arial" w:hAnsi="Arial" w:cs="Arial"/>
        </w:rPr>
        <w:lastRenderedPageBreak/>
        <w:t xml:space="preserve">The organization showed substantial deficiencies in role clarity and job satisfaction because of the high staff turnover rates together with task confusion and inadequate cross-training opportunities. Staff regularly complete tasks beyond their official duties without adequate preparation. The problem demonstrates support for the conclusions drawn by </w:t>
      </w:r>
      <w:proofErr w:type="spellStart"/>
      <w:r>
        <w:rPr>
          <w:rFonts w:ascii="Arial" w:hAnsi="Arial" w:cs="Arial"/>
        </w:rPr>
        <w:t>Solnet</w:t>
      </w:r>
      <w:proofErr w:type="spellEnd"/>
      <w:r>
        <w:rPr>
          <w:rFonts w:ascii="Arial" w:hAnsi="Arial" w:cs="Arial"/>
        </w:rPr>
        <w:t xml:space="preserve"> et al. According to research by </w:t>
      </w:r>
      <w:proofErr w:type="spellStart"/>
      <w:r>
        <w:rPr>
          <w:rFonts w:ascii="Arial" w:hAnsi="Arial" w:cs="Arial"/>
        </w:rPr>
        <w:t>Solnet</w:t>
      </w:r>
      <w:proofErr w:type="spellEnd"/>
      <w:r>
        <w:rPr>
          <w:rFonts w:ascii="Arial" w:hAnsi="Arial" w:cs="Arial"/>
        </w:rPr>
        <w:t xml:space="preserve"> et al. (2015), multitasking without a structured framework contributes to both stress and inefficient work practices. The absence of promotion paths generated significant dissatisfaction among junior employees who sought professional advancement. Employee retention depends on empowerment and skill development according to </w:t>
      </w:r>
      <w:proofErr w:type="spellStart"/>
      <w:r>
        <w:rPr>
          <w:rFonts w:ascii="Arial" w:hAnsi="Arial" w:cs="Arial"/>
        </w:rPr>
        <w:t>Lashley’s</w:t>
      </w:r>
      <w:proofErr w:type="spellEnd"/>
      <w:r>
        <w:rPr>
          <w:rFonts w:ascii="Arial" w:hAnsi="Arial" w:cs="Arial"/>
        </w:rPr>
        <w:t xml:space="preserve"> perspective from 2001.</w:t>
      </w:r>
    </w:p>
    <w:p w14:paraId="2436B795" w14:textId="77777777" w:rsidR="009427D5" w:rsidRDefault="002D309F">
      <w:pPr>
        <w:spacing w:after="0" w:line="360" w:lineRule="auto"/>
        <w:jc w:val="both"/>
        <w:rPr>
          <w:rFonts w:ascii="Arial" w:hAnsi="Arial" w:cs="Arial"/>
        </w:rPr>
      </w:pPr>
      <w:r>
        <w:rPr>
          <w:rFonts w:ascii="Arial" w:hAnsi="Arial" w:cs="Arial"/>
        </w:rPr>
        <w:t xml:space="preserve">The analysis revealed a significant gap between HR policy frameworks and actual workplace practices. Most employees lacked knowledge about the official grievance procedures and HR handbook details. The absence of clear procedures demonstrates Lucas &amp; </w:t>
      </w:r>
      <w:proofErr w:type="spellStart"/>
      <w:r>
        <w:rPr>
          <w:rFonts w:ascii="Arial" w:hAnsi="Arial" w:cs="Arial"/>
        </w:rPr>
        <w:t>Deery's</w:t>
      </w:r>
      <w:proofErr w:type="spellEnd"/>
      <w:r>
        <w:rPr>
          <w:rFonts w:ascii="Arial" w:hAnsi="Arial" w:cs="Arial"/>
        </w:rPr>
        <w:t xml:space="preserve"> (2004) observation that HR strategies require proper communication and localization to achieve effectiveness. Accor's centralized HR approach limits how quickly local HR at Ibis can address issues and maintain employee trust. The restricted use of learning and development tools such as the Accor e-learning platform highlighted underlying systemic difficulties. The main obstacles to employee participation identified by staff included time constraints and insufficient motivation and rewards. Training opportunities continued to be underutilized because adequate promotion and support were not provided despite the availability of various tools. Both </w:t>
      </w:r>
      <w:proofErr w:type="spellStart"/>
      <w:r>
        <w:rPr>
          <w:rFonts w:ascii="Arial" w:hAnsi="Arial" w:cs="Arial"/>
        </w:rPr>
        <w:t>Herzberg’s</w:t>
      </w:r>
      <w:proofErr w:type="spellEnd"/>
      <w:r>
        <w:rPr>
          <w:rFonts w:ascii="Arial" w:hAnsi="Arial" w:cs="Arial"/>
        </w:rPr>
        <w:t xml:space="preserve"> theory and Bowen &amp; </w:t>
      </w:r>
      <w:proofErr w:type="spellStart"/>
      <w:r>
        <w:rPr>
          <w:rFonts w:ascii="Arial" w:hAnsi="Arial" w:cs="Arial"/>
        </w:rPr>
        <w:t>Lawler’s</w:t>
      </w:r>
      <w:proofErr w:type="spellEnd"/>
      <w:r>
        <w:rPr>
          <w:rFonts w:ascii="Arial" w:hAnsi="Arial" w:cs="Arial"/>
        </w:rPr>
        <w:t xml:space="preserve"> (1992) framework for empowerment indicate learning access as essential for employee role commitment and investment.</w:t>
      </w:r>
    </w:p>
    <w:p w14:paraId="622D8A8C" w14:textId="77777777" w:rsidR="009427D5" w:rsidRDefault="002D309F">
      <w:pPr>
        <w:spacing w:after="0" w:line="360" w:lineRule="auto"/>
        <w:jc w:val="both"/>
        <w:rPr>
          <w:rFonts w:ascii="Arial" w:hAnsi="Arial" w:cs="Arial"/>
        </w:rPr>
      </w:pPr>
      <w:r>
        <w:rPr>
          <w:rFonts w:ascii="Arial" w:hAnsi="Arial" w:cs="Arial"/>
        </w:rPr>
        <w:t>The research shows that although Ibis London Barking employees demonstrate strong commitment and adaptability their HR systems require enhancements and localization to achieve sustained operational excellence. The study confirms existing HRM theories and demonstrates real-world challenges encountered in budget hotel operations. HR excellence requires collaborative creation with daily brand promise deliverers instead of being solely dependent on strategic planning. The next section offers practical recommendations which originate from these insights.</w:t>
      </w:r>
    </w:p>
    <w:p w14:paraId="0828F847" w14:textId="77777777" w:rsidR="009427D5" w:rsidRDefault="002D309F">
      <w:pPr>
        <w:spacing w:after="0" w:line="360" w:lineRule="auto"/>
        <w:jc w:val="both"/>
        <w:rPr>
          <w:rFonts w:ascii="Arial" w:hAnsi="Arial" w:cs="Arial"/>
        </w:rPr>
      </w:pPr>
      <w:r>
        <w:rPr>
          <w:rFonts w:ascii="Arial" w:hAnsi="Arial" w:cs="Arial"/>
        </w:rPr>
        <w:t xml:space="preserve">To achieve holistic HR operational excellence, scholars advocate combining technological tools with inclusive HR practices. As Becker and Gerhart (1996) note, integrating performance systems into everyday work improves accountability and aligns behavior with long-term goals. Similarly, Armstrong and Taylor (2020) argue that </w:t>
      </w:r>
      <w:r>
        <w:rPr>
          <w:rFonts w:ascii="Arial" w:hAnsi="Arial" w:cs="Arial"/>
        </w:rPr>
        <w:lastRenderedPageBreak/>
        <w:t>a performance culture must be nurtured through feedback, clear role definitions, and reward structures adapted to each hospitality tier.</w:t>
      </w:r>
    </w:p>
    <w:p w14:paraId="26C95FFC" w14:textId="77777777" w:rsidR="009427D5" w:rsidRDefault="002D309F">
      <w:pPr>
        <w:spacing w:after="0" w:line="360" w:lineRule="auto"/>
        <w:jc w:val="both"/>
        <w:rPr>
          <w:rFonts w:ascii="Arial" w:hAnsi="Arial" w:cs="Arial"/>
        </w:rPr>
      </w:pPr>
      <w:r>
        <w:rPr>
          <w:rFonts w:ascii="Arial" w:hAnsi="Arial" w:cs="Arial"/>
        </w:rPr>
        <w:t xml:space="preserve">Digital HR solutions such as cloud-based evaluation tools and learning management systems are increasingly vital. According to </w:t>
      </w:r>
      <w:proofErr w:type="spellStart"/>
      <w:r>
        <w:rPr>
          <w:rFonts w:ascii="Arial" w:hAnsi="Arial" w:cs="Arial"/>
        </w:rPr>
        <w:t>Marler</w:t>
      </w:r>
      <w:proofErr w:type="spellEnd"/>
      <w:r>
        <w:rPr>
          <w:rFonts w:ascii="Arial" w:hAnsi="Arial" w:cs="Arial"/>
        </w:rPr>
        <w:t xml:space="preserve"> and </w:t>
      </w:r>
      <w:proofErr w:type="spellStart"/>
      <w:r>
        <w:rPr>
          <w:rFonts w:ascii="Arial" w:hAnsi="Arial" w:cs="Arial"/>
        </w:rPr>
        <w:t>Boudreau</w:t>
      </w:r>
      <w:proofErr w:type="spellEnd"/>
      <w:r>
        <w:rPr>
          <w:rFonts w:ascii="Arial" w:hAnsi="Arial" w:cs="Arial"/>
        </w:rPr>
        <w:t xml:space="preserve"> (2017), predictive HR analytics enable data-driven staffing and training decisions, helping organizations avoid high turnover. This is especially relevant in the hospitality industry, where real-time feedback can improve guest service and employee morale (</w:t>
      </w:r>
      <w:proofErr w:type="spellStart"/>
      <w:r>
        <w:rPr>
          <w:rFonts w:ascii="Arial" w:hAnsi="Arial" w:cs="Arial"/>
        </w:rPr>
        <w:t>Bondarouk</w:t>
      </w:r>
      <w:proofErr w:type="spellEnd"/>
      <w:r>
        <w:rPr>
          <w:rFonts w:ascii="Arial" w:hAnsi="Arial" w:cs="Arial"/>
        </w:rPr>
        <w:t xml:space="preserve"> &amp; Brewster, 2016; Stone &amp; </w:t>
      </w:r>
      <w:proofErr w:type="spellStart"/>
      <w:r>
        <w:rPr>
          <w:rFonts w:ascii="Arial" w:hAnsi="Arial" w:cs="Arial"/>
        </w:rPr>
        <w:t>Deadrick</w:t>
      </w:r>
      <w:proofErr w:type="spellEnd"/>
      <w:r>
        <w:rPr>
          <w:rFonts w:ascii="Arial" w:hAnsi="Arial" w:cs="Arial"/>
        </w:rPr>
        <w:t>, 2015).</w:t>
      </w:r>
    </w:p>
    <w:p w14:paraId="16741620" w14:textId="77777777" w:rsidR="009427D5" w:rsidRDefault="002D309F">
      <w:pPr>
        <w:spacing w:after="0" w:line="360" w:lineRule="auto"/>
        <w:jc w:val="both"/>
        <w:rPr>
          <w:rFonts w:ascii="Arial" w:hAnsi="Arial" w:cs="Arial"/>
        </w:rPr>
      </w:pPr>
      <w:r>
        <w:rPr>
          <w:rFonts w:ascii="Arial" w:hAnsi="Arial" w:cs="Arial"/>
        </w:rPr>
        <w:t xml:space="preserve">Cultural and emotional alignment is another emerging dimension of operational success. Studies by </w:t>
      </w:r>
      <w:proofErr w:type="spellStart"/>
      <w:r>
        <w:rPr>
          <w:rFonts w:ascii="Arial" w:hAnsi="Arial" w:cs="Arial"/>
        </w:rPr>
        <w:t>Giousmpasoglou</w:t>
      </w:r>
      <w:proofErr w:type="spellEnd"/>
      <w:r>
        <w:rPr>
          <w:rFonts w:ascii="Arial" w:hAnsi="Arial" w:cs="Arial"/>
        </w:rPr>
        <w:t xml:space="preserve"> et al. (2021) and </w:t>
      </w:r>
      <w:proofErr w:type="spellStart"/>
      <w:r>
        <w:rPr>
          <w:rFonts w:ascii="Arial" w:hAnsi="Arial" w:cs="Arial"/>
        </w:rPr>
        <w:t>Christou</w:t>
      </w:r>
      <w:proofErr w:type="spellEnd"/>
      <w:r>
        <w:rPr>
          <w:rFonts w:ascii="Arial" w:hAnsi="Arial" w:cs="Arial"/>
        </w:rPr>
        <w:t xml:space="preserve"> (2011) emphasize that empowering staff to contribute to process innovation fosters psychological safety and team resilience. Kim et al. (2020) further reinforce that resilience-building HR programs correlate with reduced burnout, especially in emotionally intensive service roles.</w:t>
      </w:r>
    </w:p>
    <w:p w14:paraId="7E81795A" w14:textId="77777777" w:rsidR="009427D5" w:rsidRDefault="002D309F">
      <w:pPr>
        <w:spacing w:after="0" w:line="360" w:lineRule="auto"/>
        <w:jc w:val="both"/>
        <w:rPr>
          <w:rFonts w:ascii="Arial" w:hAnsi="Arial" w:cs="Arial"/>
        </w:rPr>
      </w:pPr>
      <w:r>
        <w:rPr>
          <w:rFonts w:ascii="Arial" w:hAnsi="Arial" w:cs="Arial"/>
        </w:rPr>
        <w:t xml:space="preserve">To bridge policy-practice gaps, proactive leadership and transparent internal communication are essential. Albrecht et al. (2015) found that organizations with high engagement scores also maintain two-way communication and supervisor trust. Moreover, </w:t>
      </w:r>
      <w:proofErr w:type="spellStart"/>
      <w:r>
        <w:rPr>
          <w:rFonts w:ascii="Arial" w:hAnsi="Arial" w:cs="Arial"/>
        </w:rPr>
        <w:t>Mone</w:t>
      </w:r>
      <w:proofErr w:type="spellEnd"/>
      <w:r>
        <w:rPr>
          <w:rFonts w:ascii="Arial" w:hAnsi="Arial" w:cs="Arial"/>
        </w:rPr>
        <w:t xml:space="preserve"> and London (2018) underline the role of participatory performance reviews in promoting sustainable motivation and role clarity.</w:t>
      </w:r>
    </w:p>
    <w:p w14:paraId="48196695" w14:textId="77777777" w:rsidR="009427D5" w:rsidRDefault="002D309F">
      <w:pPr>
        <w:spacing w:after="0" w:line="360" w:lineRule="auto"/>
        <w:jc w:val="both"/>
        <w:rPr>
          <w:rFonts w:ascii="Arial" w:hAnsi="Arial" w:cs="Arial"/>
        </w:rPr>
      </w:pPr>
      <w:r>
        <w:rPr>
          <w:rFonts w:ascii="Arial" w:hAnsi="Arial" w:cs="Arial"/>
        </w:rPr>
        <w:t>Ultimately, sustainable HR operational excellence requires blending theoretical knowledge with staff-centered practices, digital infrastructure, and responsive leadership. This multi-dimensional integration will allow Ibis and similar hotels to maintain agility while improving employee engagement and guest satisfaction.</w:t>
      </w:r>
    </w:p>
    <w:p w14:paraId="118149C2" w14:textId="77777777" w:rsidR="009427D5" w:rsidRDefault="009427D5">
      <w:pPr>
        <w:spacing w:after="0" w:line="360" w:lineRule="auto"/>
        <w:jc w:val="both"/>
        <w:rPr>
          <w:rFonts w:ascii="Arial" w:hAnsi="Arial" w:cs="Arial"/>
        </w:rPr>
      </w:pPr>
    </w:p>
    <w:p w14:paraId="27F752F9" w14:textId="77777777" w:rsidR="009427D5" w:rsidRDefault="002D309F">
      <w:pPr>
        <w:pStyle w:val="Heading1"/>
      </w:pPr>
      <w:bookmarkStart w:id="11" w:name="_Toc198565156"/>
      <w:r>
        <w:lastRenderedPageBreak/>
        <w:t>Recommendations and Practical Strategies</w:t>
      </w:r>
      <w:bookmarkEnd w:id="11"/>
      <w:r>
        <w:t xml:space="preserve"> </w:t>
      </w:r>
    </w:p>
    <w:p w14:paraId="5636D679" w14:textId="77777777" w:rsidR="009427D5" w:rsidRDefault="002D309F">
      <w:r>
        <w:rPr>
          <w:noProof/>
        </w:rPr>
        <w:drawing>
          <wp:inline distT="0" distB="0" distL="0" distR="0" wp14:anchorId="14DBF5AE" wp14:editId="556CD818">
            <wp:extent cx="6065928" cy="2942365"/>
            <wp:effectExtent l="0" t="0" r="0" b="0"/>
            <wp:docPr id="1554196835" name="Picture 1"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065928" cy="2942365"/>
                    </a:xfrm>
                    <a:prstGeom prst="rect">
                      <a:avLst/>
                    </a:prstGeom>
                    <a:noFill/>
                    <a:ln>
                      <a:noFill/>
                      <a:prstDash/>
                    </a:ln>
                  </pic:spPr>
                </pic:pic>
              </a:graphicData>
            </a:graphic>
          </wp:inline>
        </w:drawing>
      </w:r>
    </w:p>
    <w:p w14:paraId="10CECCC2" w14:textId="77777777" w:rsidR="009427D5" w:rsidRDefault="002D309F">
      <w:r>
        <w:t xml:space="preserve">                                                                     (Created by learner)</w:t>
      </w:r>
    </w:p>
    <w:p w14:paraId="6891D80F" w14:textId="77777777" w:rsidR="009427D5" w:rsidRDefault="002D309F">
      <w:pPr>
        <w:spacing w:after="0" w:line="360" w:lineRule="auto"/>
        <w:jc w:val="both"/>
        <w:rPr>
          <w:rFonts w:ascii="Arial" w:hAnsi="Arial" w:cs="Arial"/>
        </w:rPr>
      </w:pPr>
      <w:r>
        <w:rPr>
          <w:rFonts w:ascii="Arial" w:hAnsi="Arial" w:cs="Arial"/>
        </w:rPr>
        <w:t>This research provides recommendations to improve HR operational excellence at Ibis London Barking, which are both grounded in its findings and supported by existing academic literature. The team strives to enhance employee satisfaction while simplifying HR methods and maintaining operational sustainability according to current HRM principles and hospitality industry requirements.</w:t>
      </w:r>
    </w:p>
    <w:p w14:paraId="3E1AB062" w14:textId="77777777" w:rsidR="009427D5" w:rsidRDefault="009427D5">
      <w:pPr>
        <w:spacing w:after="0" w:line="360" w:lineRule="auto"/>
        <w:jc w:val="both"/>
        <w:rPr>
          <w:rFonts w:ascii="Arial" w:hAnsi="Arial" w:cs="Arial"/>
        </w:rPr>
      </w:pPr>
    </w:p>
    <w:p w14:paraId="20ED7FE3" w14:textId="77777777" w:rsidR="009427D5" w:rsidRDefault="002D309F">
      <w:pPr>
        <w:spacing w:after="0" w:line="360" w:lineRule="auto"/>
        <w:jc w:val="both"/>
        <w:rPr>
          <w:rFonts w:ascii="Arial" w:hAnsi="Arial" w:cs="Arial"/>
        </w:rPr>
      </w:pPr>
      <w:r>
        <w:rPr>
          <w:rFonts w:ascii="Arial" w:hAnsi="Arial" w:cs="Arial"/>
        </w:rPr>
        <w:t xml:space="preserve">1. Standardizing Department-Wide Onboarding Procedures </w:t>
      </w:r>
    </w:p>
    <w:p w14:paraId="524FEA9A" w14:textId="77777777" w:rsidR="009427D5" w:rsidRDefault="002D309F">
      <w:pPr>
        <w:spacing w:after="0" w:line="360" w:lineRule="auto"/>
        <w:jc w:val="both"/>
        <w:rPr>
          <w:rFonts w:ascii="Arial" w:hAnsi="Arial" w:cs="Arial"/>
        </w:rPr>
      </w:pPr>
      <w:r>
        <w:rPr>
          <w:rFonts w:ascii="Arial" w:hAnsi="Arial" w:cs="Arial"/>
        </w:rPr>
        <w:t>Ibis needs to establish a standard induction program that covers all departments to ensure every new employee receives proper orientation and system training along with consistent service protocols. By following this systematic approach organizations can prevent beginning mistakes while also building confidence among new employees (Chan &amp; Hawkins, 2012). The implementation of standardized onboarding processes boosts staff retention by making job expectations clear from the start (Wilton, 2022). Digital onboarding resources and checklists create uniformity in training procedures while minimizing supervisor workload.</w:t>
      </w:r>
    </w:p>
    <w:p w14:paraId="5EE7E631" w14:textId="77777777" w:rsidR="009427D5" w:rsidRDefault="009427D5">
      <w:pPr>
        <w:spacing w:after="0" w:line="360" w:lineRule="auto"/>
        <w:jc w:val="both"/>
        <w:rPr>
          <w:rFonts w:ascii="Arial" w:hAnsi="Arial" w:cs="Arial"/>
        </w:rPr>
      </w:pPr>
    </w:p>
    <w:p w14:paraId="0176D440" w14:textId="77777777" w:rsidR="009427D5" w:rsidRDefault="002D309F">
      <w:pPr>
        <w:spacing w:after="0" w:line="360" w:lineRule="auto"/>
        <w:jc w:val="both"/>
        <w:rPr>
          <w:rFonts w:ascii="Arial" w:hAnsi="Arial" w:cs="Arial"/>
        </w:rPr>
      </w:pPr>
      <w:r>
        <w:rPr>
          <w:rFonts w:ascii="Arial" w:hAnsi="Arial" w:cs="Arial"/>
        </w:rPr>
        <w:t xml:space="preserve">2. Strengthening Internal Communication Channels </w:t>
      </w:r>
    </w:p>
    <w:p w14:paraId="46B944AF" w14:textId="77777777" w:rsidR="009427D5" w:rsidRDefault="002D309F">
      <w:pPr>
        <w:spacing w:after="0" w:line="360" w:lineRule="auto"/>
        <w:jc w:val="both"/>
        <w:rPr>
          <w:rFonts w:ascii="Arial" w:hAnsi="Arial" w:cs="Arial"/>
        </w:rPr>
      </w:pPr>
      <w:r>
        <w:rPr>
          <w:rFonts w:ascii="Arial" w:hAnsi="Arial" w:cs="Arial"/>
        </w:rPr>
        <w:t xml:space="preserve">Operational inefficiencies arise from communication gaps between different departments such as front-desk and housekeeping. Formal weekly briefings together </w:t>
      </w:r>
      <w:r>
        <w:rPr>
          <w:rFonts w:ascii="Arial" w:hAnsi="Arial" w:cs="Arial"/>
        </w:rPr>
        <w:lastRenderedPageBreak/>
        <w:t xml:space="preserve">with a digital communication board and monthly staff voice meetings will bridge departmental communication gaps. According to Baum et al. According to Baum et al. (2016) organizations need internal communication to operate bidirectionally between all levels of hierarchy and across departmental boundaries. </w:t>
      </w:r>
      <w:proofErr w:type="spellStart"/>
      <w:r>
        <w:rPr>
          <w:rFonts w:ascii="Arial" w:hAnsi="Arial" w:cs="Arial"/>
        </w:rPr>
        <w:t>Karatepe</w:t>
      </w:r>
      <w:proofErr w:type="spellEnd"/>
      <w:r>
        <w:rPr>
          <w:rFonts w:ascii="Arial" w:hAnsi="Arial" w:cs="Arial"/>
        </w:rPr>
        <w:t xml:space="preserve"> and </w:t>
      </w:r>
      <w:proofErr w:type="spellStart"/>
      <w:r>
        <w:rPr>
          <w:rFonts w:ascii="Arial" w:hAnsi="Arial" w:cs="Arial"/>
        </w:rPr>
        <w:t>Kilic</w:t>
      </w:r>
      <w:proofErr w:type="spellEnd"/>
      <w:r>
        <w:rPr>
          <w:rFonts w:ascii="Arial" w:hAnsi="Arial" w:cs="Arial"/>
        </w:rPr>
        <w:t xml:space="preserve"> (2007) suggest that when employee voice mechanisms are enabled it leads to higher levels of employee commitment and motivation together with stronger teamwork abilities. Using </w:t>
      </w:r>
      <w:proofErr w:type="spellStart"/>
      <w:r>
        <w:rPr>
          <w:rFonts w:ascii="Arial" w:hAnsi="Arial" w:cs="Arial"/>
        </w:rPr>
        <w:t>Trello</w:t>
      </w:r>
      <w:proofErr w:type="spellEnd"/>
      <w:r>
        <w:rPr>
          <w:rFonts w:ascii="Arial" w:hAnsi="Arial" w:cs="Arial"/>
        </w:rPr>
        <w:t xml:space="preserve"> or Microsoft Teams for daily updates and shift handovers helps minimize misunderstandings while promoting organizational transparency.</w:t>
      </w:r>
    </w:p>
    <w:p w14:paraId="4C8CD893" w14:textId="77777777" w:rsidR="009427D5" w:rsidRDefault="009427D5">
      <w:pPr>
        <w:spacing w:after="0" w:line="360" w:lineRule="auto"/>
        <w:jc w:val="both"/>
        <w:rPr>
          <w:rFonts w:ascii="Arial" w:hAnsi="Arial" w:cs="Arial"/>
        </w:rPr>
      </w:pPr>
    </w:p>
    <w:p w14:paraId="525D4D07" w14:textId="77777777" w:rsidR="009427D5" w:rsidRDefault="002D309F">
      <w:pPr>
        <w:spacing w:after="0" w:line="360" w:lineRule="auto"/>
        <w:jc w:val="both"/>
        <w:rPr>
          <w:rFonts w:ascii="Arial" w:hAnsi="Arial" w:cs="Arial"/>
        </w:rPr>
      </w:pPr>
      <w:r>
        <w:rPr>
          <w:rFonts w:ascii="Arial" w:hAnsi="Arial" w:cs="Arial"/>
        </w:rPr>
        <w:t xml:space="preserve">3. Introducing Structured Recognition and Incentive Systems </w:t>
      </w:r>
    </w:p>
    <w:p w14:paraId="6060E646" w14:textId="77777777" w:rsidR="009427D5" w:rsidRDefault="002D309F">
      <w:pPr>
        <w:spacing w:after="0" w:line="360" w:lineRule="auto"/>
        <w:jc w:val="both"/>
        <w:rPr>
          <w:rFonts w:ascii="Arial" w:hAnsi="Arial" w:cs="Arial"/>
        </w:rPr>
      </w:pPr>
      <w:r>
        <w:rPr>
          <w:rFonts w:ascii="Arial" w:hAnsi="Arial" w:cs="Arial"/>
        </w:rPr>
        <w:t xml:space="preserve">The workforce showed displeasure because of the lack of structured appreciation methods. A tiered reward program that features monthly performance awards alongside team-based recognition and length-of-service milestones improves employee morale and motivation. </w:t>
      </w:r>
      <w:proofErr w:type="spellStart"/>
      <w:r>
        <w:rPr>
          <w:rFonts w:ascii="Arial" w:hAnsi="Arial" w:cs="Arial"/>
        </w:rPr>
        <w:t>Herzberg's</w:t>
      </w:r>
      <w:proofErr w:type="spellEnd"/>
      <w:r>
        <w:rPr>
          <w:rFonts w:ascii="Arial" w:hAnsi="Arial" w:cs="Arial"/>
        </w:rPr>
        <w:t xml:space="preserve"> 1959 research findings reveal that satisfaction arises from intrinsic motivators which include recognition and achievement. Existing performance monitoring systems need to integrate formal incentive programs like spot bonuses and extra time off to properly reward employee efforts and initiative. Organizations can introduce peer-to-peer recognition programs which enable team members to nominate their colleagues for outstanding small achievements.</w:t>
      </w:r>
    </w:p>
    <w:p w14:paraId="006EF861" w14:textId="77777777" w:rsidR="009427D5" w:rsidRDefault="009427D5">
      <w:pPr>
        <w:spacing w:after="0" w:line="360" w:lineRule="auto"/>
        <w:jc w:val="both"/>
        <w:rPr>
          <w:rFonts w:ascii="Arial" w:hAnsi="Arial" w:cs="Arial"/>
        </w:rPr>
      </w:pPr>
    </w:p>
    <w:p w14:paraId="3C3B58C3" w14:textId="77777777" w:rsidR="009427D5" w:rsidRDefault="002D309F">
      <w:pPr>
        <w:spacing w:after="0" w:line="360" w:lineRule="auto"/>
        <w:jc w:val="both"/>
        <w:rPr>
          <w:rFonts w:ascii="Arial" w:hAnsi="Arial" w:cs="Arial"/>
        </w:rPr>
      </w:pPr>
      <w:r>
        <w:rPr>
          <w:rFonts w:ascii="Arial" w:hAnsi="Arial" w:cs="Arial"/>
        </w:rPr>
        <w:t>4. Implementing Consistent Performance Evaluations and Employee Growth Strategies</w:t>
      </w:r>
    </w:p>
    <w:p w14:paraId="4BC8FB2B" w14:textId="77777777" w:rsidR="009427D5" w:rsidRDefault="002D309F">
      <w:pPr>
        <w:spacing w:after="0" w:line="360" w:lineRule="auto"/>
        <w:jc w:val="both"/>
        <w:rPr>
          <w:rFonts w:ascii="Arial" w:hAnsi="Arial" w:cs="Arial"/>
        </w:rPr>
      </w:pPr>
      <w:r>
        <w:rPr>
          <w:rFonts w:ascii="Arial" w:hAnsi="Arial" w:cs="Arial"/>
        </w:rPr>
        <w:t xml:space="preserve">The feedback process at Ibis remains informal and reacts to situations as they arise. All departments should implement a formal biannual appraisal system. The performance reviews need to include both employee self-evaluations along with supervisor’s feedback while setting goals and putting everything in written form. Paauwe (2004) supports the idea that effective performance systems need to strengthen both control mechanisms and developmental opportunities. Tracey and </w:t>
      </w:r>
      <w:proofErr w:type="spellStart"/>
      <w:r>
        <w:rPr>
          <w:rFonts w:ascii="Arial" w:hAnsi="Arial" w:cs="Arial"/>
        </w:rPr>
        <w:t>Hinkin</w:t>
      </w:r>
      <w:proofErr w:type="spellEnd"/>
      <w:r>
        <w:rPr>
          <w:rFonts w:ascii="Arial" w:hAnsi="Arial" w:cs="Arial"/>
        </w:rPr>
        <w:t xml:space="preserve"> (2008) discovered that regular evaluation processes establish clearer roles and boost employee performance. The hotel must set up individual development plans (IDPs) to illustrate career advancement opportunities and help employees understand their potential career trajectories.</w:t>
      </w:r>
    </w:p>
    <w:p w14:paraId="78588D1D" w14:textId="77777777" w:rsidR="009427D5" w:rsidRDefault="009427D5">
      <w:pPr>
        <w:spacing w:after="0" w:line="360" w:lineRule="auto"/>
        <w:jc w:val="both"/>
        <w:rPr>
          <w:rFonts w:ascii="Arial" w:hAnsi="Arial" w:cs="Arial"/>
        </w:rPr>
      </w:pPr>
    </w:p>
    <w:p w14:paraId="782A9255" w14:textId="77777777" w:rsidR="009427D5" w:rsidRDefault="002D309F">
      <w:pPr>
        <w:spacing w:after="0" w:line="360" w:lineRule="auto"/>
        <w:jc w:val="both"/>
        <w:rPr>
          <w:rFonts w:ascii="Arial" w:hAnsi="Arial" w:cs="Arial"/>
        </w:rPr>
      </w:pPr>
      <w:r>
        <w:rPr>
          <w:rFonts w:ascii="Arial" w:hAnsi="Arial" w:cs="Arial"/>
        </w:rPr>
        <w:lastRenderedPageBreak/>
        <w:t xml:space="preserve">5. Implementing Structured Cross-Training and Job Rotation Programs </w:t>
      </w:r>
    </w:p>
    <w:p w14:paraId="143CD060" w14:textId="77777777" w:rsidR="009427D5" w:rsidRDefault="002D309F">
      <w:pPr>
        <w:spacing w:after="0" w:line="360" w:lineRule="auto"/>
        <w:jc w:val="both"/>
        <w:rPr>
          <w:rFonts w:ascii="Arial" w:hAnsi="Arial" w:cs="Arial"/>
        </w:rPr>
      </w:pPr>
      <w:r>
        <w:rPr>
          <w:rFonts w:ascii="Arial" w:hAnsi="Arial" w:cs="Arial"/>
        </w:rPr>
        <w:t xml:space="preserve">While task flexibility existed it was unstructured which led to confusion and inefficient operations. The organization needs to establish a structured cross-training program to enable staff to acquire skills from other departments through a rotational learning system. </w:t>
      </w:r>
      <w:proofErr w:type="spellStart"/>
      <w:r>
        <w:rPr>
          <w:rFonts w:ascii="Arial" w:hAnsi="Arial" w:cs="Arial"/>
        </w:rPr>
        <w:t>Solnet</w:t>
      </w:r>
      <w:proofErr w:type="spellEnd"/>
      <w:r>
        <w:rPr>
          <w:rFonts w:ascii="Arial" w:hAnsi="Arial" w:cs="Arial"/>
        </w:rPr>
        <w:t xml:space="preserve"> et al. According to </w:t>
      </w:r>
      <w:proofErr w:type="spellStart"/>
      <w:r>
        <w:rPr>
          <w:rFonts w:ascii="Arial" w:hAnsi="Arial" w:cs="Arial"/>
        </w:rPr>
        <w:t>Solnet</w:t>
      </w:r>
      <w:proofErr w:type="spellEnd"/>
      <w:r>
        <w:rPr>
          <w:rFonts w:ascii="Arial" w:hAnsi="Arial" w:cs="Arial"/>
        </w:rPr>
        <w:t xml:space="preserve"> et al. (2015) structured cross-training programs improve both service adaptability and organizational resilience. Implementing a rotation matrix allows staff members to acquire multi-departmental experience which develops their skills and simultaneously strengthens team cohesion while enhancing emergency coverage capabilities.</w:t>
      </w:r>
    </w:p>
    <w:p w14:paraId="7C12B256" w14:textId="77777777" w:rsidR="009427D5" w:rsidRDefault="009427D5">
      <w:pPr>
        <w:spacing w:after="0" w:line="360" w:lineRule="auto"/>
        <w:jc w:val="both"/>
        <w:rPr>
          <w:rFonts w:ascii="Arial" w:hAnsi="Arial" w:cs="Arial"/>
        </w:rPr>
      </w:pPr>
    </w:p>
    <w:p w14:paraId="745087AC" w14:textId="77777777" w:rsidR="009427D5" w:rsidRDefault="002D309F">
      <w:pPr>
        <w:spacing w:after="0" w:line="360" w:lineRule="auto"/>
        <w:jc w:val="both"/>
        <w:rPr>
          <w:rFonts w:ascii="Arial" w:hAnsi="Arial" w:cs="Arial"/>
        </w:rPr>
      </w:pPr>
      <w:r>
        <w:rPr>
          <w:rFonts w:ascii="Arial" w:hAnsi="Arial" w:cs="Arial"/>
        </w:rPr>
        <w:t xml:space="preserve">6. Enhancing Local HR Accessibility and Policy Awareness </w:t>
      </w:r>
    </w:p>
    <w:p w14:paraId="5071CA0B" w14:textId="77777777" w:rsidR="009427D5" w:rsidRDefault="002D309F">
      <w:pPr>
        <w:spacing w:after="0" w:line="360" w:lineRule="auto"/>
        <w:jc w:val="both"/>
        <w:rPr>
          <w:rFonts w:ascii="Arial" w:hAnsi="Arial" w:cs="Arial"/>
        </w:rPr>
      </w:pPr>
      <w:r>
        <w:rPr>
          <w:rFonts w:ascii="Arial" w:hAnsi="Arial" w:cs="Arial"/>
        </w:rPr>
        <w:t xml:space="preserve">The staff handbook remained unseen by many employees who also lacked knowledge about HR procedures. The centralized HR structure at Accor requires that every hotel designates an internal HR liaison who is trained in HR procedures to manage policy communication and address basic employee issues. According to </w:t>
      </w:r>
      <w:proofErr w:type="spellStart"/>
      <w:r>
        <w:rPr>
          <w:rFonts w:ascii="Arial" w:hAnsi="Arial" w:cs="Arial"/>
        </w:rPr>
        <w:t>Boxall</w:t>
      </w:r>
      <w:proofErr w:type="spellEnd"/>
      <w:r>
        <w:rPr>
          <w:rFonts w:ascii="Arial" w:hAnsi="Arial" w:cs="Arial"/>
        </w:rPr>
        <w:t xml:space="preserve"> and Purcell (2016) successful HRM strategies require frontline employees to have clear visibility and access to them. Staff accessibility improves when HR policy guides are available in printed and digital formats alongside monthly briefing sessions which boost awareness.</w:t>
      </w:r>
    </w:p>
    <w:p w14:paraId="3860EBE0" w14:textId="77777777" w:rsidR="009427D5" w:rsidRDefault="009427D5">
      <w:pPr>
        <w:spacing w:after="0" w:line="360" w:lineRule="auto"/>
        <w:jc w:val="both"/>
        <w:rPr>
          <w:rFonts w:ascii="Arial" w:hAnsi="Arial" w:cs="Arial"/>
        </w:rPr>
      </w:pPr>
    </w:p>
    <w:p w14:paraId="7945CF15" w14:textId="77777777" w:rsidR="009427D5" w:rsidRDefault="002D309F">
      <w:pPr>
        <w:spacing w:after="0" w:line="360" w:lineRule="auto"/>
        <w:jc w:val="both"/>
        <w:rPr>
          <w:rFonts w:ascii="Arial" w:hAnsi="Arial" w:cs="Arial"/>
        </w:rPr>
      </w:pPr>
      <w:r>
        <w:rPr>
          <w:rFonts w:ascii="Arial" w:hAnsi="Arial" w:cs="Arial"/>
        </w:rPr>
        <w:t>7. Structured support systems enable employee learning and professional growth.</w:t>
      </w:r>
    </w:p>
    <w:p w14:paraId="06264940" w14:textId="77777777" w:rsidR="009427D5" w:rsidRDefault="002D309F">
      <w:pPr>
        <w:spacing w:after="0" w:line="360" w:lineRule="auto"/>
        <w:jc w:val="both"/>
        <w:rPr>
          <w:rFonts w:ascii="Arial" w:hAnsi="Arial" w:cs="Arial"/>
        </w:rPr>
      </w:pPr>
      <w:r>
        <w:rPr>
          <w:rFonts w:ascii="Arial" w:hAnsi="Arial" w:cs="Arial"/>
        </w:rPr>
        <w:t xml:space="preserve">Workload and insufficient motivation lead to underutilization of Accor's available e-learning platforms. Ibis needs to allocate one paid training hour monthly for each employee through their Rota system. The company should reward employees who finish training modules with recognition or small rewards. Bowen &amp; </w:t>
      </w:r>
      <w:proofErr w:type="spellStart"/>
      <w:r>
        <w:rPr>
          <w:rFonts w:ascii="Arial" w:hAnsi="Arial" w:cs="Arial"/>
        </w:rPr>
        <w:t>Lawler's</w:t>
      </w:r>
      <w:proofErr w:type="spellEnd"/>
      <w:r>
        <w:rPr>
          <w:rFonts w:ascii="Arial" w:hAnsi="Arial" w:cs="Arial"/>
        </w:rPr>
        <w:t xml:space="preserve"> 1992 study found that training and autonomy together result in higher employee engagement and productivity. Micro-training sessions which involve brief in-person training during quieter periods can improve knowledge retention mainly for practical subjects such as guest conflict resolution and system updates.</w:t>
      </w:r>
    </w:p>
    <w:p w14:paraId="05D4D008" w14:textId="77777777" w:rsidR="009427D5" w:rsidRDefault="009427D5">
      <w:pPr>
        <w:spacing w:after="0" w:line="360" w:lineRule="auto"/>
        <w:jc w:val="both"/>
        <w:rPr>
          <w:rFonts w:ascii="Arial" w:hAnsi="Arial" w:cs="Arial"/>
        </w:rPr>
      </w:pPr>
    </w:p>
    <w:p w14:paraId="503D63B9" w14:textId="77777777" w:rsidR="009427D5" w:rsidRDefault="002D309F">
      <w:pPr>
        <w:spacing w:after="0" w:line="360" w:lineRule="auto"/>
        <w:jc w:val="both"/>
        <w:rPr>
          <w:rFonts w:ascii="Arial" w:hAnsi="Arial" w:cs="Arial"/>
        </w:rPr>
      </w:pPr>
      <w:r>
        <w:rPr>
          <w:rFonts w:ascii="Arial" w:hAnsi="Arial" w:cs="Arial"/>
        </w:rPr>
        <w:t>8. Implement a Real-Time HR Dashboard to Track Essential Performance Metrics</w:t>
      </w:r>
    </w:p>
    <w:p w14:paraId="5E279F79" w14:textId="77777777" w:rsidR="009427D5" w:rsidRDefault="002D309F">
      <w:pPr>
        <w:spacing w:after="0" w:line="360" w:lineRule="auto"/>
        <w:jc w:val="both"/>
        <w:rPr>
          <w:rFonts w:ascii="Arial" w:hAnsi="Arial" w:cs="Arial"/>
        </w:rPr>
      </w:pPr>
      <w:r>
        <w:rPr>
          <w:rFonts w:ascii="Arial" w:hAnsi="Arial" w:cs="Arial"/>
        </w:rPr>
        <w:t xml:space="preserve">HR teams need to develop a local dashboard solution that monitors KPIs including onboarding completion rates and staff satisfaction scores along with absenteeism, turnover, and training participation. Strategic HRM requires evidence-based </w:t>
      </w:r>
      <w:r>
        <w:rPr>
          <w:rFonts w:ascii="Arial" w:hAnsi="Arial" w:cs="Arial"/>
        </w:rPr>
        <w:lastRenderedPageBreak/>
        <w:t xml:space="preserve">approaches as demonstrated by </w:t>
      </w:r>
      <w:proofErr w:type="spellStart"/>
      <w:r>
        <w:rPr>
          <w:rFonts w:ascii="Arial" w:hAnsi="Arial" w:cs="Arial"/>
        </w:rPr>
        <w:t>Delery</w:t>
      </w:r>
      <w:proofErr w:type="spellEnd"/>
      <w:r>
        <w:rPr>
          <w:rFonts w:ascii="Arial" w:hAnsi="Arial" w:cs="Arial"/>
        </w:rPr>
        <w:t xml:space="preserve"> and Doty in 1996. Dashboards make it possible for managers to visualize trends and respond to them quickly. Management can access visual reports through free or economical tools such as Google Sheets and Power BI.</w:t>
      </w:r>
    </w:p>
    <w:p w14:paraId="311DDB0C" w14:textId="77777777" w:rsidR="009427D5" w:rsidRDefault="009427D5">
      <w:pPr>
        <w:spacing w:after="0" w:line="360" w:lineRule="auto"/>
        <w:jc w:val="both"/>
        <w:rPr>
          <w:rFonts w:ascii="Arial" w:hAnsi="Arial" w:cs="Arial"/>
        </w:rPr>
      </w:pPr>
    </w:p>
    <w:p w14:paraId="61691906" w14:textId="77777777" w:rsidR="009427D5" w:rsidRDefault="002D309F">
      <w:pPr>
        <w:spacing w:after="0" w:line="360" w:lineRule="auto"/>
        <w:jc w:val="both"/>
        <w:rPr>
          <w:rFonts w:ascii="Arial" w:hAnsi="Arial" w:cs="Arial"/>
        </w:rPr>
      </w:pPr>
      <w:r>
        <w:rPr>
          <w:rFonts w:ascii="Arial" w:hAnsi="Arial" w:cs="Arial"/>
        </w:rPr>
        <w:t xml:space="preserve">9. Launching an Internal Mentorship Scheme </w:t>
      </w:r>
    </w:p>
    <w:p w14:paraId="17F1E7D4" w14:textId="77777777" w:rsidR="009427D5" w:rsidRDefault="002D309F">
      <w:pPr>
        <w:spacing w:after="0" w:line="360" w:lineRule="auto"/>
        <w:jc w:val="both"/>
        <w:rPr>
          <w:rFonts w:ascii="Arial" w:hAnsi="Arial" w:cs="Arial"/>
        </w:rPr>
      </w:pPr>
      <w:r>
        <w:rPr>
          <w:rFonts w:ascii="Arial" w:hAnsi="Arial" w:cs="Arial"/>
        </w:rPr>
        <w:t xml:space="preserve">Newcomers receive guidance from experienced employees during their initial month in the company. New hires benefit from smoother transitions while senior staff receive recognition for their expertise and dedication. According to </w:t>
      </w:r>
      <w:proofErr w:type="spellStart"/>
      <w:r>
        <w:rPr>
          <w:rFonts w:ascii="Arial" w:hAnsi="Arial" w:cs="Arial"/>
        </w:rPr>
        <w:t>Schein</w:t>
      </w:r>
      <w:proofErr w:type="spellEnd"/>
      <w:r>
        <w:rPr>
          <w:rFonts w:ascii="Arial" w:hAnsi="Arial" w:cs="Arial"/>
        </w:rPr>
        <w:t xml:space="preserve"> (2010) culture-building stands out as a primary function of mentorship. (2015) argue it improves long-term retention. Through mentorship employees develop trust while integrating faster and nurturing an environment that values ongoing learning. To further strengthen HR operational excellence, Ibis should integrate data-driven decision-making into its HR planning cycle. According to </w:t>
      </w:r>
      <w:proofErr w:type="spellStart"/>
      <w:r>
        <w:rPr>
          <w:rFonts w:ascii="Arial" w:hAnsi="Arial" w:cs="Arial"/>
        </w:rPr>
        <w:t>Marler</w:t>
      </w:r>
      <w:proofErr w:type="spellEnd"/>
      <w:r>
        <w:rPr>
          <w:rFonts w:ascii="Arial" w:hAnsi="Arial" w:cs="Arial"/>
        </w:rPr>
        <w:t xml:space="preserve"> and </w:t>
      </w:r>
      <w:proofErr w:type="spellStart"/>
      <w:r>
        <w:rPr>
          <w:rFonts w:ascii="Arial" w:hAnsi="Arial" w:cs="Arial"/>
        </w:rPr>
        <w:t>Boudreau</w:t>
      </w:r>
      <w:proofErr w:type="spellEnd"/>
      <w:r>
        <w:rPr>
          <w:rFonts w:ascii="Arial" w:hAnsi="Arial" w:cs="Arial"/>
        </w:rPr>
        <w:t xml:space="preserve"> (2017), HR analytics enables proactive identification of training needs and turnover risks, enhancing workforce responsiveness. Additionally, Becker et al. (2001) assert that strategic alignment of HR investments with business outcomes results in improved operational efficiency.</w:t>
      </w:r>
    </w:p>
    <w:p w14:paraId="36577207" w14:textId="77777777" w:rsidR="009427D5" w:rsidRDefault="002D309F">
      <w:pPr>
        <w:spacing w:after="0" w:line="360" w:lineRule="auto"/>
        <w:jc w:val="both"/>
        <w:rPr>
          <w:rFonts w:ascii="Arial" w:hAnsi="Arial" w:cs="Arial"/>
        </w:rPr>
      </w:pPr>
      <w:r>
        <w:rPr>
          <w:rFonts w:ascii="Arial" w:hAnsi="Arial" w:cs="Arial"/>
        </w:rPr>
        <w:t xml:space="preserve">Incorporating feedback through digital engagement platforms such as internal surveys and feedback kiosks, as suggested by </w:t>
      </w:r>
      <w:proofErr w:type="spellStart"/>
      <w:r>
        <w:rPr>
          <w:rFonts w:ascii="Arial" w:hAnsi="Arial" w:cs="Arial"/>
        </w:rPr>
        <w:t>Mone</w:t>
      </w:r>
      <w:proofErr w:type="spellEnd"/>
      <w:r>
        <w:rPr>
          <w:rFonts w:ascii="Arial" w:hAnsi="Arial" w:cs="Arial"/>
        </w:rPr>
        <w:t xml:space="preserve"> and London (2018), allows for real-time adaptation to employee concerns. Furthermore, Noe et al. (2020) highlight that combining structured learning paths with peer mentorship improves long-term retention and skill transfer in service-based settings. Lastly, to manage emotional demands, especially in front-facing roles, Ibis should consider integrating resilience training. Studies by Huang et al. (2019) indicate that resilience workshops significantly improve job satisfaction and reduce burnout rates in the hospitality sector.</w:t>
      </w:r>
    </w:p>
    <w:p w14:paraId="53BE515B" w14:textId="77777777" w:rsidR="009427D5" w:rsidRDefault="009427D5">
      <w:pPr>
        <w:spacing w:after="0" w:line="360" w:lineRule="auto"/>
        <w:jc w:val="both"/>
        <w:rPr>
          <w:rFonts w:ascii="Arial" w:hAnsi="Arial" w:cs="Arial"/>
        </w:rPr>
      </w:pPr>
    </w:p>
    <w:p w14:paraId="4743EF98" w14:textId="77777777" w:rsidR="009427D5" w:rsidRDefault="002D309F">
      <w:pPr>
        <w:spacing w:after="0" w:line="360" w:lineRule="auto"/>
        <w:jc w:val="both"/>
        <w:rPr>
          <w:rFonts w:ascii="Arial" w:hAnsi="Arial" w:cs="Arial"/>
        </w:rPr>
      </w:pPr>
      <w:r>
        <w:rPr>
          <w:rFonts w:ascii="Arial" w:hAnsi="Arial" w:cs="Arial"/>
        </w:rPr>
        <w:t xml:space="preserve">10. Conducting Quarterly Employee Engagement Surveys </w:t>
      </w:r>
    </w:p>
    <w:p w14:paraId="144B6467" w14:textId="77777777" w:rsidR="009427D5" w:rsidRDefault="002D309F">
      <w:pPr>
        <w:spacing w:after="0" w:line="360" w:lineRule="auto"/>
        <w:jc w:val="both"/>
        <w:rPr>
          <w:rFonts w:ascii="Arial" w:hAnsi="Arial" w:cs="Arial"/>
        </w:rPr>
      </w:pPr>
      <w:r>
        <w:rPr>
          <w:rFonts w:ascii="Arial" w:hAnsi="Arial" w:cs="Arial"/>
        </w:rPr>
        <w:t xml:space="preserve">Quarterly staff surveys need to be implemented to help the hotel adapt to its employees' needs. Surveys need to evaluate employee views regarding their communication channels, recognition systems, workload distribution and professional development options. Anonymous analysis of survey results enables management meetings to focus on discovering areas for improvement. According to </w:t>
      </w:r>
      <w:proofErr w:type="spellStart"/>
      <w:r>
        <w:rPr>
          <w:rFonts w:ascii="Arial" w:hAnsi="Arial" w:cs="Arial"/>
        </w:rPr>
        <w:t>Giousmpasoglou</w:t>
      </w:r>
      <w:proofErr w:type="spellEnd"/>
      <w:r>
        <w:rPr>
          <w:rFonts w:ascii="Arial" w:hAnsi="Arial" w:cs="Arial"/>
        </w:rPr>
        <w:t xml:space="preserve"> et al. HR systems must incorporate employee-driven feedback loops to stay aligned with frontline expectations as described by </w:t>
      </w:r>
      <w:proofErr w:type="spellStart"/>
      <w:r>
        <w:rPr>
          <w:rFonts w:ascii="Arial" w:hAnsi="Arial" w:cs="Arial"/>
        </w:rPr>
        <w:t>Giousmpasoglou</w:t>
      </w:r>
      <w:proofErr w:type="spellEnd"/>
      <w:r>
        <w:rPr>
          <w:rFonts w:ascii="Arial" w:hAnsi="Arial" w:cs="Arial"/>
        </w:rPr>
        <w:t xml:space="preserve"> et al. </w:t>
      </w:r>
      <w:r>
        <w:rPr>
          <w:rFonts w:ascii="Arial" w:hAnsi="Arial" w:cs="Arial"/>
        </w:rPr>
        <w:lastRenderedPageBreak/>
        <w:t>(2021). Promising anonymity along with follow-up action announcements helps boost survey participation because it shows that the feedback provided leads to real changes.</w:t>
      </w:r>
    </w:p>
    <w:p w14:paraId="2B577027" w14:textId="77777777" w:rsidR="009427D5" w:rsidRDefault="002D309F">
      <w:pPr>
        <w:spacing w:after="0" w:line="360" w:lineRule="auto"/>
        <w:jc w:val="both"/>
        <w:rPr>
          <w:rFonts w:ascii="Arial" w:hAnsi="Arial" w:cs="Arial"/>
        </w:rPr>
      </w:pPr>
      <w:r>
        <w:rPr>
          <w:rFonts w:ascii="Arial" w:hAnsi="Arial" w:cs="Arial"/>
        </w:rPr>
        <w:t xml:space="preserve">To improve HR responsiveness, Ibis should adopt continuous development programs supported by digital tools. According to Noe et al. (2017), continuous learning cultures enhance adaptability and reduce turnover in service roles. Mobile-based </w:t>
      </w:r>
      <w:proofErr w:type="spellStart"/>
      <w:r>
        <w:rPr>
          <w:rFonts w:ascii="Arial" w:hAnsi="Arial" w:cs="Arial"/>
        </w:rPr>
        <w:t>microlearning</w:t>
      </w:r>
      <w:proofErr w:type="spellEnd"/>
      <w:r>
        <w:rPr>
          <w:rFonts w:ascii="Arial" w:hAnsi="Arial" w:cs="Arial"/>
        </w:rPr>
        <w:t xml:space="preserve"> and gamified systems, as tested by Salas et al. (2012), prove effective for hospitality settings with limited downtime.</w:t>
      </w:r>
    </w:p>
    <w:p w14:paraId="54764C80" w14:textId="77777777" w:rsidR="009427D5" w:rsidRDefault="002D309F">
      <w:pPr>
        <w:spacing w:after="0" w:line="360" w:lineRule="auto"/>
        <w:jc w:val="both"/>
        <w:rPr>
          <w:rFonts w:ascii="Arial" w:hAnsi="Arial" w:cs="Arial"/>
        </w:rPr>
      </w:pPr>
      <w:r>
        <w:rPr>
          <w:rFonts w:ascii="Arial" w:hAnsi="Arial" w:cs="Arial"/>
        </w:rPr>
        <w:t>Employee empowerment should also be systematized via delegated decision-making. Deci and Ryan’s (2000) self-determination theory supports this, showing autonomy boosts job satisfaction and performance. Training that reinforces autonomy while ensuring accountability strengthens operational alignment (</w:t>
      </w:r>
      <w:proofErr w:type="spellStart"/>
      <w:r>
        <w:rPr>
          <w:rFonts w:ascii="Arial" w:hAnsi="Arial" w:cs="Arial"/>
        </w:rPr>
        <w:t>Gagné</w:t>
      </w:r>
      <w:proofErr w:type="spellEnd"/>
      <w:r>
        <w:rPr>
          <w:rFonts w:ascii="Arial" w:hAnsi="Arial" w:cs="Arial"/>
        </w:rPr>
        <w:t xml:space="preserve"> and Deci, 2005). HR should create measurable learning objectives tied to guest satisfaction, as argued by Kirkpatrick and Kirkpatrick (2006), to align staff development with service excellence.</w:t>
      </w:r>
    </w:p>
    <w:p w14:paraId="5961BD84" w14:textId="77777777" w:rsidR="009427D5" w:rsidRDefault="002D309F">
      <w:pPr>
        <w:spacing w:after="0" w:line="360" w:lineRule="auto"/>
        <w:jc w:val="both"/>
        <w:rPr>
          <w:rFonts w:ascii="Arial" w:hAnsi="Arial" w:cs="Arial"/>
        </w:rPr>
      </w:pPr>
      <w:r>
        <w:rPr>
          <w:rFonts w:ascii="Arial" w:hAnsi="Arial" w:cs="Arial"/>
        </w:rPr>
        <w:t>Furthermore, goal-setting and social exchange theory indicates that supervisors should provide consistent, task-related feedback (</w:t>
      </w:r>
      <w:proofErr w:type="spellStart"/>
      <w:r>
        <w:rPr>
          <w:rFonts w:ascii="Arial" w:hAnsi="Arial" w:cs="Arial"/>
        </w:rPr>
        <w:t>Cropanzano</w:t>
      </w:r>
      <w:proofErr w:type="spellEnd"/>
      <w:r>
        <w:rPr>
          <w:rFonts w:ascii="Arial" w:hAnsi="Arial" w:cs="Arial"/>
        </w:rPr>
        <w:t xml:space="preserve"> and Mitchell, 2005; Locke and Latham, 2002). These mechanisms create psychological safety and clarify expectations, which are especially critical in high-stress, low-resource hotel environments like Ibis.</w:t>
      </w:r>
    </w:p>
    <w:p w14:paraId="15B043D4" w14:textId="77777777" w:rsidR="009427D5" w:rsidRDefault="009427D5">
      <w:pPr>
        <w:spacing w:after="0" w:line="360" w:lineRule="auto"/>
        <w:jc w:val="both"/>
        <w:rPr>
          <w:rFonts w:ascii="Arial" w:hAnsi="Arial" w:cs="Arial"/>
        </w:rPr>
      </w:pPr>
    </w:p>
    <w:p w14:paraId="2626CB72" w14:textId="77777777" w:rsidR="009427D5" w:rsidRDefault="002D309F">
      <w:pPr>
        <w:pStyle w:val="Heading1"/>
      </w:pPr>
      <w:bookmarkStart w:id="12" w:name="_Toc198565157"/>
      <w:r>
        <w:t>References</w:t>
      </w:r>
      <w:bookmarkEnd w:id="12"/>
    </w:p>
    <w:p w14:paraId="3957AD6E" w14:textId="77777777" w:rsidR="009427D5" w:rsidRDefault="002D309F">
      <w:pPr>
        <w:pStyle w:val="ListParagraph"/>
        <w:numPr>
          <w:ilvl w:val="0"/>
          <w:numId w:val="4"/>
        </w:numPr>
        <w:spacing w:after="0" w:line="360" w:lineRule="auto"/>
        <w:jc w:val="both"/>
      </w:pPr>
      <w:r>
        <w:rPr>
          <w:rFonts w:ascii="Arial" w:hAnsi="Arial" w:cs="Arial"/>
        </w:rPr>
        <w:t xml:space="preserve">Albrecht, S.L., Bakker, A.B., </w:t>
      </w:r>
      <w:proofErr w:type="spellStart"/>
      <w:r>
        <w:rPr>
          <w:rFonts w:ascii="Arial" w:hAnsi="Arial" w:cs="Arial"/>
        </w:rPr>
        <w:t>Gruman</w:t>
      </w:r>
      <w:proofErr w:type="spellEnd"/>
      <w:r>
        <w:rPr>
          <w:rFonts w:ascii="Arial" w:hAnsi="Arial" w:cs="Arial"/>
        </w:rPr>
        <w:t xml:space="preserve">, J.A., Macey, W.H. and Saks, A.M., 2015. </w:t>
      </w:r>
      <w:r>
        <w:rPr>
          <w:rFonts w:ascii="Arial" w:hAnsi="Arial" w:cs="Arial"/>
          <w:i/>
          <w:iCs/>
        </w:rPr>
        <w:t>Employee engagement, human resource management practices and competitive advantage: An integrated approach.</w:t>
      </w:r>
      <w:r>
        <w:rPr>
          <w:rFonts w:ascii="Arial" w:hAnsi="Arial" w:cs="Arial"/>
        </w:rPr>
        <w:t xml:space="preserve"> Journal of Organizational Effectiveness: People and Performance, 2(1), pp.7–35.</w:t>
      </w:r>
    </w:p>
    <w:p w14:paraId="73A526B4" w14:textId="77777777" w:rsidR="009427D5" w:rsidRDefault="002D309F">
      <w:pPr>
        <w:pStyle w:val="ListParagraph"/>
        <w:numPr>
          <w:ilvl w:val="0"/>
          <w:numId w:val="4"/>
        </w:numPr>
        <w:spacing w:after="0" w:line="360" w:lineRule="auto"/>
        <w:jc w:val="both"/>
      </w:pPr>
      <w:r>
        <w:rPr>
          <w:rFonts w:ascii="Arial" w:hAnsi="Arial" w:cs="Arial"/>
        </w:rPr>
        <w:t xml:space="preserve">Armstrong, M. and Taylor, S., 2020. </w:t>
      </w:r>
      <w:r>
        <w:rPr>
          <w:rFonts w:ascii="Arial" w:hAnsi="Arial" w:cs="Arial"/>
          <w:i/>
          <w:iCs/>
        </w:rPr>
        <w:t>Armstrong's Handbook of Human Resource Management Practice.</w:t>
      </w:r>
      <w:r>
        <w:rPr>
          <w:rFonts w:ascii="Arial" w:hAnsi="Arial" w:cs="Arial"/>
        </w:rPr>
        <w:t xml:space="preserve"> 15th ed. London: Kogan Page.</w:t>
      </w:r>
    </w:p>
    <w:p w14:paraId="21CACE1D" w14:textId="77777777" w:rsidR="009427D5" w:rsidRDefault="002D309F">
      <w:pPr>
        <w:pStyle w:val="ListParagraph"/>
        <w:numPr>
          <w:ilvl w:val="0"/>
          <w:numId w:val="4"/>
        </w:numPr>
        <w:spacing w:after="0" w:line="360" w:lineRule="auto"/>
        <w:jc w:val="both"/>
      </w:pPr>
      <w:r>
        <w:rPr>
          <w:rFonts w:ascii="Arial" w:hAnsi="Arial" w:cs="Arial"/>
        </w:rPr>
        <w:t xml:space="preserve">Baum, T., 2015. </w:t>
      </w:r>
      <w:r>
        <w:rPr>
          <w:rFonts w:ascii="Arial" w:hAnsi="Arial" w:cs="Arial"/>
          <w:i/>
          <w:iCs/>
        </w:rPr>
        <w:t>Human resource management for tourism, hospitality and leisure: An international perspective.</w:t>
      </w:r>
      <w:r>
        <w:rPr>
          <w:rFonts w:ascii="Arial" w:hAnsi="Arial" w:cs="Arial"/>
        </w:rPr>
        <w:t xml:space="preserve"> London: </w:t>
      </w:r>
      <w:proofErr w:type="spellStart"/>
      <w:r>
        <w:rPr>
          <w:rFonts w:ascii="Arial" w:hAnsi="Arial" w:cs="Arial"/>
        </w:rPr>
        <w:t>Cengage</w:t>
      </w:r>
      <w:proofErr w:type="spellEnd"/>
      <w:r>
        <w:rPr>
          <w:rFonts w:ascii="Arial" w:hAnsi="Arial" w:cs="Arial"/>
        </w:rPr>
        <w:t xml:space="preserve"> Learning.</w:t>
      </w:r>
    </w:p>
    <w:p w14:paraId="7C51F8A3" w14:textId="77777777" w:rsidR="009427D5" w:rsidRDefault="002D309F">
      <w:pPr>
        <w:pStyle w:val="ListParagraph"/>
        <w:numPr>
          <w:ilvl w:val="0"/>
          <w:numId w:val="4"/>
        </w:numPr>
        <w:spacing w:after="0" w:line="360" w:lineRule="auto"/>
        <w:jc w:val="both"/>
      </w:pPr>
      <w:r>
        <w:rPr>
          <w:rFonts w:ascii="Arial" w:hAnsi="Arial" w:cs="Arial"/>
        </w:rPr>
        <w:lastRenderedPageBreak/>
        <w:t xml:space="preserve">Baum, T., 2020. </w:t>
      </w:r>
      <w:r>
        <w:rPr>
          <w:rFonts w:ascii="Arial" w:hAnsi="Arial" w:cs="Arial"/>
          <w:i/>
          <w:iCs/>
        </w:rPr>
        <w:t>Workforce and labour market challenges in the hospitality industry.</w:t>
      </w:r>
      <w:r>
        <w:rPr>
          <w:rFonts w:ascii="Arial" w:hAnsi="Arial" w:cs="Arial"/>
        </w:rPr>
        <w:t xml:space="preserve"> In: D.G. Pearce and R.W. Butler, eds. </w:t>
      </w:r>
      <w:r>
        <w:rPr>
          <w:rFonts w:ascii="Arial" w:hAnsi="Arial" w:cs="Arial"/>
          <w:i/>
          <w:iCs/>
        </w:rPr>
        <w:t>Tourism Research: A 20:20 Vision.</w:t>
      </w:r>
      <w:r>
        <w:rPr>
          <w:rFonts w:ascii="Arial" w:hAnsi="Arial" w:cs="Arial"/>
        </w:rPr>
        <w:t xml:space="preserve"> Oxford: </w:t>
      </w:r>
      <w:proofErr w:type="spellStart"/>
      <w:r>
        <w:rPr>
          <w:rFonts w:ascii="Arial" w:hAnsi="Arial" w:cs="Arial"/>
        </w:rPr>
        <w:t>Goodfellow</w:t>
      </w:r>
      <w:proofErr w:type="spellEnd"/>
      <w:r>
        <w:rPr>
          <w:rFonts w:ascii="Arial" w:hAnsi="Arial" w:cs="Arial"/>
        </w:rPr>
        <w:t>, pp.137–151.</w:t>
      </w:r>
    </w:p>
    <w:p w14:paraId="6FBC77B4" w14:textId="77777777" w:rsidR="009427D5" w:rsidRDefault="002D309F">
      <w:pPr>
        <w:pStyle w:val="ListParagraph"/>
        <w:numPr>
          <w:ilvl w:val="0"/>
          <w:numId w:val="4"/>
        </w:numPr>
        <w:spacing w:after="0" w:line="360" w:lineRule="auto"/>
        <w:jc w:val="both"/>
      </w:pPr>
      <w:r>
        <w:rPr>
          <w:rFonts w:ascii="Arial" w:hAnsi="Arial" w:cs="Arial"/>
        </w:rPr>
        <w:t xml:space="preserve">Baum, T., </w:t>
      </w:r>
      <w:proofErr w:type="spellStart"/>
      <w:r>
        <w:rPr>
          <w:rFonts w:ascii="Arial" w:hAnsi="Arial" w:cs="Arial"/>
        </w:rPr>
        <w:t>Kralj</w:t>
      </w:r>
      <w:proofErr w:type="spellEnd"/>
      <w:r>
        <w:rPr>
          <w:rFonts w:ascii="Arial" w:hAnsi="Arial" w:cs="Arial"/>
        </w:rPr>
        <w:t xml:space="preserve">, A., Robinson, R.N. and </w:t>
      </w:r>
      <w:proofErr w:type="spellStart"/>
      <w:r>
        <w:rPr>
          <w:rFonts w:ascii="Arial" w:hAnsi="Arial" w:cs="Arial"/>
        </w:rPr>
        <w:t>Solnet</w:t>
      </w:r>
      <w:proofErr w:type="spellEnd"/>
      <w:r>
        <w:rPr>
          <w:rFonts w:ascii="Arial" w:hAnsi="Arial" w:cs="Arial"/>
        </w:rPr>
        <w:t xml:space="preserve">, D., 2016. </w:t>
      </w:r>
      <w:r>
        <w:rPr>
          <w:rFonts w:ascii="Arial" w:hAnsi="Arial" w:cs="Arial"/>
          <w:i/>
          <w:iCs/>
        </w:rPr>
        <w:t>Tourism workforce research: A review, taxonomy and agenda.</w:t>
      </w:r>
      <w:r>
        <w:rPr>
          <w:rFonts w:ascii="Arial" w:hAnsi="Arial" w:cs="Arial"/>
        </w:rPr>
        <w:t xml:space="preserve"> Annals of Tourism Research, 60, pp.1–22.</w:t>
      </w:r>
    </w:p>
    <w:p w14:paraId="2C492336" w14:textId="77777777" w:rsidR="009427D5" w:rsidRDefault="002D309F">
      <w:pPr>
        <w:pStyle w:val="ListParagraph"/>
        <w:numPr>
          <w:ilvl w:val="0"/>
          <w:numId w:val="4"/>
        </w:numPr>
        <w:spacing w:after="0" w:line="360" w:lineRule="auto"/>
        <w:jc w:val="both"/>
      </w:pPr>
      <w:r>
        <w:rPr>
          <w:rFonts w:ascii="Arial" w:hAnsi="Arial" w:cs="Arial"/>
        </w:rPr>
        <w:t xml:space="preserve">Becker, B.E. and Gerhart, B., 1996. </w:t>
      </w:r>
      <w:r>
        <w:rPr>
          <w:rFonts w:ascii="Arial" w:hAnsi="Arial" w:cs="Arial"/>
          <w:i/>
          <w:iCs/>
        </w:rPr>
        <w:t>The impact of human resource management on organizational performance: Progress and prospects.</w:t>
      </w:r>
      <w:r>
        <w:rPr>
          <w:rFonts w:ascii="Arial" w:hAnsi="Arial" w:cs="Arial"/>
        </w:rPr>
        <w:t xml:space="preserve"> Academy of Management Journal, 39(4), pp.779–801.</w:t>
      </w:r>
    </w:p>
    <w:p w14:paraId="0CD89AF9" w14:textId="77777777" w:rsidR="009427D5" w:rsidRDefault="002D309F">
      <w:pPr>
        <w:pStyle w:val="ListParagraph"/>
        <w:numPr>
          <w:ilvl w:val="0"/>
          <w:numId w:val="4"/>
        </w:numPr>
        <w:spacing w:after="0" w:line="360" w:lineRule="auto"/>
        <w:jc w:val="both"/>
      </w:pPr>
      <w:r>
        <w:rPr>
          <w:rFonts w:ascii="Arial" w:hAnsi="Arial" w:cs="Arial"/>
        </w:rPr>
        <w:t xml:space="preserve">Becker, B.E., </w:t>
      </w:r>
      <w:proofErr w:type="spellStart"/>
      <w:r>
        <w:rPr>
          <w:rFonts w:ascii="Arial" w:hAnsi="Arial" w:cs="Arial"/>
        </w:rPr>
        <w:t>Huselid</w:t>
      </w:r>
      <w:proofErr w:type="spellEnd"/>
      <w:r>
        <w:rPr>
          <w:rFonts w:ascii="Arial" w:hAnsi="Arial" w:cs="Arial"/>
        </w:rPr>
        <w:t xml:space="preserve">, M.A. and Ulrich, D., 2001. </w:t>
      </w:r>
      <w:r>
        <w:rPr>
          <w:rFonts w:ascii="Arial" w:hAnsi="Arial" w:cs="Arial"/>
          <w:i/>
          <w:iCs/>
        </w:rPr>
        <w:t>The HR Scorecard: Linking People, Strategy, and Performance.</w:t>
      </w:r>
      <w:r>
        <w:rPr>
          <w:rFonts w:ascii="Arial" w:hAnsi="Arial" w:cs="Arial"/>
        </w:rPr>
        <w:t xml:space="preserve"> Boston: Harvard Business Press.</w:t>
      </w:r>
    </w:p>
    <w:p w14:paraId="6CBDF974" w14:textId="77777777" w:rsidR="009427D5" w:rsidRDefault="002D309F">
      <w:pPr>
        <w:pStyle w:val="ListParagraph"/>
        <w:numPr>
          <w:ilvl w:val="0"/>
          <w:numId w:val="4"/>
        </w:numPr>
        <w:spacing w:after="0" w:line="360" w:lineRule="auto"/>
        <w:jc w:val="both"/>
      </w:pPr>
      <w:r>
        <w:rPr>
          <w:rFonts w:ascii="Arial" w:hAnsi="Arial" w:cs="Arial"/>
        </w:rPr>
        <w:t xml:space="preserve">Bell, E. and </w:t>
      </w:r>
      <w:proofErr w:type="spellStart"/>
      <w:r>
        <w:rPr>
          <w:rFonts w:ascii="Arial" w:hAnsi="Arial" w:cs="Arial"/>
        </w:rPr>
        <w:t>Bryman</w:t>
      </w:r>
      <w:proofErr w:type="spellEnd"/>
      <w:r>
        <w:rPr>
          <w:rFonts w:ascii="Arial" w:hAnsi="Arial" w:cs="Arial"/>
        </w:rPr>
        <w:t xml:space="preserve">, A., 2007. </w:t>
      </w:r>
      <w:r>
        <w:rPr>
          <w:rFonts w:ascii="Arial" w:hAnsi="Arial" w:cs="Arial"/>
          <w:i/>
          <w:iCs/>
        </w:rPr>
        <w:t>The ethics of management research: An exploratory content analysis.</w:t>
      </w:r>
      <w:r>
        <w:rPr>
          <w:rFonts w:ascii="Arial" w:hAnsi="Arial" w:cs="Arial"/>
        </w:rPr>
        <w:t xml:space="preserve"> British Journal of Management, 18(1), pp.63–77.</w:t>
      </w:r>
    </w:p>
    <w:p w14:paraId="4F17BD6B" w14:textId="77777777" w:rsidR="009427D5" w:rsidRDefault="002D309F">
      <w:pPr>
        <w:pStyle w:val="ListParagraph"/>
        <w:numPr>
          <w:ilvl w:val="0"/>
          <w:numId w:val="4"/>
        </w:numPr>
        <w:spacing w:after="0" w:line="360" w:lineRule="auto"/>
        <w:jc w:val="both"/>
      </w:pPr>
      <w:r>
        <w:rPr>
          <w:rFonts w:ascii="Arial" w:hAnsi="Arial" w:cs="Arial"/>
        </w:rPr>
        <w:t xml:space="preserve">Becton, J.B. and </w:t>
      </w:r>
      <w:proofErr w:type="spellStart"/>
      <w:r>
        <w:rPr>
          <w:rFonts w:ascii="Arial" w:hAnsi="Arial" w:cs="Arial"/>
        </w:rPr>
        <w:t>Schraeder</w:t>
      </w:r>
      <w:proofErr w:type="spellEnd"/>
      <w:r>
        <w:rPr>
          <w:rFonts w:ascii="Arial" w:hAnsi="Arial" w:cs="Arial"/>
        </w:rPr>
        <w:t xml:space="preserve">, M., 2020. </w:t>
      </w:r>
      <w:r>
        <w:rPr>
          <w:rFonts w:ascii="Arial" w:hAnsi="Arial" w:cs="Arial"/>
          <w:i/>
          <w:iCs/>
        </w:rPr>
        <w:t>HRM strategies and organizational effectiveness.</w:t>
      </w:r>
      <w:r>
        <w:rPr>
          <w:rFonts w:ascii="Arial" w:hAnsi="Arial" w:cs="Arial"/>
        </w:rPr>
        <w:t xml:space="preserve"> Human Resource Management International Digest, 28(4), pp.1–4.</w:t>
      </w:r>
    </w:p>
    <w:p w14:paraId="5CCA8976" w14:textId="77777777" w:rsidR="009427D5" w:rsidRDefault="002D309F">
      <w:pPr>
        <w:pStyle w:val="ListParagraph"/>
        <w:numPr>
          <w:ilvl w:val="0"/>
          <w:numId w:val="4"/>
        </w:numPr>
        <w:spacing w:after="0" w:line="360" w:lineRule="auto"/>
        <w:jc w:val="both"/>
      </w:pPr>
      <w:proofErr w:type="spellStart"/>
      <w:r>
        <w:rPr>
          <w:rFonts w:ascii="Arial" w:hAnsi="Arial" w:cs="Arial"/>
        </w:rPr>
        <w:t>Bondarouk</w:t>
      </w:r>
      <w:proofErr w:type="spellEnd"/>
      <w:r>
        <w:rPr>
          <w:rFonts w:ascii="Arial" w:hAnsi="Arial" w:cs="Arial"/>
        </w:rPr>
        <w:t xml:space="preserve">, T. and Brewster, C., 2016. </w:t>
      </w:r>
      <w:proofErr w:type="spellStart"/>
      <w:r>
        <w:rPr>
          <w:rFonts w:ascii="Arial" w:hAnsi="Arial" w:cs="Arial"/>
          <w:i/>
          <w:iCs/>
        </w:rPr>
        <w:t>Conceptualising</w:t>
      </w:r>
      <w:proofErr w:type="spellEnd"/>
      <w:r>
        <w:rPr>
          <w:rFonts w:ascii="Arial" w:hAnsi="Arial" w:cs="Arial"/>
          <w:i/>
          <w:iCs/>
        </w:rPr>
        <w:t xml:space="preserve"> the future of HRM and technology research.</w:t>
      </w:r>
      <w:r>
        <w:rPr>
          <w:rFonts w:ascii="Arial" w:hAnsi="Arial" w:cs="Arial"/>
        </w:rPr>
        <w:t xml:space="preserve"> The International Journal of Human Resource Management, 27(21), pp.2652–2671.</w:t>
      </w:r>
    </w:p>
    <w:p w14:paraId="61085AAB" w14:textId="77777777" w:rsidR="009427D5" w:rsidRDefault="002D309F">
      <w:pPr>
        <w:pStyle w:val="ListParagraph"/>
        <w:numPr>
          <w:ilvl w:val="0"/>
          <w:numId w:val="4"/>
        </w:numPr>
        <w:spacing w:after="0" w:line="360" w:lineRule="auto"/>
        <w:jc w:val="both"/>
      </w:pPr>
      <w:r>
        <w:rPr>
          <w:rFonts w:ascii="Arial" w:hAnsi="Arial" w:cs="Arial"/>
        </w:rPr>
        <w:t xml:space="preserve">Bowen, D.E. and </w:t>
      </w:r>
      <w:proofErr w:type="spellStart"/>
      <w:r>
        <w:rPr>
          <w:rFonts w:ascii="Arial" w:hAnsi="Arial" w:cs="Arial"/>
        </w:rPr>
        <w:t>Lawler</w:t>
      </w:r>
      <w:proofErr w:type="spellEnd"/>
      <w:r>
        <w:rPr>
          <w:rFonts w:ascii="Arial" w:hAnsi="Arial" w:cs="Arial"/>
        </w:rPr>
        <w:t xml:space="preserve">, E.E., 1992. </w:t>
      </w:r>
      <w:r>
        <w:rPr>
          <w:rFonts w:ascii="Arial" w:hAnsi="Arial" w:cs="Arial"/>
          <w:i/>
          <w:iCs/>
        </w:rPr>
        <w:t>The empowerment of service workers: What, why, how, and when.</w:t>
      </w:r>
      <w:r>
        <w:rPr>
          <w:rFonts w:ascii="Arial" w:hAnsi="Arial" w:cs="Arial"/>
        </w:rPr>
        <w:t xml:space="preserve"> Sloan Management Review, 33(3), pp.31–39.</w:t>
      </w:r>
    </w:p>
    <w:p w14:paraId="188B340E" w14:textId="77777777" w:rsidR="009427D5" w:rsidRDefault="002D309F">
      <w:pPr>
        <w:pStyle w:val="ListParagraph"/>
        <w:numPr>
          <w:ilvl w:val="0"/>
          <w:numId w:val="4"/>
        </w:numPr>
        <w:spacing w:after="0" w:line="360" w:lineRule="auto"/>
        <w:jc w:val="both"/>
      </w:pPr>
      <w:proofErr w:type="spellStart"/>
      <w:r>
        <w:rPr>
          <w:rFonts w:ascii="Arial" w:hAnsi="Arial" w:cs="Arial"/>
        </w:rPr>
        <w:t>Boxall</w:t>
      </w:r>
      <w:proofErr w:type="spellEnd"/>
      <w:r>
        <w:rPr>
          <w:rFonts w:ascii="Arial" w:hAnsi="Arial" w:cs="Arial"/>
        </w:rPr>
        <w:t xml:space="preserve">, P. and Purcell, J., 2016. </w:t>
      </w:r>
      <w:r>
        <w:rPr>
          <w:rFonts w:ascii="Arial" w:hAnsi="Arial" w:cs="Arial"/>
          <w:i/>
          <w:iCs/>
        </w:rPr>
        <w:t>Strategy and Human Resource Management.</w:t>
      </w:r>
      <w:r>
        <w:rPr>
          <w:rFonts w:ascii="Arial" w:hAnsi="Arial" w:cs="Arial"/>
        </w:rPr>
        <w:t xml:space="preserve"> 4th ed. London: </w:t>
      </w:r>
      <w:proofErr w:type="spellStart"/>
      <w:r>
        <w:rPr>
          <w:rFonts w:ascii="Arial" w:hAnsi="Arial" w:cs="Arial"/>
        </w:rPr>
        <w:t>Palgrave</w:t>
      </w:r>
      <w:proofErr w:type="spellEnd"/>
      <w:r>
        <w:rPr>
          <w:rFonts w:ascii="Arial" w:hAnsi="Arial" w:cs="Arial"/>
        </w:rPr>
        <w:t xml:space="preserve"> Macmillan.</w:t>
      </w:r>
    </w:p>
    <w:p w14:paraId="2F58C013" w14:textId="77777777" w:rsidR="009427D5" w:rsidRDefault="002D309F">
      <w:pPr>
        <w:pStyle w:val="ListParagraph"/>
        <w:numPr>
          <w:ilvl w:val="0"/>
          <w:numId w:val="4"/>
        </w:numPr>
        <w:spacing w:after="0" w:line="360" w:lineRule="auto"/>
        <w:jc w:val="both"/>
      </w:pPr>
      <w:proofErr w:type="spellStart"/>
      <w:r>
        <w:rPr>
          <w:rFonts w:ascii="Arial" w:hAnsi="Arial" w:cs="Arial"/>
        </w:rPr>
        <w:t>Bratton</w:t>
      </w:r>
      <w:proofErr w:type="spellEnd"/>
      <w:r>
        <w:rPr>
          <w:rFonts w:ascii="Arial" w:hAnsi="Arial" w:cs="Arial"/>
        </w:rPr>
        <w:t xml:space="preserve">, J. and Gold, J., 2017. </w:t>
      </w:r>
      <w:r>
        <w:rPr>
          <w:rFonts w:ascii="Arial" w:hAnsi="Arial" w:cs="Arial"/>
          <w:i/>
          <w:iCs/>
        </w:rPr>
        <w:t>Human Resource Management: Theory and Practice.</w:t>
      </w:r>
      <w:r>
        <w:rPr>
          <w:rFonts w:ascii="Arial" w:hAnsi="Arial" w:cs="Arial"/>
        </w:rPr>
        <w:t xml:space="preserve"> 6th ed. London: </w:t>
      </w:r>
      <w:proofErr w:type="spellStart"/>
      <w:r>
        <w:rPr>
          <w:rFonts w:ascii="Arial" w:hAnsi="Arial" w:cs="Arial"/>
        </w:rPr>
        <w:t>Palgrave</w:t>
      </w:r>
      <w:proofErr w:type="spellEnd"/>
      <w:r>
        <w:rPr>
          <w:rFonts w:ascii="Arial" w:hAnsi="Arial" w:cs="Arial"/>
        </w:rPr>
        <w:t>.</w:t>
      </w:r>
    </w:p>
    <w:p w14:paraId="7ACD5B36" w14:textId="77777777" w:rsidR="009427D5" w:rsidRDefault="002D309F">
      <w:pPr>
        <w:pStyle w:val="ListParagraph"/>
        <w:numPr>
          <w:ilvl w:val="0"/>
          <w:numId w:val="4"/>
        </w:numPr>
        <w:spacing w:after="0" w:line="360" w:lineRule="auto"/>
        <w:jc w:val="both"/>
      </w:pPr>
      <w:r>
        <w:rPr>
          <w:rFonts w:ascii="Arial" w:hAnsi="Arial" w:cs="Arial"/>
        </w:rPr>
        <w:t xml:space="preserve">Braun, V. and Clarke, V., 2006. </w:t>
      </w:r>
      <w:r>
        <w:rPr>
          <w:rFonts w:ascii="Arial" w:hAnsi="Arial" w:cs="Arial"/>
          <w:i/>
          <w:iCs/>
        </w:rPr>
        <w:t>Using thematic analysis in psychology.</w:t>
      </w:r>
      <w:r>
        <w:rPr>
          <w:rFonts w:ascii="Arial" w:hAnsi="Arial" w:cs="Arial"/>
        </w:rPr>
        <w:t xml:space="preserve"> Qualitative Research in Psychology, 3(2), pp.77–101.</w:t>
      </w:r>
    </w:p>
    <w:p w14:paraId="33311D4E" w14:textId="77777777" w:rsidR="009427D5" w:rsidRDefault="002D309F">
      <w:pPr>
        <w:pStyle w:val="ListParagraph"/>
        <w:numPr>
          <w:ilvl w:val="0"/>
          <w:numId w:val="4"/>
        </w:numPr>
        <w:spacing w:after="0" w:line="360" w:lineRule="auto"/>
        <w:jc w:val="both"/>
      </w:pPr>
      <w:proofErr w:type="spellStart"/>
      <w:r>
        <w:rPr>
          <w:rFonts w:ascii="Arial" w:hAnsi="Arial" w:cs="Arial"/>
        </w:rPr>
        <w:t>Brotheridge</w:t>
      </w:r>
      <w:proofErr w:type="spellEnd"/>
      <w:r>
        <w:rPr>
          <w:rFonts w:ascii="Arial" w:hAnsi="Arial" w:cs="Arial"/>
        </w:rPr>
        <w:t xml:space="preserve">, C.M. and Lee, R.T., 2003. </w:t>
      </w:r>
      <w:r>
        <w:rPr>
          <w:rFonts w:ascii="Arial" w:hAnsi="Arial" w:cs="Arial"/>
          <w:i/>
          <w:iCs/>
        </w:rPr>
        <w:t>Development and validation of the Emotional Labour Scale.</w:t>
      </w:r>
      <w:r>
        <w:rPr>
          <w:rFonts w:ascii="Arial" w:hAnsi="Arial" w:cs="Arial"/>
        </w:rPr>
        <w:t xml:space="preserve"> Journal of Occupational and Organizational Psychology, 76(3), pp.365–379.</w:t>
      </w:r>
    </w:p>
    <w:p w14:paraId="7E3E0862" w14:textId="77777777" w:rsidR="009427D5" w:rsidRDefault="002D309F">
      <w:pPr>
        <w:pStyle w:val="ListParagraph"/>
        <w:numPr>
          <w:ilvl w:val="0"/>
          <w:numId w:val="4"/>
        </w:numPr>
        <w:spacing w:after="0" w:line="360" w:lineRule="auto"/>
        <w:jc w:val="both"/>
      </w:pPr>
      <w:proofErr w:type="spellStart"/>
      <w:r>
        <w:rPr>
          <w:rFonts w:ascii="Arial" w:hAnsi="Arial" w:cs="Arial"/>
        </w:rPr>
        <w:t>Bryman</w:t>
      </w:r>
      <w:proofErr w:type="spellEnd"/>
      <w:r>
        <w:rPr>
          <w:rFonts w:ascii="Arial" w:hAnsi="Arial" w:cs="Arial"/>
        </w:rPr>
        <w:t xml:space="preserve">, A., 2016. </w:t>
      </w:r>
      <w:r>
        <w:rPr>
          <w:rFonts w:ascii="Arial" w:hAnsi="Arial" w:cs="Arial"/>
          <w:i/>
          <w:iCs/>
        </w:rPr>
        <w:t>Social Research Methods.</w:t>
      </w:r>
      <w:r>
        <w:rPr>
          <w:rFonts w:ascii="Arial" w:hAnsi="Arial" w:cs="Arial"/>
        </w:rPr>
        <w:t xml:space="preserve"> 5th ed. Oxford: Oxford University Press.</w:t>
      </w:r>
    </w:p>
    <w:p w14:paraId="2CD489A5" w14:textId="77777777" w:rsidR="009427D5" w:rsidRDefault="002D309F">
      <w:pPr>
        <w:pStyle w:val="ListParagraph"/>
        <w:numPr>
          <w:ilvl w:val="0"/>
          <w:numId w:val="4"/>
        </w:numPr>
        <w:spacing w:after="0" w:line="360" w:lineRule="auto"/>
        <w:jc w:val="both"/>
      </w:pPr>
      <w:r>
        <w:rPr>
          <w:rFonts w:ascii="Arial" w:hAnsi="Arial" w:cs="Arial"/>
        </w:rPr>
        <w:t xml:space="preserve">Bryson, A., Freeman, R. and </w:t>
      </w:r>
      <w:proofErr w:type="spellStart"/>
      <w:r>
        <w:rPr>
          <w:rFonts w:ascii="Arial" w:hAnsi="Arial" w:cs="Arial"/>
        </w:rPr>
        <w:t>Lucifora</w:t>
      </w:r>
      <w:proofErr w:type="spellEnd"/>
      <w:r>
        <w:rPr>
          <w:rFonts w:ascii="Arial" w:hAnsi="Arial" w:cs="Arial"/>
        </w:rPr>
        <w:t xml:space="preserve">, C., 2013. </w:t>
      </w:r>
      <w:r>
        <w:rPr>
          <w:rFonts w:ascii="Arial" w:hAnsi="Arial" w:cs="Arial"/>
          <w:i/>
          <w:iCs/>
        </w:rPr>
        <w:t>What do employees want? The voice of employees.</w:t>
      </w:r>
      <w:r>
        <w:rPr>
          <w:rFonts w:ascii="Arial" w:hAnsi="Arial" w:cs="Arial"/>
        </w:rPr>
        <w:t xml:space="preserve"> IZA Journal of Labor Policy, 2(1), pp.1–20.</w:t>
      </w:r>
    </w:p>
    <w:p w14:paraId="70B143F3" w14:textId="77777777" w:rsidR="009427D5" w:rsidRDefault="002D309F">
      <w:pPr>
        <w:pStyle w:val="ListParagraph"/>
        <w:numPr>
          <w:ilvl w:val="0"/>
          <w:numId w:val="4"/>
        </w:numPr>
        <w:spacing w:after="0" w:line="360" w:lineRule="auto"/>
        <w:jc w:val="both"/>
      </w:pPr>
      <w:r>
        <w:rPr>
          <w:rFonts w:ascii="Arial" w:hAnsi="Arial" w:cs="Arial"/>
        </w:rPr>
        <w:lastRenderedPageBreak/>
        <w:t xml:space="preserve">Chan, E.S.W. and Hawkins, R., 2012. </w:t>
      </w:r>
      <w:r>
        <w:rPr>
          <w:rFonts w:ascii="Arial" w:hAnsi="Arial" w:cs="Arial"/>
          <w:i/>
          <w:iCs/>
        </w:rPr>
        <w:t>Application of EMSs in a hotel context: A case study.</w:t>
      </w:r>
      <w:r>
        <w:rPr>
          <w:rFonts w:ascii="Arial" w:hAnsi="Arial" w:cs="Arial"/>
        </w:rPr>
        <w:t xml:space="preserve"> International Journal of Hospitality Management, 31(2), pp.405–418.</w:t>
      </w:r>
    </w:p>
    <w:p w14:paraId="5B88A648" w14:textId="77777777" w:rsidR="009427D5" w:rsidRDefault="002D309F">
      <w:pPr>
        <w:pStyle w:val="ListParagraph"/>
        <w:numPr>
          <w:ilvl w:val="0"/>
          <w:numId w:val="4"/>
        </w:numPr>
        <w:spacing w:after="0" w:line="360" w:lineRule="auto"/>
        <w:jc w:val="both"/>
      </w:pPr>
      <w:r>
        <w:rPr>
          <w:rFonts w:ascii="Arial" w:hAnsi="Arial" w:cs="Arial"/>
        </w:rPr>
        <w:t xml:space="preserve">Chiang, F.F.T., </w:t>
      </w:r>
      <w:proofErr w:type="spellStart"/>
      <w:r>
        <w:rPr>
          <w:rFonts w:ascii="Arial" w:hAnsi="Arial" w:cs="Arial"/>
        </w:rPr>
        <w:t>Lemański</w:t>
      </w:r>
      <w:proofErr w:type="spellEnd"/>
      <w:r>
        <w:rPr>
          <w:rFonts w:ascii="Arial" w:hAnsi="Arial" w:cs="Arial"/>
        </w:rPr>
        <w:t xml:space="preserve">, M.K. and </w:t>
      </w:r>
      <w:proofErr w:type="spellStart"/>
      <w:r>
        <w:rPr>
          <w:rFonts w:ascii="Arial" w:hAnsi="Arial" w:cs="Arial"/>
        </w:rPr>
        <w:t>Birtch</w:t>
      </w:r>
      <w:proofErr w:type="spellEnd"/>
      <w:r>
        <w:rPr>
          <w:rFonts w:ascii="Arial" w:hAnsi="Arial" w:cs="Arial"/>
        </w:rPr>
        <w:t xml:space="preserve">, T.A., 2014. </w:t>
      </w:r>
      <w:r>
        <w:rPr>
          <w:rFonts w:ascii="Arial" w:hAnsi="Arial" w:cs="Arial"/>
          <w:i/>
          <w:iCs/>
        </w:rPr>
        <w:t>The transferability of management practices: Examining cross-national differences in reward preferences.</w:t>
      </w:r>
      <w:r>
        <w:rPr>
          <w:rFonts w:ascii="Arial" w:hAnsi="Arial" w:cs="Arial"/>
        </w:rPr>
        <w:t xml:space="preserve"> Human Resource Management, 53(5), pp.639–659.</w:t>
      </w:r>
    </w:p>
    <w:p w14:paraId="245FEC4E" w14:textId="77777777" w:rsidR="009427D5" w:rsidRDefault="002D309F">
      <w:pPr>
        <w:pStyle w:val="ListParagraph"/>
        <w:numPr>
          <w:ilvl w:val="0"/>
          <w:numId w:val="4"/>
        </w:numPr>
        <w:spacing w:after="0" w:line="360" w:lineRule="auto"/>
        <w:jc w:val="both"/>
      </w:pPr>
      <w:proofErr w:type="spellStart"/>
      <w:r>
        <w:rPr>
          <w:rFonts w:ascii="Arial" w:hAnsi="Arial" w:cs="Arial"/>
        </w:rPr>
        <w:t>Christou</w:t>
      </w:r>
      <w:proofErr w:type="spellEnd"/>
      <w:r>
        <w:rPr>
          <w:rFonts w:ascii="Arial" w:hAnsi="Arial" w:cs="Arial"/>
        </w:rPr>
        <w:t xml:space="preserve">, E., 2011. </w:t>
      </w:r>
      <w:r>
        <w:rPr>
          <w:rFonts w:ascii="Arial" w:hAnsi="Arial" w:cs="Arial"/>
          <w:i/>
          <w:iCs/>
        </w:rPr>
        <w:t>Exploring the impact of employee empowerment on hotel performance in the Greek hospitality industry.</w:t>
      </w:r>
      <w:r>
        <w:rPr>
          <w:rFonts w:ascii="Arial" w:hAnsi="Arial" w:cs="Arial"/>
        </w:rPr>
        <w:t xml:space="preserve"> Tourism and Hospitality Management, 17(1), pp.105–120.</w:t>
      </w:r>
    </w:p>
    <w:p w14:paraId="0EF91F24" w14:textId="77777777" w:rsidR="009427D5" w:rsidRDefault="002D309F">
      <w:pPr>
        <w:pStyle w:val="ListParagraph"/>
        <w:numPr>
          <w:ilvl w:val="0"/>
          <w:numId w:val="4"/>
        </w:numPr>
        <w:spacing w:after="0" w:line="360" w:lineRule="auto"/>
        <w:jc w:val="both"/>
      </w:pPr>
      <w:proofErr w:type="spellStart"/>
      <w:r>
        <w:rPr>
          <w:rFonts w:ascii="Arial" w:hAnsi="Arial" w:cs="Arial"/>
        </w:rPr>
        <w:t>Creswell</w:t>
      </w:r>
      <w:proofErr w:type="spellEnd"/>
      <w:r>
        <w:rPr>
          <w:rFonts w:ascii="Arial" w:hAnsi="Arial" w:cs="Arial"/>
        </w:rPr>
        <w:t xml:space="preserve">, J.W. and </w:t>
      </w:r>
      <w:proofErr w:type="spellStart"/>
      <w:r>
        <w:rPr>
          <w:rFonts w:ascii="Arial" w:hAnsi="Arial" w:cs="Arial"/>
        </w:rPr>
        <w:t>Poth</w:t>
      </w:r>
      <w:proofErr w:type="spellEnd"/>
      <w:r>
        <w:rPr>
          <w:rFonts w:ascii="Arial" w:hAnsi="Arial" w:cs="Arial"/>
        </w:rPr>
        <w:t xml:space="preserve">, C.N., 2018. </w:t>
      </w:r>
      <w:r>
        <w:rPr>
          <w:rFonts w:ascii="Arial" w:hAnsi="Arial" w:cs="Arial"/>
          <w:i/>
          <w:iCs/>
        </w:rPr>
        <w:t>Qualitative Inquiry and Research Design: Choosing Among Five Approaches.</w:t>
      </w:r>
      <w:r>
        <w:rPr>
          <w:rFonts w:ascii="Arial" w:hAnsi="Arial" w:cs="Arial"/>
        </w:rPr>
        <w:t xml:space="preserve"> 4th ed. Thousand Oaks, CA: Sage.</w:t>
      </w:r>
    </w:p>
    <w:p w14:paraId="062C6167" w14:textId="77777777" w:rsidR="009427D5" w:rsidRDefault="002D309F">
      <w:pPr>
        <w:pStyle w:val="ListParagraph"/>
        <w:numPr>
          <w:ilvl w:val="0"/>
          <w:numId w:val="4"/>
        </w:numPr>
        <w:spacing w:after="0" w:line="360" w:lineRule="auto"/>
        <w:jc w:val="both"/>
      </w:pPr>
      <w:proofErr w:type="spellStart"/>
      <w:r>
        <w:rPr>
          <w:rFonts w:ascii="Arial" w:hAnsi="Arial" w:cs="Arial"/>
        </w:rPr>
        <w:t>Cropanzano</w:t>
      </w:r>
      <w:proofErr w:type="spellEnd"/>
      <w:r>
        <w:rPr>
          <w:rFonts w:ascii="Arial" w:hAnsi="Arial" w:cs="Arial"/>
        </w:rPr>
        <w:t xml:space="preserve">, R. and Mitchell, M.S., 2005. </w:t>
      </w:r>
      <w:r>
        <w:rPr>
          <w:rFonts w:ascii="Arial" w:hAnsi="Arial" w:cs="Arial"/>
          <w:i/>
          <w:iCs/>
        </w:rPr>
        <w:t>Social exchange theory: An interdisciplinary review.</w:t>
      </w:r>
      <w:r>
        <w:rPr>
          <w:rFonts w:ascii="Arial" w:hAnsi="Arial" w:cs="Arial"/>
        </w:rPr>
        <w:t xml:space="preserve"> Journal of Management, 31(6), pp.874–900.</w:t>
      </w:r>
    </w:p>
    <w:p w14:paraId="6FA15E2B" w14:textId="77777777" w:rsidR="009427D5" w:rsidRDefault="002D309F">
      <w:pPr>
        <w:pStyle w:val="ListParagraph"/>
        <w:numPr>
          <w:ilvl w:val="0"/>
          <w:numId w:val="4"/>
        </w:numPr>
        <w:spacing w:after="0" w:line="360" w:lineRule="auto"/>
        <w:jc w:val="both"/>
      </w:pPr>
      <w:r>
        <w:rPr>
          <w:rFonts w:ascii="Arial" w:hAnsi="Arial" w:cs="Arial"/>
        </w:rPr>
        <w:t xml:space="preserve">Deci, E.L. and Ryan, R.M., 2000. </w:t>
      </w:r>
      <w:r>
        <w:rPr>
          <w:rFonts w:ascii="Arial" w:hAnsi="Arial" w:cs="Arial"/>
          <w:i/>
          <w:iCs/>
        </w:rPr>
        <w:t>The "what" and "why" of goal pursuits: Human needs and the self-determination of behavior.</w:t>
      </w:r>
      <w:r>
        <w:rPr>
          <w:rFonts w:ascii="Arial" w:hAnsi="Arial" w:cs="Arial"/>
        </w:rPr>
        <w:t xml:space="preserve"> Psychological Inquiry, 11(4), pp.227–268.</w:t>
      </w:r>
    </w:p>
    <w:p w14:paraId="1CA688D7" w14:textId="77777777" w:rsidR="009427D5" w:rsidRDefault="002D309F">
      <w:pPr>
        <w:pStyle w:val="ListParagraph"/>
        <w:numPr>
          <w:ilvl w:val="0"/>
          <w:numId w:val="4"/>
        </w:numPr>
        <w:spacing w:after="0" w:line="360" w:lineRule="auto"/>
        <w:jc w:val="both"/>
      </w:pPr>
      <w:proofErr w:type="spellStart"/>
      <w:r>
        <w:rPr>
          <w:rFonts w:ascii="Arial" w:hAnsi="Arial" w:cs="Arial"/>
        </w:rPr>
        <w:t>Delery</w:t>
      </w:r>
      <w:proofErr w:type="spellEnd"/>
      <w:r>
        <w:rPr>
          <w:rFonts w:ascii="Arial" w:hAnsi="Arial" w:cs="Arial"/>
        </w:rPr>
        <w:t xml:space="preserve">, J.E. and Doty, D.H., 1996. </w:t>
      </w:r>
      <w:r>
        <w:rPr>
          <w:rFonts w:ascii="Arial" w:hAnsi="Arial" w:cs="Arial"/>
          <w:i/>
          <w:iCs/>
        </w:rPr>
        <w:t>Modes of theorizing in strategic human resource management: Tests of universalistic, contingency, and configurational performance predictions.</w:t>
      </w:r>
      <w:r>
        <w:rPr>
          <w:rFonts w:ascii="Arial" w:hAnsi="Arial" w:cs="Arial"/>
        </w:rPr>
        <w:t xml:space="preserve"> Academy of Management Journal, 39(4), pp.802–835.</w:t>
      </w:r>
    </w:p>
    <w:p w14:paraId="3BDC6544" w14:textId="77777777" w:rsidR="009427D5" w:rsidRDefault="002D309F">
      <w:pPr>
        <w:pStyle w:val="ListParagraph"/>
        <w:numPr>
          <w:ilvl w:val="0"/>
          <w:numId w:val="4"/>
        </w:numPr>
        <w:spacing w:after="0" w:line="360" w:lineRule="auto"/>
        <w:jc w:val="both"/>
      </w:pPr>
      <w:proofErr w:type="spellStart"/>
      <w:r>
        <w:rPr>
          <w:rFonts w:ascii="Arial" w:hAnsi="Arial" w:cs="Arial"/>
        </w:rPr>
        <w:t>Deery</w:t>
      </w:r>
      <w:proofErr w:type="spellEnd"/>
      <w:r>
        <w:rPr>
          <w:rFonts w:ascii="Arial" w:hAnsi="Arial" w:cs="Arial"/>
        </w:rPr>
        <w:t xml:space="preserve">, M. and </w:t>
      </w:r>
      <w:proofErr w:type="spellStart"/>
      <w:r>
        <w:rPr>
          <w:rFonts w:ascii="Arial" w:hAnsi="Arial" w:cs="Arial"/>
        </w:rPr>
        <w:t>Jago</w:t>
      </w:r>
      <w:proofErr w:type="spellEnd"/>
      <w:r>
        <w:rPr>
          <w:rFonts w:ascii="Arial" w:hAnsi="Arial" w:cs="Arial"/>
        </w:rPr>
        <w:t xml:space="preserve">, L., 2015. </w:t>
      </w:r>
      <w:r>
        <w:rPr>
          <w:rFonts w:ascii="Arial" w:hAnsi="Arial" w:cs="Arial"/>
          <w:i/>
          <w:iCs/>
        </w:rPr>
        <w:t>Revisiting talent management, work-life balance and retention strategies.</w:t>
      </w:r>
      <w:r>
        <w:rPr>
          <w:rFonts w:ascii="Arial" w:hAnsi="Arial" w:cs="Arial"/>
        </w:rPr>
        <w:t xml:space="preserve"> International Journal of Contemporary Hospitality Management, 27(3), pp.453–472.</w:t>
      </w:r>
    </w:p>
    <w:p w14:paraId="1125AE48" w14:textId="77777777" w:rsidR="009427D5" w:rsidRDefault="002D309F">
      <w:pPr>
        <w:pStyle w:val="ListParagraph"/>
        <w:numPr>
          <w:ilvl w:val="0"/>
          <w:numId w:val="4"/>
        </w:numPr>
        <w:spacing w:after="0" w:line="360" w:lineRule="auto"/>
        <w:jc w:val="both"/>
      </w:pPr>
      <w:proofErr w:type="spellStart"/>
      <w:r>
        <w:rPr>
          <w:rFonts w:ascii="Arial" w:hAnsi="Arial" w:cs="Arial"/>
        </w:rPr>
        <w:t>Denzin</w:t>
      </w:r>
      <w:proofErr w:type="spellEnd"/>
      <w:r>
        <w:rPr>
          <w:rFonts w:ascii="Arial" w:hAnsi="Arial" w:cs="Arial"/>
        </w:rPr>
        <w:t xml:space="preserve">, N.K. and Lincoln, Y.S., 2018. </w:t>
      </w:r>
      <w:r>
        <w:rPr>
          <w:rFonts w:ascii="Arial" w:hAnsi="Arial" w:cs="Arial"/>
          <w:i/>
          <w:iCs/>
        </w:rPr>
        <w:t>The Sage Handbook of Qualitative Research.</w:t>
      </w:r>
      <w:r>
        <w:rPr>
          <w:rFonts w:ascii="Arial" w:hAnsi="Arial" w:cs="Arial"/>
        </w:rPr>
        <w:t xml:space="preserve"> 5th ed. Thousand Oaks, CA: Sage.</w:t>
      </w:r>
    </w:p>
    <w:p w14:paraId="6D9BCC0E" w14:textId="77777777" w:rsidR="009427D5" w:rsidRDefault="002D309F">
      <w:pPr>
        <w:pStyle w:val="ListParagraph"/>
        <w:numPr>
          <w:ilvl w:val="0"/>
          <w:numId w:val="4"/>
        </w:numPr>
        <w:spacing w:after="0" w:line="360" w:lineRule="auto"/>
        <w:jc w:val="both"/>
      </w:pPr>
      <w:r>
        <w:rPr>
          <w:rFonts w:ascii="Arial" w:hAnsi="Arial" w:cs="Arial"/>
        </w:rPr>
        <w:t xml:space="preserve">Flick, U., 2014. </w:t>
      </w:r>
      <w:r>
        <w:rPr>
          <w:rFonts w:ascii="Arial" w:hAnsi="Arial" w:cs="Arial"/>
          <w:i/>
          <w:iCs/>
        </w:rPr>
        <w:t>An Introduction to Qualitative Research.</w:t>
      </w:r>
      <w:r>
        <w:rPr>
          <w:rFonts w:ascii="Arial" w:hAnsi="Arial" w:cs="Arial"/>
        </w:rPr>
        <w:t xml:space="preserve"> 5th ed. London: Sage.</w:t>
      </w:r>
    </w:p>
    <w:p w14:paraId="0CF0355E" w14:textId="77777777" w:rsidR="009427D5" w:rsidRDefault="002D309F">
      <w:pPr>
        <w:pStyle w:val="ListParagraph"/>
        <w:numPr>
          <w:ilvl w:val="0"/>
          <w:numId w:val="4"/>
        </w:numPr>
        <w:spacing w:after="0" w:line="360" w:lineRule="auto"/>
        <w:jc w:val="both"/>
      </w:pPr>
      <w:proofErr w:type="spellStart"/>
      <w:r>
        <w:rPr>
          <w:rFonts w:ascii="Arial" w:hAnsi="Arial" w:cs="Arial"/>
        </w:rPr>
        <w:t>Gagné</w:t>
      </w:r>
      <w:proofErr w:type="spellEnd"/>
      <w:r>
        <w:rPr>
          <w:rFonts w:ascii="Arial" w:hAnsi="Arial" w:cs="Arial"/>
        </w:rPr>
        <w:t xml:space="preserve">, M. and Deci, E.L., 2005. </w:t>
      </w:r>
      <w:r>
        <w:rPr>
          <w:rFonts w:ascii="Arial" w:hAnsi="Arial" w:cs="Arial"/>
          <w:i/>
          <w:iCs/>
        </w:rPr>
        <w:t>Self-determination theory and work motivation.</w:t>
      </w:r>
      <w:r>
        <w:rPr>
          <w:rFonts w:ascii="Arial" w:hAnsi="Arial" w:cs="Arial"/>
        </w:rPr>
        <w:t xml:space="preserve"> Journal of Organizational Behavior, 26(4), pp.331–362.</w:t>
      </w:r>
    </w:p>
    <w:p w14:paraId="763C096C" w14:textId="77777777" w:rsidR="009427D5" w:rsidRDefault="002D309F">
      <w:pPr>
        <w:pStyle w:val="ListParagraph"/>
        <w:numPr>
          <w:ilvl w:val="0"/>
          <w:numId w:val="4"/>
        </w:numPr>
        <w:spacing w:after="0" w:line="360" w:lineRule="auto"/>
        <w:jc w:val="both"/>
      </w:pPr>
      <w:proofErr w:type="spellStart"/>
      <w:r>
        <w:rPr>
          <w:rFonts w:ascii="Arial" w:hAnsi="Arial" w:cs="Arial"/>
        </w:rPr>
        <w:t>Giousmpasoglou</w:t>
      </w:r>
      <w:proofErr w:type="spellEnd"/>
      <w:r>
        <w:rPr>
          <w:rFonts w:ascii="Arial" w:hAnsi="Arial" w:cs="Arial"/>
        </w:rPr>
        <w:t xml:space="preserve">, C., </w:t>
      </w:r>
      <w:proofErr w:type="spellStart"/>
      <w:r>
        <w:rPr>
          <w:rFonts w:ascii="Arial" w:hAnsi="Arial" w:cs="Arial"/>
        </w:rPr>
        <w:t>Marinakou</w:t>
      </w:r>
      <w:proofErr w:type="spellEnd"/>
      <w:r>
        <w:rPr>
          <w:rFonts w:ascii="Arial" w:hAnsi="Arial" w:cs="Arial"/>
        </w:rPr>
        <w:t xml:space="preserve">, E. and Cooper, J., 2021. </w:t>
      </w:r>
      <w:r>
        <w:rPr>
          <w:rFonts w:ascii="Arial" w:hAnsi="Arial" w:cs="Arial"/>
          <w:i/>
          <w:iCs/>
        </w:rPr>
        <w:t>Leadership, HRM and culture in the hospitality industry: A critical review.</w:t>
      </w:r>
      <w:r>
        <w:rPr>
          <w:rFonts w:ascii="Arial" w:hAnsi="Arial" w:cs="Arial"/>
        </w:rPr>
        <w:t xml:space="preserve"> Tourism &amp; Hospitality Research, 21(1), pp.3–18.</w:t>
      </w:r>
    </w:p>
    <w:p w14:paraId="78426FDD" w14:textId="77777777" w:rsidR="009427D5" w:rsidRDefault="002D309F">
      <w:pPr>
        <w:pStyle w:val="ListParagraph"/>
        <w:numPr>
          <w:ilvl w:val="0"/>
          <w:numId w:val="4"/>
        </w:numPr>
        <w:spacing w:after="0" w:line="360" w:lineRule="auto"/>
        <w:jc w:val="both"/>
      </w:pPr>
      <w:proofErr w:type="spellStart"/>
      <w:r>
        <w:rPr>
          <w:rFonts w:ascii="Arial" w:hAnsi="Arial" w:cs="Arial"/>
        </w:rPr>
        <w:t>Grandey</w:t>
      </w:r>
      <w:proofErr w:type="spellEnd"/>
      <w:r>
        <w:rPr>
          <w:rFonts w:ascii="Arial" w:hAnsi="Arial" w:cs="Arial"/>
        </w:rPr>
        <w:t xml:space="preserve">, A.A., 2000. </w:t>
      </w:r>
      <w:r>
        <w:rPr>
          <w:rFonts w:ascii="Arial" w:hAnsi="Arial" w:cs="Arial"/>
          <w:i/>
          <w:iCs/>
        </w:rPr>
        <w:t>Emotional regulation in the workplace: A new way to conceptualize emotional labor.</w:t>
      </w:r>
      <w:r>
        <w:rPr>
          <w:rFonts w:ascii="Arial" w:hAnsi="Arial" w:cs="Arial"/>
        </w:rPr>
        <w:t xml:space="preserve"> Journal of Occupational Health Psychology, 5(1), pp.95–110.</w:t>
      </w:r>
    </w:p>
    <w:p w14:paraId="27CA6640" w14:textId="77777777" w:rsidR="009427D5" w:rsidRDefault="002D309F">
      <w:pPr>
        <w:pStyle w:val="ListParagraph"/>
        <w:numPr>
          <w:ilvl w:val="0"/>
          <w:numId w:val="4"/>
        </w:numPr>
        <w:spacing w:after="0" w:line="360" w:lineRule="auto"/>
        <w:jc w:val="both"/>
      </w:pPr>
      <w:proofErr w:type="spellStart"/>
      <w:r>
        <w:rPr>
          <w:rFonts w:ascii="Arial" w:hAnsi="Arial" w:cs="Arial"/>
        </w:rPr>
        <w:lastRenderedPageBreak/>
        <w:t>Herzberg</w:t>
      </w:r>
      <w:proofErr w:type="spellEnd"/>
      <w:r>
        <w:rPr>
          <w:rFonts w:ascii="Arial" w:hAnsi="Arial" w:cs="Arial"/>
        </w:rPr>
        <w:t xml:space="preserve">, F., 1959. </w:t>
      </w:r>
      <w:r>
        <w:rPr>
          <w:rFonts w:ascii="Arial" w:hAnsi="Arial" w:cs="Arial"/>
          <w:i/>
          <w:iCs/>
        </w:rPr>
        <w:t>The Motivation to Work.</w:t>
      </w:r>
      <w:r>
        <w:rPr>
          <w:rFonts w:ascii="Arial" w:hAnsi="Arial" w:cs="Arial"/>
        </w:rPr>
        <w:t xml:space="preserve"> New York: Wiley.</w:t>
      </w:r>
    </w:p>
    <w:p w14:paraId="1AC16D8F" w14:textId="77777777" w:rsidR="009427D5" w:rsidRDefault="002D309F">
      <w:pPr>
        <w:pStyle w:val="ListParagraph"/>
        <w:numPr>
          <w:ilvl w:val="0"/>
          <w:numId w:val="4"/>
        </w:numPr>
        <w:spacing w:after="0" w:line="360" w:lineRule="auto"/>
        <w:jc w:val="both"/>
      </w:pPr>
      <w:proofErr w:type="spellStart"/>
      <w:r>
        <w:rPr>
          <w:rFonts w:ascii="Arial" w:hAnsi="Arial" w:cs="Arial"/>
        </w:rPr>
        <w:t>Hoque</w:t>
      </w:r>
      <w:proofErr w:type="spellEnd"/>
      <w:r>
        <w:rPr>
          <w:rFonts w:ascii="Arial" w:hAnsi="Arial" w:cs="Arial"/>
        </w:rPr>
        <w:t xml:space="preserve">, K., 2013. </w:t>
      </w:r>
      <w:r>
        <w:rPr>
          <w:rFonts w:ascii="Arial" w:hAnsi="Arial" w:cs="Arial"/>
          <w:i/>
          <w:iCs/>
        </w:rPr>
        <w:t>Human Resource Management in the Hotel Industry: Strategy, Innovation and Performance.</w:t>
      </w:r>
      <w:r>
        <w:rPr>
          <w:rFonts w:ascii="Arial" w:hAnsi="Arial" w:cs="Arial"/>
        </w:rPr>
        <w:t xml:space="preserve"> London: </w:t>
      </w:r>
      <w:proofErr w:type="spellStart"/>
      <w:r>
        <w:rPr>
          <w:rFonts w:ascii="Arial" w:hAnsi="Arial" w:cs="Arial"/>
        </w:rPr>
        <w:t>Routledge</w:t>
      </w:r>
      <w:proofErr w:type="spellEnd"/>
      <w:r>
        <w:rPr>
          <w:rFonts w:ascii="Arial" w:hAnsi="Arial" w:cs="Arial"/>
        </w:rPr>
        <w:t>.</w:t>
      </w:r>
    </w:p>
    <w:p w14:paraId="0994C54B" w14:textId="77777777" w:rsidR="009427D5" w:rsidRDefault="002D309F">
      <w:pPr>
        <w:pStyle w:val="ListParagraph"/>
        <w:numPr>
          <w:ilvl w:val="0"/>
          <w:numId w:val="4"/>
        </w:numPr>
        <w:spacing w:after="0" w:line="360" w:lineRule="auto"/>
        <w:jc w:val="both"/>
      </w:pPr>
      <w:r>
        <w:rPr>
          <w:rFonts w:ascii="Arial" w:hAnsi="Arial" w:cs="Arial"/>
        </w:rPr>
        <w:t xml:space="preserve">Huang, Y., </w:t>
      </w:r>
      <w:proofErr w:type="spellStart"/>
      <w:r>
        <w:rPr>
          <w:rFonts w:ascii="Arial" w:hAnsi="Arial" w:cs="Arial"/>
        </w:rPr>
        <w:t>Simha</w:t>
      </w:r>
      <w:proofErr w:type="spellEnd"/>
      <w:r>
        <w:rPr>
          <w:rFonts w:ascii="Arial" w:hAnsi="Arial" w:cs="Arial"/>
        </w:rPr>
        <w:t xml:space="preserve">, A. and </w:t>
      </w:r>
      <w:proofErr w:type="spellStart"/>
      <w:r>
        <w:rPr>
          <w:rFonts w:ascii="Arial" w:hAnsi="Arial" w:cs="Arial"/>
        </w:rPr>
        <w:t>Danner</w:t>
      </w:r>
      <w:proofErr w:type="spellEnd"/>
      <w:r>
        <w:rPr>
          <w:rFonts w:ascii="Arial" w:hAnsi="Arial" w:cs="Arial"/>
        </w:rPr>
        <w:t xml:space="preserve">, R., 2019. </w:t>
      </w:r>
      <w:r>
        <w:rPr>
          <w:rFonts w:ascii="Arial" w:hAnsi="Arial" w:cs="Arial"/>
          <w:i/>
          <w:iCs/>
        </w:rPr>
        <w:t>Emotional intelligence, emotional labor, and job performance in hospitality.</w:t>
      </w:r>
      <w:r>
        <w:rPr>
          <w:rFonts w:ascii="Arial" w:hAnsi="Arial" w:cs="Arial"/>
        </w:rPr>
        <w:t xml:space="preserve"> International Journal of Hospitality Management, 77, pp.122–130.</w:t>
      </w:r>
    </w:p>
    <w:p w14:paraId="2B618685" w14:textId="77777777" w:rsidR="009427D5" w:rsidRDefault="002D309F">
      <w:pPr>
        <w:pStyle w:val="ListParagraph"/>
        <w:numPr>
          <w:ilvl w:val="0"/>
          <w:numId w:val="4"/>
        </w:numPr>
        <w:spacing w:after="0" w:line="360" w:lineRule="auto"/>
        <w:jc w:val="both"/>
      </w:pPr>
      <w:r>
        <w:rPr>
          <w:rFonts w:ascii="Arial" w:hAnsi="Arial" w:cs="Arial"/>
        </w:rPr>
        <w:t xml:space="preserve">Jin, M.H., McDonald, B. and Park, J.H., 2012. </w:t>
      </w:r>
      <w:r>
        <w:rPr>
          <w:rFonts w:ascii="Arial" w:hAnsi="Arial" w:cs="Arial"/>
          <w:i/>
          <w:iCs/>
        </w:rPr>
        <w:t>Follow the leader? Development of the public service motivation scale.</w:t>
      </w:r>
      <w:r>
        <w:rPr>
          <w:rFonts w:ascii="Arial" w:hAnsi="Arial" w:cs="Arial"/>
        </w:rPr>
        <w:t xml:space="preserve"> Public Administration Review, 72(6), pp.841–850.</w:t>
      </w:r>
    </w:p>
    <w:p w14:paraId="57725F9A" w14:textId="77777777" w:rsidR="009427D5" w:rsidRDefault="002D309F">
      <w:pPr>
        <w:pStyle w:val="ListParagraph"/>
        <w:numPr>
          <w:ilvl w:val="0"/>
          <w:numId w:val="4"/>
        </w:numPr>
        <w:spacing w:after="0" w:line="360" w:lineRule="auto"/>
        <w:jc w:val="both"/>
      </w:pPr>
      <w:r>
        <w:rPr>
          <w:rFonts w:ascii="Arial" w:hAnsi="Arial" w:cs="Arial"/>
        </w:rPr>
        <w:t xml:space="preserve">Kang, H.J., Gatling, A. and Kim, J., 2020. </w:t>
      </w:r>
      <w:r>
        <w:rPr>
          <w:rFonts w:ascii="Arial" w:hAnsi="Arial" w:cs="Arial"/>
          <w:i/>
          <w:iCs/>
        </w:rPr>
        <w:t>The impact of supervisory support on organizational commitment and turnover intention in the hotel industry.</w:t>
      </w:r>
      <w:r>
        <w:rPr>
          <w:rFonts w:ascii="Arial" w:hAnsi="Arial" w:cs="Arial"/>
        </w:rPr>
        <w:t xml:space="preserve"> Journal of Human Resources in Hospitality &amp; Tourism, 19(2), pp.204–225.</w:t>
      </w:r>
    </w:p>
    <w:p w14:paraId="59CA7521" w14:textId="77777777" w:rsidR="009427D5" w:rsidRDefault="002D309F">
      <w:pPr>
        <w:pStyle w:val="ListParagraph"/>
        <w:numPr>
          <w:ilvl w:val="0"/>
          <w:numId w:val="4"/>
        </w:numPr>
        <w:spacing w:after="0" w:line="360" w:lineRule="auto"/>
        <w:jc w:val="both"/>
      </w:pPr>
      <w:r>
        <w:rPr>
          <w:rFonts w:ascii="Arial" w:hAnsi="Arial" w:cs="Arial"/>
        </w:rPr>
        <w:t xml:space="preserve">Kim, H.J., </w:t>
      </w:r>
      <w:proofErr w:type="spellStart"/>
      <w:r>
        <w:rPr>
          <w:rFonts w:ascii="Arial" w:hAnsi="Arial" w:cs="Arial"/>
        </w:rPr>
        <w:t>Hur</w:t>
      </w:r>
      <w:proofErr w:type="spellEnd"/>
      <w:r>
        <w:rPr>
          <w:rFonts w:ascii="Arial" w:hAnsi="Arial" w:cs="Arial"/>
        </w:rPr>
        <w:t xml:space="preserve">, W.M. and Moon, T.W., 2020. </w:t>
      </w:r>
      <w:r>
        <w:rPr>
          <w:rFonts w:ascii="Arial" w:hAnsi="Arial" w:cs="Arial"/>
          <w:i/>
          <w:iCs/>
        </w:rPr>
        <w:t>The effect of resilience on job performance and burnout in the hospitality industry: The mediating role of emotional labor.</w:t>
      </w:r>
      <w:r>
        <w:rPr>
          <w:rFonts w:ascii="Arial" w:hAnsi="Arial" w:cs="Arial"/>
        </w:rPr>
        <w:t xml:space="preserve"> International Journal of Hospitality Management, 90, p.102633.</w:t>
      </w:r>
    </w:p>
    <w:p w14:paraId="46FC5931" w14:textId="77777777" w:rsidR="009427D5" w:rsidRDefault="002D309F">
      <w:pPr>
        <w:pStyle w:val="ListParagraph"/>
        <w:numPr>
          <w:ilvl w:val="0"/>
          <w:numId w:val="4"/>
        </w:numPr>
        <w:spacing w:after="0" w:line="360" w:lineRule="auto"/>
        <w:jc w:val="both"/>
      </w:pPr>
      <w:r>
        <w:rPr>
          <w:rFonts w:ascii="Arial" w:hAnsi="Arial" w:cs="Arial"/>
        </w:rPr>
        <w:t xml:space="preserve">Kirkpatrick, D.L. and Kirkpatrick, J.D., 2006. </w:t>
      </w:r>
      <w:r>
        <w:rPr>
          <w:rFonts w:ascii="Arial" w:hAnsi="Arial" w:cs="Arial"/>
          <w:i/>
          <w:iCs/>
        </w:rPr>
        <w:t>Evaluating Training Programs: The Four Levels.</w:t>
      </w:r>
      <w:r>
        <w:rPr>
          <w:rFonts w:ascii="Arial" w:hAnsi="Arial" w:cs="Arial"/>
        </w:rPr>
        <w:t xml:space="preserve"> 3rd ed. San Francisco: </w:t>
      </w:r>
      <w:proofErr w:type="spellStart"/>
      <w:r>
        <w:rPr>
          <w:rFonts w:ascii="Arial" w:hAnsi="Arial" w:cs="Arial"/>
        </w:rPr>
        <w:t>Berrett-Koehler</w:t>
      </w:r>
      <w:proofErr w:type="spellEnd"/>
      <w:r>
        <w:rPr>
          <w:rFonts w:ascii="Arial" w:hAnsi="Arial" w:cs="Arial"/>
        </w:rPr>
        <w:t>.</w:t>
      </w:r>
    </w:p>
    <w:p w14:paraId="59F67D59" w14:textId="77777777" w:rsidR="009427D5" w:rsidRDefault="002D309F">
      <w:pPr>
        <w:pStyle w:val="ListParagraph"/>
        <w:numPr>
          <w:ilvl w:val="0"/>
          <w:numId w:val="4"/>
        </w:numPr>
        <w:spacing w:after="0" w:line="360" w:lineRule="auto"/>
        <w:jc w:val="both"/>
      </w:pPr>
      <w:proofErr w:type="spellStart"/>
      <w:r>
        <w:rPr>
          <w:rFonts w:ascii="Arial" w:hAnsi="Arial" w:cs="Arial"/>
        </w:rPr>
        <w:t>Kozinets</w:t>
      </w:r>
      <w:proofErr w:type="spellEnd"/>
      <w:r>
        <w:rPr>
          <w:rFonts w:ascii="Arial" w:hAnsi="Arial" w:cs="Arial"/>
        </w:rPr>
        <w:t xml:space="preserve">, R.V., 2015. </w:t>
      </w:r>
      <w:proofErr w:type="spellStart"/>
      <w:r>
        <w:rPr>
          <w:rFonts w:ascii="Arial" w:hAnsi="Arial" w:cs="Arial"/>
          <w:i/>
          <w:iCs/>
        </w:rPr>
        <w:t>Netnography</w:t>
      </w:r>
      <w:proofErr w:type="spellEnd"/>
      <w:r>
        <w:rPr>
          <w:rFonts w:ascii="Arial" w:hAnsi="Arial" w:cs="Arial"/>
          <w:i/>
          <w:iCs/>
        </w:rPr>
        <w:t>: Redefined.</w:t>
      </w:r>
      <w:r>
        <w:rPr>
          <w:rFonts w:ascii="Arial" w:hAnsi="Arial" w:cs="Arial"/>
        </w:rPr>
        <w:t xml:space="preserve"> 2nd ed. London: Sage.</w:t>
      </w:r>
    </w:p>
    <w:p w14:paraId="6033A349" w14:textId="77777777" w:rsidR="009427D5" w:rsidRDefault="002D309F">
      <w:pPr>
        <w:pStyle w:val="ListParagraph"/>
        <w:numPr>
          <w:ilvl w:val="0"/>
          <w:numId w:val="4"/>
        </w:numPr>
        <w:spacing w:after="0" w:line="360" w:lineRule="auto"/>
        <w:jc w:val="both"/>
      </w:pPr>
      <w:proofErr w:type="spellStart"/>
      <w:r>
        <w:rPr>
          <w:rFonts w:ascii="Arial" w:hAnsi="Arial" w:cs="Arial"/>
        </w:rPr>
        <w:t>Kraak</w:t>
      </w:r>
      <w:proofErr w:type="spellEnd"/>
      <w:r>
        <w:rPr>
          <w:rFonts w:ascii="Arial" w:hAnsi="Arial" w:cs="Arial"/>
        </w:rPr>
        <w:t xml:space="preserve">, J.M., </w:t>
      </w:r>
      <w:proofErr w:type="spellStart"/>
      <w:r>
        <w:rPr>
          <w:rFonts w:ascii="Arial" w:hAnsi="Arial" w:cs="Arial"/>
        </w:rPr>
        <w:t>Lunardo</w:t>
      </w:r>
      <w:proofErr w:type="spellEnd"/>
      <w:r>
        <w:rPr>
          <w:rFonts w:ascii="Arial" w:hAnsi="Arial" w:cs="Arial"/>
        </w:rPr>
        <w:t xml:space="preserve">, R. and </w:t>
      </w:r>
      <w:proofErr w:type="spellStart"/>
      <w:r>
        <w:rPr>
          <w:rFonts w:ascii="Arial" w:hAnsi="Arial" w:cs="Arial"/>
        </w:rPr>
        <w:t>Herrbach</w:t>
      </w:r>
      <w:proofErr w:type="spellEnd"/>
      <w:r>
        <w:rPr>
          <w:rFonts w:ascii="Arial" w:hAnsi="Arial" w:cs="Arial"/>
        </w:rPr>
        <w:t xml:space="preserve">, O., 2017. </w:t>
      </w:r>
      <w:r>
        <w:rPr>
          <w:rFonts w:ascii="Arial" w:hAnsi="Arial" w:cs="Arial"/>
          <w:i/>
          <w:iCs/>
        </w:rPr>
        <w:t>Promoting employee well-being: The effects of support and job crafting.</w:t>
      </w:r>
      <w:r>
        <w:rPr>
          <w:rFonts w:ascii="Arial" w:hAnsi="Arial" w:cs="Arial"/>
        </w:rPr>
        <w:t xml:space="preserve"> Journal of Hospitality and Tourism Management, 32, pp.18–27.</w:t>
      </w:r>
    </w:p>
    <w:p w14:paraId="380C0D33" w14:textId="77777777" w:rsidR="009427D5" w:rsidRDefault="002D309F">
      <w:pPr>
        <w:pStyle w:val="ListParagraph"/>
        <w:numPr>
          <w:ilvl w:val="0"/>
          <w:numId w:val="4"/>
        </w:numPr>
        <w:spacing w:after="0" w:line="360" w:lineRule="auto"/>
        <w:jc w:val="both"/>
      </w:pPr>
      <w:proofErr w:type="spellStart"/>
      <w:r>
        <w:rPr>
          <w:rFonts w:ascii="Arial" w:hAnsi="Arial" w:cs="Arial"/>
        </w:rPr>
        <w:t>Kundu</w:t>
      </w:r>
      <w:proofErr w:type="spellEnd"/>
      <w:r>
        <w:rPr>
          <w:rFonts w:ascii="Arial" w:hAnsi="Arial" w:cs="Arial"/>
        </w:rPr>
        <w:t xml:space="preserve">, S.K. and </w:t>
      </w:r>
      <w:proofErr w:type="spellStart"/>
      <w:r>
        <w:rPr>
          <w:rFonts w:ascii="Arial" w:hAnsi="Arial" w:cs="Arial"/>
        </w:rPr>
        <w:t>Gahlawat</w:t>
      </w:r>
      <w:proofErr w:type="spellEnd"/>
      <w:r>
        <w:rPr>
          <w:rFonts w:ascii="Arial" w:hAnsi="Arial" w:cs="Arial"/>
        </w:rPr>
        <w:t xml:space="preserve">, N., 2016. </w:t>
      </w:r>
      <w:r>
        <w:rPr>
          <w:rFonts w:ascii="Arial" w:hAnsi="Arial" w:cs="Arial"/>
          <w:i/>
          <w:iCs/>
        </w:rPr>
        <w:t>Effects of participative decision making on organizational performance: A study in Indian context.</w:t>
      </w:r>
      <w:r>
        <w:rPr>
          <w:rFonts w:ascii="Arial" w:hAnsi="Arial" w:cs="Arial"/>
        </w:rPr>
        <w:t xml:space="preserve"> Management and Labour Studies, 41(3), pp.266–281.</w:t>
      </w:r>
    </w:p>
    <w:p w14:paraId="416323A9" w14:textId="77777777" w:rsidR="009427D5" w:rsidRDefault="002D309F">
      <w:pPr>
        <w:pStyle w:val="ListParagraph"/>
        <w:numPr>
          <w:ilvl w:val="0"/>
          <w:numId w:val="4"/>
        </w:numPr>
        <w:spacing w:after="0" w:line="360" w:lineRule="auto"/>
        <w:jc w:val="both"/>
      </w:pPr>
      <w:proofErr w:type="spellStart"/>
      <w:r>
        <w:rPr>
          <w:rFonts w:ascii="Arial" w:hAnsi="Arial" w:cs="Arial"/>
        </w:rPr>
        <w:t>Lashley</w:t>
      </w:r>
      <w:proofErr w:type="spellEnd"/>
      <w:r>
        <w:rPr>
          <w:rFonts w:ascii="Arial" w:hAnsi="Arial" w:cs="Arial"/>
        </w:rPr>
        <w:t xml:space="preserve">, C., 2001. </w:t>
      </w:r>
      <w:r>
        <w:rPr>
          <w:rFonts w:ascii="Arial" w:hAnsi="Arial" w:cs="Arial"/>
          <w:i/>
          <w:iCs/>
        </w:rPr>
        <w:t>Empowerment: HR Strategies for Service Excellence.</w:t>
      </w:r>
      <w:r>
        <w:rPr>
          <w:rFonts w:ascii="Arial" w:hAnsi="Arial" w:cs="Arial"/>
        </w:rPr>
        <w:t xml:space="preserve"> Oxford: Butterworth-Heinemann.</w:t>
      </w:r>
    </w:p>
    <w:p w14:paraId="135BE4D6" w14:textId="77777777" w:rsidR="009427D5" w:rsidRDefault="002D309F">
      <w:pPr>
        <w:pStyle w:val="ListParagraph"/>
        <w:numPr>
          <w:ilvl w:val="0"/>
          <w:numId w:val="4"/>
        </w:numPr>
        <w:spacing w:after="0" w:line="360" w:lineRule="auto"/>
        <w:jc w:val="both"/>
      </w:pPr>
      <w:r>
        <w:rPr>
          <w:rFonts w:ascii="Arial" w:hAnsi="Arial" w:cs="Arial"/>
        </w:rPr>
        <w:t xml:space="preserve">Lee, C. and Ok, C., 2014. </w:t>
      </w:r>
      <w:r>
        <w:rPr>
          <w:rFonts w:ascii="Arial" w:hAnsi="Arial" w:cs="Arial"/>
          <w:i/>
          <w:iCs/>
        </w:rPr>
        <w:t>Understanding hotel employees’ service sabotage.</w:t>
      </w:r>
      <w:r>
        <w:rPr>
          <w:rFonts w:ascii="Arial" w:hAnsi="Arial" w:cs="Arial"/>
        </w:rPr>
        <w:t xml:space="preserve"> Journal of Hospitality &amp; Tourism Research, 38(4), pp.469–492.</w:t>
      </w:r>
    </w:p>
    <w:p w14:paraId="4766A26F" w14:textId="77777777" w:rsidR="009427D5" w:rsidRDefault="002D309F">
      <w:pPr>
        <w:pStyle w:val="ListParagraph"/>
        <w:numPr>
          <w:ilvl w:val="0"/>
          <w:numId w:val="4"/>
        </w:numPr>
        <w:spacing w:after="0" w:line="360" w:lineRule="auto"/>
        <w:jc w:val="both"/>
      </w:pPr>
      <w:r>
        <w:rPr>
          <w:rFonts w:ascii="Arial" w:hAnsi="Arial" w:cs="Arial"/>
        </w:rPr>
        <w:t xml:space="preserve">Locke, E.A. and Latham, G.P., 2002. </w:t>
      </w:r>
      <w:r>
        <w:rPr>
          <w:rFonts w:ascii="Arial" w:hAnsi="Arial" w:cs="Arial"/>
          <w:i/>
          <w:iCs/>
        </w:rPr>
        <w:t>Building a practically useful theory of goal setting and task motivation.</w:t>
      </w:r>
      <w:r>
        <w:rPr>
          <w:rFonts w:ascii="Arial" w:hAnsi="Arial" w:cs="Arial"/>
        </w:rPr>
        <w:t xml:space="preserve"> American Psychologist, 57(9), pp.705–717.</w:t>
      </w:r>
    </w:p>
    <w:p w14:paraId="47725B1C" w14:textId="77777777" w:rsidR="009427D5" w:rsidRDefault="002D309F">
      <w:pPr>
        <w:pStyle w:val="ListParagraph"/>
        <w:numPr>
          <w:ilvl w:val="0"/>
          <w:numId w:val="4"/>
        </w:numPr>
        <w:spacing w:after="0" w:line="360" w:lineRule="auto"/>
        <w:jc w:val="both"/>
      </w:pPr>
      <w:r>
        <w:rPr>
          <w:rFonts w:ascii="Arial" w:hAnsi="Arial" w:cs="Arial"/>
        </w:rPr>
        <w:t xml:space="preserve">Lucas, R. and </w:t>
      </w:r>
      <w:proofErr w:type="spellStart"/>
      <w:r>
        <w:rPr>
          <w:rFonts w:ascii="Arial" w:hAnsi="Arial" w:cs="Arial"/>
        </w:rPr>
        <w:t>Deery</w:t>
      </w:r>
      <w:proofErr w:type="spellEnd"/>
      <w:r>
        <w:rPr>
          <w:rFonts w:ascii="Arial" w:hAnsi="Arial" w:cs="Arial"/>
        </w:rPr>
        <w:t xml:space="preserve">, M., 2004. </w:t>
      </w:r>
      <w:r>
        <w:rPr>
          <w:rFonts w:ascii="Arial" w:hAnsi="Arial" w:cs="Arial"/>
          <w:i/>
          <w:iCs/>
        </w:rPr>
        <w:t>Significant developments and emerging issues in human resource management.</w:t>
      </w:r>
      <w:r>
        <w:rPr>
          <w:rFonts w:ascii="Arial" w:hAnsi="Arial" w:cs="Arial"/>
        </w:rPr>
        <w:t xml:space="preserve"> International Journal of Hospitality Management, 23(5), pp.459–472.</w:t>
      </w:r>
    </w:p>
    <w:p w14:paraId="091E1266" w14:textId="77777777" w:rsidR="009427D5" w:rsidRDefault="002D309F">
      <w:pPr>
        <w:pStyle w:val="ListParagraph"/>
        <w:numPr>
          <w:ilvl w:val="0"/>
          <w:numId w:val="4"/>
        </w:numPr>
        <w:spacing w:after="0" w:line="360" w:lineRule="auto"/>
        <w:jc w:val="both"/>
      </w:pPr>
      <w:proofErr w:type="spellStart"/>
      <w:r>
        <w:rPr>
          <w:rFonts w:ascii="Arial" w:hAnsi="Arial" w:cs="Arial"/>
        </w:rPr>
        <w:lastRenderedPageBreak/>
        <w:t>Malhotra</w:t>
      </w:r>
      <w:proofErr w:type="spellEnd"/>
      <w:r>
        <w:rPr>
          <w:rFonts w:ascii="Arial" w:hAnsi="Arial" w:cs="Arial"/>
        </w:rPr>
        <w:t xml:space="preserve">, N. and </w:t>
      </w:r>
      <w:proofErr w:type="spellStart"/>
      <w:r>
        <w:rPr>
          <w:rFonts w:ascii="Arial" w:hAnsi="Arial" w:cs="Arial"/>
        </w:rPr>
        <w:t>Mukherjee</w:t>
      </w:r>
      <w:proofErr w:type="spellEnd"/>
      <w:r>
        <w:rPr>
          <w:rFonts w:ascii="Arial" w:hAnsi="Arial" w:cs="Arial"/>
        </w:rPr>
        <w:t xml:space="preserve">, A., 2004. </w:t>
      </w:r>
      <w:r>
        <w:rPr>
          <w:rFonts w:ascii="Arial" w:hAnsi="Arial" w:cs="Arial"/>
          <w:i/>
          <w:iCs/>
        </w:rPr>
        <w:t xml:space="preserve">The relative influence of organizational commitment and job satisfaction on service quality of customer-contact employees in banking call </w:t>
      </w:r>
      <w:proofErr w:type="spellStart"/>
      <w:r>
        <w:rPr>
          <w:rFonts w:ascii="Arial" w:hAnsi="Arial" w:cs="Arial"/>
          <w:i/>
          <w:iCs/>
        </w:rPr>
        <w:t>centres</w:t>
      </w:r>
      <w:proofErr w:type="spellEnd"/>
      <w:r>
        <w:rPr>
          <w:rFonts w:ascii="Arial" w:hAnsi="Arial" w:cs="Arial"/>
          <w:i/>
          <w:iCs/>
        </w:rPr>
        <w:t>.</w:t>
      </w:r>
      <w:r>
        <w:rPr>
          <w:rFonts w:ascii="Arial" w:hAnsi="Arial" w:cs="Arial"/>
        </w:rPr>
        <w:t xml:space="preserve"> Journal of Services Marketing, 18(3), pp.162–174.</w:t>
      </w:r>
    </w:p>
    <w:p w14:paraId="61B482A2" w14:textId="77777777" w:rsidR="009427D5" w:rsidRDefault="002D309F">
      <w:pPr>
        <w:pStyle w:val="ListParagraph"/>
        <w:numPr>
          <w:ilvl w:val="0"/>
          <w:numId w:val="4"/>
        </w:numPr>
        <w:spacing w:after="0" w:line="360" w:lineRule="auto"/>
        <w:jc w:val="both"/>
      </w:pPr>
      <w:proofErr w:type="spellStart"/>
      <w:r>
        <w:rPr>
          <w:rFonts w:ascii="Arial" w:hAnsi="Arial" w:cs="Arial"/>
        </w:rPr>
        <w:t>Marler</w:t>
      </w:r>
      <w:proofErr w:type="spellEnd"/>
      <w:r>
        <w:rPr>
          <w:rFonts w:ascii="Arial" w:hAnsi="Arial" w:cs="Arial"/>
        </w:rPr>
        <w:t xml:space="preserve">, J.H. and </w:t>
      </w:r>
      <w:proofErr w:type="spellStart"/>
      <w:r>
        <w:rPr>
          <w:rFonts w:ascii="Arial" w:hAnsi="Arial" w:cs="Arial"/>
        </w:rPr>
        <w:t>Boudreau</w:t>
      </w:r>
      <w:proofErr w:type="spellEnd"/>
      <w:r>
        <w:rPr>
          <w:rFonts w:ascii="Arial" w:hAnsi="Arial" w:cs="Arial"/>
        </w:rPr>
        <w:t xml:space="preserve">, J.W., 2017. </w:t>
      </w:r>
      <w:r>
        <w:rPr>
          <w:rFonts w:ascii="Arial" w:hAnsi="Arial" w:cs="Arial"/>
          <w:i/>
          <w:iCs/>
        </w:rPr>
        <w:t>An evidence-based review of HR Analytics.</w:t>
      </w:r>
      <w:r>
        <w:rPr>
          <w:rFonts w:ascii="Arial" w:hAnsi="Arial" w:cs="Arial"/>
        </w:rPr>
        <w:t xml:space="preserve"> The International Journal of Human Resource Management, 28(1), pp.3–26.</w:t>
      </w:r>
    </w:p>
    <w:p w14:paraId="650467CD" w14:textId="77777777" w:rsidR="009427D5" w:rsidRDefault="002D309F">
      <w:pPr>
        <w:pStyle w:val="ListParagraph"/>
        <w:numPr>
          <w:ilvl w:val="0"/>
          <w:numId w:val="4"/>
        </w:numPr>
        <w:spacing w:after="0" w:line="360" w:lineRule="auto"/>
        <w:jc w:val="both"/>
      </w:pPr>
      <w:r>
        <w:rPr>
          <w:rFonts w:ascii="Arial" w:hAnsi="Arial" w:cs="Arial"/>
        </w:rPr>
        <w:t xml:space="preserve">Mohsin, A. and </w:t>
      </w:r>
      <w:proofErr w:type="spellStart"/>
      <w:r>
        <w:rPr>
          <w:rFonts w:ascii="Arial" w:hAnsi="Arial" w:cs="Arial"/>
        </w:rPr>
        <w:t>Lengler</w:t>
      </w:r>
      <w:proofErr w:type="spellEnd"/>
      <w:r>
        <w:rPr>
          <w:rFonts w:ascii="Arial" w:hAnsi="Arial" w:cs="Arial"/>
        </w:rPr>
        <w:t xml:space="preserve">, J.F., 2015. </w:t>
      </w:r>
      <w:r>
        <w:rPr>
          <w:rFonts w:ascii="Arial" w:hAnsi="Arial" w:cs="Arial"/>
          <w:i/>
          <w:iCs/>
        </w:rPr>
        <w:t>Exploring the antecedents of staff turnover within the fast food industry: The role of leadership style and training.</w:t>
      </w:r>
      <w:r>
        <w:rPr>
          <w:rFonts w:ascii="Arial" w:hAnsi="Arial" w:cs="Arial"/>
        </w:rPr>
        <w:t xml:space="preserve"> International Journal of Contemporary Hospitality Management, 27(1), pp.56–75.</w:t>
      </w:r>
    </w:p>
    <w:p w14:paraId="750F1356" w14:textId="77777777" w:rsidR="009427D5" w:rsidRDefault="002D309F">
      <w:pPr>
        <w:pStyle w:val="ListParagraph"/>
        <w:numPr>
          <w:ilvl w:val="0"/>
          <w:numId w:val="4"/>
        </w:numPr>
        <w:spacing w:after="0" w:line="360" w:lineRule="auto"/>
        <w:jc w:val="both"/>
      </w:pPr>
      <w:proofErr w:type="spellStart"/>
      <w:r>
        <w:rPr>
          <w:rFonts w:ascii="Arial" w:hAnsi="Arial" w:cs="Arial"/>
        </w:rPr>
        <w:t>Mone</w:t>
      </w:r>
      <w:proofErr w:type="spellEnd"/>
      <w:r>
        <w:rPr>
          <w:rFonts w:ascii="Arial" w:hAnsi="Arial" w:cs="Arial"/>
        </w:rPr>
        <w:t xml:space="preserve">, E.M. and London, M., 2018. </w:t>
      </w:r>
      <w:r>
        <w:rPr>
          <w:rFonts w:ascii="Arial" w:hAnsi="Arial" w:cs="Arial"/>
          <w:i/>
          <w:iCs/>
        </w:rPr>
        <w:t>Employee Engagement Through Effective Performance Management: A Practical Guide for Managers.</w:t>
      </w:r>
      <w:r>
        <w:rPr>
          <w:rFonts w:ascii="Arial" w:hAnsi="Arial" w:cs="Arial"/>
        </w:rPr>
        <w:t xml:space="preserve"> 2nd ed. New York: </w:t>
      </w:r>
      <w:proofErr w:type="spellStart"/>
      <w:r>
        <w:rPr>
          <w:rFonts w:ascii="Arial" w:hAnsi="Arial" w:cs="Arial"/>
        </w:rPr>
        <w:t>Routledge</w:t>
      </w:r>
      <w:proofErr w:type="spellEnd"/>
      <w:r>
        <w:rPr>
          <w:rFonts w:ascii="Arial" w:hAnsi="Arial" w:cs="Arial"/>
        </w:rPr>
        <w:t>.</w:t>
      </w:r>
    </w:p>
    <w:p w14:paraId="5E65D1B6" w14:textId="77777777" w:rsidR="009427D5" w:rsidRDefault="002D309F">
      <w:pPr>
        <w:pStyle w:val="ListParagraph"/>
        <w:numPr>
          <w:ilvl w:val="0"/>
          <w:numId w:val="4"/>
        </w:numPr>
        <w:spacing w:after="0" w:line="360" w:lineRule="auto"/>
        <w:jc w:val="both"/>
      </w:pPr>
      <w:proofErr w:type="spellStart"/>
      <w:r>
        <w:rPr>
          <w:rFonts w:ascii="Arial" w:hAnsi="Arial" w:cs="Arial"/>
        </w:rPr>
        <w:t>Nickson</w:t>
      </w:r>
      <w:proofErr w:type="spellEnd"/>
      <w:r>
        <w:rPr>
          <w:rFonts w:ascii="Arial" w:hAnsi="Arial" w:cs="Arial"/>
        </w:rPr>
        <w:t xml:space="preserve">, D., 2013. </w:t>
      </w:r>
      <w:r>
        <w:rPr>
          <w:rFonts w:ascii="Arial" w:hAnsi="Arial" w:cs="Arial"/>
          <w:i/>
          <w:iCs/>
        </w:rPr>
        <w:t>Human Resource Management for the Hospitality and Tourism Industries.</w:t>
      </w:r>
      <w:r>
        <w:rPr>
          <w:rFonts w:ascii="Arial" w:hAnsi="Arial" w:cs="Arial"/>
        </w:rPr>
        <w:t xml:space="preserve"> 2nd ed. London: </w:t>
      </w:r>
      <w:proofErr w:type="spellStart"/>
      <w:r>
        <w:rPr>
          <w:rFonts w:ascii="Arial" w:hAnsi="Arial" w:cs="Arial"/>
        </w:rPr>
        <w:t>Routledge</w:t>
      </w:r>
      <w:proofErr w:type="spellEnd"/>
      <w:r>
        <w:rPr>
          <w:rFonts w:ascii="Arial" w:hAnsi="Arial" w:cs="Arial"/>
        </w:rPr>
        <w:t>.</w:t>
      </w:r>
    </w:p>
    <w:p w14:paraId="032B1C8C" w14:textId="77777777" w:rsidR="009427D5" w:rsidRDefault="002D309F">
      <w:pPr>
        <w:pStyle w:val="ListParagraph"/>
        <w:numPr>
          <w:ilvl w:val="0"/>
          <w:numId w:val="4"/>
        </w:numPr>
        <w:spacing w:after="0" w:line="360" w:lineRule="auto"/>
        <w:jc w:val="both"/>
      </w:pPr>
      <w:r>
        <w:rPr>
          <w:rFonts w:ascii="Arial" w:hAnsi="Arial" w:cs="Arial"/>
        </w:rPr>
        <w:t xml:space="preserve">Noe, R.A., </w:t>
      </w:r>
      <w:proofErr w:type="spellStart"/>
      <w:r>
        <w:rPr>
          <w:rFonts w:ascii="Arial" w:hAnsi="Arial" w:cs="Arial"/>
        </w:rPr>
        <w:t>Hollenbeck</w:t>
      </w:r>
      <w:proofErr w:type="spellEnd"/>
      <w:r>
        <w:rPr>
          <w:rFonts w:ascii="Arial" w:hAnsi="Arial" w:cs="Arial"/>
        </w:rPr>
        <w:t xml:space="preserve">, J.R., Gerhart, B. and Wright, P.M., 2017. </w:t>
      </w:r>
      <w:r>
        <w:rPr>
          <w:rFonts w:ascii="Arial" w:hAnsi="Arial" w:cs="Arial"/>
          <w:i/>
          <w:iCs/>
        </w:rPr>
        <w:t>Fundamentals of Human Resource Management.</w:t>
      </w:r>
      <w:r>
        <w:rPr>
          <w:rFonts w:ascii="Arial" w:hAnsi="Arial" w:cs="Arial"/>
        </w:rPr>
        <w:t xml:space="preserve"> 7th ed. New York: McGraw-Hill Education.</w:t>
      </w:r>
    </w:p>
    <w:p w14:paraId="27F2C9C7" w14:textId="77777777" w:rsidR="009427D5" w:rsidRDefault="002D309F">
      <w:pPr>
        <w:pStyle w:val="ListParagraph"/>
        <w:numPr>
          <w:ilvl w:val="0"/>
          <w:numId w:val="4"/>
        </w:numPr>
        <w:spacing w:after="0" w:line="360" w:lineRule="auto"/>
        <w:jc w:val="both"/>
      </w:pPr>
      <w:r>
        <w:rPr>
          <w:rFonts w:ascii="Arial" w:hAnsi="Arial" w:cs="Arial"/>
        </w:rPr>
        <w:t xml:space="preserve">Paauwe, J., 2004. </w:t>
      </w:r>
      <w:r>
        <w:rPr>
          <w:rFonts w:ascii="Arial" w:hAnsi="Arial" w:cs="Arial"/>
          <w:i/>
          <w:iCs/>
        </w:rPr>
        <w:t>HRM and Performance: Achieving Long-Term Viability.</w:t>
      </w:r>
      <w:r>
        <w:rPr>
          <w:rFonts w:ascii="Arial" w:hAnsi="Arial" w:cs="Arial"/>
        </w:rPr>
        <w:t xml:space="preserve"> Oxford: Oxford University Press.</w:t>
      </w:r>
    </w:p>
    <w:p w14:paraId="2833A380" w14:textId="77777777" w:rsidR="009427D5" w:rsidRDefault="002D309F">
      <w:pPr>
        <w:pStyle w:val="ListParagraph"/>
        <w:numPr>
          <w:ilvl w:val="0"/>
          <w:numId w:val="4"/>
        </w:numPr>
        <w:spacing w:after="0" w:line="360" w:lineRule="auto"/>
        <w:jc w:val="both"/>
      </w:pPr>
      <w:proofErr w:type="spellStart"/>
      <w:r>
        <w:rPr>
          <w:rFonts w:ascii="Arial" w:hAnsi="Arial" w:cs="Arial"/>
        </w:rPr>
        <w:t>Pizam</w:t>
      </w:r>
      <w:proofErr w:type="spellEnd"/>
      <w:r>
        <w:rPr>
          <w:rFonts w:ascii="Arial" w:hAnsi="Arial" w:cs="Arial"/>
        </w:rPr>
        <w:t xml:space="preserve">, A., </w:t>
      </w:r>
      <w:proofErr w:type="spellStart"/>
      <w:r>
        <w:rPr>
          <w:rFonts w:ascii="Arial" w:hAnsi="Arial" w:cs="Arial"/>
        </w:rPr>
        <w:t>Shapoval</w:t>
      </w:r>
      <w:proofErr w:type="spellEnd"/>
      <w:r>
        <w:rPr>
          <w:rFonts w:ascii="Arial" w:hAnsi="Arial" w:cs="Arial"/>
        </w:rPr>
        <w:t xml:space="preserve">, V. and Ellis, T., 2021. </w:t>
      </w:r>
      <w:r>
        <w:rPr>
          <w:rFonts w:ascii="Arial" w:hAnsi="Arial" w:cs="Arial"/>
          <w:i/>
          <w:iCs/>
        </w:rPr>
        <w:t>Emotional labor in the hospitality industry: Implications for employee well-being and performance.</w:t>
      </w:r>
      <w:r>
        <w:rPr>
          <w:rFonts w:ascii="Arial" w:hAnsi="Arial" w:cs="Arial"/>
        </w:rPr>
        <w:t xml:space="preserve"> International Journal of Hospitality Management, 92, p.102723.</w:t>
      </w:r>
    </w:p>
    <w:p w14:paraId="60142590" w14:textId="77777777" w:rsidR="009427D5" w:rsidRDefault="002D309F">
      <w:pPr>
        <w:pStyle w:val="ListParagraph"/>
        <w:numPr>
          <w:ilvl w:val="0"/>
          <w:numId w:val="4"/>
        </w:numPr>
        <w:spacing w:after="0" w:line="360" w:lineRule="auto"/>
        <w:jc w:val="both"/>
      </w:pPr>
      <w:r>
        <w:rPr>
          <w:rFonts w:ascii="Arial" w:hAnsi="Arial" w:cs="Arial"/>
        </w:rPr>
        <w:t xml:space="preserve">Robbins, S.P. and Judge, T.A., 2019. </w:t>
      </w:r>
      <w:r>
        <w:rPr>
          <w:rFonts w:ascii="Arial" w:hAnsi="Arial" w:cs="Arial"/>
          <w:i/>
          <w:iCs/>
        </w:rPr>
        <w:t>Organizational Behavior.</w:t>
      </w:r>
      <w:r>
        <w:rPr>
          <w:rFonts w:ascii="Arial" w:hAnsi="Arial" w:cs="Arial"/>
        </w:rPr>
        <w:t xml:space="preserve"> 18th ed. New York: Pearson.</w:t>
      </w:r>
    </w:p>
    <w:p w14:paraId="7FF1EAC3" w14:textId="77777777" w:rsidR="009427D5" w:rsidRDefault="002D309F">
      <w:pPr>
        <w:pStyle w:val="ListParagraph"/>
        <w:numPr>
          <w:ilvl w:val="0"/>
          <w:numId w:val="4"/>
        </w:numPr>
        <w:spacing w:after="0" w:line="360" w:lineRule="auto"/>
        <w:jc w:val="both"/>
      </w:pPr>
      <w:r>
        <w:rPr>
          <w:rFonts w:ascii="Arial" w:hAnsi="Arial" w:cs="Arial"/>
        </w:rPr>
        <w:t xml:space="preserve">Rousseau, D.M., 2001. </w:t>
      </w:r>
      <w:r>
        <w:rPr>
          <w:rFonts w:ascii="Arial" w:hAnsi="Arial" w:cs="Arial"/>
          <w:i/>
          <w:iCs/>
        </w:rPr>
        <w:t>Schema, promise and mutuality: The building blocks of the psychological contract.</w:t>
      </w:r>
      <w:r>
        <w:rPr>
          <w:rFonts w:ascii="Arial" w:hAnsi="Arial" w:cs="Arial"/>
        </w:rPr>
        <w:t xml:space="preserve"> Journal of Occupational and Organizational Psychology, 74(4), pp.511–541.</w:t>
      </w:r>
    </w:p>
    <w:p w14:paraId="7EC838CA" w14:textId="77777777" w:rsidR="009427D5" w:rsidRDefault="002D309F">
      <w:pPr>
        <w:pStyle w:val="ListParagraph"/>
        <w:numPr>
          <w:ilvl w:val="0"/>
          <w:numId w:val="4"/>
        </w:numPr>
        <w:spacing w:after="0" w:line="360" w:lineRule="auto"/>
        <w:jc w:val="both"/>
      </w:pPr>
      <w:r>
        <w:rPr>
          <w:rFonts w:ascii="Arial" w:hAnsi="Arial" w:cs="Arial"/>
        </w:rPr>
        <w:t xml:space="preserve">Salas, E., </w:t>
      </w:r>
      <w:proofErr w:type="spellStart"/>
      <w:r>
        <w:rPr>
          <w:rFonts w:ascii="Arial" w:hAnsi="Arial" w:cs="Arial"/>
        </w:rPr>
        <w:t>Tannenbaum</w:t>
      </w:r>
      <w:proofErr w:type="spellEnd"/>
      <w:r>
        <w:rPr>
          <w:rFonts w:ascii="Arial" w:hAnsi="Arial" w:cs="Arial"/>
        </w:rPr>
        <w:t xml:space="preserve">, S.I., </w:t>
      </w:r>
      <w:proofErr w:type="spellStart"/>
      <w:r>
        <w:rPr>
          <w:rFonts w:ascii="Arial" w:hAnsi="Arial" w:cs="Arial"/>
        </w:rPr>
        <w:t>Kraiger</w:t>
      </w:r>
      <w:proofErr w:type="spellEnd"/>
      <w:r>
        <w:rPr>
          <w:rFonts w:ascii="Arial" w:hAnsi="Arial" w:cs="Arial"/>
        </w:rPr>
        <w:t xml:space="preserve">, K. and </w:t>
      </w:r>
      <w:proofErr w:type="spellStart"/>
      <w:r>
        <w:rPr>
          <w:rFonts w:ascii="Arial" w:hAnsi="Arial" w:cs="Arial"/>
        </w:rPr>
        <w:t>Smith-Jentsch</w:t>
      </w:r>
      <w:proofErr w:type="spellEnd"/>
      <w:r>
        <w:rPr>
          <w:rFonts w:ascii="Arial" w:hAnsi="Arial" w:cs="Arial"/>
        </w:rPr>
        <w:t xml:space="preserve">, K.A., 2012. </w:t>
      </w:r>
      <w:r>
        <w:rPr>
          <w:rFonts w:ascii="Arial" w:hAnsi="Arial" w:cs="Arial"/>
          <w:i/>
          <w:iCs/>
        </w:rPr>
        <w:t>The science of training and development in organizations: What matters in practice.</w:t>
      </w:r>
      <w:r>
        <w:rPr>
          <w:rFonts w:ascii="Arial" w:hAnsi="Arial" w:cs="Arial"/>
        </w:rPr>
        <w:t xml:space="preserve"> Psychological Science in the Public Interest, 13(2), pp.74–101.</w:t>
      </w:r>
    </w:p>
    <w:p w14:paraId="6237AA9F" w14:textId="77777777" w:rsidR="009427D5" w:rsidRDefault="002D309F">
      <w:pPr>
        <w:pStyle w:val="ListParagraph"/>
        <w:numPr>
          <w:ilvl w:val="0"/>
          <w:numId w:val="4"/>
        </w:numPr>
        <w:spacing w:after="0" w:line="360" w:lineRule="auto"/>
        <w:jc w:val="both"/>
      </w:pPr>
      <w:proofErr w:type="spellStart"/>
      <w:r>
        <w:rPr>
          <w:rFonts w:ascii="Arial" w:hAnsi="Arial" w:cs="Arial"/>
        </w:rPr>
        <w:t>Schein</w:t>
      </w:r>
      <w:proofErr w:type="spellEnd"/>
      <w:r>
        <w:rPr>
          <w:rFonts w:ascii="Arial" w:hAnsi="Arial" w:cs="Arial"/>
        </w:rPr>
        <w:t xml:space="preserve">, E.H., 2010. </w:t>
      </w:r>
      <w:r>
        <w:rPr>
          <w:rFonts w:ascii="Arial" w:hAnsi="Arial" w:cs="Arial"/>
          <w:i/>
          <w:iCs/>
        </w:rPr>
        <w:t>Organizational Culture and Leadership.</w:t>
      </w:r>
      <w:r>
        <w:rPr>
          <w:rFonts w:ascii="Arial" w:hAnsi="Arial" w:cs="Arial"/>
        </w:rPr>
        <w:t xml:space="preserve"> 4th ed. San Francisco: </w:t>
      </w:r>
      <w:proofErr w:type="spellStart"/>
      <w:r>
        <w:rPr>
          <w:rFonts w:ascii="Arial" w:hAnsi="Arial" w:cs="Arial"/>
        </w:rPr>
        <w:t>Jossey-Bass</w:t>
      </w:r>
      <w:proofErr w:type="spellEnd"/>
      <w:r>
        <w:rPr>
          <w:rFonts w:ascii="Arial" w:hAnsi="Arial" w:cs="Arial"/>
        </w:rPr>
        <w:t>.</w:t>
      </w:r>
    </w:p>
    <w:p w14:paraId="0C997EBD" w14:textId="77777777" w:rsidR="009427D5" w:rsidRDefault="002D309F">
      <w:pPr>
        <w:pStyle w:val="ListParagraph"/>
        <w:numPr>
          <w:ilvl w:val="0"/>
          <w:numId w:val="4"/>
        </w:numPr>
        <w:spacing w:after="0" w:line="360" w:lineRule="auto"/>
        <w:jc w:val="both"/>
      </w:pPr>
      <w:proofErr w:type="spellStart"/>
      <w:r>
        <w:rPr>
          <w:rFonts w:ascii="Arial" w:hAnsi="Arial" w:cs="Arial"/>
        </w:rPr>
        <w:lastRenderedPageBreak/>
        <w:t>Solnet</w:t>
      </w:r>
      <w:proofErr w:type="spellEnd"/>
      <w:r>
        <w:rPr>
          <w:rFonts w:ascii="Arial" w:hAnsi="Arial" w:cs="Arial"/>
        </w:rPr>
        <w:t xml:space="preserve">, D., </w:t>
      </w:r>
      <w:proofErr w:type="spellStart"/>
      <w:r>
        <w:rPr>
          <w:rFonts w:ascii="Arial" w:hAnsi="Arial" w:cs="Arial"/>
        </w:rPr>
        <w:t>Kralj</w:t>
      </w:r>
      <w:proofErr w:type="spellEnd"/>
      <w:r>
        <w:rPr>
          <w:rFonts w:ascii="Arial" w:hAnsi="Arial" w:cs="Arial"/>
        </w:rPr>
        <w:t xml:space="preserve">, A. and Baum, T., 2015. </w:t>
      </w:r>
      <w:r>
        <w:rPr>
          <w:rFonts w:ascii="Arial" w:hAnsi="Arial" w:cs="Arial"/>
          <w:i/>
          <w:iCs/>
        </w:rPr>
        <w:t>360 degrees of pressure: The changing role of the HR professional in the hospitality industry.</w:t>
      </w:r>
      <w:r>
        <w:rPr>
          <w:rFonts w:ascii="Arial" w:hAnsi="Arial" w:cs="Arial"/>
        </w:rPr>
        <w:t xml:space="preserve"> Journal of Hospitality and Tourism Management, 25, pp.1–10.</w:t>
      </w:r>
    </w:p>
    <w:p w14:paraId="779FDE7E" w14:textId="77777777" w:rsidR="009427D5" w:rsidRDefault="002D309F">
      <w:pPr>
        <w:pStyle w:val="ListParagraph"/>
        <w:numPr>
          <w:ilvl w:val="0"/>
          <w:numId w:val="4"/>
        </w:numPr>
        <w:spacing w:after="0" w:line="360" w:lineRule="auto"/>
        <w:jc w:val="both"/>
      </w:pPr>
      <w:r>
        <w:rPr>
          <w:rFonts w:ascii="Arial" w:hAnsi="Arial" w:cs="Arial"/>
        </w:rPr>
        <w:t xml:space="preserve">Sparrow, P., Brewster, C. and Chung, C., 2016. </w:t>
      </w:r>
      <w:r>
        <w:rPr>
          <w:rFonts w:ascii="Arial" w:hAnsi="Arial" w:cs="Arial"/>
          <w:i/>
          <w:iCs/>
        </w:rPr>
        <w:t>Globalizing Human Resource Management.</w:t>
      </w:r>
      <w:r>
        <w:rPr>
          <w:rFonts w:ascii="Arial" w:hAnsi="Arial" w:cs="Arial"/>
        </w:rPr>
        <w:t xml:space="preserve"> 2nd ed. London: </w:t>
      </w:r>
      <w:proofErr w:type="spellStart"/>
      <w:r>
        <w:rPr>
          <w:rFonts w:ascii="Arial" w:hAnsi="Arial" w:cs="Arial"/>
        </w:rPr>
        <w:t>Routledge</w:t>
      </w:r>
      <w:proofErr w:type="spellEnd"/>
      <w:r>
        <w:rPr>
          <w:rFonts w:ascii="Arial" w:hAnsi="Arial" w:cs="Arial"/>
        </w:rPr>
        <w:t>.</w:t>
      </w:r>
    </w:p>
    <w:p w14:paraId="4B276CB4" w14:textId="77777777" w:rsidR="009427D5" w:rsidRDefault="002D309F">
      <w:pPr>
        <w:pStyle w:val="ListParagraph"/>
        <w:numPr>
          <w:ilvl w:val="0"/>
          <w:numId w:val="4"/>
        </w:numPr>
        <w:spacing w:after="0" w:line="360" w:lineRule="auto"/>
        <w:jc w:val="both"/>
      </w:pPr>
      <w:r>
        <w:rPr>
          <w:rFonts w:ascii="Arial" w:hAnsi="Arial" w:cs="Arial"/>
        </w:rPr>
        <w:t xml:space="preserve">Stone, D.L. and </w:t>
      </w:r>
      <w:proofErr w:type="spellStart"/>
      <w:r>
        <w:rPr>
          <w:rFonts w:ascii="Arial" w:hAnsi="Arial" w:cs="Arial"/>
        </w:rPr>
        <w:t>Deadrick</w:t>
      </w:r>
      <w:proofErr w:type="spellEnd"/>
      <w:r>
        <w:rPr>
          <w:rFonts w:ascii="Arial" w:hAnsi="Arial" w:cs="Arial"/>
        </w:rPr>
        <w:t xml:space="preserve">, D.L., 2015. </w:t>
      </w:r>
      <w:r>
        <w:rPr>
          <w:rFonts w:ascii="Arial" w:hAnsi="Arial" w:cs="Arial"/>
          <w:i/>
          <w:iCs/>
        </w:rPr>
        <w:t>Challenges and opportunities affecting the future of human resource management.</w:t>
      </w:r>
      <w:r>
        <w:rPr>
          <w:rFonts w:ascii="Arial" w:hAnsi="Arial" w:cs="Arial"/>
        </w:rPr>
        <w:t xml:space="preserve"> Human Resource Management Review, 25(2), pp.139–145.</w:t>
      </w:r>
    </w:p>
    <w:p w14:paraId="428202A4" w14:textId="77777777" w:rsidR="009427D5" w:rsidRDefault="002D309F">
      <w:pPr>
        <w:pStyle w:val="ListParagraph"/>
        <w:numPr>
          <w:ilvl w:val="0"/>
          <w:numId w:val="4"/>
        </w:numPr>
        <w:spacing w:after="0" w:line="360" w:lineRule="auto"/>
        <w:jc w:val="both"/>
      </w:pPr>
      <w:proofErr w:type="spellStart"/>
      <w:r>
        <w:rPr>
          <w:rFonts w:ascii="Arial" w:hAnsi="Arial" w:cs="Arial"/>
        </w:rPr>
        <w:t>Suutari</w:t>
      </w:r>
      <w:proofErr w:type="spellEnd"/>
      <w:r>
        <w:rPr>
          <w:rFonts w:ascii="Arial" w:hAnsi="Arial" w:cs="Arial"/>
        </w:rPr>
        <w:t xml:space="preserve">, V., </w:t>
      </w:r>
      <w:proofErr w:type="spellStart"/>
      <w:r>
        <w:rPr>
          <w:rFonts w:ascii="Arial" w:hAnsi="Arial" w:cs="Arial"/>
        </w:rPr>
        <w:t>Tornikoski</w:t>
      </w:r>
      <w:proofErr w:type="spellEnd"/>
      <w:r>
        <w:rPr>
          <w:rFonts w:ascii="Arial" w:hAnsi="Arial" w:cs="Arial"/>
        </w:rPr>
        <w:t xml:space="preserve">, C. and </w:t>
      </w:r>
      <w:proofErr w:type="spellStart"/>
      <w:r>
        <w:rPr>
          <w:rFonts w:ascii="Arial" w:hAnsi="Arial" w:cs="Arial"/>
        </w:rPr>
        <w:t>Mäkelä</w:t>
      </w:r>
      <w:proofErr w:type="spellEnd"/>
      <w:r>
        <w:rPr>
          <w:rFonts w:ascii="Arial" w:hAnsi="Arial" w:cs="Arial"/>
        </w:rPr>
        <w:t xml:space="preserve">, K., 2018. </w:t>
      </w:r>
      <w:proofErr w:type="spellStart"/>
      <w:r>
        <w:rPr>
          <w:rFonts w:ascii="Arial" w:hAnsi="Arial" w:cs="Arial"/>
          <w:i/>
          <w:iCs/>
        </w:rPr>
        <w:t>Contextualising</w:t>
      </w:r>
      <w:proofErr w:type="spellEnd"/>
      <w:r>
        <w:rPr>
          <w:rFonts w:ascii="Arial" w:hAnsi="Arial" w:cs="Arial"/>
          <w:i/>
          <w:iCs/>
        </w:rPr>
        <w:t xml:space="preserve"> careers across borders.</w:t>
      </w:r>
      <w:r>
        <w:rPr>
          <w:rFonts w:ascii="Arial" w:hAnsi="Arial" w:cs="Arial"/>
        </w:rPr>
        <w:t xml:space="preserve"> Journal of Global Mobility, 6(1), pp.58–74.</w:t>
      </w:r>
    </w:p>
    <w:p w14:paraId="10AC31D6" w14:textId="77777777" w:rsidR="009427D5" w:rsidRDefault="002D309F">
      <w:pPr>
        <w:pStyle w:val="ListParagraph"/>
        <w:numPr>
          <w:ilvl w:val="0"/>
          <w:numId w:val="4"/>
        </w:numPr>
        <w:spacing w:after="0" w:line="360" w:lineRule="auto"/>
        <w:jc w:val="both"/>
      </w:pPr>
      <w:r>
        <w:rPr>
          <w:rFonts w:ascii="Arial" w:hAnsi="Arial" w:cs="Arial"/>
        </w:rPr>
        <w:t xml:space="preserve">Tracey, J.B. and </w:t>
      </w:r>
      <w:proofErr w:type="spellStart"/>
      <w:r>
        <w:rPr>
          <w:rFonts w:ascii="Arial" w:hAnsi="Arial" w:cs="Arial"/>
        </w:rPr>
        <w:t>Hinkin</w:t>
      </w:r>
      <w:proofErr w:type="spellEnd"/>
      <w:r>
        <w:rPr>
          <w:rFonts w:ascii="Arial" w:hAnsi="Arial" w:cs="Arial"/>
        </w:rPr>
        <w:t xml:space="preserve">, T.R., 2008. </w:t>
      </w:r>
      <w:r>
        <w:rPr>
          <w:rFonts w:ascii="Arial" w:hAnsi="Arial" w:cs="Arial"/>
          <w:i/>
          <w:iCs/>
        </w:rPr>
        <w:t>Contextual factors and cost profiles associated with employee turnover.</w:t>
      </w:r>
      <w:r>
        <w:rPr>
          <w:rFonts w:ascii="Arial" w:hAnsi="Arial" w:cs="Arial"/>
        </w:rPr>
        <w:t xml:space="preserve"> Cornell Hospitality Quarterly, 49(1), pp.12–27.</w:t>
      </w:r>
    </w:p>
    <w:p w14:paraId="39009391" w14:textId="77777777" w:rsidR="009427D5" w:rsidRDefault="002D309F">
      <w:pPr>
        <w:pStyle w:val="ListParagraph"/>
        <w:numPr>
          <w:ilvl w:val="0"/>
          <w:numId w:val="4"/>
        </w:numPr>
        <w:spacing w:after="0" w:line="360" w:lineRule="auto"/>
        <w:jc w:val="both"/>
      </w:pPr>
      <w:proofErr w:type="spellStart"/>
      <w:r>
        <w:rPr>
          <w:rFonts w:ascii="Arial" w:hAnsi="Arial" w:cs="Arial"/>
        </w:rPr>
        <w:t>Totterdell</w:t>
      </w:r>
      <w:proofErr w:type="spellEnd"/>
      <w:r>
        <w:rPr>
          <w:rFonts w:ascii="Arial" w:hAnsi="Arial" w:cs="Arial"/>
        </w:rPr>
        <w:t xml:space="preserve">, P. and Holman, D., 2003. </w:t>
      </w:r>
      <w:r>
        <w:rPr>
          <w:rFonts w:ascii="Arial" w:hAnsi="Arial" w:cs="Arial"/>
          <w:i/>
          <w:iCs/>
        </w:rPr>
        <w:t>Emotion regulation in customer service roles: Testing a model of emotional labor.</w:t>
      </w:r>
      <w:r>
        <w:rPr>
          <w:rFonts w:ascii="Arial" w:hAnsi="Arial" w:cs="Arial"/>
        </w:rPr>
        <w:t xml:space="preserve"> Journal of Occupational Health Psychology, 8(1), pp.55–73.</w:t>
      </w:r>
    </w:p>
    <w:p w14:paraId="6629FDB0" w14:textId="77777777" w:rsidR="009427D5" w:rsidRDefault="002D309F">
      <w:pPr>
        <w:pStyle w:val="ListParagraph"/>
        <w:numPr>
          <w:ilvl w:val="0"/>
          <w:numId w:val="4"/>
        </w:numPr>
        <w:spacing w:after="0" w:line="360" w:lineRule="auto"/>
        <w:jc w:val="both"/>
      </w:pPr>
      <w:r>
        <w:rPr>
          <w:rFonts w:ascii="Arial" w:hAnsi="Arial" w:cs="Arial"/>
        </w:rPr>
        <w:t xml:space="preserve">Veal, A.J., 2017. </w:t>
      </w:r>
      <w:r>
        <w:rPr>
          <w:rFonts w:ascii="Arial" w:hAnsi="Arial" w:cs="Arial"/>
          <w:i/>
          <w:iCs/>
        </w:rPr>
        <w:t>Research Methods for Leisure and Tourism.</w:t>
      </w:r>
      <w:r>
        <w:rPr>
          <w:rFonts w:ascii="Arial" w:hAnsi="Arial" w:cs="Arial"/>
        </w:rPr>
        <w:t xml:space="preserve"> 5th ed. Harlow: Pearson Education.</w:t>
      </w:r>
    </w:p>
    <w:p w14:paraId="73F624DF" w14:textId="77777777" w:rsidR="009427D5" w:rsidRDefault="002D309F">
      <w:pPr>
        <w:pStyle w:val="ListParagraph"/>
        <w:numPr>
          <w:ilvl w:val="0"/>
          <w:numId w:val="4"/>
        </w:numPr>
        <w:spacing w:after="0" w:line="360" w:lineRule="auto"/>
        <w:jc w:val="both"/>
      </w:pPr>
      <w:r>
        <w:rPr>
          <w:rFonts w:ascii="Arial" w:hAnsi="Arial" w:cs="Arial"/>
        </w:rPr>
        <w:t xml:space="preserve">Wilton, N., 2022. </w:t>
      </w:r>
      <w:r>
        <w:rPr>
          <w:rFonts w:ascii="Arial" w:hAnsi="Arial" w:cs="Arial"/>
          <w:i/>
          <w:iCs/>
        </w:rPr>
        <w:t>An Introduction to Human Resource Management.</w:t>
      </w:r>
      <w:r>
        <w:rPr>
          <w:rFonts w:ascii="Arial" w:hAnsi="Arial" w:cs="Arial"/>
        </w:rPr>
        <w:t xml:space="preserve"> 4th ed. London: Sage.</w:t>
      </w:r>
    </w:p>
    <w:p w14:paraId="44F17A58" w14:textId="77777777" w:rsidR="009427D5" w:rsidRDefault="002D309F">
      <w:pPr>
        <w:pStyle w:val="ListParagraph"/>
        <w:numPr>
          <w:ilvl w:val="0"/>
          <w:numId w:val="4"/>
        </w:numPr>
        <w:spacing w:after="0" w:line="360" w:lineRule="auto"/>
        <w:jc w:val="both"/>
      </w:pPr>
      <w:proofErr w:type="spellStart"/>
      <w:r>
        <w:rPr>
          <w:rFonts w:ascii="Arial" w:hAnsi="Arial" w:cs="Arial"/>
        </w:rPr>
        <w:t>Yavas</w:t>
      </w:r>
      <w:proofErr w:type="spellEnd"/>
      <w:r>
        <w:rPr>
          <w:rFonts w:ascii="Arial" w:hAnsi="Arial" w:cs="Arial"/>
        </w:rPr>
        <w:t xml:space="preserve">, U., </w:t>
      </w:r>
      <w:proofErr w:type="spellStart"/>
      <w:r>
        <w:rPr>
          <w:rFonts w:ascii="Arial" w:hAnsi="Arial" w:cs="Arial"/>
        </w:rPr>
        <w:t>Karatepe</w:t>
      </w:r>
      <w:proofErr w:type="spellEnd"/>
      <w:r>
        <w:rPr>
          <w:rFonts w:ascii="Arial" w:hAnsi="Arial" w:cs="Arial"/>
        </w:rPr>
        <w:t xml:space="preserve">, O.M., </w:t>
      </w:r>
      <w:proofErr w:type="spellStart"/>
      <w:r>
        <w:rPr>
          <w:rFonts w:ascii="Arial" w:hAnsi="Arial" w:cs="Arial"/>
        </w:rPr>
        <w:t>Babakus</w:t>
      </w:r>
      <w:proofErr w:type="spellEnd"/>
      <w:r>
        <w:rPr>
          <w:rFonts w:ascii="Arial" w:hAnsi="Arial" w:cs="Arial"/>
        </w:rPr>
        <w:t xml:space="preserve">, E. and </w:t>
      </w:r>
      <w:proofErr w:type="spellStart"/>
      <w:r>
        <w:rPr>
          <w:rFonts w:ascii="Arial" w:hAnsi="Arial" w:cs="Arial"/>
        </w:rPr>
        <w:t>Avci</w:t>
      </w:r>
      <w:proofErr w:type="spellEnd"/>
      <w:r>
        <w:rPr>
          <w:rFonts w:ascii="Arial" w:hAnsi="Arial" w:cs="Arial"/>
        </w:rPr>
        <w:t xml:space="preserve">, T., 2008. </w:t>
      </w:r>
      <w:r>
        <w:rPr>
          <w:rFonts w:ascii="Arial" w:hAnsi="Arial" w:cs="Arial"/>
          <w:i/>
          <w:iCs/>
        </w:rPr>
        <w:t>Customer complaints and organizational responses: A study of hotel employees in Northern Cyprus.</w:t>
      </w:r>
      <w:r>
        <w:rPr>
          <w:rFonts w:ascii="Arial" w:hAnsi="Arial" w:cs="Arial"/>
        </w:rPr>
        <w:t xml:space="preserve"> International Journal of Hospitality Management, 27(4), pp.647–656.</w:t>
      </w:r>
    </w:p>
    <w:p w14:paraId="7EEF5B0E" w14:textId="77777777" w:rsidR="009427D5" w:rsidRDefault="002D309F">
      <w:pPr>
        <w:pStyle w:val="ListParagraph"/>
        <w:numPr>
          <w:ilvl w:val="0"/>
          <w:numId w:val="4"/>
        </w:numPr>
        <w:spacing w:after="0" w:line="360" w:lineRule="auto"/>
        <w:jc w:val="both"/>
      </w:pPr>
      <w:r>
        <w:rPr>
          <w:rFonts w:ascii="Arial" w:hAnsi="Arial" w:cs="Arial"/>
        </w:rPr>
        <w:t xml:space="preserve">Yin, R.K., 2018. </w:t>
      </w:r>
      <w:r>
        <w:rPr>
          <w:rFonts w:ascii="Arial" w:hAnsi="Arial" w:cs="Arial"/>
          <w:i/>
          <w:iCs/>
        </w:rPr>
        <w:t>Case Study Research and Applications: Design and Methods.</w:t>
      </w:r>
      <w:r>
        <w:rPr>
          <w:rFonts w:ascii="Arial" w:hAnsi="Arial" w:cs="Arial"/>
        </w:rPr>
        <w:t xml:space="preserve"> 6th ed. Thousand Oaks, CA: Sage.</w:t>
      </w:r>
    </w:p>
    <w:p w14:paraId="3F85272A" w14:textId="77777777" w:rsidR="009427D5" w:rsidRDefault="009427D5">
      <w:pPr>
        <w:spacing w:after="0" w:line="360" w:lineRule="auto"/>
        <w:jc w:val="both"/>
        <w:rPr>
          <w:rFonts w:ascii="Arial" w:hAnsi="Arial" w:cs="Arial"/>
        </w:rPr>
      </w:pPr>
    </w:p>
    <w:p w14:paraId="723C527E" w14:textId="77777777" w:rsidR="009427D5" w:rsidRDefault="009427D5">
      <w:pPr>
        <w:spacing w:after="0" w:line="360" w:lineRule="auto"/>
        <w:jc w:val="both"/>
        <w:rPr>
          <w:rFonts w:ascii="Arial" w:hAnsi="Arial" w:cs="Arial"/>
        </w:rPr>
      </w:pPr>
    </w:p>
    <w:p w14:paraId="0F359C9E" w14:textId="77777777" w:rsidR="009427D5" w:rsidRDefault="009427D5"/>
    <w:sectPr w:rsidR="009427D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11D35" w14:textId="77777777" w:rsidR="002D309F" w:rsidRDefault="002D309F">
      <w:pPr>
        <w:spacing w:after="0" w:line="240" w:lineRule="auto"/>
      </w:pPr>
      <w:r>
        <w:separator/>
      </w:r>
    </w:p>
  </w:endnote>
  <w:endnote w:type="continuationSeparator" w:id="0">
    <w:p w14:paraId="78CA84A2" w14:textId="77777777" w:rsidR="002D309F" w:rsidRDefault="002D3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73E72" w14:textId="77777777" w:rsidR="002D309F" w:rsidRDefault="002D309F">
      <w:pPr>
        <w:spacing w:after="0" w:line="240" w:lineRule="auto"/>
      </w:pPr>
      <w:r>
        <w:rPr>
          <w:color w:val="000000"/>
        </w:rPr>
        <w:separator/>
      </w:r>
    </w:p>
  </w:footnote>
  <w:footnote w:type="continuationSeparator" w:id="0">
    <w:p w14:paraId="2ED42F53" w14:textId="77777777" w:rsidR="002D309F" w:rsidRDefault="002D3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54D78"/>
    <w:multiLevelType w:val="multilevel"/>
    <w:tmpl w:val="8182E044"/>
    <w:lvl w:ilvl="0">
      <w:numFmt w:val="bullet"/>
      <w:lvlText w:val="-"/>
      <w:lvlJc w:val="left"/>
      <w:pPr>
        <w:ind w:left="720" w:hanging="360"/>
      </w:pPr>
      <w:rPr>
        <w:rFonts w:ascii="Arial" w:eastAsia="Aptos" w:hAnsi="Arial" w:cs="Arial"/>
      </w:rPr>
    </w:lvl>
    <w:lvl w:ilvl="1">
      <w:numFmt w:val="bullet"/>
      <w:lvlText w:val=""/>
      <w:lvlJc w:val="left"/>
      <w:pPr>
        <w:ind w:left="1500" w:hanging="420"/>
      </w:pPr>
      <w:rPr>
        <w:rFonts w:ascii="Arial" w:eastAsia="Aptos" w:hAnsi="Arial"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EA9442C"/>
    <w:multiLevelType w:val="multilevel"/>
    <w:tmpl w:val="15687E14"/>
    <w:lvl w:ilvl="0">
      <w:numFmt w:val="bullet"/>
      <w:lvlText w:val="-"/>
      <w:lvlJc w:val="left"/>
      <w:pPr>
        <w:ind w:left="720" w:hanging="360"/>
      </w:pPr>
      <w:rPr>
        <w:rFonts w:ascii="Arial" w:eastAsia="Aptos" w:hAnsi="Arial" w:cs="Aria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4495543C"/>
    <w:multiLevelType w:val="multilevel"/>
    <w:tmpl w:val="A51CB148"/>
    <w:lvl w:ilvl="0">
      <w:numFmt w:val="bullet"/>
      <w:lvlText w:val="-"/>
      <w:lvlJc w:val="left"/>
      <w:pPr>
        <w:ind w:left="720" w:hanging="360"/>
      </w:pPr>
      <w:rPr>
        <w:rFonts w:ascii="Arial" w:eastAsia="Aptos"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7F861502"/>
    <w:multiLevelType w:val="multilevel"/>
    <w:tmpl w:val="3550B5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415983973">
    <w:abstractNumId w:val="3"/>
  </w:num>
  <w:num w:numId="2" w16cid:durableId="360978167">
    <w:abstractNumId w:val="0"/>
  </w:num>
  <w:num w:numId="3" w16cid:durableId="307244142">
    <w:abstractNumId w:val="1"/>
  </w:num>
  <w:num w:numId="4" w16cid:durableId="1644505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7D5"/>
    <w:rsid w:val="002D309F"/>
    <w:rsid w:val="002E57BA"/>
    <w:rsid w:val="009427D5"/>
    <w:rsid w:val="00B63A45"/>
    <w:rsid w:val="00CC07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1ABF43A"/>
  <w15:docId w15:val="{F75E11EC-FFBE-49EB-9518-11910FDEF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76" w:lineRule="auto"/>
    </w:pPr>
    <w:rPr>
      <w:sz w:val="24"/>
      <w:szCs w:val="24"/>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pPr>
      <w:spacing w:before="240" w:after="0"/>
    </w:pPr>
    <w:rPr>
      <w:kern w:val="0"/>
      <w:sz w:val="32"/>
      <w:szCs w:val="32"/>
    </w:rPr>
  </w:style>
  <w:style w:type="paragraph" w:styleId="TOC1">
    <w:name w:val="toc 1"/>
    <w:basedOn w:val="Normal"/>
    <w:next w:val="Normal"/>
    <w:autoRedefine/>
    <w:pPr>
      <w:spacing w:after="100"/>
    </w:pPr>
  </w:style>
  <w:style w:type="character" w:styleId="Hyperlink">
    <w:name w:val="Hyperlink"/>
    <w:basedOn w:val="DefaultParagraphFont"/>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10103</Words>
  <Characters>57591</Characters>
  <Application>Microsoft Office Word</Application>
  <DocSecurity>0</DocSecurity>
  <Lines>479</Lines>
  <Paragraphs>135</Paragraphs>
  <ScaleCrop>false</ScaleCrop>
  <Company/>
  <LinksUpToDate>false</LinksUpToDate>
  <CharactersWithSpaces>67559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Stoica (2210328)</dc:creator>
  <dc:description/>
  <cp:lastModifiedBy>Ana Stoica (2210328)</cp:lastModifiedBy>
  <cp:revision>2</cp:revision>
  <dcterms:created xsi:type="dcterms:W3CDTF">2025-06-03T11:03:00Z</dcterms:created>
  <dcterms:modified xsi:type="dcterms:W3CDTF">2025-06-03T11:03:00Z</dcterms:modified>
</cp:coreProperties>
</file>