
<file path=[Content_Types].xml><?xml version="1.0" encoding="utf-8"?>
<Types xmlns="http://schemas.openxmlformats.org/package/2006/content-types">
  <Default Extension="DECCD6A0" ContentType="image/png"/>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sz w:val="22"/>
          <w:szCs w:val="22"/>
        </w:rPr>
        <w:id w:val="-374235626"/>
        <w:docPartObj>
          <w:docPartGallery w:val="Cover Pages"/>
          <w:docPartUnique/>
        </w:docPartObj>
      </w:sdtPr>
      <w:sdtEndPr/>
      <w:sdtContent>
        <w:p w14:paraId="140693C8" w14:textId="25228423" w:rsidR="00F44CEE" w:rsidRPr="005D574E" w:rsidRDefault="00F44CEE" w:rsidP="00CB6FBB">
          <w:pPr>
            <w:spacing w:line="360" w:lineRule="auto"/>
            <w:rPr>
              <w:rFonts w:cs="Arial"/>
              <w:sz w:val="22"/>
              <w:szCs w:val="22"/>
            </w:rPr>
          </w:pPr>
          <w:r w:rsidRPr="005D574E">
            <w:rPr>
              <w:rFonts w:cs="Arial"/>
              <w:noProof/>
              <w:sz w:val="22"/>
              <w:szCs w:val="22"/>
            </w:rPr>
            <mc:AlternateContent>
              <mc:Choice Requires="wpg">
                <w:drawing>
                  <wp:anchor distT="0" distB="0" distL="114300" distR="114300" simplePos="0" relativeHeight="251662336" behindDoc="0" locked="0" layoutInCell="1" allowOverlap="1" wp14:anchorId="62891B20" wp14:editId="40E294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E15CC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5D574E">
            <w:rPr>
              <w:rFonts w:cs="Arial"/>
              <w:noProof/>
              <w:sz w:val="22"/>
              <w:szCs w:val="22"/>
            </w:rPr>
            <mc:AlternateContent>
              <mc:Choice Requires="wps">
                <w:drawing>
                  <wp:anchor distT="0" distB="0" distL="114300" distR="114300" simplePos="0" relativeHeight="251660288" behindDoc="0" locked="0" layoutInCell="1" allowOverlap="1" wp14:anchorId="4F6633AE" wp14:editId="1ED9789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3755F3E" w14:textId="77777777" w:rsidR="005D2955" w:rsidRDefault="005D2955">
                                    <w:pPr>
                                      <w:pStyle w:val="NoSpacing"/>
                                      <w:jc w:val="right"/>
                                      <w:rPr>
                                        <w:color w:val="595959" w:themeColor="text1" w:themeTint="A6"/>
                                        <w:sz w:val="28"/>
                                        <w:szCs w:val="28"/>
                                      </w:rPr>
                                    </w:pPr>
                                    <w:r>
                                      <w:rPr>
                                        <w:color w:val="595959" w:themeColor="text1" w:themeTint="A6"/>
                                        <w:sz w:val="28"/>
                                        <w:szCs w:val="28"/>
                                      </w:rPr>
                                      <w:t>Joel Codd</w:t>
                                    </w:r>
                                    <w:r w:rsidR="004B60BF">
                                      <w:rPr>
                                        <w:color w:val="595959" w:themeColor="text1" w:themeTint="A6"/>
                                        <w:sz w:val="28"/>
                                        <w:szCs w:val="28"/>
                                      </w:rPr>
                                      <w:t xml:space="preserve"> 2117927</w:t>
                                    </w:r>
                                  </w:p>
                                </w:sdtContent>
                              </w:sdt>
                              <w:p w14:paraId="48D37862" w14:textId="77777777" w:rsidR="005D2955" w:rsidRDefault="00D0368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D295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6633A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3755F3E" w14:textId="77777777" w:rsidR="005D2955" w:rsidRDefault="005D2955">
                              <w:pPr>
                                <w:pStyle w:val="NoSpacing"/>
                                <w:jc w:val="right"/>
                                <w:rPr>
                                  <w:color w:val="595959" w:themeColor="text1" w:themeTint="A6"/>
                                  <w:sz w:val="28"/>
                                  <w:szCs w:val="28"/>
                                </w:rPr>
                              </w:pPr>
                              <w:r>
                                <w:rPr>
                                  <w:color w:val="595959" w:themeColor="text1" w:themeTint="A6"/>
                                  <w:sz w:val="28"/>
                                  <w:szCs w:val="28"/>
                                </w:rPr>
                                <w:t>Joel Codd</w:t>
                              </w:r>
                              <w:r w:rsidR="004B60BF">
                                <w:rPr>
                                  <w:color w:val="595959" w:themeColor="text1" w:themeTint="A6"/>
                                  <w:sz w:val="28"/>
                                  <w:szCs w:val="28"/>
                                </w:rPr>
                                <w:t xml:space="preserve"> 2117927</w:t>
                              </w:r>
                            </w:p>
                          </w:sdtContent>
                        </w:sdt>
                        <w:p w14:paraId="48D37862" w14:textId="77777777" w:rsidR="005D2955" w:rsidRDefault="00D0368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D2955">
                                <w:rPr>
                                  <w:color w:val="595959" w:themeColor="text1" w:themeTint="A6"/>
                                  <w:sz w:val="18"/>
                                  <w:szCs w:val="18"/>
                                </w:rPr>
                                <w:t xml:space="preserve">     </w:t>
                              </w:r>
                            </w:sdtContent>
                          </w:sdt>
                        </w:p>
                      </w:txbxContent>
                    </v:textbox>
                    <w10:wrap type="square" anchorx="page" anchory="page"/>
                  </v:shape>
                </w:pict>
              </mc:Fallback>
            </mc:AlternateContent>
          </w:r>
          <w:r w:rsidRPr="005D574E">
            <w:rPr>
              <w:rFonts w:cs="Arial"/>
              <w:noProof/>
              <w:sz w:val="22"/>
              <w:szCs w:val="22"/>
            </w:rPr>
            <mc:AlternateContent>
              <mc:Choice Requires="wps">
                <w:drawing>
                  <wp:anchor distT="0" distB="0" distL="114300" distR="114300" simplePos="0" relativeHeight="251661312" behindDoc="0" locked="0" layoutInCell="1" allowOverlap="1" wp14:anchorId="17F54082" wp14:editId="36B87F6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804472" w14:textId="77777777" w:rsidR="005D2955" w:rsidRDefault="005D295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7F54082"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F804472" w14:textId="77777777" w:rsidR="005D2955" w:rsidRDefault="005D2955">
                          <w:pPr>
                            <w:pStyle w:val="NoSpacing"/>
                            <w:jc w:val="right"/>
                            <w:rPr>
                              <w:color w:val="595959" w:themeColor="text1" w:themeTint="A6"/>
                              <w:sz w:val="20"/>
                              <w:szCs w:val="20"/>
                            </w:rPr>
                          </w:pPr>
                        </w:p>
                      </w:txbxContent>
                    </v:textbox>
                    <w10:wrap type="square" anchorx="page" anchory="page"/>
                  </v:shape>
                </w:pict>
              </mc:Fallback>
            </mc:AlternateContent>
          </w:r>
        </w:p>
        <w:p w14:paraId="5B601D8C" w14:textId="3833F7E0" w:rsidR="00F44CEE" w:rsidRPr="005D574E" w:rsidRDefault="00741FEF" w:rsidP="00CB6FBB">
          <w:pPr>
            <w:spacing w:line="360" w:lineRule="auto"/>
            <w:rPr>
              <w:rFonts w:cs="Arial"/>
              <w:sz w:val="22"/>
              <w:szCs w:val="22"/>
            </w:rPr>
          </w:pPr>
          <w:r w:rsidRPr="005D574E">
            <w:rPr>
              <w:rFonts w:cs="Arial"/>
              <w:noProof/>
              <w:sz w:val="22"/>
              <w:szCs w:val="22"/>
            </w:rPr>
            <mc:AlternateContent>
              <mc:Choice Requires="wps">
                <w:drawing>
                  <wp:anchor distT="0" distB="0" distL="114300" distR="114300" simplePos="0" relativeHeight="251659264" behindDoc="0" locked="0" layoutInCell="1" allowOverlap="1" wp14:anchorId="5EFCC439" wp14:editId="52A89924">
                    <wp:simplePos x="0" y="0"/>
                    <wp:positionH relativeFrom="margin">
                      <wp:align>right</wp:align>
                    </wp:positionH>
                    <wp:positionV relativeFrom="page">
                      <wp:posOffset>6172200</wp:posOffset>
                    </wp:positionV>
                    <wp:extent cx="6429375" cy="912495"/>
                    <wp:effectExtent l="0" t="0" r="0" b="1905"/>
                    <wp:wrapSquare wrapText="bothSides"/>
                    <wp:docPr id="154" name="Text Box 154"/>
                    <wp:cNvGraphicFramePr/>
                    <a:graphic xmlns:a="http://schemas.openxmlformats.org/drawingml/2006/main">
                      <a:graphicData uri="http://schemas.microsoft.com/office/word/2010/wordprocessingShape">
                        <wps:wsp>
                          <wps:cNvSpPr txBox="1"/>
                          <wps:spPr>
                            <a:xfrm>
                              <a:off x="0" y="0"/>
                              <a:ext cx="6429375" cy="9124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5A793" w14:textId="08DD58F0" w:rsidR="00CC2914" w:rsidRPr="00CC2914" w:rsidRDefault="00CC2914" w:rsidP="00741FEF">
                                <w:pPr>
                                  <w:jc w:val="center"/>
                                  <w:rPr>
                                    <w:sz w:val="40"/>
                                    <w:szCs w:val="40"/>
                                  </w:rPr>
                                </w:pPr>
                                <w:r w:rsidRPr="00CC2914">
                                  <w:rPr>
                                    <w:sz w:val="40"/>
                                    <w:szCs w:val="40"/>
                                  </w:rPr>
                                  <w:t>Project Proposal: Pembroke FCC Third Stage Separator (TSS) Repair or Replacement</w:t>
                                </w:r>
                              </w:p>
                              <w:p w14:paraId="2083278C" w14:textId="7031C221" w:rsidR="005D2955" w:rsidRDefault="005D295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FCC439" id="Text Box 154" o:spid="_x0000_s1028" type="#_x0000_t202" style="position:absolute;left:0;text-align:left;margin-left:455.05pt;margin-top:486pt;width:506.25pt;height:71.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" filled="f" stroked="f" strokeweight=".5pt">
                    <v:textbox inset="126pt,0,54pt,0">
                      <w:txbxContent>
                        <w:p w14:paraId="1345A793" w14:textId="08DD58F0" w:rsidR="00CC2914" w:rsidRPr="00CC2914" w:rsidRDefault="00CC2914" w:rsidP="00741FEF">
                          <w:pPr>
                            <w:jc w:val="center"/>
                            <w:rPr>
                              <w:sz w:val="40"/>
                              <w:szCs w:val="40"/>
                            </w:rPr>
                          </w:pPr>
                          <w:r w:rsidRPr="00CC2914">
                            <w:rPr>
                              <w:sz w:val="40"/>
                              <w:szCs w:val="40"/>
                            </w:rPr>
                            <w:t>Project Proposal: Pembroke FCC Third Stage Separator (TSS) Repair or Replacement</w:t>
                          </w:r>
                        </w:p>
                        <w:p w14:paraId="2083278C" w14:textId="7031C221" w:rsidR="005D2955" w:rsidRDefault="005D2955">
                          <w:pPr>
                            <w:jc w:val="right"/>
                            <w:rPr>
                              <w:smallCaps/>
                              <w:color w:val="404040" w:themeColor="text1" w:themeTint="BF"/>
                              <w:sz w:val="36"/>
                              <w:szCs w:val="36"/>
                            </w:rPr>
                          </w:pPr>
                        </w:p>
                      </w:txbxContent>
                    </v:textbox>
                    <w10:wrap type="square" anchorx="margin" anchory="page"/>
                  </v:shape>
                </w:pict>
              </mc:Fallback>
            </mc:AlternateContent>
          </w:r>
          <w:r w:rsidRPr="005D574E">
            <w:rPr>
              <w:rFonts w:cs="Arial"/>
              <w:noProof/>
              <w:sz w:val="22"/>
              <w:szCs w:val="22"/>
            </w:rPr>
            <w:drawing>
              <wp:anchor distT="0" distB="0" distL="114300" distR="114300" simplePos="0" relativeHeight="251663360" behindDoc="0" locked="0" layoutInCell="1" allowOverlap="1" wp14:anchorId="3B3717ED" wp14:editId="16897D68">
                <wp:simplePos x="0" y="0"/>
                <wp:positionH relativeFrom="margin">
                  <wp:posOffset>-428625</wp:posOffset>
                </wp:positionH>
                <wp:positionV relativeFrom="paragraph">
                  <wp:posOffset>911860</wp:posOffset>
                </wp:positionV>
                <wp:extent cx="6750012" cy="2857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751523" cy="2858140"/>
                        </a:xfrm>
                        <a:prstGeom prst="rect">
                          <a:avLst/>
                        </a:prstGeom>
                      </pic:spPr>
                    </pic:pic>
                  </a:graphicData>
                </a:graphic>
                <wp14:sizeRelH relativeFrom="page">
                  <wp14:pctWidth>0</wp14:pctWidth>
                </wp14:sizeRelH>
                <wp14:sizeRelV relativeFrom="page">
                  <wp14:pctHeight>0</wp14:pctHeight>
                </wp14:sizeRelV>
              </wp:anchor>
            </w:drawing>
          </w:r>
          <w:r w:rsidR="00F44CEE" w:rsidRPr="005D574E">
            <w:rPr>
              <w:rFonts w:cs="Arial"/>
              <w:sz w:val="22"/>
              <w:szCs w:val="22"/>
            </w:rPr>
            <w:br w:type="page"/>
          </w:r>
        </w:p>
      </w:sdtContent>
    </w:sdt>
    <w:p w14:paraId="4ECF3E62" w14:textId="066960EE" w:rsidR="005D574E" w:rsidRDefault="005D574E" w:rsidP="00CB6FBB">
      <w:pPr>
        <w:pStyle w:val="Heading1"/>
        <w:numPr>
          <w:ilvl w:val="0"/>
          <w:numId w:val="0"/>
        </w:numPr>
        <w:spacing w:line="360" w:lineRule="auto"/>
        <w:ind w:left="432" w:hanging="432"/>
        <w:rPr>
          <w:rFonts w:eastAsiaTheme="minorHAnsi"/>
        </w:rPr>
      </w:pPr>
      <w:bookmarkStart w:id="0" w:name="_Toc230791051"/>
      <w:r>
        <w:rPr>
          <w:rFonts w:eastAsiaTheme="minorHAnsi"/>
        </w:rPr>
        <w:lastRenderedPageBreak/>
        <w:t>Abstract</w:t>
      </w:r>
      <w:bookmarkEnd w:id="0"/>
    </w:p>
    <w:p w14:paraId="64C24F3F" w14:textId="788B3C3F" w:rsidR="005D574E" w:rsidRPr="005D574E" w:rsidRDefault="00A96D64" w:rsidP="00CB6FBB">
      <w:pPr>
        <w:spacing w:line="360" w:lineRule="auto"/>
        <w:rPr>
          <w:rFonts w:eastAsiaTheme="minorHAnsi" w:cs="Arial"/>
          <w:lang w:eastAsia="en-US"/>
        </w:rPr>
      </w:pPr>
      <w:r>
        <w:rPr>
          <w:rFonts w:eastAsiaTheme="minorHAnsi" w:cs="Arial"/>
          <w:lang w:eastAsia="en-US"/>
        </w:rPr>
        <w:t>T</w:t>
      </w:r>
      <w:r w:rsidR="005D574E" w:rsidRPr="005D574E">
        <w:rPr>
          <w:rFonts w:eastAsiaTheme="minorHAnsi" w:cs="Arial"/>
          <w:lang w:eastAsia="en-US"/>
        </w:rPr>
        <w:t>his report examines the condition, performance, and replacement strategy of the Third Stage Separator (TSS) at Pembroke Refinery’s Fluid Catalytic Cracking (FCC) unit. The TSS is a critical component that removes catalyst fines from the flue gas stream to ensure environmental compliance and protect downstream equipment. Inspections conducted during the 2014 and 2021 turnarounds identified extensive cracking and metallurgical degradation in the 304H stainless steel cyclones caused by sigma-phase embrittlement.</w:t>
      </w:r>
    </w:p>
    <w:p w14:paraId="0D6708E5" w14:textId="77777777" w:rsidR="005D574E" w:rsidRPr="005D574E" w:rsidRDefault="005D574E" w:rsidP="00CB6FBB">
      <w:pPr>
        <w:spacing w:line="360" w:lineRule="auto"/>
        <w:rPr>
          <w:rFonts w:eastAsiaTheme="minorHAnsi" w:cs="Arial"/>
          <w:lang w:eastAsia="en-US"/>
        </w:rPr>
      </w:pPr>
      <w:r w:rsidRPr="005D574E">
        <w:rPr>
          <w:rFonts w:eastAsiaTheme="minorHAnsi" w:cs="Arial"/>
          <w:lang w:eastAsia="en-US"/>
        </w:rPr>
        <w:t>Temporary mechanical restraints were installed in 2021 to prevent component failure; however, this solution remains limited and cannot provide long-term reliability. Continued cracking, increased expander fouling, and multiple environmental exceedances confirm the need for permanent intervention. A full vessel replacement has therefore been selected as the preferred option, offering improved reliability, reduced velocity, and compliance assurance for future operating cycles.</w:t>
      </w:r>
    </w:p>
    <w:p w14:paraId="44CCE6F9" w14:textId="77777777" w:rsidR="005D574E" w:rsidRPr="005D574E" w:rsidRDefault="005D574E" w:rsidP="00CB6FBB">
      <w:pPr>
        <w:spacing w:line="360" w:lineRule="auto"/>
        <w:rPr>
          <w:rFonts w:eastAsiaTheme="minorHAnsi" w:cs="Arial"/>
          <w:lang w:eastAsia="en-US"/>
        </w:rPr>
      </w:pPr>
      <w:r w:rsidRPr="005D574E">
        <w:rPr>
          <w:rFonts w:eastAsiaTheme="minorHAnsi" w:cs="Arial"/>
          <w:lang w:eastAsia="en-US"/>
        </w:rPr>
        <w:t>This study analyses the existing system’s failure mechanisms, evaluates the feasibility of repair versus replacement, and outlines the engineering, operational, and environmental justifications for a new TSS design. The findings support a replacement strategy that aligns with Shell’s licensor requirements and ensures safe, efficient, and sustainable FCC operation at Pembroke Refinery.</w:t>
      </w:r>
    </w:p>
    <w:p w14:paraId="1D219DE4" w14:textId="77777777" w:rsidR="005D574E" w:rsidRPr="005D574E" w:rsidRDefault="005D574E" w:rsidP="00CB6FBB">
      <w:pPr>
        <w:spacing w:line="360" w:lineRule="auto"/>
        <w:rPr>
          <w:rFonts w:eastAsiaTheme="minorHAnsi"/>
          <w:lang w:eastAsia="en-US"/>
        </w:rPr>
      </w:pPr>
    </w:p>
    <w:p w14:paraId="319E296F" w14:textId="77777777" w:rsidR="005D574E" w:rsidRDefault="005D574E" w:rsidP="00CB6FBB">
      <w:pPr>
        <w:spacing w:line="360" w:lineRule="auto"/>
        <w:rPr>
          <w:rFonts w:eastAsiaTheme="minorHAnsi"/>
        </w:rPr>
      </w:pPr>
    </w:p>
    <w:p w14:paraId="24DB22FC" w14:textId="77777777" w:rsidR="005D574E" w:rsidRDefault="005D574E" w:rsidP="00CB6FBB">
      <w:pPr>
        <w:spacing w:line="360" w:lineRule="auto"/>
        <w:rPr>
          <w:rFonts w:eastAsiaTheme="minorHAnsi"/>
        </w:rPr>
      </w:pPr>
    </w:p>
    <w:p w14:paraId="5AFD0F9C" w14:textId="77777777" w:rsidR="005D574E" w:rsidRDefault="005D574E" w:rsidP="00CB6FBB">
      <w:pPr>
        <w:spacing w:line="360" w:lineRule="auto"/>
        <w:rPr>
          <w:rFonts w:eastAsiaTheme="minorHAnsi"/>
        </w:rPr>
      </w:pPr>
    </w:p>
    <w:p w14:paraId="50D9A788" w14:textId="77777777" w:rsidR="005D574E" w:rsidRDefault="005D574E" w:rsidP="00CB6FBB">
      <w:pPr>
        <w:spacing w:line="360" w:lineRule="auto"/>
        <w:rPr>
          <w:rFonts w:eastAsiaTheme="minorHAnsi"/>
        </w:rPr>
      </w:pPr>
    </w:p>
    <w:p w14:paraId="2BDCF0BF" w14:textId="77777777" w:rsidR="005D574E" w:rsidRDefault="005D574E" w:rsidP="00CB6FBB">
      <w:pPr>
        <w:spacing w:line="360" w:lineRule="auto"/>
        <w:rPr>
          <w:rFonts w:eastAsiaTheme="minorHAnsi"/>
        </w:rPr>
      </w:pPr>
    </w:p>
    <w:p w14:paraId="3C4104B6" w14:textId="77777777" w:rsidR="005D574E" w:rsidRDefault="005D574E" w:rsidP="00CB6FBB">
      <w:pPr>
        <w:spacing w:line="360" w:lineRule="auto"/>
        <w:rPr>
          <w:rFonts w:eastAsiaTheme="minorHAnsi"/>
        </w:rPr>
      </w:pPr>
    </w:p>
    <w:p w14:paraId="38A9AC50" w14:textId="77777777" w:rsidR="005D574E" w:rsidRDefault="005D574E" w:rsidP="00CB6FBB">
      <w:pPr>
        <w:spacing w:line="360" w:lineRule="auto"/>
        <w:rPr>
          <w:rFonts w:eastAsiaTheme="minorHAnsi"/>
        </w:rPr>
      </w:pPr>
    </w:p>
    <w:p w14:paraId="394CACA8" w14:textId="77777777" w:rsidR="005D574E" w:rsidRDefault="005D574E" w:rsidP="00CB6FBB">
      <w:pPr>
        <w:spacing w:line="360" w:lineRule="auto"/>
        <w:rPr>
          <w:rFonts w:eastAsiaTheme="minorHAnsi"/>
        </w:rPr>
      </w:pPr>
    </w:p>
    <w:p w14:paraId="0A7BA664" w14:textId="77777777" w:rsidR="005D574E" w:rsidRDefault="005D574E" w:rsidP="00CB6FBB">
      <w:pPr>
        <w:spacing w:line="360" w:lineRule="auto"/>
        <w:rPr>
          <w:rFonts w:eastAsiaTheme="minorHAnsi"/>
        </w:rPr>
      </w:pPr>
    </w:p>
    <w:p w14:paraId="71727B80" w14:textId="77777777" w:rsidR="005D574E" w:rsidRDefault="005D574E" w:rsidP="00CB6FBB">
      <w:pPr>
        <w:spacing w:line="360" w:lineRule="auto"/>
        <w:rPr>
          <w:rFonts w:eastAsiaTheme="minorHAnsi"/>
        </w:rPr>
      </w:pPr>
    </w:p>
    <w:p w14:paraId="19BFCFBE" w14:textId="77777777" w:rsidR="005D574E" w:rsidRDefault="005D574E" w:rsidP="00CB6FBB">
      <w:pPr>
        <w:spacing w:line="360" w:lineRule="auto"/>
        <w:rPr>
          <w:rFonts w:eastAsiaTheme="minorHAnsi"/>
        </w:rPr>
      </w:pPr>
    </w:p>
    <w:bookmarkStart w:id="1" w:name="_Toc230791052" w:displacedByCustomXml="next"/>
    <w:sdt>
      <w:sdtPr>
        <w:rPr>
          <w:rFonts w:ascii="Arial" w:eastAsiaTheme="minorHAnsi" w:hAnsi="Arial" w:cs="Times New Roman"/>
          <w:color w:val="auto"/>
          <w:sz w:val="24"/>
          <w:szCs w:val="24"/>
          <w:lang w:eastAsia="en-GB"/>
        </w:rPr>
        <w:id w:val="698131330"/>
        <w:docPartObj>
          <w:docPartGallery w:val="Table of Contents"/>
          <w:docPartUnique/>
        </w:docPartObj>
      </w:sdtPr>
      <w:sdtEndPr>
        <w:rPr>
          <w:rFonts w:eastAsia="Times New Roman" w:cs="Arial"/>
          <w:b/>
          <w:bCs/>
          <w:noProof/>
          <w:sz w:val="22"/>
          <w:szCs w:val="22"/>
        </w:rPr>
      </w:sdtEndPr>
      <w:sdtContent>
        <w:p w14:paraId="6A64CDC2" w14:textId="1BA85BEC" w:rsidR="00F44CEE" w:rsidRPr="005D574E" w:rsidRDefault="00F44CEE" w:rsidP="00CB6FBB">
          <w:pPr>
            <w:pStyle w:val="Heading1"/>
            <w:numPr>
              <w:ilvl w:val="0"/>
              <w:numId w:val="0"/>
            </w:numPr>
            <w:spacing w:line="360" w:lineRule="auto"/>
            <w:ind w:left="432" w:hanging="432"/>
            <w:rPr>
              <w:rFonts w:eastAsiaTheme="minorHAnsi"/>
              <w:color w:val="auto"/>
              <w:lang w:eastAsia="en-GB"/>
            </w:rPr>
          </w:pPr>
          <w:r w:rsidRPr="005D574E">
            <w:t>Contents</w:t>
          </w:r>
          <w:bookmarkEnd w:id="1"/>
        </w:p>
        <w:p w14:paraId="39B6715F" w14:textId="066DFA3E" w:rsidR="008174C0" w:rsidRDefault="00F44CEE" w:rsidP="008174C0">
          <w:pPr>
            <w:pStyle w:val="TOC1"/>
            <w:tabs>
              <w:tab w:val="right" w:leader="dot" w:pos="9016"/>
            </w:tabs>
            <w:spacing w:line="360" w:lineRule="auto"/>
            <w:rPr>
              <w:rFonts w:eastAsiaTheme="minorEastAsia"/>
              <w:noProof/>
              <w:kern w:val="2"/>
              <w:sz w:val="24"/>
              <w:szCs w:val="24"/>
              <w:lang w:val="en-US"/>
              <w14:ligatures w14:val="standardContextual"/>
            </w:rPr>
          </w:pPr>
          <w:r w:rsidRPr="005D574E">
            <w:rPr>
              <w:rFonts w:ascii="Arial" w:hAnsi="Arial" w:cs="Arial"/>
            </w:rPr>
            <w:fldChar w:fldCharType="begin"/>
          </w:r>
          <w:r w:rsidRPr="005D574E">
            <w:rPr>
              <w:rFonts w:ascii="Arial" w:hAnsi="Arial" w:cs="Arial"/>
            </w:rPr>
            <w:instrText xml:space="preserve"> TOC \o "1-3" \h \z \u </w:instrText>
          </w:r>
          <w:r w:rsidRPr="005D574E">
            <w:rPr>
              <w:rFonts w:ascii="Arial" w:hAnsi="Arial" w:cs="Arial"/>
            </w:rPr>
            <w:fldChar w:fldCharType="separate"/>
          </w:r>
          <w:hyperlink w:anchor="_Toc230791051" w:history="1">
            <w:r w:rsidR="008174C0" w:rsidRPr="00C574D2">
              <w:rPr>
                <w:rStyle w:val="Hyperlink"/>
                <w:noProof/>
              </w:rPr>
              <w:t>Abstract</w:t>
            </w:r>
            <w:r w:rsidR="008174C0">
              <w:rPr>
                <w:noProof/>
                <w:webHidden/>
              </w:rPr>
              <w:tab/>
            </w:r>
            <w:r w:rsidR="008174C0">
              <w:rPr>
                <w:noProof/>
                <w:webHidden/>
              </w:rPr>
              <w:fldChar w:fldCharType="begin"/>
            </w:r>
            <w:r w:rsidR="008174C0">
              <w:rPr>
                <w:noProof/>
                <w:webHidden/>
              </w:rPr>
              <w:instrText xml:space="preserve"> PAGEREF _Toc230791051 \h </w:instrText>
            </w:r>
            <w:r w:rsidR="008174C0">
              <w:rPr>
                <w:noProof/>
                <w:webHidden/>
              </w:rPr>
            </w:r>
            <w:r w:rsidR="008174C0">
              <w:rPr>
                <w:noProof/>
                <w:webHidden/>
              </w:rPr>
              <w:fldChar w:fldCharType="separate"/>
            </w:r>
            <w:r w:rsidR="008174C0">
              <w:rPr>
                <w:noProof/>
                <w:webHidden/>
              </w:rPr>
              <w:t>1</w:t>
            </w:r>
            <w:r w:rsidR="008174C0">
              <w:rPr>
                <w:noProof/>
                <w:webHidden/>
              </w:rPr>
              <w:fldChar w:fldCharType="end"/>
            </w:r>
          </w:hyperlink>
        </w:p>
        <w:p w14:paraId="272826CD" w14:textId="4AF305A2" w:rsidR="008174C0" w:rsidRDefault="008174C0" w:rsidP="008174C0">
          <w:pPr>
            <w:pStyle w:val="TOC1"/>
            <w:tabs>
              <w:tab w:val="right" w:leader="dot" w:pos="9016"/>
            </w:tabs>
            <w:spacing w:line="360" w:lineRule="auto"/>
            <w:rPr>
              <w:rFonts w:eastAsiaTheme="minorEastAsia"/>
              <w:noProof/>
              <w:kern w:val="2"/>
              <w:sz w:val="24"/>
              <w:szCs w:val="24"/>
              <w:lang w:val="en-US"/>
              <w14:ligatures w14:val="standardContextual"/>
            </w:rPr>
          </w:pPr>
          <w:hyperlink w:anchor="_Toc230791052" w:history="1">
            <w:r w:rsidRPr="00C574D2">
              <w:rPr>
                <w:rStyle w:val="Hyperlink"/>
                <w:noProof/>
              </w:rPr>
              <w:t>Contents</w:t>
            </w:r>
            <w:r>
              <w:rPr>
                <w:noProof/>
                <w:webHidden/>
              </w:rPr>
              <w:tab/>
            </w:r>
            <w:r>
              <w:rPr>
                <w:noProof/>
                <w:webHidden/>
              </w:rPr>
              <w:fldChar w:fldCharType="begin"/>
            </w:r>
            <w:r>
              <w:rPr>
                <w:noProof/>
                <w:webHidden/>
              </w:rPr>
              <w:instrText xml:space="preserve"> PAGEREF _Toc230791052 \h </w:instrText>
            </w:r>
            <w:r>
              <w:rPr>
                <w:noProof/>
                <w:webHidden/>
              </w:rPr>
            </w:r>
            <w:r>
              <w:rPr>
                <w:noProof/>
                <w:webHidden/>
              </w:rPr>
              <w:fldChar w:fldCharType="separate"/>
            </w:r>
            <w:r>
              <w:rPr>
                <w:noProof/>
                <w:webHidden/>
              </w:rPr>
              <w:t>2</w:t>
            </w:r>
            <w:r>
              <w:rPr>
                <w:noProof/>
                <w:webHidden/>
              </w:rPr>
              <w:fldChar w:fldCharType="end"/>
            </w:r>
          </w:hyperlink>
        </w:p>
        <w:p w14:paraId="4A653F6B" w14:textId="47BD106B" w:rsidR="008174C0" w:rsidRDefault="008174C0" w:rsidP="008174C0">
          <w:pPr>
            <w:pStyle w:val="TOC1"/>
            <w:tabs>
              <w:tab w:val="right" w:leader="dot" w:pos="9016"/>
            </w:tabs>
            <w:spacing w:line="360" w:lineRule="auto"/>
            <w:rPr>
              <w:rFonts w:eastAsiaTheme="minorEastAsia"/>
              <w:noProof/>
              <w:kern w:val="2"/>
              <w:sz w:val="24"/>
              <w:szCs w:val="24"/>
              <w:lang w:val="en-US"/>
              <w14:ligatures w14:val="standardContextual"/>
            </w:rPr>
          </w:pPr>
          <w:hyperlink w:anchor="_Toc230791053" w:history="1">
            <w:r w:rsidRPr="00C574D2">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_Toc230791053 \h </w:instrText>
            </w:r>
            <w:r>
              <w:rPr>
                <w:noProof/>
                <w:webHidden/>
              </w:rPr>
            </w:r>
            <w:r>
              <w:rPr>
                <w:noProof/>
                <w:webHidden/>
              </w:rPr>
              <w:fldChar w:fldCharType="separate"/>
            </w:r>
            <w:r>
              <w:rPr>
                <w:noProof/>
                <w:webHidden/>
              </w:rPr>
              <w:t>5</w:t>
            </w:r>
            <w:r>
              <w:rPr>
                <w:noProof/>
                <w:webHidden/>
              </w:rPr>
              <w:fldChar w:fldCharType="end"/>
            </w:r>
          </w:hyperlink>
        </w:p>
        <w:p w14:paraId="293EC783" w14:textId="2768556C" w:rsidR="008174C0" w:rsidRDefault="008174C0" w:rsidP="008174C0">
          <w:pPr>
            <w:pStyle w:val="TOC1"/>
            <w:tabs>
              <w:tab w:val="right" w:leader="dot" w:pos="9016"/>
            </w:tabs>
            <w:spacing w:line="360" w:lineRule="auto"/>
            <w:rPr>
              <w:rFonts w:eastAsiaTheme="minorEastAsia"/>
              <w:noProof/>
              <w:kern w:val="2"/>
              <w:sz w:val="24"/>
              <w:szCs w:val="24"/>
              <w:lang w:val="en-US"/>
              <w14:ligatures w14:val="standardContextual"/>
            </w:rPr>
          </w:pPr>
          <w:hyperlink w:anchor="_Toc230791054" w:history="1">
            <w:r w:rsidRPr="00C574D2">
              <w:rPr>
                <w:rStyle w:val="Hyperlink"/>
                <w:noProof/>
                <w:lang w:val="en-US"/>
              </w:rPr>
              <w:t>Table of Tables</w:t>
            </w:r>
            <w:r>
              <w:rPr>
                <w:noProof/>
                <w:webHidden/>
              </w:rPr>
              <w:tab/>
            </w:r>
            <w:r>
              <w:rPr>
                <w:noProof/>
                <w:webHidden/>
              </w:rPr>
              <w:fldChar w:fldCharType="begin"/>
            </w:r>
            <w:r>
              <w:rPr>
                <w:noProof/>
                <w:webHidden/>
              </w:rPr>
              <w:instrText xml:space="preserve"> PAGEREF _Toc230791054 \h </w:instrText>
            </w:r>
            <w:r>
              <w:rPr>
                <w:noProof/>
                <w:webHidden/>
              </w:rPr>
            </w:r>
            <w:r>
              <w:rPr>
                <w:noProof/>
                <w:webHidden/>
              </w:rPr>
              <w:fldChar w:fldCharType="separate"/>
            </w:r>
            <w:r>
              <w:rPr>
                <w:noProof/>
                <w:webHidden/>
              </w:rPr>
              <w:t>6</w:t>
            </w:r>
            <w:r>
              <w:rPr>
                <w:noProof/>
                <w:webHidden/>
              </w:rPr>
              <w:fldChar w:fldCharType="end"/>
            </w:r>
          </w:hyperlink>
        </w:p>
        <w:p w14:paraId="6878A5AF" w14:textId="6AAA5005"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055" w:history="1">
            <w:r w:rsidRPr="00C574D2">
              <w:rPr>
                <w:rStyle w:val="Hyperlink"/>
                <w:noProof/>
              </w:rPr>
              <w:t>1</w:t>
            </w:r>
            <w:r>
              <w:rPr>
                <w:rFonts w:eastAsiaTheme="minorEastAsia"/>
                <w:noProof/>
                <w:kern w:val="2"/>
                <w:sz w:val="24"/>
                <w:szCs w:val="24"/>
                <w:lang w:val="en-US"/>
                <w14:ligatures w14:val="standardContextual"/>
              </w:rPr>
              <w:tab/>
            </w:r>
            <w:r w:rsidRPr="00C574D2">
              <w:rPr>
                <w:rStyle w:val="Hyperlink"/>
                <w:noProof/>
              </w:rPr>
              <w:t>Introduction</w:t>
            </w:r>
            <w:r>
              <w:rPr>
                <w:noProof/>
                <w:webHidden/>
              </w:rPr>
              <w:tab/>
            </w:r>
            <w:r>
              <w:rPr>
                <w:noProof/>
                <w:webHidden/>
              </w:rPr>
              <w:fldChar w:fldCharType="begin"/>
            </w:r>
            <w:r>
              <w:rPr>
                <w:noProof/>
                <w:webHidden/>
              </w:rPr>
              <w:instrText xml:space="preserve"> PAGEREF _Toc230791055 \h </w:instrText>
            </w:r>
            <w:r>
              <w:rPr>
                <w:noProof/>
                <w:webHidden/>
              </w:rPr>
            </w:r>
            <w:r>
              <w:rPr>
                <w:noProof/>
                <w:webHidden/>
              </w:rPr>
              <w:fldChar w:fldCharType="separate"/>
            </w:r>
            <w:r>
              <w:rPr>
                <w:noProof/>
                <w:webHidden/>
              </w:rPr>
              <w:t>0</w:t>
            </w:r>
            <w:r>
              <w:rPr>
                <w:noProof/>
                <w:webHidden/>
              </w:rPr>
              <w:fldChar w:fldCharType="end"/>
            </w:r>
          </w:hyperlink>
        </w:p>
        <w:p w14:paraId="77791425" w14:textId="56BBFCEA"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056" w:history="1">
            <w:r w:rsidRPr="00C574D2">
              <w:rPr>
                <w:rStyle w:val="Hyperlink"/>
                <w:noProof/>
              </w:rPr>
              <w:t>2</w:t>
            </w:r>
            <w:r>
              <w:rPr>
                <w:rFonts w:eastAsiaTheme="minorEastAsia"/>
                <w:noProof/>
                <w:kern w:val="2"/>
                <w:sz w:val="24"/>
                <w:szCs w:val="24"/>
                <w:lang w:val="en-US"/>
                <w14:ligatures w14:val="standardContextual"/>
              </w:rPr>
              <w:tab/>
            </w:r>
            <w:r w:rsidRPr="00C574D2">
              <w:rPr>
                <w:rStyle w:val="Hyperlink"/>
                <w:noProof/>
              </w:rPr>
              <w:t>Literature Review</w:t>
            </w:r>
            <w:r>
              <w:rPr>
                <w:noProof/>
                <w:webHidden/>
              </w:rPr>
              <w:tab/>
            </w:r>
            <w:r>
              <w:rPr>
                <w:noProof/>
                <w:webHidden/>
              </w:rPr>
              <w:fldChar w:fldCharType="begin"/>
            </w:r>
            <w:r>
              <w:rPr>
                <w:noProof/>
                <w:webHidden/>
              </w:rPr>
              <w:instrText xml:space="preserve"> PAGEREF _Toc230791056 \h </w:instrText>
            </w:r>
            <w:r>
              <w:rPr>
                <w:noProof/>
                <w:webHidden/>
              </w:rPr>
            </w:r>
            <w:r>
              <w:rPr>
                <w:noProof/>
                <w:webHidden/>
              </w:rPr>
              <w:fldChar w:fldCharType="separate"/>
            </w:r>
            <w:r>
              <w:rPr>
                <w:noProof/>
                <w:webHidden/>
              </w:rPr>
              <w:t>2</w:t>
            </w:r>
            <w:r>
              <w:rPr>
                <w:noProof/>
                <w:webHidden/>
              </w:rPr>
              <w:fldChar w:fldCharType="end"/>
            </w:r>
          </w:hyperlink>
        </w:p>
        <w:p w14:paraId="7B06CD05" w14:textId="031164D7"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57" w:history="1">
            <w:r w:rsidRPr="00C574D2">
              <w:rPr>
                <w:rStyle w:val="Hyperlink"/>
                <w:noProof/>
              </w:rPr>
              <w:t>2.1</w:t>
            </w:r>
            <w:r>
              <w:rPr>
                <w:rFonts w:eastAsiaTheme="minorEastAsia"/>
                <w:noProof/>
                <w:kern w:val="2"/>
                <w:sz w:val="24"/>
                <w:szCs w:val="24"/>
                <w:lang w:val="en-US"/>
                <w14:ligatures w14:val="standardContextual"/>
              </w:rPr>
              <w:tab/>
            </w:r>
            <w:r w:rsidRPr="00C574D2">
              <w:rPr>
                <w:rStyle w:val="Hyperlink"/>
                <w:rFonts w:eastAsia="Times New Roman"/>
                <w:noProof/>
              </w:rPr>
              <w:t>Advanced Cyclone Modelling and Performance Studies</w:t>
            </w:r>
            <w:r>
              <w:rPr>
                <w:noProof/>
                <w:webHidden/>
              </w:rPr>
              <w:tab/>
            </w:r>
            <w:r>
              <w:rPr>
                <w:noProof/>
                <w:webHidden/>
              </w:rPr>
              <w:fldChar w:fldCharType="begin"/>
            </w:r>
            <w:r>
              <w:rPr>
                <w:noProof/>
                <w:webHidden/>
              </w:rPr>
              <w:instrText xml:space="preserve"> PAGEREF _Toc230791057 \h </w:instrText>
            </w:r>
            <w:r>
              <w:rPr>
                <w:noProof/>
                <w:webHidden/>
              </w:rPr>
            </w:r>
            <w:r>
              <w:rPr>
                <w:noProof/>
                <w:webHidden/>
              </w:rPr>
              <w:fldChar w:fldCharType="separate"/>
            </w:r>
            <w:r>
              <w:rPr>
                <w:noProof/>
                <w:webHidden/>
              </w:rPr>
              <w:t>5</w:t>
            </w:r>
            <w:r>
              <w:rPr>
                <w:noProof/>
                <w:webHidden/>
              </w:rPr>
              <w:fldChar w:fldCharType="end"/>
            </w:r>
          </w:hyperlink>
        </w:p>
        <w:p w14:paraId="4EF42324" w14:textId="74D556E3"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58" w:history="1">
            <w:r w:rsidRPr="00C574D2">
              <w:rPr>
                <w:rStyle w:val="Hyperlink"/>
                <w:noProof/>
              </w:rPr>
              <w:t>2.2</w:t>
            </w:r>
            <w:r>
              <w:rPr>
                <w:rFonts w:eastAsiaTheme="minorEastAsia"/>
                <w:noProof/>
                <w:kern w:val="2"/>
                <w:sz w:val="24"/>
                <w:szCs w:val="24"/>
                <w:lang w:val="en-US"/>
                <w14:ligatures w14:val="standardContextual"/>
              </w:rPr>
              <w:tab/>
            </w:r>
            <w:r w:rsidRPr="00C574D2">
              <w:rPr>
                <w:rStyle w:val="Hyperlink"/>
                <w:noProof/>
              </w:rPr>
              <w:t>Metallurgy Sigma</w:t>
            </w:r>
            <w:r>
              <w:rPr>
                <w:noProof/>
                <w:webHidden/>
              </w:rPr>
              <w:tab/>
            </w:r>
            <w:r>
              <w:rPr>
                <w:noProof/>
                <w:webHidden/>
              </w:rPr>
              <w:fldChar w:fldCharType="begin"/>
            </w:r>
            <w:r>
              <w:rPr>
                <w:noProof/>
                <w:webHidden/>
              </w:rPr>
              <w:instrText xml:space="preserve"> PAGEREF _Toc230791058 \h </w:instrText>
            </w:r>
            <w:r>
              <w:rPr>
                <w:noProof/>
                <w:webHidden/>
              </w:rPr>
            </w:r>
            <w:r>
              <w:rPr>
                <w:noProof/>
                <w:webHidden/>
              </w:rPr>
              <w:fldChar w:fldCharType="separate"/>
            </w:r>
            <w:r>
              <w:rPr>
                <w:noProof/>
                <w:webHidden/>
              </w:rPr>
              <w:t>7</w:t>
            </w:r>
            <w:r>
              <w:rPr>
                <w:noProof/>
                <w:webHidden/>
              </w:rPr>
              <w:fldChar w:fldCharType="end"/>
            </w:r>
          </w:hyperlink>
        </w:p>
        <w:p w14:paraId="06F4EC55" w14:textId="60AAD556"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59" w:history="1">
            <w:r w:rsidRPr="00C574D2">
              <w:rPr>
                <w:rStyle w:val="Hyperlink"/>
                <w:noProof/>
              </w:rPr>
              <w:t>2.3</w:t>
            </w:r>
            <w:r>
              <w:rPr>
                <w:rFonts w:eastAsiaTheme="minorEastAsia"/>
                <w:noProof/>
                <w:kern w:val="2"/>
                <w:sz w:val="24"/>
                <w:szCs w:val="24"/>
                <w:lang w:val="en-US"/>
                <w14:ligatures w14:val="standardContextual"/>
              </w:rPr>
              <w:tab/>
            </w:r>
            <w:r w:rsidRPr="00C574D2">
              <w:rPr>
                <w:rStyle w:val="Hyperlink"/>
                <w:rFonts w:eastAsia="Times New Roman"/>
                <w:noProof/>
              </w:rPr>
              <w:t>Erosion and Wear Mechanisms in High-Temperature Cyclones</w:t>
            </w:r>
            <w:r>
              <w:rPr>
                <w:noProof/>
                <w:webHidden/>
              </w:rPr>
              <w:tab/>
            </w:r>
            <w:r>
              <w:rPr>
                <w:noProof/>
                <w:webHidden/>
              </w:rPr>
              <w:fldChar w:fldCharType="begin"/>
            </w:r>
            <w:r>
              <w:rPr>
                <w:noProof/>
                <w:webHidden/>
              </w:rPr>
              <w:instrText xml:space="preserve"> PAGEREF _Toc230791059 \h </w:instrText>
            </w:r>
            <w:r>
              <w:rPr>
                <w:noProof/>
                <w:webHidden/>
              </w:rPr>
            </w:r>
            <w:r>
              <w:rPr>
                <w:noProof/>
                <w:webHidden/>
              </w:rPr>
              <w:fldChar w:fldCharType="separate"/>
            </w:r>
            <w:r>
              <w:rPr>
                <w:noProof/>
                <w:webHidden/>
              </w:rPr>
              <w:t>13</w:t>
            </w:r>
            <w:r>
              <w:rPr>
                <w:noProof/>
                <w:webHidden/>
              </w:rPr>
              <w:fldChar w:fldCharType="end"/>
            </w:r>
          </w:hyperlink>
        </w:p>
        <w:p w14:paraId="7D1B1A98" w14:textId="03761C01"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060" w:history="1">
            <w:r w:rsidRPr="00C574D2">
              <w:rPr>
                <w:rStyle w:val="Hyperlink"/>
                <w:noProof/>
              </w:rPr>
              <w:t>3</w:t>
            </w:r>
            <w:r>
              <w:rPr>
                <w:rFonts w:eastAsiaTheme="minorEastAsia"/>
                <w:noProof/>
                <w:kern w:val="2"/>
                <w:sz w:val="24"/>
                <w:szCs w:val="24"/>
                <w:lang w:val="en-US"/>
                <w14:ligatures w14:val="standardContextual"/>
              </w:rPr>
              <w:tab/>
            </w:r>
            <w:r w:rsidRPr="00C574D2">
              <w:rPr>
                <w:rStyle w:val="Hyperlink"/>
                <w:noProof/>
              </w:rPr>
              <w:t>Methodology and Design Evaluation</w:t>
            </w:r>
            <w:r>
              <w:rPr>
                <w:noProof/>
                <w:webHidden/>
              </w:rPr>
              <w:tab/>
            </w:r>
            <w:r>
              <w:rPr>
                <w:noProof/>
                <w:webHidden/>
              </w:rPr>
              <w:fldChar w:fldCharType="begin"/>
            </w:r>
            <w:r>
              <w:rPr>
                <w:noProof/>
                <w:webHidden/>
              </w:rPr>
              <w:instrText xml:space="preserve"> PAGEREF _Toc230791060 \h </w:instrText>
            </w:r>
            <w:r>
              <w:rPr>
                <w:noProof/>
                <w:webHidden/>
              </w:rPr>
            </w:r>
            <w:r>
              <w:rPr>
                <w:noProof/>
                <w:webHidden/>
              </w:rPr>
              <w:fldChar w:fldCharType="separate"/>
            </w:r>
            <w:r>
              <w:rPr>
                <w:noProof/>
                <w:webHidden/>
              </w:rPr>
              <w:t>14</w:t>
            </w:r>
            <w:r>
              <w:rPr>
                <w:noProof/>
                <w:webHidden/>
              </w:rPr>
              <w:fldChar w:fldCharType="end"/>
            </w:r>
          </w:hyperlink>
        </w:p>
        <w:p w14:paraId="13D82F62" w14:textId="514D96C0"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1" w:history="1">
            <w:r w:rsidRPr="00C574D2">
              <w:rPr>
                <w:rStyle w:val="Hyperlink"/>
                <w:noProof/>
              </w:rPr>
              <w:t>3.1</w:t>
            </w:r>
            <w:r>
              <w:rPr>
                <w:rFonts w:eastAsiaTheme="minorEastAsia"/>
                <w:noProof/>
                <w:kern w:val="2"/>
                <w:sz w:val="24"/>
                <w:szCs w:val="24"/>
                <w:lang w:val="en-US"/>
                <w14:ligatures w14:val="standardContextual"/>
              </w:rPr>
              <w:tab/>
            </w:r>
            <w:r w:rsidRPr="00C574D2">
              <w:rPr>
                <w:rStyle w:val="Hyperlink"/>
                <w:noProof/>
              </w:rPr>
              <w:t>Inspection and Data Collection</w:t>
            </w:r>
            <w:r>
              <w:rPr>
                <w:noProof/>
                <w:webHidden/>
              </w:rPr>
              <w:tab/>
            </w:r>
            <w:r>
              <w:rPr>
                <w:noProof/>
                <w:webHidden/>
              </w:rPr>
              <w:fldChar w:fldCharType="begin"/>
            </w:r>
            <w:r>
              <w:rPr>
                <w:noProof/>
                <w:webHidden/>
              </w:rPr>
              <w:instrText xml:space="preserve"> PAGEREF _Toc230791061 \h </w:instrText>
            </w:r>
            <w:r>
              <w:rPr>
                <w:noProof/>
                <w:webHidden/>
              </w:rPr>
            </w:r>
            <w:r>
              <w:rPr>
                <w:noProof/>
                <w:webHidden/>
              </w:rPr>
              <w:fldChar w:fldCharType="separate"/>
            </w:r>
            <w:r>
              <w:rPr>
                <w:noProof/>
                <w:webHidden/>
              </w:rPr>
              <w:t>15</w:t>
            </w:r>
            <w:r>
              <w:rPr>
                <w:noProof/>
                <w:webHidden/>
              </w:rPr>
              <w:fldChar w:fldCharType="end"/>
            </w:r>
          </w:hyperlink>
        </w:p>
        <w:p w14:paraId="679E874F" w14:textId="2C5D1BCA"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2" w:history="1">
            <w:r w:rsidRPr="00C574D2">
              <w:rPr>
                <w:rStyle w:val="Hyperlink"/>
                <w:noProof/>
              </w:rPr>
              <w:t>3.2</w:t>
            </w:r>
            <w:r>
              <w:rPr>
                <w:rFonts w:eastAsiaTheme="minorEastAsia"/>
                <w:noProof/>
                <w:kern w:val="2"/>
                <w:sz w:val="24"/>
                <w:szCs w:val="24"/>
                <w:lang w:val="en-US"/>
                <w14:ligatures w14:val="standardContextual"/>
              </w:rPr>
              <w:tab/>
            </w:r>
            <w:r w:rsidRPr="00C574D2">
              <w:rPr>
                <w:rStyle w:val="Hyperlink"/>
                <w:noProof/>
              </w:rPr>
              <w:t>Metallurgical Assessment</w:t>
            </w:r>
            <w:r>
              <w:rPr>
                <w:noProof/>
                <w:webHidden/>
              </w:rPr>
              <w:tab/>
            </w:r>
            <w:r>
              <w:rPr>
                <w:noProof/>
                <w:webHidden/>
              </w:rPr>
              <w:fldChar w:fldCharType="begin"/>
            </w:r>
            <w:r>
              <w:rPr>
                <w:noProof/>
                <w:webHidden/>
              </w:rPr>
              <w:instrText xml:space="preserve"> PAGEREF _Toc230791062 \h </w:instrText>
            </w:r>
            <w:r>
              <w:rPr>
                <w:noProof/>
                <w:webHidden/>
              </w:rPr>
            </w:r>
            <w:r>
              <w:rPr>
                <w:noProof/>
                <w:webHidden/>
              </w:rPr>
              <w:fldChar w:fldCharType="separate"/>
            </w:r>
            <w:r>
              <w:rPr>
                <w:noProof/>
                <w:webHidden/>
              </w:rPr>
              <w:t>15</w:t>
            </w:r>
            <w:r>
              <w:rPr>
                <w:noProof/>
                <w:webHidden/>
              </w:rPr>
              <w:fldChar w:fldCharType="end"/>
            </w:r>
          </w:hyperlink>
        </w:p>
        <w:p w14:paraId="47B9D131" w14:textId="7E66714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3" w:history="1">
            <w:r w:rsidRPr="00C574D2">
              <w:rPr>
                <w:rStyle w:val="Hyperlink"/>
                <w:noProof/>
              </w:rPr>
              <w:t>3.3</w:t>
            </w:r>
            <w:r>
              <w:rPr>
                <w:rFonts w:eastAsiaTheme="minorEastAsia"/>
                <w:noProof/>
                <w:kern w:val="2"/>
                <w:sz w:val="24"/>
                <w:szCs w:val="24"/>
                <w:lang w:val="en-US"/>
                <w14:ligatures w14:val="standardContextual"/>
              </w:rPr>
              <w:tab/>
            </w:r>
            <w:r w:rsidRPr="00C574D2">
              <w:rPr>
                <w:rStyle w:val="Hyperlink"/>
                <w:noProof/>
              </w:rPr>
              <w:t>Temporary Repair (2021)</w:t>
            </w:r>
            <w:r>
              <w:rPr>
                <w:noProof/>
                <w:webHidden/>
              </w:rPr>
              <w:tab/>
            </w:r>
            <w:r>
              <w:rPr>
                <w:noProof/>
                <w:webHidden/>
              </w:rPr>
              <w:fldChar w:fldCharType="begin"/>
            </w:r>
            <w:r>
              <w:rPr>
                <w:noProof/>
                <w:webHidden/>
              </w:rPr>
              <w:instrText xml:space="preserve"> PAGEREF _Toc230791063 \h </w:instrText>
            </w:r>
            <w:r>
              <w:rPr>
                <w:noProof/>
                <w:webHidden/>
              </w:rPr>
            </w:r>
            <w:r>
              <w:rPr>
                <w:noProof/>
                <w:webHidden/>
              </w:rPr>
              <w:fldChar w:fldCharType="separate"/>
            </w:r>
            <w:r>
              <w:rPr>
                <w:noProof/>
                <w:webHidden/>
              </w:rPr>
              <w:t>17</w:t>
            </w:r>
            <w:r>
              <w:rPr>
                <w:noProof/>
                <w:webHidden/>
              </w:rPr>
              <w:fldChar w:fldCharType="end"/>
            </w:r>
          </w:hyperlink>
        </w:p>
        <w:p w14:paraId="3E9B296E" w14:textId="22A04A5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4" w:history="1">
            <w:r w:rsidRPr="00C574D2">
              <w:rPr>
                <w:rStyle w:val="Hyperlink"/>
                <w:noProof/>
              </w:rPr>
              <w:t>3.4</w:t>
            </w:r>
            <w:r>
              <w:rPr>
                <w:rFonts w:eastAsiaTheme="minorEastAsia"/>
                <w:noProof/>
                <w:kern w:val="2"/>
                <w:sz w:val="24"/>
                <w:szCs w:val="24"/>
                <w:lang w:val="en-US"/>
                <w14:ligatures w14:val="standardContextual"/>
              </w:rPr>
              <w:tab/>
            </w:r>
            <w:r w:rsidRPr="00C574D2">
              <w:rPr>
                <w:rStyle w:val="Hyperlink"/>
                <w:noProof/>
              </w:rPr>
              <w:t>Evaluation of Repair and Replacement Options</w:t>
            </w:r>
            <w:r>
              <w:rPr>
                <w:noProof/>
                <w:webHidden/>
              </w:rPr>
              <w:tab/>
            </w:r>
            <w:r>
              <w:rPr>
                <w:noProof/>
                <w:webHidden/>
              </w:rPr>
              <w:fldChar w:fldCharType="begin"/>
            </w:r>
            <w:r>
              <w:rPr>
                <w:noProof/>
                <w:webHidden/>
              </w:rPr>
              <w:instrText xml:space="preserve"> PAGEREF _Toc230791064 \h </w:instrText>
            </w:r>
            <w:r>
              <w:rPr>
                <w:noProof/>
                <w:webHidden/>
              </w:rPr>
            </w:r>
            <w:r>
              <w:rPr>
                <w:noProof/>
                <w:webHidden/>
              </w:rPr>
              <w:fldChar w:fldCharType="separate"/>
            </w:r>
            <w:r>
              <w:rPr>
                <w:noProof/>
                <w:webHidden/>
              </w:rPr>
              <w:t>17</w:t>
            </w:r>
            <w:r>
              <w:rPr>
                <w:noProof/>
                <w:webHidden/>
              </w:rPr>
              <w:fldChar w:fldCharType="end"/>
            </w:r>
          </w:hyperlink>
        </w:p>
        <w:p w14:paraId="619138A0" w14:textId="3B4EC3F9"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5" w:history="1">
            <w:r w:rsidRPr="00C574D2">
              <w:rPr>
                <w:rStyle w:val="Hyperlink"/>
                <w:noProof/>
              </w:rPr>
              <w:t>3.5</w:t>
            </w:r>
            <w:r>
              <w:rPr>
                <w:rFonts w:eastAsiaTheme="minorEastAsia"/>
                <w:noProof/>
                <w:kern w:val="2"/>
                <w:sz w:val="24"/>
                <w:szCs w:val="24"/>
                <w:lang w:val="en-US"/>
                <w14:ligatures w14:val="standardContextual"/>
              </w:rPr>
              <w:tab/>
            </w:r>
            <w:r w:rsidRPr="00C574D2">
              <w:rPr>
                <w:rStyle w:val="Hyperlink"/>
                <w:noProof/>
              </w:rPr>
              <w:t>Cost and Schedule Evaluation</w:t>
            </w:r>
            <w:r>
              <w:rPr>
                <w:noProof/>
                <w:webHidden/>
              </w:rPr>
              <w:tab/>
            </w:r>
            <w:r>
              <w:rPr>
                <w:noProof/>
                <w:webHidden/>
              </w:rPr>
              <w:fldChar w:fldCharType="begin"/>
            </w:r>
            <w:r>
              <w:rPr>
                <w:noProof/>
                <w:webHidden/>
              </w:rPr>
              <w:instrText xml:space="preserve"> PAGEREF _Toc230791065 \h </w:instrText>
            </w:r>
            <w:r>
              <w:rPr>
                <w:noProof/>
                <w:webHidden/>
              </w:rPr>
            </w:r>
            <w:r>
              <w:rPr>
                <w:noProof/>
                <w:webHidden/>
              </w:rPr>
              <w:fldChar w:fldCharType="separate"/>
            </w:r>
            <w:r>
              <w:rPr>
                <w:noProof/>
                <w:webHidden/>
              </w:rPr>
              <w:t>19</w:t>
            </w:r>
            <w:r>
              <w:rPr>
                <w:noProof/>
                <w:webHidden/>
              </w:rPr>
              <w:fldChar w:fldCharType="end"/>
            </w:r>
          </w:hyperlink>
        </w:p>
        <w:p w14:paraId="1B363FE6" w14:textId="1A28F929"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6" w:history="1">
            <w:r w:rsidRPr="00C574D2">
              <w:rPr>
                <w:rStyle w:val="Hyperlink"/>
                <w:noProof/>
              </w:rPr>
              <w:t>3.6</w:t>
            </w:r>
            <w:r>
              <w:rPr>
                <w:rFonts w:eastAsiaTheme="minorEastAsia"/>
                <w:noProof/>
                <w:kern w:val="2"/>
                <w:sz w:val="24"/>
                <w:szCs w:val="24"/>
                <w:lang w:val="en-US"/>
                <w14:ligatures w14:val="standardContextual"/>
              </w:rPr>
              <w:tab/>
            </w:r>
            <w:r w:rsidRPr="00C574D2">
              <w:rPr>
                <w:rStyle w:val="Hyperlink"/>
                <w:noProof/>
              </w:rPr>
              <w:t>Design Review and Validation</w:t>
            </w:r>
            <w:r>
              <w:rPr>
                <w:noProof/>
                <w:webHidden/>
              </w:rPr>
              <w:tab/>
            </w:r>
            <w:r>
              <w:rPr>
                <w:noProof/>
                <w:webHidden/>
              </w:rPr>
              <w:fldChar w:fldCharType="begin"/>
            </w:r>
            <w:r>
              <w:rPr>
                <w:noProof/>
                <w:webHidden/>
              </w:rPr>
              <w:instrText xml:space="preserve"> PAGEREF _Toc230791066 \h </w:instrText>
            </w:r>
            <w:r>
              <w:rPr>
                <w:noProof/>
                <w:webHidden/>
              </w:rPr>
            </w:r>
            <w:r>
              <w:rPr>
                <w:noProof/>
                <w:webHidden/>
              </w:rPr>
              <w:fldChar w:fldCharType="separate"/>
            </w:r>
            <w:r>
              <w:rPr>
                <w:noProof/>
                <w:webHidden/>
              </w:rPr>
              <w:t>21</w:t>
            </w:r>
            <w:r>
              <w:rPr>
                <w:noProof/>
                <w:webHidden/>
              </w:rPr>
              <w:fldChar w:fldCharType="end"/>
            </w:r>
          </w:hyperlink>
        </w:p>
        <w:p w14:paraId="0B3E1201" w14:textId="6398CC79"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7" w:history="1">
            <w:r w:rsidRPr="00C574D2">
              <w:rPr>
                <w:rStyle w:val="Hyperlink"/>
                <w:noProof/>
              </w:rPr>
              <w:t>3.7</w:t>
            </w:r>
            <w:r>
              <w:rPr>
                <w:rFonts w:eastAsiaTheme="minorEastAsia"/>
                <w:noProof/>
                <w:kern w:val="2"/>
                <w:sz w:val="24"/>
                <w:szCs w:val="24"/>
                <w:lang w:val="en-US"/>
                <w14:ligatures w14:val="standardContextual"/>
              </w:rPr>
              <w:tab/>
            </w:r>
            <w:r w:rsidRPr="00C574D2">
              <w:rPr>
                <w:rStyle w:val="Hyperlink"/>
                <w:noProof/>
              </w:rPr>
              <w:t>Safety and Environmental Considerations</w:t>
            </w:r>
            <w:r>
              <w:rPr>
                <w:noProof/>
                <w:webHidden/>
              </w:rPr>
              <w:tab/>
            </w:r>
            <w:r>
              <w:rPr>
                <w:noProof/>
                <w:webHidden/>
              </w:rPr>
              <w:fldChar w:fldCharType="begin"/>
            </w:r>
            <w:r>
              <w:rPr>
                <w:noProof/>
                <w:webHidden/>
              </w:rPr>
              <w:instrText xml:space="preserve"> PAGEREF _Toc230791067 \h </w:instrText>
            </w:r>
            <w:r>
              <w:rPr>
                <w:noProof/>
                <w:webHidden/>
              </w:rPr>
            </w:r>
            <w:r>
              <w:rPr>
                <w:noProof/>
                <w:webHidden/>
              </w:rPr>
              <w:fldChar w:fldCharType="separate"/>
            </w:r>
            <w:r>
              <w:rPr>
                <w:noProof/>
                <w:webHidden/>
              </w:rPr>
              <w:t>23</w:t>
            </w:r>
            <w:r>
              <w:rPr>
                <w:noProof/>
                <w:webHidden/>
              </w:rPr>
              <w:fldChar w:fldCharType="end"/>
            </w:r>
          </w:hyperlink>
        </w:p>
        <w:p w14:paraId="674573B9" w14:textId="2969FC17"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68" w:history="1">
            <w:r w:rsidRPr="00C574D2">
              <w:rPr>
                <w:rStyle w:val="Hyperlink"/>
                <w:noProof/>
              </w:rPr>
              <w:t>3.8</w:t>
            </w:r>
            <w:r>
              <w:rPr>
                <w:rFonts w:eastAsiaTheme="minorEastAsia"/>
                <w:noProof/>
                <w:kern w:val="2"/>
                <w:sz w:val="24"/>
                <w:szCs w:val="24"/>
                <w:lang w:val="en-US"/>
                <w14:ligatures w14:val="standardContextual"/>
              </w:rPr>
              <w:tab/>
            </w:r>
            <w:r w:rsidRPr="00C574D2">
              <w:rPr>
                <w:rStyle w:val="Hyperlink"/>
                <w:noProof/>
              </w:rPr>
              <w:t>Decision and Justification</w:t>
            </w:r>
            <w:r>
              <w:rPr>
                <w:noProof/>
                <w:webHidden/>
              </w:rPr>
              <w:tab/>
            </w:r>
            <w:r>
              <w:rPr>
                <w:noProof/>
                <w:webHidden/>
              </w:rPr>
              <w:fldChar w:fldCharType="begin"/>
            </w:r>
            <w:r>
              <w:rPr>
                <w:noProof/>
                <w:webHidden/>
              </w:rPr>
              <w:instrText xml:space="preserve"> PAGEREF _Toc230791068 \h </w:instrText>
            </w:r>
            <w:r>
              <w:rPr>
                <w:noProof/>
                <w:webHidden/>
              </w:rPr>
            </w:r>
            <w:r>
              <w:rPr>
                <w:noProof/>
                <w:webHidden/>
              </w:rPr>
              <w:fldChar w:fldCharType="separate"/>
            </w:r>
            <w:r>
              <w:rPr>
                <w:noProof/>
                <w:webHidden/>
              </w:rPr>
              <w:t>24</w:t>
            </w:r>
            <w:r>
              <w:rPr>
                <w:noProof/>
                <w:webHidden/>
              </w:rPr>
              <w:fldChar w:fldCharType="end"/>
            </w:r>
          </w:hyperlink>
        </w:p>
        <w:p w14:paraId="6E75655C" w14:textId="19C124AE"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069" w:history="1">
            <w:r w:rsidRPr="00C574D2">
              <w:rPr>
                <w:rStyle w:val="Hyperlink"/>
                <w:noProof/>
              </w:rPr>
              <w:t>4</w:t>
            </w:r>
            <w:r>
              <w:rPr>
                <w:rFonts w:eastAsiaTheme="minorEastAsia"/>
                <w:noProof/>
                <w:kern w:val="2"/>
                <w:sz w:val="24"/>
                <w:szCs w:val="24"/>
                <w:lang w:val="en-US"/>
                <w14:ligatures w14:val="standardContextual"/>
              </w:rPr>
              <w:tab/>
            </w:r>
            <w:r w:rsidRPr="00C574D2">
              <w:rPr>
                <w:rStyle w:val="Hyperlink"/>
                <w:noProof/>
              </w:rPr>
              <w:t>Results and Discussion</w:t>
            </w:r>
            <w:r>
              <w:rPr>
                <w:noProof/>
                <w:webHidden/>
              </w:rPr>
              <w:tab/>
            </w:r>
            <w:r>
              <w:rPr>
                <w:noProof/>
                <w:webHidden/>
              </w:rPr>
              <w:fldChar w:fldCharType="begin"/>
            </w:r>
            <w:r>
              <w:rPr>
                <w:noProof/>
                <w:webHidden/>
              </w:rPr>
              <w:instrText xml:space="preserve"> PAGEREF _Toc230791069 \h </w:instrText>
            </w:r>
            <w:r>
              <w:rPr>
                <w:noProof/>
                <w:webHidden/>
              </w:rPr>
            </w:r>
            <w:r>
              <w:rPr>
                <w:noProof/>
                <w:webHidden/>
              </w:rPr>
              <w:fldChar w:fldCharType="separate"/>
            </w:r>
            <w:r>
              <w:rPr>
                <w:noProof/>
                <w:webHidden/>
              </w:rPr>
              <w:t>25</w:t>
            </w:r>
            <w:r>
              <w:rPr>
                <w:noProof/>
                <w:webHidden/>
              </w:rPr>
              <w:fldChar w:fldCharType="end"/>
            </w:r>
          </w:hyperlink>
        </w:p>
        <w:p w14:paraId="28BE5C81" w14:textId="097D84C4"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0" w:history="1">
            <w:r w:rsidRPr="00C574D2">
              <w:rPr>
                <w:rStyle w:val="Hyperlink"/>
                <w:noProof/>
              </w:rPr>
              <w:t>4.1</w:t>
            </w:r>
            <w:r>
              <w:rPr>
                <w:rFonts w:eastAsiaTheme="minorEastAsia"/>
                <w:noProof/>
                <w:kern w:val="2"/>
                <w:sz w:val="24"/>
                <w:szCs w:val="24"/>
                <w:lang w:val="en-US"/>
                <w14:ligatures w14:val="standardContextual"/>
              </w:rPr>
              <w:tab/>
            </w:r>
            <w:r w:rsidRPr="00C574D2">
              <w:rPr>
                <w:rStyle w:val="Hyperlink"/>
                <w:noProof/>
              </w:rPr>
              <w:t>Inspection and Damage Assessment</w:t>
            </w:r>
            <w:r>
              <w:rPr>
                <w:noProof/>
                <w:webHidden/>
              </w:rPr>
              <w:tab/>
            </w:r>
            <w:r>
              <w:rPr>
                <w:noProof/>
                <w:webHidden/>
              </w:rPr>
              <w:fldChar w:fldCharType="begin"/>
            </w:r>
            <w:r>
              <w:rPr>
                <w:noProof/>
                <w:webHidden/>
              </w:rPr>
              <w:instrText xml:space="preserve"> PAGEREF _Toc230791070 \h </w:instrText>
            </w:r>
            <w:r>
              <w:rPr>
                <w:noProof/>
                <w:webHidden/>
              </w:rPr>
            </w:r>
            <w:r>
              <w:rPr>
                <w:noProof/>
                <w:webHidden/>
              </w:rPr>
              <w:fldChar w:fldCharType="separate"/>
            </w:r>
            <w:r>
              <w:rPr>
                <w:noProof/>
                <w:webHidden/>
              </w:rPr>
              <w:t>25</w:t>
            </w:r>
            <w:r>
              <w:rPr>
                <w:noProof/>
                <w:webHidden/>
              </w:rPr>
              <w:fldChar w:fldCharType="end"/>
            </w:r>
          </w:hyperlink>
        </w:p>
        <w:p w14:paraId="29EF91DD" w14:textId="3F866EE1"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1" w:history="1">
            <w:r w:rsidRPr="00C574D2">
              <w:rPr>
                <w:rStyle w:val="Hyperlink"/>
                <w:noProof/>
              </w:rPr>
              <w:t>4.2</w:t>
            </w:r>
            <w:r>
              <w:rPr>
                <w:rFonts w:eastAsiaTheme="minorEastAsia"/>
                <w:noProof/>
                <w:kern w:val="2"/>
                <w:sz w:val="24"/>
                <w:szCs w:val="24"/>
                <w:lang w:val="en-US"/>
                <w14:ligatures w14:val="standardContextual"/>
              </w:rPr>
              <w:tab/>
            </w:r>
            <w:r w:rsidRPr="00C574D2">
              <w:rPr>
                <w:rStyle w:val="Hyperlink"/>
                <w:noProof/>
              </w:rPr>
              <w:t>Metallurgical Analysis Results</w:t>
            </w:r>
            <w:r>
              <w:rPr>
                <w:noProof/>
                <w:webHidden/>
              </w:rPr>
              <w:tab/>
            </w:r>
            <w:r>
              <w:rPr>
                <w:noProof/>
                <w:webHidden/>
              </w:rPr>
              <w:fldChar w:fldCharType="begin"/>
            </w:r>
            <w:r>
              <w:rPr>
                <w:noProof/>
                <w:webHidden/>
              </w:rPr>
              <w:instrText xml:space="preserve"> PAGEREF _Toc230791071 \h </w:instrText>
            </w:r>
            <w:r>
              <w:rPr>
                <w:noProof/>
                <w:webHidden/>
              </w:rPr>
            </w:r>
            <w:r>
              <w:rPr>
                <w:noProof/>
                <w:webHidden/>
              </w:rPr>
              <w:fldChar w:fldCharType="separate"/>
            </w:r>
            <w:r>
              <w:rPr>
                <w:noProof/>
                <w:webHidden/>
              </w:rPr>
              <w:t>27</w:t>
            </w:r>
            <w:r>
              <w:rPr>
                <w:noProof/>
                <w:webHidden/>
              </w:rPr>
              <w:fldChar w:fldCharType="end"/>
            </w:r>
          </w:hyperlink>
        </w:p>
        <w:p w14:paraId="66BB8C52" w14:textId="016AD1FF"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2" w:history="1">
            <w:r w:rsidRPr="00C574D2">
              <w:rPr>
                <w:rStyle w:val="Hyperlink"/>
                <w:noProof/>
              </w:rPr>
              <w:t>4.3</w:t>
            </w:r>
            <w:r>
              <w:rPr>
                <w:rFonts w:eastAsiaTheme="minorEastAsia"/>
                <w:noProof/>
                <w:kern w:val="2"/>
                <w:sz w:val="24"/>
                <w:szCs w:val="24"/>
                <w:lang w:val="en-US"/>
                <w14:ligatures w14:val="standardContextual"/>
              </w:rPr>
              <w:tab/>
            </w:r>
            <w:r w:rsidRPr="00C574D2">
              <w:rPr>
                <w:rStyle w:val="Hyperlink"/>
                <w:noProof/>
              </w:rPr>
              <w:t>Thermal and Mechanical Fatigue Behaviour</w:t>
            </w:r>
            <w:r>
              <w:rPr>
                <w:noProof/>
                <w:webHidden/>
              </w:rPr>
              <w:tab/>
            </w:r>
            <w:r>
              <w:rPr>
                <w:noProof/>
                <w:webHidden/>
              </w:rPr>
              <w:fldChar w:fldCharType="begin"/>
            </w:r>
            <w:r>
              <w:rPr>
                <w:noProof/>
                <w:webHidden/>
              </w:rPr>
              <w:instrText xml:space="preserve"> PAGEREF _Toc230791072 \h </w:instrText>
            </w:r>
            <w:r>
              <w:rPr>
                <w:noProof/>
                <w:webHidden/>
              </w:rPr>
            </w:r>
            <w:r>
              <w:rPr>
                <w:noProof/>
                <w:webHidden/>
              </w:rPr>
              <w:fldChar w:fldCharType="separate"/>
            </w:r>
            <w:r>
              <w:rPr>
                <w:noProof/>
                <w:webHidden/>
              </w:rPr>
              <w:t>28</w:t>
            </w:r>
            <w:r>
              <w:rPr>
                <w:noProof/>
                <w:webHidden/>
              </w:rPr>
              <w:fldChar w:fldCharType="end"/>
            </w:r>
          </w:hyperlink>
        </w:p>
        <w:p w14:paraId="4403191B" w14:textId="752AFFB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3" w:history="1">
            <w:r w:rsidRPr="00C574D2">
              <w:rPr>
                <w:rStyle w:val="Hyperlink"/>
                <w:noProof/>
              </w:rPr>
              <w:t>4.4</w:t>
            </w:r>
            <w:r>
              <w:rPr>
                <w:rFonts w:eastAsiaTheme="minorEastAsia"/>
                <w:noProof/>
                <w:kern w:val="2"/>
                <w:sz w:val="24"/>
                <w:szCs w:val="24"/>
                <w:lang w:val="en-US"/>
                <w14:ligatures w14:val="standardContextual"/>
              </w:rPr>
              <w:tab/>
            </w:r>
            <w:r w:rsidRPr="00C574D2">
              <w:rPr>
                <w:rStyle w:val="Hyperlink"/>
                <w:rFonts w:eastAsia="Times New Roman"/>
                <w:noProof/>
              </w:rPr>
              <w:t>Thermal Gradient Analysis and Stress Distribution</w:t>
            </w:r>
            <w:r>
              <w:rPr>
                <w:noProof/>
                <w:webHidden/>
              </w:rPr>
              <w:tab/>
            </w:r>
            <w:r>
              <w:rPr>
                <w:noProof/>
                <w:webHidden/>
              </w:rPr>
              <w:fldChar w:fldCharType="begin"/>
            </w:r>
            <w:r>
              <w:rPr>
                <w:noProof/>
                <w:webHidden/>
              </w:rPr>
              <w:instrText xml:space="preserve"> PAGEREF _Toc230791073 \h </w:instrText>
            </w:r>
            <w:r>
              <w:rPr>
                <w:noProof/>
                <w:webHidden/>
              </w:rPr>
            </w:r>
            <w:r>
              <w:rPr>
                <w:noProof/>
                <w:webHidden/>
              </w:rPr>
              <w:fldChar w:fldCharType="separate"/>
            </w:r>
            <w:r>
              <w:rPr>
                <w:noProof/>
                <w:webHidden/>
              </w:rPr>
              <w:t>28</w:t>
            </w:r>
            <w:r>
              <w:rPr>
                <w:noProof/>
                <w:webHidden/>
              </w:rPr>
              <w:fldChar w:fldCharType="end"/>
            </w:r>
          </w:hyperlink>
        </w:p>
        <w:p w14:paraId="45E6E930" w14:textId="105C14D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4" w:history="1">
            <w:r w:rsidRPr="00C574D2">
              <w:rPr>
                <w:rStyle w:val="Hyperlink"/>
                <w:noProof/>
              </w:rPr>
              <w:t>4.5</w:t>
            </w:r>
            <w:r>
              <w:rPr>
                <w:rFonts w:eastAsiaTheme="minorEastAsia"/>
                <w:noProof/>
                <w:kern w:val="2"/>
                <w:sz w:val="24"/>
                <w:szCs w:val="24"/>
                <w:lang w:val="en-US"/>
                <w14:ligatures w14:val="standardContextual"/>
              </w:rPr>
              <w:tab/>
            </w:r>
            <w:r w:rsidRPr="00C574D2">
              <w:rPr>
                <w:rStyle w:val="Hyperlink"/>
                <w:noProof/>
              </w:rPr>
              <w:t>Cyclone Performance and Efficiency</w:t>
            </w:r>
            <w:r>
              <w:rPr>
                <w:noProof/>
                <w:webHidden/>
              </w:rPr>
              <w:tab/>
            </w:r>
            <w:r>
              <w:rPr>
                <w:noProof/>
                <w:webHidden/>
              </w:rPr>
              <w:fldChar w:fldCharType="begin"/>
            </w:r>
            <w:r>
              <w:rPr>
                <w:noProof/>
                <w:webHidden/>
              </w:rPr>
              <w:instrText xml:space="preserve"> PAGEREF _Toc230791074 \h </w:instrText>
            </w:r>
            <w:r>
              <w:rPr>
                <w:noProof/>
                <w:webHidden/>
              </w:rPr>
            </w:r>
            <w:r>
              <w:rPr>
                <w:noProof/>
                <w:webHidden/>
              </w:rPr>
              <w:fldChar w:fldCharType="separate"/>
            </w:r>
            <w:r>
              <w:rPr>
                <w:noProof/>
                <w:webHidden/>
              </w:rPr>
              <w:t>29</w:t>
            </w:r>
            <w:r>
              <w:rPr>
                <w:noProof/>
                <w:webHidden/>
              </w:rPr>
              <w:fldChar w:fldCharType="end"/>
            </w:r>
          </w:hyperlink>
        </w:p>
        <w:p w14:paraId="468CC21C" w14:textId="7D31440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5" w:history="1">
            <w:r w:rsidRPr="00C574D2">
              <w:rPr>
                <w:rStyle w:val="Hyperlink"/>
                <w:noProof/>
              </w:rPr>
              <w:t>4.6</w:t>
            </w:r>
            <w:r>
              <w:rPr>
                <w:rFonts w:eastAsiaTheme="minorEastAsia"/>
                <w:noProof/>
                <w:kern w:val="2"/>
                <w:sz w:val="24"/>
                <w:szCs w:val="24"/>
                <w:lang w:val="en-US"/>
                <w14:ligatures w14:val="standardContextual"/>
              </w:rPr>
              <w:tab/>
            </w:r>
            <w:r w:rsidRPr="00C574D2">
              <w:rPr>
                <w:rStyle w:val="Hyperlink"/>
                <w:rFonts w:eastAsia="Times New Roman"/>
                <w:noProof/>
              </w:rPr>
              <w:t>Comparison of Existing and New TSS Design Parameters</w:t>
            </w:r>
            <w:r>
              <w:rPr>
                <w:noProof/>
                <w:webHidden/>
              </w:rPr>
              <w:tab/>
            </w:r>
            <w:r>
              <w:rPr>
                <w:noProof/>
                <w:webHidden/>
              </w:rPr>
              <w:fldChar w:fldCharType="begin"/>
            </w:r>
            <w:r>
              <w:rPr>
                <w:noProof/>
                <w:webHidden/>
              </w:rPr>
              <w:instrText xml:space="preserve"> PAGEREF _Toc230791075 \h </w:instrText>
            </w:r>
            <w:r>
              <w:rPr>
                <w:noProof/>
                <w:webHidden/>
              </w:rPr>
            </w:r>
            <w:r>
              <w:rPr>
                <w:noProof/>
                <w:webHidden/>
              </w:rPr>
              <w:fldChar w:fldCharType="separate"/>
            </w:r>
            <w:r>
              <w:rPr>
                <w:noProof/>
                <w:webHidden/>
              </w:rPr>
              <w:t>31</w:t>
            </w:r>
            <w:r>
              <w:rPr>
                <w:noProof/>
                <w:webHidden/>
              </w:rPr>
              <w:fldChar w:fldCharType="end"/>
            </w:r>
          </w:hyperlink>
        </w:p>
        <w:p w14:paraId="20FF86B0" w14:textId="10ACFD19"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6" w:history="1">
            <w:r w:rsidRPr="00C574D2">
              <w:rPr>
                <w:rStyle w:val="Hyperlink"/>
                <w:noProof/>
              </w:rPr>
              <w:t>4.7</w:t>
            </w:r>
            <w:r>
              <w:rPr>
                <w:rFonts w:eastAsiaTheme="minorEastAsia"/>
                <w:noProof/>
                <w:kern w:val="2"/>
                <w:sz w:val="24"/>
                <w:szCs w:val="24"/>
                <w:lang w:val="en-US"/>
                <w14:ligatures w14:val="standardContextual"/>
              </w:rPr>
              <w:tab/>
            </w:r>
            <w:r w:rsidRPr="00C574D2">
              <w:rPr>
                <w:rStyle w:val="Hyperlink"/>
                <w:noProof/>
              </w:rPr>
              <w:t>Environmental Performance</w:t>
            </w:r>
            <w:r>
              <w:rPr>
                <w:noProof/>
                <w:webHidden/>
              </w:rPr>
              <w:tab/>
            </w:r>
            <w:r>
              <w:rPr>
                <w:noProof/>
                <w:webHidden/>
              </w:rPr>
              <w:fldChar w:fldCharType="begin"/>
            </w:r>
            <w:r>
              <w:rPr>
                <w:noProof/>
                <w:webHidden/>
              </w:rPr>
              <w:instrText xml:space="preserve"> PAGEREF _Toc230791076 \h </w:instrText>
            </w:r>
            <w:r>
              <w:rPr>
                <w:noProof/>
                <w:webHidden/>
              </w:rPr>
            </w:r>
            <w:r>
              <w:rPr>
                <w:noProof/>
                <w:webHidden/>
              </w:rPr>
              <w:fldChar w:fldCharType="separate"/>
            </w:r>
            <w:r>
              <w:rPr>
                <w:noProof/>
                <w:webHidden/>
              </w:rPr>
              <w:t>32</w:t>
            </w:r>
            <w:r>
              <w:rPr>
                <w:noProof/>
                <w:webHidden/>
              </w:rPr>
              <w:fldChar w:fldCharType="end"/>
            </w:r>
          </w:hyperlink>
        </w:p>
        <w:p w14:paraId="05DED19A" w14:textId="1B2066CD"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7" w:history="1">
            <w:r w:rsidRPr="00C574D2">
              <w:rPr>
                <w:rStyle w:val="Hyperlink"/>
                <w:noProof/>
              </w:rPr>
              <w:t>4.8</w:t>
            </w:r>
            <w:r>
              <w:rPr>
                <w:rFonts w:eastAsiaTheme="minorEastAsia"/>
                <w:noProof/>
                <w:kern w:val="2"/>
                <w:sz w:val="24"/>
                <w:szCs w:val="24"/>
                <w:lang w:val="en-US"/>
                <w14:ligatures w14:val="standardContextual"/>
              </w:rPr>
              <w:tab/>
            </w:r>
            <w:r w:rsidRPr="00C574D2">
              <w:rPr>
                <w:rStyle w:val="Hyperlink"/>
                <w:noProof/>
              </w:rPr>
              <w:t>Evaluation of Repair and Replacement Options</w:t>
            </w:r>
            <w:r>
              <w:rPr>
                <w:noProof/>
                <w:webHidden/>
              </w:rPr>
              <w:tab/>
            </w:r>
            <w:r>
              <w:rPr>
                <w:noProof/>
                <w:webHidden/>
              </w:rPr>
              <w:fldChar w:fldCharType="begin"/>
            </w:r>
            <w:r>
              <w:rPr>
                <w:noProof/>
                <w:webHidden/>
              </w:rPr>
              <w:instrText xml:space="preserve"> PAGEREF _Toc230791077 \h </w:instrText>
            </w:r>
            <w:r>
              <w:rPr>
                <w:noProof/>
                <w:webHidden/>
              </w:rPr>
            </w:r>
            <w:r>
              <w:rPr>
                <w:noProof/>
                <w:webHidden/>
              </w:rPr>
              <w:fldChar w:fldCharType="separate"/>
            </w:r>
            <w:r>
              <w:rPr>
                <w:noProof/>
                <w:webHidden/>
              </w:rPr>
              <w:t>33</w:t>
            </w:r>
            <w:r>
              <w:rPr>
                <w:noProof/>
                <w:webHidden/>
              </w:rPr>
              <w:fldChar w:fldCharType="end"/>
            </w:r>
          </w:hyperlink>
        </w:p>
        <w:p w14:paraId="501BB53F" w14:textId="1D3F568C"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078" w:history="1">
            <w:r w:rsidRPr="00C574D2">
              <w:rPr>
                <w:rStyle w:val="Hyperlink"/>
                <w:noProof/>
              </w:rPr>
              <w:t>5</w:t>
            </w:r>
            <w:r>
              <w:rPr>
                <w:rFonts w:eastAsiaTheme="minorEastAsia"/>
                <w:noProof/>
                <w:kern w:val="2"/>
                <w:sz w:val="24"/>
                <w:szCs w:val="24"/>
                <w:lang w:val="en-US"/>
                <w14:ligatures w14:val="standardContextual"/>
              </w:rPr>
              <w:tab/>
            </w:r>
            <w:r w:rsidRPr="00C574D2">
              <w:rPr>
                <w:rStyle w:val="Hyperlink"/>
                <w:noProof/>
              </w:rPr>
              <w:t>Design and Reliability Improvements</w:t>
            </w:r>
            <w:r>
              <w:rPr>
                <w:noProof/>
                <w:webHidden/>
              </w:rPr>
              <w:tab/>
            </w:r>
            <w:r>
              <w:rPr>
                <w:noProof/>
                <w:webHidden/>
              </w:rPr>
              <w:fldChar w:fldCharType="begin"/>
            </w:r>
            <w:r>
              <w:rPr>
                <w:noProof/>
                <w:webHidden/>
              </w:rPr>
              <w:instrText xml:space="preserve"> PAGEREF _Toc230791078 \h </w:instrText>
            </w:r>
            <w:r>
              <w:rPr>
                <w:noProof/>
                <w:webHidden/>
              </w:rPr>
            </w:r>
            <w:r>
              <w:rPr>
                <w:noProof/>
                <w:webHidden/>
              </w:rPr>
              <w:fldChar w:fldCharType="separate"/>
            </w:r>
            <w:r>
              <w:rPr>
                <w:noProof/>
                <w:webHidden/>
              </w:rPr>
              <w:t>34</w:t>
            </w:r>
            <w:r>
              <w:rPr>
                <w:noProof/>
                <w:webHidden/>
              </w:rPr>
              <w:fldChar w:fldCharType="end"/>
            </w:r>
          </w:hyperlink>
        </w:p>
        <w:p w14:paraId="5205037C" w14:textId="60F8ABBE"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79" w:history="1">
            <w:r w:rsidRPr="00C574D2">
              <w:rPr>
                <w:rStyle w:val="Hyperlink"/>
                <w:noProof/>
              </w:rPr>
              <w:t>5.1</w:t>
            </w:r>
            <w:r>
              <w:rPr>
                <w:rFonts w:eastAsiaTheme="minorEastAsia"/>
                <w:noProof/>
                <w:kern w:val="2"/>
                <w:sz w:val="24"/>
                <w:szCs w:val="24"/>
                <w:lang w:val="en-US"/>
                <w14:ligatures w14:val="standardContextual"/>
              </w:rPr>
              <w:tab/>
            </w:r>
            <w:r w:rsidRPr="00C574D2">
              <w:rPr>
                <w:rStyle w:val="Hyperlink"/>
                <w:noProof/>
              </w:rPr>
              <w:t>Economic and Operational Benefits</w:t>
            </w:r>
            <w:r>
              <w:rPr>
                <w:noProof/>
                <w:webHidden/>
              </w:rPr>
              <w:tab/>
            </w:r>
            <w:r>
              <w:rPr>
                <w:noProof/>
                <w:webHidden/>
              </w:rPr>
              <w:fldChar w:fldCharType="begin"/>
            </w:r>
            <w:r>
              <w:rPr>
                <w:noProof/>
                <w:webHidden/>
              </w:rPr>
              <w:instrText xml:space="preserve"> PAGEREF _Toc230791079 \h </w:instrText>
            </w:r>
            <w:r>
              <w:rPr>
                <w:noProof/>
                <w:webHidden/>
              </w:rPr>
            </w:r>
            <w:r>
              <w:rPr>
                <w:noProof/>
                <w:webHidden/>
              </w:rPr>
              <w:fldChar w:fldCharType="separate"/>
            </w:r>
            <w:r>
              <w:rPr>
                <w:noProof/>
                <w:webHidden/>
              </w:rPr>
              <w:t>35</w:t>
            </w:r>
            <w:r>
              <w:rPr>
                <w:noProof/>
                <w:webHidden/>
              </w:rPr>
              <w:fldChar w:fldCharType="end"/>
            </w:r>
          </w:hyperlink>
        </w:p>
        <w:p w14:paraId="25637E78" w14:textId="64D735FC"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0" w:history="1">
            <w:r w:rsidRPr="00C574D2">
              <w:rPr>
                <w:rStyle w:val="Hyperlink"/>
                <w:noProof/>
              </w:rPr>
              <w:t>5.2</w:t>
            </w:r>
            <w:r>
              <w:rPr>
                <w:rFonts w:eastAsiaTheme="minorEastAsia"/>
                <w:noProof/>
                <w:kern w:val="2"/>
                <w:sz w:val="24"/>
                <w:szCs w:val="24"/>
                <w:lang w:val="en-US"/>
                <w14:ligatures w14:val="standardContextual"/>
              </w:rPr>
              <w:tab/>
            </w:r>
            <w:r w:rsidRPr="00C574D2">
              <w:rPr>
                <w:rStyle w:val="Hyperlink"/>
                <w:noProof/>
              </w:rPr>
              <w:t>Environmental and Sustainability Impact</w:t>
            </w:r>
            <w:r>
              <w:rPr>
                <w:noProof/>
                <w:webHidden/>
              </w:rPr>
              <w:tab/>
            </w:r>
            <w:r>
              <w:rPr>
                <w:noProof/>
                <w:webHidden/>
              </w:rPr>
              <w:fldChar w:fldCharType="begin"/>
            </w:r>
            <w:r>
              <w:rPr>
                <w:noProof/>
                <w:webHidden/>
              </w:rPr>
              <w:instrText xml:space="preserve"> PAGEREF _Toc230791080 \h </w:instrText>
            </w:r>
            <w:r>
              <w:rPr>
                <w:noProof/>
                <w:webHidden/>
              </w:rPr>
            </w:r>
            <w:r>
              <w:rPr>
                <w:noProof/>
                <w:webHidden/>
              </w:rPr>
              <w:fldChar w:fldCharType="separate"/>
            </w:r>
            <w:r>
              <w:rPr>
                <w:noProof/>
                <w:webHidden/>
              </w:rPr>
              <w:t>35</w:t>
            </w:r>
            <w:r>
              <w:rPr>
                <w:noProof/>
                <w:webHidden/>
              </w:rPr>
              <w:fldChar w:fldCharType="end"/>
            </w:r>
          </w:hyperlink>
        </w:p>
        <w:p w14:paraId="74F793F0" w14:textId="5DB06A8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1" w:history="1">
            <w:r w:rsidRPr="00C574D2">
              <w:rPr>
                <w:rStyle w:val="Hyperlink"/>
                <w:noProof/>
              </w:rPr>
              <w:t>5.3</w:t>
            </w:r>
            <w:r>
              <w:rPr>
                <w:rFonts w:eastAsiaTheme="minorEastAsia"/>
                <w:noProof/>
                <w:kern w:val="2"/>
                <w:sz w:val="24"/>
                <w:szCs w:val="24"/>
                <w:lang w:val="en-US"/>
                <w14:ligatures w14:val="standardContextual"/>
              </w:rPr>
              <w:tab/>
            </w:r>
            <w:r w:rsidRPr="00C574D2">
              <w:rPr>
                <w:rStyle w:val="Hyperlink"/>
                <w:noProof/>
              </w:rPr>
              <w:t>Mechanical Reliability and Risk Reduction</w:t>
            </w:r>
            <w:r>
              <w:rPr>
                <w:noProof/>
                <w:webHidden/>
              </w:rPr>
              <w:tab/>
            </w:r>
            <w:r>
              <w:rPr>
                <w:noProof/>
                <w:webHidden/>
              </w:rPr>
              <w:fldChar w:fldCharType="begin"/>
            </w:r>
            <w:r>
              <w:rPr>
                <w:noProof/>
                <w:webHidden/>
              </w:rPr>
              <w:instrText xml:space="preserve"> PAGEREF _Toc230791081 \h </w:instrText>
            </w:r>
            <w:r>
              <w:rPr>
                <w:noProof/>
                <w:webHidden/>
              </w:rPr>
            </w:r>
            <w:r>
              <w:rPr>
                <w:noProof/>
                <w:webHidden/>
              </w:rPr>
              <w:fldChar w:fldCharType="separate"/>
            </w:r>
            <w:r>
              <w:rPr>
                <w:noProof/>
                <w:webHidden/>
              </w:rPr>
              <w:t>36</w:t>
            </w:r>
            <w:r>
              <w:rPr>
                <w:noProof/>
                <w:webHidden/>
              </w:rPr>
              <w:fldChar w:fldCharType="end"/>
            </w:r>
          </w:hyperlink>
        </w:p>
        <w:p w14:paraId="58F34FED" w14:textId="22B697F8"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2" w:history="1">
            <w:r w:rsidRPr="00C574D2">
              <w:rPr>
                <w:rStyle w:val="Hyperlink"/>
                <w:noProof/>
              </w:rPr>
              <w:t>5.4</w:t>
            </w:r>
            <w:r>
              <w:rPr>
                <w:rFonts w:eastAsiaTheme="minorEastAsia"/>
                <w:noProof/>
                <w:kern w:val="2"/>
                <w:sz w:val="24"/>
                <w:szCs w:val="24"/>
                <w:lang w:val="en-US"/>
                <w14:ligatures w14:val="standardContextual"/>
              </w:rPr>
              <w:tab/>
            </w:r>
            <w:r w:rsidRPr="00C574D2">
              <w:rPr>
                <w:rStyle w:val="Hyperlink"/>
                <w:noProof/>
              </w:rPr>
              <w:t>Risk Mitigation through Replacement</w:t>
            </w:r>
            <w:r>
              <w:rPr>
                <w:noProof/>
                <w:webHidden/>
              </w:rPr>
              <w:tab/>
            </w:r>
            <w:r>
              <w:rPr>
                <w:noProof/>
                <w:webHidden/>
              </w:rPr>
              <w:fldChar w:fldCharType="begin"/>
            </w:r>
            <w:r>
              <w:rPr>
                <w:noProof/>
                <w:webHidden/>
              </w:rPr>
              <w:instrText xml:space="preserve"> PAGEREF _Toc230791082 \h </w:instrText>
            </w:r>
            <w:r>
              <w:rPr>
                <w:noProof/>
                <w:webHidden/>
              </w:rPr>
            </w:r>
            <w:r>
              <w:rPr>
                <w:noProof/>
                <w:webHidden/>
              </w:rPr>
              <w:fldChar w:fldCharType="separate"/>
            </w:r>
            <w:r>
              <w:rPr>
                <w:noProof/>
                <w:webHidden/>
              </w:rPr>
              <w:t>36</w:t>
            </w:r>
            <w:r>
              <w:rPr>
                <w:noProof/>
                <w:webHidden/>
              </w:rPr>
              <w:fldChar w:fldCharType="end"/>
            </w:r>
          </w:hyperlink>
        </w:p>
        <w:p w14:paraId="094E2D1D" w14:textId="6F1A5C45"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3" w:history="1">
            <w:r w:rsidRPr="00C574D2">
              <w:rPr>
                <w:rStyle w:val="Hyperlink"/>
                <w:noProof/>
              </w:rPr>
              <w:t>5.5</w:t>
            </w:r>
            <w:r>
              <w:rPr>
                <w:rFonts w:eastAsiaTheme="minorEastAsia"/>
                <w:noProof/>
                <w:kern w:val="2"/>
                <w:sz w:val="24"/>
                <w:szCs w:val="24"/>
                <w:lang w:val="en-US"/>
                <w14:ligatures w14:val="standardContextual"/>
              </w:rPr>
              <w:tab/>
            </w:r>
            <w:r w:rsidRPr="00C574D2">
              <w:rPr>
                <w:rStyle w:val="Hyperlink"/>
                <w:rFonts w:eastAsia="Times New Roman"/>
                <w:noProof/>
              </w:rPr>
              <w:t>Implementation Strategy for the Replacement Project</w:t>
            </w:r>
            <w:r>
              <w:rPr>
                <w:noProof/>
                <w:webHidden/>
              </w:rPr>
              <w:tab/>
            </w:r>
            <w:r>
              <w:rPr>
                <w:noProof/>
                <w:webHidden/>
              </w:rPr>
              <w:fldChar w:fldCharType="begin"/>
            </w:r>
            <w:r>
              <w:rPr>
                <w:noProof/>
                <w:webHidden/>
              </w:rPr>
              <w:instrText xml:space="preserve"> PAGEREF _Toc230791083 \h </w:instrText>
            </w:r>
            <w:r>
              <w:rPr>
                <w:noProof/>
                <w:webHidden/>
              </w:rPr>
            </w:r>
            <w:r>
              <w:rPr>
                <w:noProof/>
                <w:webHidden/>
              </w:rPr>
              <w:fldChar w:fldCharType="separate"/>
            </w:r>
            <w:r>
              <w:rPr>
                <w:noProof/>
                <w:webHidden/>
              </w:rPr>
              <w:t>39</w:t>
            </w:r>
            <w:r>
              <w:rPr>
                <w:noProof/>
                <w:webHidden/>
              </w:rPr>
              <w:fldChar w:fldCharType="end"/>
            </w:r>
          </w:hyperlink>
        </w:p>
        <w:p w14:paraId="1725683C" w14:textId="0B3517B3"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4" w:history="1">
            <w:r w:rsidRPr="00C574D2">
              <w:rPr>
                <w:rStyle w:val="Hyperlink"/>
                <w:noProof/>
              </w:rPr>
              <w:t>5.6</w:t>
            </w:r>
            <w:r>
              <w:rPr>
                <w:rFonts w:eastAsiaTheme="minorEastAsia"/>
                <w:noProof/>
                <w:kern w:val="2"/>
                <w:sz w:val="24"/>
                <w:szCs w:val="24"/>
                <w:lang w:val="en-US"/>
                <w14:ligatures w14:val="standardContextual"/>
              </w:rPr>
              <w:tab/>
            </w:r>
            <w:r w:rsidRPr="00C574D2">
              <w:rPr>
                <w:rStyle w:val="Hyperlink"/>
                <w:noProof/>
              </w:rPr>
              <w:t>Engineering Design (Q2 2025 – Q4 2025)</w:t>
            </w:r>
            <w:r>
              <w:rPr>
                <w:noProof/>
                <w:webHidden/>
              </w:rPr>
              <w:tab/>
            </w:r>
            <w:r>
              <w:rPr>
                <w:noProof/>
                <w:webHidden/>
              </w:rPr>
              <w:fldChar w:fldCharType="begin"/>
            </w:r>
            <w:r>
              <w:rPr>
                <w:noProof/>
                <w:webHidden/>
              </w:rPr>
              <w:instrText xml:space="preserve"> PAGEREF _Toc230791084 \h </w:instrText>
            </w:r>
            <w:r>
              <w:rPr>
                <w:noProof/>
                <w:webHidden/>
              </w:rPr>
            </w:r>
            <w:r>
              <w:rPr>
                <w:noProof/>
                <w:webHidden/>
              </w:rPr>
              <w:fldChar w:fldCharType="separate"/>
            </w:r>
            <w:r>
              <w:rPr>
                <w:noProof/>
                <w:webHidden/>
              </w:rPr>
              <w:t>39</w:t>
            </w:r>
            <w:r>
              <w:rPr>
                <w:noProof/>
                <w:webHidden/>
              </w:rPr>
              <w:fldChar w:fldCharType="end"/>
            </w:r>
          </w:hyperlink>
        </w:p>
        <w:p w14:paraId="111C9034" w14:textId="47029707"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5" w:history="1">
            <w:r w:rsidRPr="00C574D2">
              <w:rPr>
                <w:rStyle w:val="Hyperlink"/>
                <w:noProof/>
              </w:rPr>
              <w:t>5.7</w:t>
            </w:r>
            <w:r>
              <w:rPr>
                <w:rFonts w:eastAsiaTheme="minorEastAsia"/>
                <w:noProof/>
                <w:kern w:val="2"/>
                <w:sz w:val="24"/>
                <w:szCs w:val="24"/>
                <w:lang w:val="en-US"/>
                <w14:ligatures w14:val="standardContextual"/>
              </w:rPr>
              <w:tab/>
            </w:r>
            <w:r w:rsidRPr="00C574D2">
              <w:rPr>
                <w:rStyle w:val="Hyperlink"/>
                <w:noProof/>
              </w:rPr>
              <w:t>Procurement and Supply Chain Management (Q3 2025 – Q1 2026)</w:t>
            </w:r>
            <w:r>
              <w:rPr>
                <w:noProof/>
                <w:webHidden/>
              </w:rPr>
              <w:tab/>
            </w:r>
            <w:r>
              <w:rPr>
                <w:noProof/>
                <w:webHidden/>
              </w:rPr>
              <w:fldChar w:fldCharType="begin"/>
            </w:r>
            <w:r>
              <w:rPr>
                <w:noProof/>
                <w:webHidden/>
              </w:rPr>
              <w:instrText xml:space="preserve"> PAGEREF _Toc230791085 \h </w:instrText>
            </w:r>
            <w:r>
              <w:rPr>
                <w:noProof/>
                <w:webHidden/>
              </w:rPr>
            </w:r>
            <w:r>
              <w:rPr>
                <w:noProof/>
                <w:webHidden/>
              </w:rPr>
              <w:fldChar w:fldCharType="separate"/>
            </w:r>
            <w:r>
              <w:rPr>
                <w:noProof/>
                <w:webHidden/>
              </w:rPr>
              <w:t>39</w:t>
            </w:r>
            <w:r>
              <w:rPr>
                <w:noProof/>
                <w:webHidden/>
              </w:rPr>
              <w:fldChar w:fldCharType="end"/>
            </w:r>
          </w:hyperlink>
        </w:p>
        <w:p w14:paraId="0FD4DC88" w14:textId="5A3A540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6" w:history="1">
            <w:r w:rsidRPr="00C574D2">
              <w:rPr>
                <w:rStyle w:val="Hyperlink"/>
                <w:noProof/>
              </w:rPr>
              <w:t>5.8</w:t>
            </w:r>
            <w:r>
              <w:rPr>
                <w:rFonts w:eastAsiaTheme="minorEastAsia"/>
                <w:noProof/>
                <w:kern w:val="2"/>
                <w:sz w:val="24"/>
                <w:szCs w:val="24"/>
                <w:lang w:val="en-US"/>
                <w14:ligatures w14:val="standardContextual"/>
              </w:rPr>
              <w:tab/>
            </w:r>
            <w:r w:rsidRPr="00C574D2">
              <w:rPr>
                <w:rStyle w:val="Hyperlink"/>
                <w:noProof/>
              </w:rPr>
              <w:t>Fabrication and Quality Control (Q1 2026 – Q4 2026)</w:t>
            </w:r>
            <w:r>
              <w:rPr>
                <w:noProof/>
                <w:webHidden/>
              </w:rPr>
              <w:tab/>
            </w:r>
            <w:r>
              <w:rPr>
                <w:noProof/>
                <w:webHidden/>
              </w:rPr>
              <w:fldChar w:fldCharType="begin"/>
            </w:r>
            <w:r>
              <w:rPr>
                <w:noProof/>
                <w:webHidden/>
              </w:rPr>
              <w:instrText xml:space="preserve"> PAGEREF _Toc230791086 \h </w:instrText>
            </w:r>
            <w:r>
              <w:rPr>
                <w:noProof/>
                <w:webHidden/>
              </w:rPr>
            </w:r>
            <w:r>
              <w:rPr>
                <w:noProof/>
                <w:webHidden/>
              </w:rPr>
              <w:fldChar w:fldCharType="separate"/>
            </w:r>
            <w:r>
              <w:rPr>
                <w:noProof/>
                <w:webHidden/>
              </w:rPr>
              <w:t>40</w:t>
            </w:r>
            <w:r>
              <w:rPr>
                <w:noProof/>
                <w:webHidden/>
              </w:rPr>
              <w:fldChar w:fldCharType="end"/>
            </w:r>
          </w:hyperlink>
        </w:p>
        <w:p w14:paraId="741D0560" w14:textId="4FDC9CF4"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7" w:history="1">
            <w:r w:rsidRPr="00C574D2">
              <w:rPr>
                <w:rStyle w:val="Hyperlink"/>
                <w:noProof/>
              </w:rPr>
              <w:t>5.9</w:t>
            </w:r>
            <w:r>
              <w:rPr>
                <w:rFonts w:eastAsiaTheme="minorEastAsia"/>
                <w:noProof/>
                <w:kern w:val="2"/>
                <w:sz w:val="24"/>
                <w:szCs w:val="24"/>
                <w:lang w:val="en-US"/>
                <w14:ligatures w14:val="standardContextual"/>
              </w:rPr>
              <w:tab/>
            </w:r>
            <w:r w:rsidRPr="00C574D2">
              <w:rPr>
                <w:rStyle w:val="Hyperlink"/>
                <w:noProof/>
              </w:rPr>
              <w:t>Delivery and Pre-Commissioning (Q2 2027)</w:t>
            </w:r>
            <w:r>
              <w:rPr>
                <w:noProof/>
                <w:webHidden/>
              </w:rPr>
              <w:tab/>
            </w:r>
            <w:r>
              <w:rPr>
                <w:noProof/>
                <w:webHidden/>
              </w:rPr>
              <w:fldChar w:fldCharType="begin"/>
            </w:r>
            <w:r>
              <w:rPr>
                <w:noProof/>
                <w:webHidden/>
              </w:rPr>
              <w:instrText xml:space="preserve"> PAGEREF _Toc230791087 \h </w:instrText>
            </w:r>
            <w:r>
              <w:rPr>
                <w:noProof/>
                <w:webHidden/>
              </w:rPr>
            </w:r>
            <w:r>
              <w:rPr>
                <w:noProof/>
                <w:webHidden/>
              </w:rPr>
              <w:fldChar w:fldCharType="separate"/>
            </w:r>
            <w:r>
              <w:rPr>
                <w:noProof/>
                <w:webHidden/>
              </w:rPr>
              <w:t>40</w:t>
            </w:r>
            <w:r>
              <w:rPr>
                <w:noProof/>
                <w:webHidden/>
              </w:rPr>
              <w:fldChar w:fldCharType="end"/>
            </w:r>
          </w:hyperlink>
        </w:p>
        <w:p w14:paraId="18642804" w14:textId="2A1BA0A5"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8" w:history="1">
            <w:r w:rsidRPr="00C574D2">
              <w:rPr>
                <w:rStyle w:val="Hyperlink"/>
                <w:noProof/>
              </w:rPr>
              <w:t>5.10</w:t>
            </w:r>
            <w:r>
              <w:rPr>
                <w:rFonts w:eastAsiaTheme="minorEastAsia"/>
                <w:noProof/>
                <w:kern w:val="2"/>
                <w:sz w:val="24"/>
                <w:szCs w:val="24"/>
                <w:lang w:val="en-US"/>
                <w14:ligatures w14:val="standardContextual"/>
              </w:rPr>
              <w:tab/>
            </w:r>
            <w:r w:rsidRPr="00C574D2">
              <w:rPr>
                <w:rStyle w:val="Hyperlink"/>
                <w:noProof/>
              </w:rPr>
              <w:t>Installation and Commissioning (Q3 2027)</w:t>
            </w:r>
            <w:r>
              <w:rPr>
                <w:noProof/>
                <w:webHidden/>
              </w:rPr>
              <w:tab/>
            </w:r>
            <w:r>
              <w:rPr>
                <w:noProof/>
                <w:webHidden/>
              </w:rPr>
              <w:fldChar w:fldCharType="begin"/>
            </w:r>
            <w:r>
              <w:rPr>
                <w:noProof/>
                <w:webHidden/>
              </w:rPr>
              <w:instrText xml:space="preserve"> PAGEREF _Toc230791088 \h </w:instrText>
            </w:r>
            <w:r>
              <w:rPr>
                <w:noProof/>
                <w:webHidden/>
              </w:rPr>
            </w:r>
            <w:r>
              <w:rPr>
                <w:noProof/>
                <w:webHidden/>
              </w:rPr>
              <w:fldChar w:fldCharType="separate"/>
            </w:r>
            <w:r>
              <w:rPr>
                <w:noProof/>
                <w:webHidden/>
              </w:rPr>
              <w:t>40</w:t>
            </w:r>
            <w:r>
              <w:rPr>
                <w:noProof/>
                <w:webHidden/>
              </w:rPr>
              <w:fldChar w:fldCharType="end"/>
            </w:r>
          </w:hyperlink>
        </w:p>
        <w:p w14:paraId="555FE9E8" w14:textId="4478C6CC"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89" w:history="1">
            <w:r w:rsidRPr="00C574D2">
              <w:rPr>
                <w:rStyle w:val="Hyperlink"/>
                <w:noProof/>
              </w:rPr>
              <w:t>5.11</w:t>
            </w:r>
            <w:r>
              <w:rPr>
                <w:rFonts w:eastAsiaTheme="minorEastAsia"/>
                <w:noProof/>
                <w:kern w:val="2"/>
                <w:sz w:val="24"/>
                <w:szCs w:val="24"/>
                <w:lang w:val="en-US"/>
                <w14:ligatures w14:val="standardContextual"/>
              </w:rPr>
              <w:tab/>
            </w:r>
            <w:r w:rsidRPr="00C574D2">
              <w:rPr>
                <w:rStyle w:val="Hyperlink"/>
                <w:noProof/>
              </w:rPr>
              <w:t>Quality Assurance and Inspection Planning</w:t>
            </w:r>
            <w:r>
              <w:rPr>
                <w:noProof/>
                <w:webHidden/>
              </w:rPr>
              <w:tab/>
            </w:r>
            <w:r>
              <w:rPr>
                <w:noProof/>
                <w:webHidden/>
              </w:rPr>
              <w:fldChar w:fldCharType="begin"/>
            </w:r>
            <w:r>
              <w:rPr>
                <w:noProof/>
                <w:webHidden/>
              </w:rPr>
              <w:instrText xml:space="preserve"> PAGEREF _Toc230791089 \h </w:instrText>
            </w:r>
            <w:r>
              <w:rPr>
                <w:noProof/>
                <w:webHidden/>
              </w:rPr>
            </w:r>
            <w:r>
              <w:rPr>
                <w:noProof/>
                <w:webHidden/>
              </w:rPr>
              <w:fldChar w:fldCharType="separate"/>
            </w:r>
            <w:r>
              <w:rPr>
                <w:noProof/>
                <w:webHidden/>
              </w:rPr>
              <w:t>41</w:t>
            </w:r>
            <w:r>
              <w:rPr>
                <w:noProof/>
                <w:webHidden/>
              </w:rPr>
              <w:fldChar w:fldCharType="end"/>
            </w:r>
          </w:hyperlink>
        </w:p>
        <w:p w14:paraId="5B9D5BEC" w14:textId="30CAD157"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0" w:history="1">
            <w:r w:rsidRPr="00C574D2">
              <w:rPr>
                <w:rStyle w:val="Hyperlink"/>
                <w:noProof/>
              </w:rPr>
              <w:t>5.12</w:t>
            </w:r>
            <w:r>
              <w:rPr>
                <w:rFonts w:eastAsiaTheme="minorEastAsia"/>
                <w:noProof/>
                <w:kern w:val="2"/>
                <w:sz w:val="24"/>
                <w:szCs w:val="24"/>
                <w:lang w:val="en-US"/>
                <w14:ligatures w14:val="standardContextual"/>
              </w:rPr>
              <w:tab/>
            </w:r>
            <w:r w:rsidRPr="00C574D2">
              <w:rPr>
                <w:rStyle w:val="Hyperlink"/>
                <w:noProof/>
              </w:rPr>
              <w:t>Vendor Quality Assurance</w:t>
            </w:r>
            <w:r>
              <w:rPr>
                <w:noProof/>
                <w:webHidden/>
              </w:rPr>
              <w:tab/>
            </w:r>
            <w:r>
              <w:rPr>
                <w:noProof/>
                <w:webHidden/>
              </w:rPr>
              <w:fldChar w:fldCharType="begin"/>
            </w:r>
            <w:r>
              <w:rPr>
                <w:noProof/>
                <w:webHidden/>
              </w:rPr>
              <w:instrText xml:space="preserve"> PAGEREF _Toc230791090 \h </w:instrText>
            </w:r>
            <w:r>
              <w:rPr>
                <w:noProof/>
                <w:webHidden/>
              </w:rPr>
            </w:r>
            <w:r>
              <w:rPr>
                <w:noProof/>
                <w:webHidden/>
              </w:rPr>
              <w:fldChar w:fldCharType="separate"/>
            </w:r>
            <w:r>
              <w:rPr>
                <w:noProof/>
                <w:webHidden/>
              </w:rPr>
              <w:t>41</w:t>
            </w:r>
            <w:r>
              <w:rPr>
                <w:noProof/>
                <w:webHidden/>
              </w:rPr>
              <w:fldChar w:fldCharType="end"/>
            </w:r>
          </w:hyperlink>
        </w:p>
        <w:p w14:paraId="3EDC4321" w14:textId="01DD77D8"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1" w:history="1">
            <w:r w:rsidRPr="00C574D2">
              <w:rPr>
                <w:rStyle w:val="Hyperlink"/>
                <w:noProof/>
              </w:rPr>
              <w:t>5.13</w:t>
            </w:r>
            <w:r>
              <w:rPr>
                <w:rFonts w:eastAsiaTheme="minorEastAsia"/>
                <w:noProof/>
                <w:kern w:val="2"/>
                <w:sz w:val="24"/>
                <w:szCs w:val="24"/>
                <w:lang w:val="en-US"/>
                <w14:ligatures w14:val="standardContextual"/>
              </w:rPr>
              <w:tab/>
            </w:r>
            <w:r w:rsidRPr="00C574D2">
              <w:rPr>
                <w:rStyle w:val="Hyperlink"/>
                <w:noProof/>
              </w:rPr>
              <w:t>Site Quality Control</w:t>
            </w:r>
            <w:r>
              <w:rPr>
                <w:noProof/>
                <w:webHidden/>
              </w:rPr>
              <w:tab/>
            </w:r>
            <w:r>
              <w:rPr>
                <w:noProof/>
                <w:webHidden/>
              </w:rPr>
              <w:fldChar w:fldCharType="begin"/>
            </w:r>
            <w:r>
              <w:rPr>
                <w:noProof/>
                <w:webHidden/>
              </w:rPr>
              <w:instrText xml:space="preserve"> PAGEREF _Toc230791091 \h </w:instrText>
            </w:r>
            <w:r>
              <w:rPr>
                <w:noProof/>
                <w:webHidden/>
              </w:rPr>
            </w:r>
            <w:r>
              <w:rPr>
                <w:noProof/>
                <w:webHidden/>
              </w:rPr>
              <w:fldChar w:fldCharType="separate"/>
            </w:r>
            <w:r>
              <w:rPr>
                <w:noProof/>
                <w:webHidden/>
              </w:rPr>
              <w:t>41</w:t>
            </w:r>
            <w:r>
              <w:rPr>
                <w:noProof/>
                <w:webHidden/>
              </w:rPr>
              <w:fldChar w:fldCharType="end"/>
            </w:r>
          </w:hyperlink>
        </w:p>
        <w:p w14:paraId="23080D06" w14:textId="1221C70E"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2" w:history="1">
            <w:r w:rsidRPr="00C574D2">
              <w:rPr>
                <w:rStyle w:val="Hyperlink"/>
                <w:noProof/>
              </w:rPr>
              <w:t>5.14</w:t>
            </w:r>
            <w:r>
              <w:rPr>
                <w:rFonts w:eastAsiaTheme="minorEastAsia"/>
                <w:noProof/>
                <w:kern w:val="2"/>
                <w:sz w:val="24"/>
                <w:szCs w:val="24"/>
                <w:lang w:val="en-US"/>
                <w14:ligatures w14:val="standardContextual"/>
              </w:rPr>
              <w:tab/>
            </w:r>
            <w:r w:rsidRPr="00C574D2">
              <w:rPr>
                <w:rStyle w:val="Hyperlink"/>
                <w:noProof/>
              </w:rPr>
              <w:t>Health, Safety, and Environmental (HSE) Oversight</w:t>
            </w:r>
            <w:r>
              <w:rPr>
                <w:noProof/>
                <w:webHidden/>
              </w:rPr>
              <w:tab/>
            </w:r>
            <w:r>
              <w:rPr>
                <w:noProof/>
                <w:webHidden/>
              </w:rPr>
              <w:fldChar w:fldCharType="begin"/>
            </w:r>
            <w:r>
              <w:rPr>
                <w:noProof/>
                <w:webHidden/>
              </w:rPr>
              <w:instrText xml:space="preserve"> PAGEREF _Toc230791092 \h </w:instrText>
            </w:r>
            <w:r>
              <w:rPr>
                <w:noProof/>
                <w:webHidden/>
              </w:rPr>
            </w:r>
            <w:r>
              <w:rPr>
                <w:noProof/>
                <w:webHidden/>
              </w:rPr>
              <w:fldChar w:fldCharType="separate"/>
            </w:r>
            <w:r>
              <w:rPr>
                <w:noProof/>
                <w:webHidden/>
              </w:rPr>
              <w:t>41</w:t>
            </w:r>
            <w:r>
              <w:rPr>
                <w:noProof/>
                <w:webHidden/>
              </w:rPr>
              <w:fldChar w:fldCharType="end"/>
            </w:r>
          </w:hyperlink>
        </w:p>
        <w:p w14:paraId="06E87653" w14:textId="43DD0EF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3" w:history="1">
            <w:r w:rsidRPr="00C574D2">
              <w:rPr>
                <w:rStyle w:val="Hyperlink"/>
                <w:noProof/>
              </w:rPr>
              <w:t>5.15</w:t>
            </w:r>
            <w:r>
              <w:rPr>
                <w:rFonts w:eastAsiaTheme="minorEastAsia"/>
                <w:noProof/>
                <w:kern w:val="2"/>
                <w:sz w:val="24"/>
                <w:szCs w:val="24"/>
                <w:lang w:val="en-US"/>
                <w14:ligatures w14:val="standardContextual"/>
              </w:rPr>
              <w:tab/>
            </w:r>
            <w:r w:rsidRPr="00C574D2">
              <w:rPr>
                <w:rStyle w:val="Hyperlink"/>
                <w:noProof/>
              </w:rPr>
              <w:t>Commissioning Verification</w:t>
            </w:r>
            <w:r>
              <w:rPr>
                <w:noProof/>
                <w:webHidden/>
              </w:rPr>
              <w:tab/>
            </w:r>
            <w:r>
              <w:rPr>
                <w:noProof/>
                <w:webHidden/>
              </w:rPr>
              <w:fldChar w:fldCharType="begin"/>
            </w:r>
            <w:r>
              <w:rPr>
                <w:noProof/>
                <w:webHidden/>
              </w:rPr>
              <w:instrText xml:space="preserve"> PAGEREF _Toc230791093 \h </w:instrText>
            </w:r>
            <w:r>
              <w:rPr>
                <w:noProof/>
                <w:webHidden/>
              </w:rPr>
            </w:r>
            <w:r>
              <w:rPr>
                <w:noProof/>
                <w:webHidden/>
              </w:rPr>
              <w:fldChar w:fldCharType="separate"/>
            </w:r>
            <w:r>
              <w:rPr>
                <w:noProof/>
                <w:webHidden/>
              </w:rPr>
              <w:t>42</w:t>
            </w:r>
            <w:r>
              <w:rPr>
                <w:noProof/>
                <w:webHidden/>
              </w:rPr>
              <w:fldChar w:fldCharType="end"/>
            </w:r>
          </w:hyperlink>
        </w:p>
        <w:p w14:paraId="1F100B25" w14:textId="055DD9C8"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4" w:history="1">
            <w:r w:rsidRPr="00C574D2">
              <w:rPr>
                <w:rStyle w:val="Hyperlink"/>
                <w:noProof/>
              </w:rPr>
              <w:t>5.16</w:t>
            </w:r>
            <w:r>
              <w:rPr>
                <w:rFonts w:eastAsiaTheme="minorEastAsia"/>
                <w:noProof/>
                <w:kern w:val="2"/>
                <w:sz w:val="24"/>
                <w:szCs w:val="24"/>
                <w:lang w:val="en-US"/>
                <w14:ligatures w14:val="standardContextual"/>
              </w:rPr>
              <w:tab/>
            </w:r>
            <w:r w:rsidRPr="00C574D2">
              <w:rPr>
                <w:rStyle w:val="Hyperlink"/>
                <w:noProof/>
              </w:rPr>
              <w:t>Economic and Operational Follow-up</w:t>
            </w:r>
            <w:r>
              <w:rPr>
                <w:noProof/>
                <w:webHidden/>
              </w:rPr>
              <w:tab/>
            </w:r>
            <w:r>
              <w:rPr>
                <w:noProof/>
                <w:webHidden/>
              </w:rPr>
              <w:fldChar w:fldCharType="begin"/>
            </w:r>
            <w:r>
              <w:rPr>
                <w:noProof/>
                <w:webHidden/>
              </w:rPr>
              <w:instrText xml:space="preserve"> PAGEREF _Toc230791094 \h </w:instrText>
            </w:r>
            <w:r>
              <w:rPr>
                <w:noProof/>
                <w:webHidden/>
              </w:rPr>
            </w:r>
            <w:r>
              <w:rPr>
                <w:noProof/>
                <w:webHidden/>
              </w:rPr>
              <w:fldChar w:fldCharType="separate"/>
            </w:r>
            <w:r>
              <w:rPr>
                <w:noProof/>
                <w:webHidden/>
              </w:rPr>
              <w:t>42</w:t>
            </w:r>
            <w:r>
              <w:rPr>
                <w:noProof/>
                <w:webHidden/>
              </w:rPr>
              <w:fldChar w:fldCharType="end"/>
            </w:r>
          </w:hyperlink>
        </w:p>
        <w:p w14:paraId="45885EBC" w14:textId="2D3BDF8B"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095" w:history="1">
            <w:r w:rsidRPr="00C574D2">
              <w:rPr>
                <w:rStyle w:val="Hyperlink"/>
                <w:noProof/>
              </w:rPr>
              <w:t>6</w:t>
            </w:r>
            <w:r>
              <w:rPr>
                <w:rFonts w:eastAsiaTheme="minorEastAsia"/>
                <w:noProof/>
                <w:kern w:val="2"/>
                <w:sz w:val="24"/>
                <w:szCs w:val="24"/>
                <w:lang w:val="en-US"/>
                <w14:ligatures w14:val="standardContextual"/>
              </w:rPr>
              <w:tab/>
            </w:r>
            <w:r w:rsidRPr="00C574D2">
              <w:rPr>
                <w:rStyle w:val="Hyperlink"/>
                <w:noProof/>
              </w:rPr>
              <w:t>Recommendations and Future Considerations</w:t>
            </w:r>
            <w:r>
              <w:rPr>
                <w:noProof/>
                <w:webHidden/>
              </w:rPr>
              <w:tab/>
            </w:r>
            <w:r>
              <w:rPr>
                <w:noProof/>
                <w:webHidden/>
              </w:rPr>
              <w:fldChar w:fldCharType="begin"/>
            </w:r>
            <w:r>
              <w:rPr>
                <w:noProof/>
                <w:webHidden/>
              </w:rPr>
              <w:instrText xml:space="preserve"> PAGEREF _Toc230791095 \h </w:instrText>
            </w:r>
            <w:r>
              <w:rPr>
                <w:noProof/>
                <w:webHidden/>
              </w:rPr>
            </w:r>
            <w:r>
              <w:rPr>
                <w:noProof/>
                <w:webHidden/>
              </w:rPr>
              <w:fldChar w:fldCharType="separate"/>
            </w:r>
            <w:r>
              <w:rPr>
                <w:noProof/>
                <w:webHidden/>
              </w:rPr>
              <w:t>42</w:t>
            </w:r>
            <w:r>
              <w:rPr>
                <w:noProof/>
                <w:webHidden/>
              </w:rPr>
              <w:fldChar w:fldCharType="end"/>
            </w:r>
          </w:hyperlink>
        </w:p>
        <w:p w14:paraId="1BA73967" w14:textId="17413AB4"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6" w:history="1">
            <w:r w:rsidRPr="00C574D2">
              <w:rPr>
                <w:rStyle w:val="Hyperlink"/>
                <w:noProof/>
              </w:rPr>
              <w:t>6.1</w:t>
            </w:r>
            <w:r>
              <w:rPr>
                <w:rFonts w:eastAsiaTheme="minorEastAsia"/>
                <w:noProof/>
                <w:kern w:val="2"/>
                <w:sz w:val="24"/>
                <w:szCs w:val="24"/>
                <w:lang w:val="en-US"/>
                <w14:ligatures w14:val="standardContextual"/>
              </w:rPr>
              <w:tab/>
            </w:r>
            <w:r w:rsidRPr="00C574D2">
              <w:rPr>
                <w:rStyle w:val="Hyperlink"/>
                <w:noProof/>
              </w:rPr>
              <w:t>Implement continuous temperature and vibration monitoring.</w:t>
            </w:r>
            <w:r>
              <w:rPr>
                <w:noProof/>
                <w:webHidden/>
              </w:rPr>
              <w:tab/>
            </w:r>
            <w:r>
              <w:rPr>
                <w:noProof/>
                <w:webHidden/>
              </w:rPr>
              <w:fldChar w:fldCharType="begin"/>
            </w:r>
            <w:r>
              <w:rPr>
                <w:noProof/>
                <w:webHidden/>
              </w:rPr>
              <w:instrText xml:space="preserve"> PAGEREF _Toc230791096 \h </w:instrText>
            </w:r>
            <w:r>
              <w:rPr>
                <w:noProof/>
                <w:webHidden/>
              </w:rPr>
            </w:r>
            <w:r>
              <w:rPr>
                <w:noProof/>
                <w:webHidden/>
              </w:rPr>
              <w:fldChar w:fldCharType="separate"/>
            </w:r>
            <w:r>
              <w:rPr>
                <w:noProof/>
                <w:webHidden/>
              </w:rPr>
              <w:t>43</w:t>
            </w:r>
            <w:r>
              <w:rPr>
                <w:noProof/>
                <w:webHidden/>
              </w:rPr>
              <w:fldChar w:fldCharType="end"/>
            </w:r>
          </w:hyperlink>
        </w:p>
        <w:p w14:paraId="7951D57E" w14:textId="4204FA25"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7" w:history="1">
            <w:r w:rsidRPr="00C574D2">
              <w:rPr>
                <w:rStyle w:val="Hyperlink"/>
                <w:noProof/>
              </w:rPr>
              <w:t>6.2</w:t>
            </w:r>
            <w:r>
              <w:rPr>
                <w:rFonts w:eastAsiaTheme="minorEastAsia"/>
                <w:noProof/>
                <w:kern w:val="2"/>
                <w:sz w:val="24"/>
                <w:szCs w:val="24"/>
                <w:lang w:val="en-US"/>
                <w14:ligatures w14:val="standardContextual"/>
              </w:rPr>
              <w:tab/>
            </w:r>
            <w:r w:rsidRPr="00C574D2">
              <w:rPr>
                <w:rStyle w:val="Hyperlink"/>
                <w:noProof/>
              </w:rPr>
              <w:t>Maintain stable operating temperature and flow conditions.</w:t>
            </w:r>
            <w:r>
              <w:rPr>
                <w:noProof/>
                <w:webHidden/>
              </w:rPr>
              <w:tab/>
            </w:r>
            <w:r>
              <w:rPr>
                <w:noProof/>
                <w:webHidden/>
              </w:rPr>
              <w:fldChar w:fldCharType="begin"/>
            </w:r>
            <w:r>
              <w:rPr>
                <w:noProof/>
                <w:webHidden/>
              </w:rPr>
              <w:instrText xml:space="preserve"> PAGEREF _Toc230791097 \h </w:instrText>
            </w:r>
            <w:r>
              <w:rPr>
                <w:noProof/>
                <w:webHidden/>
              </w:rPr>
            </w:r>
            <w:r>
              <w:rPr>
                <w:noProof/>
                <w:webHidden/>
              </w:rPr>
              <w:fldChar w:fldCharType="separate"/>
            </w:r>
            <w:r>
              <w:rPr>
                <w:noProof/>
                <w:webHidden/>
              </w:rPr>
              <w:t>43</w:t>
            </w:r>
            <w:r>
              <w:rPr>
                <w:noProof/>
                <w:webHidden/>
              </w:rPr>
              <w:fldChar w:fldCharType="end"/>
            </w:r>
          </w:hyperlink>
        </w:p>
        <w:p w14:paraId="53784200" w14:textId="5E07FE20"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8" w:history="1">
            <w:r w:rsidRPr="00C574D2">
              <w:rPr>
                <w:rStyle w:val="Hyperlink"/>
                <w:noProof/>
              </w:rPr>
              <w:t>6.3</w:t>
            </w:r>
            <w:r>
              <w:rPr>
                <w:rFonts w:eastAsiaTheme="minorEastAsia"/>
                <w:noProof/>
                <w:kern w:val="2"/>
                <w:sz w:val="24"/>
                <w:szCs w:val="24"/>
                <w:lang w:val="en-US"/>
                <w14:ligatures w14:val="standardContextual"/>
              </w:rPr>
              <w:tab/>
            </w:r>
            <w:r w:rsidRPr="00C574D2">
              <w:rPr>
                <w:rStyle w:val="Hyperlink"/>
                <w:noProof/>
              </w:rPr>
              <w:t>Conduct regular borescope inspections.</w:t>
            </w:r>
            <w:r>
              <w:rPr>
                <w:noProof/>
                <w:webHidden/>
              </w:rPr>
              <w:tab/>
            </w:r>
            <w:r>
              <w:rPr>
                <w:noProof/>
                <w:webHidden/>
              </w:rPr>
              <w:fldChar w:fldCharType="begin"/>
            </w:r>
            <w:r>
              <w:rPr>
                <w:noProof/>
                <w:webHidden/>
              </w:rPr>
              <w:instrText xml:space="preserve"> PAGEREF _Toc230791098 \h </w:instrText>
            </w:r>
            <w:r>
              <w:rPr>
                <w:noProof/>
                <w:webHidden/>
              </w:rPr>
            </w:r>
            <w:r>
              <w:rPr>
                <w:noProof/>
                <w:webHidden/>
              </w:rPr>
              <w:fldChar w:fldCharType="separate"/>
            </w:r>
            <w:r>
              <w:rPr>
                <w:noProof/>
                <w:webHidden/>
              </w:rPr>
              <w:t>43</w:t>
            </w:r>
            <w:r>
              <w:rPr>
                <w:noProof/>
                <w:webHidden/>
              </w:rPr>
              <w:fldChar w:fldCharType="end"/>
            </w:r>
          </w:hyperlink>
        </w:p>
        <w:p w14:paraId="4788E453" w14:textId="03DD93F2"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099" w:history="1">
            <w:r w:rsidRPr="00C574D2">
              <w:rPr>
                <w:rStyle w:val="Hyperlink"/>
                <w:noProof/>
              </w:rPr>
              <w:t>6.4</w:t>
            </w:r>
            <w:r>
              <w:rPr>
                <w:rFonts w:eastAsiaTheme="minorEastAsia"/>
                <w:noProof/>
                <w:kern w:val="2"/>
                <w:sz w:val="24"/>
                <w:szCs w:val="24"/>
                <w:lang w:val="en-US"/>
                <w14:ligatures w14:val="standardContextual"/>
              </w:rPr>
              <w:tab/>
            </w:r>
            <w:r w:rsidRPr="00C574D2">
              <w:rPr>
                <w:rStyle w:val="Hyperlink"/>
                <w:noProof/>
              </w:rPr>
              <w:t>Use predictive maintenance through condition-based monitoring.</w:t>
            </w:r>
            <w:r>
              <w:rPr>
                <w:noProof/>
                <w:webHidden/>
              </w:rPr>
              <w:tab/>
            </w:r>
            <w:r>
              <w:rPr>
                <w:noProof/>
                <w:webHidden/>
              </w:rPr>
              <w:fldChar w:fldCharType="begin"/>
            </w:r>
            <w:r>
              <w:rPr>
                <w:noProof/>
                <w:webHidden/>
              </w:rPr>
              <w:instrText xml:space="preserve"> PAGEREF _Toc230791099 \h </w:instrText>
            </w:r>
            <w:r>
              <w:rPr>
                <w:noProof/>
                <w:webHidden/>
              </w:rPr>
            </w:r>
            <w:r>
              <w:rPr>
                <w:noProof/>
                <w:webHidden/>
              </w:rPr>
              <w:fldChar w:fldCharType="separate"/>
            </w:r>
            <w:r>
              <w:rPr>
                <w:noProof/>
                <w:webHidden/>
              </w:rPr>
              <w:t>43</w:t>
            </w:r>
            <w:r>
              <w:rPr>
                <w:noProof/>
                <w:webHidden/>
              </w:rPr>
              <w:fldChar w:fldCharType="end"/>
            </w:r>
          </w:hyperlink>
        </w:p>
        <w:p w14:paraId="69AC1453" w14:textId="4C5FF9E7"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0" w:history="1">
            <w:r w:rsidRPr="00C574D2">
              <w:rPr>
                <w:rStyle w:val="Hyperlink"/>
                <w:noProof/>
              </w:rPr>
              <w:t>6.5</w:t>
            </w:r>
            <w:r>
              <w:rPr>
                <w:rFonts w:eastAsiaTheme="minorEastAsia"/>
                <w:noProof/>
                <w:kern w:val="2"/>
                <w:sz w:val="24"/>
                <w:szCs w:val="24"/>
                <w:lang w:val="en-US"/>
                <w14:ligatures w14:val="standardContextual"/>
              </w:rPr>
              <w:tab/>
            </w:r>
            <w:r w:rsidRPr="00C574D2">
              <w:rPr>
                <w:rStyle w:val="Hyperlink"/>
                <w:noProof/>
              </w:rPr>
              <w:t>Maintain a record of all thermal cycles.</w:t>
            </w:r>
            <w:r>
              <w:rPr>
                <w:noProof/>
                <w:webHidden/>
              </w:rPr>
              <w:tab/>
            </w:r>
            <w:r>
              <w:rPr>
                <w:noProof/>
                <w:webHidden/>
              </w:rPr>
              <w:fldChar w:fldCharType="begin"/>
            </w:r>
            <w:r>
              <w:rPr>
                <w:noProof/>
                <w:webHidden/>
              </w:rPr>
              <w:instrText xml:space="preserve"> PAGEREF _Toc230791100 \h </w:instrText>
            </w:r>
            <w:r>
              <w:rPr>
                <w:noProof/>
                <w:webHidden/>
              </w:rPr>
            </w:r>
            <w:r>
              <w:rPr>
                <w:noProof/>
                <w:webHidden/>
              </w:rPr>
              <w:fldChar w:fldCharType="separate"/>
            </w:r>
            <w:r>
              <w:rPr>
                <w:noProof/>
                <w:webHidden/>
              </w:rPr>
              <w:t>43</w:t>
            </w:r>
            <w:r>
              <w:rPr>
                <w:noProof/>
                <w:webHidden/>
              </w:rPr>
              <w:fldChar w:fldCharType="end"/>
            </w:r>
          </w:hyperlink>
        </w:p>
        <w:p w14:paraId="09949BA2" w14:textId="4F39C4BC"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101" w:history="1">
            <w:r w:rsidRPr="00C574D2">
              <w:rPr>
                <w:rStyle w:val="Hyperlink"/>
                <w:noProof/>
              </w:rPr>
              <w:t>7</w:t>
            </w:r>
            <w:r>
              <w:rPr>
                <w:rFonts w:eastAsiaTheme="minorEastAsia"/>
                <w:noProof/>
                <w:kern w:val="2"/>
                <w:sz w:val="24"/>
                <w:szCs w:val="24"/>
                <w:lang w:val="en-US"/>
                <w14:ligatures w14:val="standardContextual"/>
              </w:rPr>
              <w:tab/>
            </w:r>
            <w:r w:rsidRPr="00C574D2">
              <w:rPr>
                <w:rStyle w:val="Hyperlink"/>
                <w:noProof/>
              </w:rPr>
              <w:t>Inspection and Metallurgy Control</w:t>
            </w:r>
            <w:r>
              <w:rPr>
                <w:noProof/>
                <w:webHidden/>
              </w:rPr>
              <w:tab/>
            </w:r>
            <w:r>
              <w:rPr>
                <w:noProof/>
                <w:webHidden/>
              </w:rPr>
              <w:fldChar w:fldCharType="begin"/>
            </w:r>
            <w:r>
              <w:rPr>
                <w:noProof/>
                <w:webHidden/>
              </w:rPr>
              <w:instrText xml:space="preserve"> PAGEREF _Toc230791101 \h </w:instrText>
            </w:r>
            <w:r>
              <w:rPr>
                <w:noProof/>
                <w:webHidden/>
              </w:rPr>
            </w:r>
            <w:r>
              <w:rPr>
                <w:noProof/>
                <w:webHidden/>
              </w:rPr>
              <w:fldChar w:fldCharType="separate"/>
            </w:r>
            <w:r>
              <w:rPr>
                <w:noProof/>
                <w:webHidden/>
              </w:rPr>
              <w:t>44</w:t>
            </w:r>
            <w:r>
              <w:rPr>
                <w:noProof/>
                <w:webHidden/>
              </w:rPr>
              <w:fldChar w:fldCharType="end"/>
            </w:r>
          </w:hyperlink>
        </w:p>
        <w:p w14:paraId="25234369" w14:textId="4976DC0A"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2" w:history="1">
            <w:r w:rsidRPr="00C574D2">
              <w:rPr>
                <w:rStyle w:val="Hyperlink"/>
                <w:noProof/>
              </w:rPr>
              <w:t>7.1</w:t>
            </w:r>
            <w:r>
              <w:rPr>
                <w:rFonts w:eastAsiaTheme="minorEastAsia"/>
                <w:noProof/>
                <w:kern w:val="2"/>
                <w:sz w:val="24"/>
                <w:szCs w:val="24"/>
                <w:lang w:val="en-US"/>
                <w14:ligatures w14:val="standardContextual"/>
              </w:rPr>
              <w:tab/>
            </w:r>
            <w:r w:rsidRPr="00C574D2">
              <w:rPr>
                <w:rStyle w:val="Hyperlink"/>
                <w:noProof/>
              </w:rPr>
              <w:t>Introduce metallurgical condition monitoring.</w:t>
            </w:r>
            <w:r>
              <w:rPr>
                <w:noProof/>
                <w:webHidden/>
              </w:rPr>
              <w:tab/>
            </w:r>
            <w:r>
              <w:rPr>
                <w:noProof/>
                <w:webHidden/>
              </w:rPr>
              <w:fldChar w:fldCharType="begin"/>
            </w:r>
            <w:r>
              <w:rPr>
                <w:noProof/>
                <w:webHidden/>
              </w:rPr>
              <w:instrText xml:space="preserve"> PAGEREF _Toc230791102 \h </w:instrText>
            </w:r>
            <w:r>
              <w:rPr>
                <w:noProof/>
                <w:webHidden/>
              </w:rPr>
            </w:r>
            <w:r>
              <w:rPr>
                <w:noProof/>
                <w:webHidden/>
              </w:rPr>
              <w:fldChar w:fldCharType="separate"/>
            </w:r>
            <w:r>
              <w:rPr>
                <w:noProof/>
                <w:webHidden/>
              </w:rPr>
              <w:t>44</w:t>
            </w:r>
            <w:r>
              <w:rPr>
                <w:noProof/>
                <w:webHidden/>
              </w:rPr>
              <w:fldChar w:fldCharType="end"/>
            </w:r>
          </w:hyperlink>
        </w:p>
        <w:p w14:paraId="54DDD767" w14:textId="7934E5C8"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3" w:history="1">
            <w:r w:rsidRPr="00C574D2">
              <w:rPr>
                <w:rStyle w:val="Hyperlink"/>
                <w:noProof/>
              </w:rPr>
              <w:t>7.2</w:t>
            </w:r>
            <w:r>
              <w:rPr>
                <w:rFonts w:eastAsiaTheme="minorEastAsia"/>
                <w:noProof/>
                <w:kern w:val="2"/>
                <w:sz w:val="24"/>
                <w:szCs w:val="24"/>
                <w:lang w:val="en-US"/>
                <w14:ligatures w14:val="standardContextual"/>
              </w:rPr>
              <w:tab/>
            </w:r>
            <w:r w:rsidRPr="00C574D2">
              <w:rPr>
                <w:rStyle w:val="Hyperlink"/>
                <w:noProof/>
              </w:rPr>
              <w:t>Improve welding procedures and inspection control.</w:t>
            </w:r>
            <w:r>
              <w:rPr>
                <w:noProof/>
                <w:webHidden/>
              </w:rPr>
              <w:tab/>
            </w:r>
            <w:r>
              <w:rPr>
                <w:noProof/>
                <w:webHidden/>
              </w:rPr>
              <w:fldChar w:fldCharType="begin"/>
            </w:r>
            <w:r>
              <w:rPr>
                <w:noProof/>
                <w:webHidden/>
              </w:rPr>
              <w:instrText xml:space="preserve"> PAGEREF _Toc230791103 \h </w:instrText>
            </w:r>
            <w:r>
              <w:rPr>
                <w:noProof/>
                <w:webHidden/>
              </w:rPr>
            </w:r>
            <w:r>
              <w:rPr>
                <w:noProof/>
                <w:webHidden/>
              </w:rPr>
              <w:fldChar w:fldCharType="separate"/>
            </w:r>
            <w:r>
              <w:rPr>
                <w:noProof/>
                <w:webHidden/>
              </w:rPr>
              <w:t>44</w:t>
            </w:r>
            <w:r>
              <w:rPr>
                <w:noProof/>
                <w:webHidden/>
              </w:rPr>
              <w:fldChar w:fldCharType="end"/>
            </w:r>
          </w:hyperlink>
        </w:p>
        <w:p w14:paraId="5D9D7677" w14:textId="586B8057"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4" w:history="1">
            <w:r w:rsidRPr="00C574D2">
              <w:rPr>
                <w:rStyle w:val="Hyperlink"/>
                <w:noProof/>
              </w:rPr>
              <w:t>7.3</w:t>
            </w:r>
            <w:r>
              <w:rPr>
                <w:rFonts w:eastAsiaTheme="minorEastAsia"/>
                <w:noProof/>
                <w:kern w:val="2"/>
                <w:sz w:val="24"/>
                <w:szCs w:val="24"/>
                <w:lang w:val="en-US"/>
                <w14:ligatures w14:val="standardContextual"/>
              </w:rPr>
              <w:tab/>
            </w:r>
            <w:r w:rsidRPr="00C574D2">
              <w:rPr>
                <w:rStyle w:val="Hyperlink"/>
                <w:noProof/>
              </w:rPr>
              <w:t>Conduct hardness testing as part of major inspections.</w:t>
            </w:r>
            <w:r>
              <w:rPr>
                <w:noProof/>
                <w:webHidden/>
              </w:rPr>
              <w:tab/>
            </w:r>
            <w:r>
              <w:rPr>
                <w:noProof/>
                <w:webHidden/>
              </w:rPr>
              <w:fldChar w:fldCharType="begin"/>
            </w:r>
            <w:r>
              <w:rPr>
                <w:noProof/>
                <w:webHidden/>
              </w:rPr>
              <w:instrText xml:space="preserve"> PAGEREF _Toc230791104 \h </w:instrText>
            </w:r>
            <w:r>
              <w:rPr>
                <w:noProof/>
                <w:webHidden/>
              </w:rPr>
            </w:r>
            <w:r>
              <w:rPr>
                <w:noProof/>
                <w:webHidden/>
              </w:rPr>
              <w:fldChar w:fldCharType="separate"/>
            </w:r>
            <w:r>
              <w:rPr>
                <w:noProof/>
                <w:webHidden/>
              </w:rPr>
              <w:t>44</w:t>
            </w:r>
            <w:r>
              <w:rPr>
                <w:noProof/>
                <w:webHidden/>
              </w:rPr>
              <w:fldChar w:fldCharType="end"/>
            </w:r>
          </w:hyperlink>
        </w:p>
        <w:p w14:paraId="7CD68A38" w14:textId="08F231B6"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5" w:history="1">
            <w:r w:rsidRPr="00C574D2">
              <w:rPr>
                <w:rStyle w:val="Hyperlink"/>
                <w:noProof/>
              </w:rPr>
              <w:t>7.4</w:t>
            </w:r>
            <w:r>
              <w:rPr>
                <w:rFonts w:eastAsiaTheme="minorEastAsia"/>
                <w:noProof/>
                <w:kern w:val="2"/>
                <w:sz w:val="24"/>
                <w:szCs w:val="24"/>
                <w:lang w:val="en-US"/>
                <w14:ligatures w14:val="standardContextual"/>
              </w:rPr>
              <w:tab/>
            </w:r>
            <w:r w:rsidRPr="00C574D2">
              <w:rPr>
                <w:rStyle w:val="Hyperlink"/>
                <w:noProof/>
              </w:rPr>
              <w:t>Retain all metallurgical reports and inspection data.</w:t>
            </w:r>
            <w:r>
              <w:rPr>
                <w:noProof/>
                <w:webHidden/>
              </w:rPr>
              <w:tab/>
            </w:r>
            <w:r>
              <w:rPr>
                <w:noProof/>
                <w:webHidden/>
              </w:rPr>
              <w:fldChar w:fldCharType="begin"/>
            </w:r>
            <w:r>
              <w:rPr>
                <w:noProof/>
                <w:webHidden/>
              </w:rPr>
              <w:instrText xml:space="preserve"> PAGEREF _Toc230791105 \h </w:instrText>
            </w:r>
            <w:r>
              <w:rPr>
                <w:noProof/>
                <w:webHidden/>
              </w:rPr>
            </w:r>
            <w:r>
              <w:rPr>
                <w:noProof/>
                <w:webHidden/>
              </w:rPr>
              <w:fldChar w:fldCharType="separate"/>
            </w:r>
            <w:r>
              <w:rPr>
                <w:noProof/>
                <w:webHidden/>
              </w:rPr>
              <w:t>44</w:t>
            </w:r>
            <w:r>
              <w:rPr>
                <w:noProof/>
                <w:webHidden/>
              </w:rPr>
              <w:fldChar w:fldCharType="end"/>
            </w:r>
          </w:hyperlink>
        </w:p>
        <w:p w14:paraId="4D818220" w14:textId="165F3CBB"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106" w:history="1">
            <w:r w:rsidRPr="00C574D2">
              <w:rPr>
                <w:rStyle w:val="Hyperlink"/>
                <w:noProof/>
              </w:rPr>
              <w:t>8</w:t>
            </w:r>
            <w:r>
              <w:rPr>
                <w:rFonts w:eastAsiaTheme="minorEastAsia"/>
                <w:noProof/>
                <w:kern w:val="2"/>
                <w:sz w:val="24"/>
                <w:szCs w:val="24"/>
                <w:lang w:val="en-US"/>
                <w14:ligatures w14:val="standardContextual"/>
              </w:rPr>
              <w:tab/>
            </w:r>
            <w:r w:rsidRPr="00C574D2">
              <w:rPr>
                <w:rStyle w:val="Hyperlink"/>
                <w:noProof/>
              </w:rPr>
              <w:t>Environmental and Reliability Considerations</w:t>
            </w:r>
            <w:r>
              <w:rPr>
                <w:noProof/>
                <w:webHidden/>
              </w:rPr>
              <w:tab/>
            </w:r>
            <w:r>
              <w:rPr>
                <w:noProof/>
                <w:webHidden/>
              </w:rPr>
              <w:fldChar w:fldCharType="begin"/>
            </w:r>
            <w:r>
              <w:rPr>
                <w:noProof/>
                <w:webHidden/>
              </w:rPr>
              <w:instrText xml:space="preserve"> PAGEREF _Toc230791106 \h </w:instrText>
            </w:r>
            <w:r>
              <w:rPr>
                <w:noProof/>
                <w:webHidden/>
              </w:rPr>
            </w:r>
            <w:r>
              <w:rPr>
                <w:noProof/>
                <w:webHidden/>
              </w:rPr>
              <w:fldChar w:fldCharType="separate"/>
            </w:r>
            <w:r>
              <w:rPr>
                <w:noProof/>
                <w:webHidden/>
              </w:rPr>
              <w:t>44</w:t>
            </w:r>
            <w:r>
              <w:rPr>
                <w:noProof/>
                <w:webHidden/>
              </w:rPr>
              <w:fldChar w:fldCharType="end"/>
            </w:r>
          </w:hyperlink>
        </w:p>
        <w:p w14:paraId="7C69E228" w14:textId="021EF8D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7" w:history="1">
            <w:r w:rsidRPr="00C574D2">
              <w:rPr>
                <w:rStyle w:val="Hyperlink"/>
                <w:noProof/>
              </w:rPr>
              <w:t>8.1</w:t>
            </w:r>
            <w:r>
              <w:rPr>
                <w:rFonts w:eastAsiaTheme="minorEastAsia"/>
                <w:noProof/>
                <w:kern w:val="2"/>
                <w:sz w:val="24"/>
                <w:szCs w:val="24"/>
                <w:lang w:val="en-US"/>
                <w14:ligatures w14:val="standardContextual"/>
              </w:rPr>
              <w:tab/>
            </w:r>
            <w:r w:rsidRPr="00C574D2">
              <w:rPr>
                <w:rStyle w:val="Hyperlink"/>
                <w:noProof/>
              </w:rPr>
              <w:t>Confirm compliance with Best Available Technology (BAT).</w:t>
            </w:r>
            <w:r>
              <w:rPr>
                <w:noProof/>
                <w:webHidden/>
              </w:rPr>
              <w:tab/>
            </w:r>
            <w:r>
              <w:rPr>
                <w:noProof/>
                <w:webHidden/>
              </w:rPr>
              <w:fldChar w:fldCharType="begin"/>
            </w:r>
            <w:r>
              <w:rPr>
                <w:noProof/>
                <w:webHidden/>
              </w:rPr>
              <w:instrText xml:space="preserve"> PAGEREF _Toc230791107 \h </w:instrText>
            </w:r>
            <w:r>
              <w:rPr>
                <w:noProof/>
                <w:webHidden/>
              </w:rPr>
            </w:r>
            <w:r>
              <w:rPr>
                <w:noProof/>
                <w:webHidden/>
              </w:rPr>
              <w:fldChar w:fldCharType="separate"/>
            </w:r>
            <w:r>
              <w:rPr>
                <w:noProof/>
                <w:webHidden/>
              </w:rPr>
              <w:t>44</w:t>
            </w:r>
            <w:r>
              <w:rPr>
                <w:noProof/>
                <w:webHidden/>
              </w:rPr>
              <w:fldChar w:fldCharType="end"/>
            </w:r>
          </w:hyperlink>
        </w:p>
        <w:p w14:paraId="05162540" w14:textId="122D758D"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8" w:history="1">
            <w:r w:rsidRPr="00C574D2">
              <w:rPr>
                <w:rStyle w:val="Hyperlink"/>
                <w:noProof/>
              </w:rPr>
              <w:t>8.2</w:t>
            </w:r>
            <w:r>
              <w:rPr>
                <w:rFonts w:eastAsiaTheme="minorEastAsia"/>
                <w:noProof/>
                <w:kern w:val="2"/>
                <w:sz w:val="24"/>
                <w:szCs w:val="24"/>
                <w:lang w:val="en-US"/>
                <w14:ligatures w14:val="standardContextual"/>
              </w:rPr>
              <w:tab/>
            </w:r>
            <w:r w:rsidRPr="00C574D2">
              <w:rPr>
                <w:rStyle w:val="Hyperlink"/>
                <w:noProof/>
              </w:rPr>
              <w:t>Quantify environmental benefits post-installation.</w:t>
            </w:r>
            <w:r>
              <w:rPr>
                <w:noProof/>
                <w:webHidden/>
              </w:rPr>
              <w:tab/>
            </w:r>
            <w:r>
              <w:rPr>
                <w:noProof/>
                <w:webHidden/>
              </w:rPr>
              <w:fldChar w:fldCharType="begin"/>
            </w:r>
            <w:r>
              <w:rPr>
                <w:noProof/>
                <w:webHidden/>
              </w:rPr>
              <w:instrText xml:space="preserve"> PAGEREF _Toc230791108 \h </w:instrText>
            </w:r>
            <w:r>
              <w:rPr>
                <w:noProof/>
                <w:webHidden/>
              </w:rPr>
            </w:r>
            <w:r>
              <w:rPr>
                <w:noProof/>
                <w:webHidden/>
              </w:rPr>
              <w:fldChar w:fldCharType="separate"/>
            </w:r>
            <w:r>
              <w:rPr>
                <w:noProof/>
                <w:webHidden/>
              </w:rPr>
              <w:t>45</w:t>
            </w:r>
            <w:r>
              <w:rPr>
                <w:noProof/>
                <w:webHidden/>
              </w:rPr>
              <w:fldChar w:fldCharType="end"/>
            </w:r>
          </w:hyperlink>
        </w:p>
        <w:p w14:paraId="3D9FC086" w14:textId="659BC6BC"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09" w:history="1">
            <w:r w:rsidRPr="00C574D2">
              <w:rPr>
                <w:rStyle w:val="Hyperlink"/>
                <w:noProof/>
              </w:rPr>
              <w:t>8.3</w:t>
            </w:r>
            <w:r>
              <w:rPr>
                <w:rFonts w:eastAsiaTheme="minorEastAsia"/>
                <w:noProof/>
                <w:kern w:val="2"/>
                <w:sz w:val="24"/>
                <w:szCs w:val="24"/>
                <w:lang w:val="en-US"/>
                <w14:ligatures w14:val="standardContextual"/>
              </w:rPr>
              <w:tab/>
            </w:r>
            <w:r w:rsidRPr="00C574D2">
              <w:rPr>
                <w:rStyle w:val="Hyperlink"/>
                <w:noProof/>
              </w:rPr>
              <w:t>Integrate TSS monitoring into refinery reliability KPIs.</w:t>
            </w:r>
            <w:r>
              <w:rPr>
                <w:noProof/>
                <w:webHidden/>
              </w:rPr>
              <w:tab/>
            </w:r>
            <w:r>
              <w:rPr>
                <w:noProof/>
                <w:webHidden/>
              </w:rPr>
              <w:fldChar w:fldCharType="begin"/>
            </w:r>
            <w:r>
              <w:rPr>
                <w:noProof/>
                <w:webHidden/>
              </w:rPr>
              <w:instrText xml:space="preserve"> PAGEREF _Toc230791109 \h </w:instrText>
            </w:r>
            <w:r>
              <w:rPr>
                <w:noProof/>
                <w:webHidden/>
              </w:rPr>
            </w:r>
            <w:r>
              <w:rPr>
                <w:noProof/>
                <w:webHidden/>
              </w:rPr>
              <w:fldChar w:fldCharType="separate"/>
            </w:r>
            <w:r>
              <w:rPr>
                <w:noProof/>
                <w:webHidden/>
              </w:rPr>
              <w:t>45</w:t>
            </w:r>
            <w:r>
              <w:rPr>
                <w:noProof/>
                <w:webHidden/>
              </w:rPr>
              <w:fldChar w:fldCharType="end"/>
            </w:r>
          </w:hyperlink>
        </w:p>
        <w:p w14:paraId="34A997F7" w14:textId="3B66CC51" w:rsidR="008174C0" w:rsidRDefault="008174C0" w:rsidP="008174C0">
          <w:pPr>
            <w:pStyle w:val="TOC1"/>
            <w:tabs>
              <w:tab w:val="left" w:pos="440"/>
              <w:tab w:val="right" w:leader="dot" w:pos="9016"/>
            </w:tabs>
            <w:spacing w:line="360" w:lineRule="auto"/>
            <w:rPr>
              <w:rFonts w:eastAsiaTheme="minorEastAsia"/>
              <w:noProof/>
              <w:kern w:val="2"/>
              <w:sz w:val="24"/>
              <w:szCs w:val="24"/>
              <w:lang w:val="en-US"/>
              <w14:ligatures w14:val="standardContextual"/>
            </w:rPr>
          </w:pPr>
          <w:hyperlink w:anchor="_Toc230791110" w:history="1">
            <w:r w:rsidRPr="00C574D2">
              <w:rPr>
                <w:rStyle w:val="Hyperlink"/>
                <w:noProof/>
              </w:rPr>
              <w:t>9</w:t>
            </w:r>
            <w:r>
              <w:rPr>
                <w:rFonts w:eastAsiaTheme="minorEastAsia"/>
                <w:noProof/>
                <w:kern w:val="2"/>
                <w:sz w:val="24"/>
                <w:szCs w:val="24"/>
                <w:lang w:val="en-US"/>
                <w14:ligatures w14:val="standardContextual"/>
              </w:rPr>
              <w:tab/>
            </w:r>
            <w:r w:rsidRPr="00C574D2">
              <w:rPr>
                <w:rStyle w:val="Hyperlink"/>
                <w:noProof/>
              </w:rPr>
              <w:t>Economic and Lifecycle Planning</w:t>
            </w:r>
            <w:r>
              <w:rPr>
                <w:noProof/>
                <w:webHidden/>
              </w:rPr>
              <w:tab/>
            </w:r>
            <w:r>
              <w:rPr>
                <w:noProof/>
                <w:webHidden/>
              </w:rPr>
              <w:fldChar w:fldCharType="begin"/>
            </w:r>
            <w:r>
              <w:rPr>
                <w:noProof/>
                <w:webHidden/>
              </w:rPr>
              <w:instrText xml:space="preserve"> PAGEREF _Toc230791110 \h </w:instrText>
            </w:r>
            <w:r>
              <w:rPr>
                <w:noProof/>
                <w:webHidden/>
              </w:rPr>
            </w:r>
            <w:r>
              <w:rPr>
                <w:noProof/>
                <w:webHidden/>
              </w:rPr>
              <w:fldChar w:fldCharType="separate"/>
            </w:r>
            <w:r>
              <w:rPr>
                <w:noProof/>
                <w:webHidden/>
              </w:rPr>
              <w:t>45</w:t>
            </w:r>
            <w:r>
              <w:rPr>
                <w:noProof/>
                <w:webHidden/>
              </w:rPr>
              <w:fldChar w:fldCharType="end"/>
            </w:r>
          </w:hyperlink>
        </w:p>
        <w:p w14:paraId="6937BCEA" w14:textId="503286F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1" w:history="1">
            <w:r w:rsidRPr="00C574D2">
              <w:rPr>
                <w:rStyle w:val="Hyperlink"/>
                <w:noProof/>
              </w:rPr>
              <w:t>9.1</w:t>
            </w:r>
            <w:r>
              <w:rPr>
                <w:rFonts w:eastAsiaTheme="minorEastAsia"/>
                <w:noProof/>
                <w:kern w:val="2"/>
                <w:sz w:val="24"/>
                <w:szCs w:val="24"/>
                <w:lang w:val="en-US"/>
                <w14:ligatures w14:val="standardContextual"/>
              </w:rPr>
              <w:tab/>
            </w:r>
            <w:r w:rsidRPr="00C574D2">
              <w:rPr>
                <w:rStyle w:val="Hyperlink"/>
                <w:noProof/>
              </w:rPr>
              <w:t>Review lifecycle cost every five years.</w:t>
            </w:r>
            <w:r>
              <w:rPr>
                <w:noProof/>
                <w:webHidden/>
              </w:rPr>
              <w:tab/>
            </w:r>
            <w:r>
              <w:rPr>
                <w:noProof/>
                <w:webHidden/>
              </w:rPr>
              <w:fldChar w:fldCharType="begin"/>
            </w:r>
            <w:r>
              <w:rPr>
                <w:noProof/>
                <w:webHidden/>
              </w:rPr>
              <w:instrText xml:space="preserve"> PAGEREF _Toc230791111 \h </w:instrText>
            </w:r>
            <w:r>
              <w:rPr>
                <w:noProof/>
                <w:webHidden/>
              </w:rPr>
            </w:r>
            <w:r>
              <w:rPr>
                <w:noProof/>
                <w:webHidden/>
              </w:rPr>
              <w:fldChar w:fldCharType="separate"/>
            </w:r>
            <w:r>
              <w:rPr>
                <w:noProof/>
                <w:webHidden/>
              </w:rPr>
              <w:t>45</w:t>
            </w:r>
            <w:r>
              <w:rPr>
                <w:noProof/>
                <w:webHidden/>
              </w:rPr>
              <w:fldChar w:fldCharType="end"/>
            </w:r>
          </w:hyperlink>
        </w:p>
        <w:p w14:paraId="1A574336" w14:textId="66E96623"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2" w:history="1">
            <w:r w:rsidRPr="00C574D2">
              <w:rPr>
                <w:rStyle w:val="Hyperlink"/>
                <w:noProof/>
              </w:rPr>
              <w:t>9.2</w:t>
            </w:r>
            <w:r>
              <w:rPr>
                <w:rFonts w:eastAsiaTheme="minorEastAsia"/>
                <w:noProof/>
                <w:kern w:val="2"/>
                <w:sz w:val="24"/>
                <w:szCs w:val="24"/>
                <w:lang w:val="en-US"/>
                <w14:ligatures w14:val="standardContextual"/>
              </w:rPr>
              <w:tab/>
            </w:r>
            <w:r w:rsidRPr="00C574D2">
              <w:rPr>
                <w:rStyle w:val="Hyperlink"/>
                <w:noProof/>
              </w:rPr>
              <w:t>Extend the turnaround planning window.</w:t>
            </w:r>
            <w:r>
              <w:rPr>
                <w:noProof/>
                <w:webHidden/>
              </w:rPr>
              <w:tab/>
            </w:r>
            <w:r>
              <w:rPr>
                <w:noProof/>
                <w:webHidden/>
              </w:rPr>
              <w:fldChar w:fldCharType="begin"/>
            </w:r>
            <w:r>
              <w:rPr>
                <w:noProof/>
                <w:webHidden/>
              </w:rPr>
              <w:instrText xml:space="preserve"> PAGEREF _Toc230791112 \h </w:instrText>
            </w:r>
            <w:r>
              <w:rPr>
                <w:noProof/>
                <w:webHidden/>
              </w:rPr>
            </w:r>
            <w:r>
              <w:rPr>
                <w:noProof/>
                <w:webHidden/>
              </w:rPr>
              <w:fldChar w:fldCharType="separate"/>
            </w:r>
            <w:r>
              <w:rPr>
                <w:noProof/>
                <w:webHidden/>
              </w:rPr>
              <w:t>45</w:t>
            </w:r>
            <w:r>
              <w:rPr>
                <w:noProof/>
                <w:webHidden/>
              </w:rPr>
              <w:fldChar w:fldCharType="end"/>
            </w:r>
          </w:hyperlink>
        </w:p>
        <w:p w14:paraId="20BA3F2B" w14:textId="69128310"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3" w:history="1">
            <w:r w:rsidRPr="00C574D2">
              <w:rPr>
                <w:rStyle w:val="Hyperlink"/>
                <w:noProof/>
              </w:rPr>
              <w:t>9.3</w:t>
            </w:r>
            <w:r>
              <w:rPr>
                <w:rFonts w:eastAsiaTheme="minorEastAsia"/>
                <w:noProof/>
                <w:kern w:val="2"/>
                <w:sz w:val="24"/>
                <w:szCs w:val="24"/>
                <w:lang w:val="en-US"/>
                <w14:ligatures w14:val="standardContextual"/>
              </w:rPr>
              <w:tab/>
            </w:r>
            <w:r w:rsidRPr="00C574D2">
              <w:rPr>
                <w:rStyle w:val="Hyperlink"/>
                <w:noProof/>
              </w:rPr>
              <w:t>Develop an internal design database.</w:t>
            </w:r>
            <w:r>
              <w:rPr>
                <w:noProof/>
                <w:webHidden/>
              </w:rPr>
              <w:tab/>
            </w:r>
            <w:r>
              <w:rPr>
                <w:noProof/>
                <w:webHidden/>
              </w:rPr>
              <w:fldChar w:fldCharType="begin"/>
            </w:r>
            <w:r>
              <w:rPr>
                <w:noProof/>
                <w:webHidden/>
              </w:rPr>
              <w:instrText xml:space="preserve"> PAGEREF _Toc230791113 \h </w:instrText>
            </w:r>
            <w:r>
              <w:rPr>
                <w:noProof/>
                <w:webHidden/>
              </w:rPr>
            </w:r>
            <w:r>
              <w:rPr>
                <w:noProof/>
                <w:webHidden/>
              </w:rPr>
              <w:fldChar w:fldCharType="separate"/>
            </w:r>
            <w:r>
              <w:rPr>
                <w:noProof/>
                <w:webHidden/>
              </w:rPr>
              <w:t>46</w:t>
            </w:r>
            <w:r>
              <w:rPr>
                <w:noProof/>
                <w:webHidden/>
              </w:rPr>
              <w:fldChar w:fldCharType="end"/>
            </w:r>
          </w:hyperlink>
        </w:p>
        <w:p w14:paraId="24161237" w14:textId="6E61F964"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4" w:history="1">
            <w:r w:rsidRPr="00C574D2">
              <w:rPr>
                <w:rStyle w:val="Hyperlink"/>
                <w:noProof/>
              </w:rPr>
              <w:t>9.4</w:t>
            </w:r>
            <w:r>
              <w:rPr>
                <w:rFonts w:eastAsiaTheme="minorEastAsia"/>
                <w:noProof/>
                <w:kern w:val="2"/>
                <w:sz w:val="24"/>
                <w:szCs w:val="24"/>
                <w:lang w:val="en-US"/>
                <w14:ligatures w14:val="standardContextual"/>
              </w:rPr>
              <w:tab/>
            </w:r>
            <w:r w:rsidRPr="00C574D2">
              <w:rPr>
                <w:rStyle w:val="Hyperlink"/>
                <w:noProof/>
              </w:rPr>
              <w:t>Conduct post-installation performance verification.</w:t>
            </w:r>
            <w:r>
              <w:rPr>
                <w:noProof/>
                <w:webHidden/>
              </w:rPr>
              <w:tab/>
            </w:r>
            <w:r>
              <w:rPr>
                <w:noProof/>
                <w:webHidden/>
              </w:rPr>
              <w:fldChar w:fldCharType="begin"/>
            </w:r>
            <w:r>
              <w:rPr>
                <w:noProof/>
                <w:webHidden/>
              </w:rPr>
              <w:instrText xml:space="preserve"> PAGEREF _Toc230791114 \h </w:instrText>
            </w:r>
            <w:r>
              <w:rPr>
                <w:noProof/>
                <w:webHidden/>
              </w:rPr>
            </w:r>
            <w:r>
              <w:rPr>
                <w:noProof/>
                <w:webHidden/>
              </w:rPr>
              <w:fldChar w:fldCharType="separate"/>
            </w:r>
            <w:r>
              <w:rPr>
                <w:noProof/>
                <w:webHidden/>
              </w:rPr>
              <w:t>46</w:t>
            </w:r>
            <w:r>
              <w:rPr>
                <w:noProof/>
                <w:webHidden/>
              </w:rPr>
              <w:fldChar w:fldCharType="end"/>
            </w:r>
          </w:hyperlink>
        </w:p>
        <w:p w14:paraId="7DC5874B" w14:textId="2C4C456B" w:rsidR="008174C0" w:rsidRDefault="008174C0" w:rsidP="008174C0">
          <w:pPr>
            <w:pStyle w:val="TOC1"/>
            <w:tabs>
              <w:tab w:val="left" w:pos="720"/>
              <w:tab w:val="right" w:leader="dot" w:pos="9016"/>
            </w:tabs>
            <w:spacing w:line="360" w:lineRule="auto"/>
            <w:rPr>
              <w:rFonts w:eastAsiaTheme="minorEastAsia"/>
              <w:noProof/>
              <w:kern w:val="2"/>
              <w:sz w:val="24"/>
              <w:szCs w:val="24"/>
              <w:lang w:val="en-US"/>
              <w14:ligatures w14:val="standardContextual"/>
            </w:rPr>
          </w:pPr>
          <w:hyperlink w:anchor="_Toc230791115" w:history="1">
            <w:r w:rsidRPr="00C574D2">
              <w:rPr>
                <w:rStyle w:val="Hyperlink"/>
                <w:noProof/>
              </w:rPr>
              <w:t>10</w:t>
            </w:r>
            <w:r>
              <w:rPr>
                <w:rFonts w:eastAsiaTheme="minorEastAsia"/>
                <w:noProof/>
                <w:kern w:val="2"/>
                <w:sz w:val="24"/>
                <w:szCs w:val="24"/>
                <w:lang w:val="en-US"/>
                <w14:ligatures w14:val="standardContextual"/>
              </w:rPr>
              <w:tab/>
            </w:r>
            <w:r w:rsidRPr="00C574D2">
              <w:rPr>
                <w:rStyle w:val="Hyperlink"/>
                <w:noProof/>
              </w:rPr>
              <w:t>Long-Term Future Considerations</w:t>
            </w:r>
            <w:r>
              <w:rPr>
                <w:noProof/>
                <w:webHidden/>
              </w:rPr>
              <w:tab/>
            </w:r>
            <w:r>
              <w:rPr>
                <w:noProof/>
                <w:webHidden/>
              </w:rPr>
              <w:fldChar w:fldCharType="begin"/>
            </w:r>
            <w:r>
              <w:rPr>
                <w:noProof/>
                <w:webHidden/>
              </w:rPr>
              <w:instrText xml:space="preserve"> PAGEREF _Toc230791115 \h </w:instrText>
            </w:r>
            <w:r>
              <w:rPr>
                <w:noProof/>
                <w:webHidden/>
              </w:rPr>
            </w:r>
            <w:r>
              <w:rPr>
                <w:noProof/>
                <w:webHidden/>
              </w:rPr>
              <w:fldChar w:fldCharType="separate"/>
            </w:r>
            <w:r>
              <w:rPr>
                <w:noProof/>
                <w:webHidden/>
              </w:rPr>
              <w:t>46</w:t>
            </w:r>
            <w:r>
              <w:rPr>
                <w:noProof/>
                <w:webHidden/>
              </w:rPr>
              <w:fldChar w:fldCharType="end"/>
            </w:r>
          </w:hyperlink>
        </w:p>
        <w:p w14:paraId="1DE434BF" w14:textId="30450846"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6" w:history="1">
            <w:r w:rsidRPr="00C574D2">
              <w:rPr>
                <w:rStyle w:val="Hyperlink"/>
                <w:noProof/>
              </w:rPr>
              <w:t>10.1</w:t>
            </w:r>
            <w:r>
              <w:rPr>
                <w:rFonts w:eastAsiaTheme="minorEastAsia"/>
                <w:noProof/>
                <w:kern w:val="2"/>
                <w:sz w:val="24"/>
                <w:szCs w:val="24"/>
                <w:lang w:val="en-US"/>
                <w14:ligatures w14:val="standardContextual"/>
              </w:rPr>
              <w:tab/>
            </w:r>
            <w:r w:rsidRPr="00C574D2">
              <w:rPr>
                <w:rStyle w:val="Hyperlink"/>
                <w:noProof/>
              </w:rPr>
              <w:t>Investigate alternative materials.</w:t>
            </w:r>
            <w:r>
              <w:rPr>
                <w:noProof/>
                <w:webHidden/>
              </w:rPr>
              <w:tab/>
            </w:r>
            <w:r>
              <w:rPr>
                <w:noProof/>
                <w:webHidden/>
              </w:rPr>
              <w:fldChar w:fldCharType="begin"/>
            </w:r>
            <w:r>
              <w:rPr>
                <w:noProof/>
                <w:webHidden/>
              </w:rPr>
              <w:instrText xml:space="preserve"> PAGEREF _Toc230791116 \h </w:instrText>
            </w:r>
            <w:r>
              <w:rPr>
                <w:noProof/>
                <w:webHidden/>
              </w:rPr>
            </w:r>
            <w:r>
              <w:rPr>
                <w:noProof/>
                <w:webHidden/>
              </w:rPr>
              <w:fldChar w:fldCharType="separate"/>
            </w:r>
            <w:r>
              <w:rPr>
                <w:noProof/>
                <w:webHidden/>
              </w:rPr>
              <w:t>46</w:t>
            </w:r>
            <w:r>
              <w:rPr>
                <w:noProof/>
                <w:webHidden/>
              </w:rPr>
              <w:fldChar w:fldCharType="end"/>
            </w:r>
          </w:hyperlink>
        </w:p>
        <w:p w14:paraId="56C83776" w14:textId="1305DF7E"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7" w:history="1">
            <w:r w:rsidRPr="00C574D2">
              <w:rPr>
                <w:rStyle w:val="Hyperlink"/>
                <w:noProof/>
              </w:rPr>
              <w:t>10.2</w:t>
            </w:r>
            <w:r>
              <w:rPr>
                <w:rFonts w:eastAsiaTheme="minorEastAsia"/>
                <w:noProof/>
                <w:kern w:val="2"/>
                <w:sz w:val="24"/>
                <w:szCs w:val="24"/>
                <w:lang w:val="en-US"/>
                <w14:ligatures w14:val="standardContextual"/>
              </w:rPr>
              <w:tab/>
            </w:r>
            <w:r w:rsidRPr="00C574D2">
              <w:rPr>
                <w:rStyle w:val="Hyperlink"/>
                <w:noProof/>
              </w:rPr>
              <w:t>Explore advanced manufacturing methods.</w:t>
            </w:r>
            <w:r>
              <w:rPr>
                <w:noProof/>
                <w:webHidden/>
              </w:rPr>
              <w:tab/>
            </w:r>
            <w:r>
              <w:rPr>
                <w:noProof/>
                <w:webHidden/>
              </w:rPr>
              <w:fldChar w:fldCharType="begin"/>
            </w:r>
            <w:r>
              <w:rPr>
                <w:noProof/>
                <w:webHidden/>
              </w:rPr>
              <w:instrText xml:space="preserve"> PAGEREF _Toc230791117 \h </w:instrText>
            </w:r>
            <w:r>
              <w:rPr>
                <w:noProof/>
                <w:webHidden/>
              </w:rPr>
            </w:r>
            <w:r>
              <w:rPr>
                <w:noProof/>
                <w:webHidden/>
              </w:rPr>
              <w:fldChar w:fldCharType="separate"/>
            </w:r>
            <w:r>
              <w:rPr>
                <w:noProof/>
                <w:webHidden/>
              </w:rPr>
              <w:t>46</w:t>
            </w:r>
            <w:r>
              <w:rPr>
                <w:noProof/>
                <w:webHidden/>
              </w:rPr>
              <w:fldChar w:fldCharType="end"/>
            </w:r>
          </w:hyperlink>
        </w:p>
        <w:p w14:paraId="5A048CEC" w14:textId="4B5DE05B"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8" w:history="1">
            <w:r w:rsidRPr="00C574D2">
              <w:rPr>
                <w:rStyle w:val="Hyperlink"/>
                <w:noProof/>
              </w:rPr>
              <w:t>10.3</w:t>
            </w:r>
            <w:r>
              <w:rPr>
                <w:rFonts w:eastAsiaTheme="minorEastAsia"/>
                <w:noProof/>
                <w:kern w:val="2"/>
                <w:sz w:val="24"/>
                <w:szCs w:val="24"/>
                <w:lang w:val="en-US"/>
                <w14:ligatures w14:val="standardContextual"/>
              </w:rPr>
              <w:tab/>
            </w:r>
            <w:r w:rsidRPr="00C574D2">
              <w:rPr>
                <w:rStyle w:val="Hyperlink"/>
                <w:noProof/>
              </w:rPr>
              <w:t>Implement digital twin technology for predictive analysis.</w:t>
            </w:r>
            <w:r>
              <w:rPr>
                <w:noProof/>
                <w:webHidden/>
              </w:rPr>
              <w:tab/>
            </w:r>
            <w:r>
              <w:rPr>
                <w:noProof/>
                <w:webHidden/>
              </w:rPr>
              <w:fldChar w:fldCharType="begin"/>
            </w:r>
            <w:r>
              <w:rPr>
                <w:noProof/>
                <w:webHidden/>
              </w:rPr>
              <w:instrText xml:space="preserve"> PAGEREF _Toc230791118 \h </w:instrText>
            </w:r>
            <w:r>
              <w:rPr>
                <w:noProof/>
                <w:webHidden/>
              </w:rPr>
            </w:r>
            <w:r>
              <w:rPr>
                <w:noProof/>
                <w:webHidden/>
              </w:rPr>
              <w:fldChar w:fldCharType="separate"/>
            </w:r>
            <w:r>
              <w:rPr>
                <w:noProof/>
                <w:webHidden/>
              </w:rPr>
              <w:t>46</w:t>
            </w:r>
            <w:r>
              <w:rPr>
                <w:noProof/>
                <w:webHidden/>
              </w:rPr>
              <w:fldChar w:fldCharType="end"/>
            </w:r>
          </w:hyperlink>
        </w:p>
        <w:p w14:paraId="7B9F1884" w14:textId="477E0494" w:rsidR="008174C0" w:rsidRDefault="008174C0" w:rsidP="008174C0">
          <w:pPr>
            <w:pStyle w:val="TOC2"/>
            <w:tabs>
              <w:tab w:val="left" w:pos="960"/>
              <w:tab w:val="right" w:leader="dot" w:pos="9016"/>
            </w:tabs>
            <w:spacing w:line="360" w:lineRule="auto"/>
            <w:rPr>
              <w:rFonts w:eastAsiaTheme="minorEastAsia"/>
              <w:noProof/>
              <w:kern w:val="2"/>
              <w:sz w:val="24"/>
              <w:szCs w:val="24"/>
              <w:lang w:val="en-US"/>
              <w14:ligatures w14:val="standardContextual"/>
            </w:rPr>
          </w:pPr>
          <w:hyperlink w:anchor="_Toc230791119" w:history="1">
            <w:r w:rsidRPr="00C574D2">
              <w:rPr>
                <w:rStyle w:val="Hyperlink"/>
                <w:noProof/>
              </w:rPr>
              <w:t>10.4</w:t>
            </w:r>
            <w:r>
              <w:rPr>
                <w:rFonts w:eastAsiaTheme="minorEastAsia"/>
                <w:noProof/>
                <w:kern w:val="2"/>
                <w:sz w:val="24"/>
                <w:szCs w:val="24"/>
                <w:lang w:val="en-US"/>
                <w14:ligatures w14:val="standardContextual"/>
              </w:rPr>
              <w:tab/>
            </w:r>
            <w:r w:rsidRPr="00C574D2">
              <w:rPr>
                <w:rStyle w:val="Hyperlink"/>
                <w:noProof/>
              </w:rPr>
              <w:t>Apply lessons learned to other refinery assets.</w:t>
            </w:r>
            <w:r>
              <w:rPr>
                <w:noProof/>
                <w:webHidden/>
              </w:rPr>
              <w:tab/>
            </w:r>
            <w:r>
              <w:rPr>
                <w:noProof/>
                <w:webHidden/>
              </w:rPr>
              <w:fldChar w:fldCharType="begin"/>
            </w:r>
            <w:r>
              <w:rPr>
                <w:noProof/>
                <w:webHidden/>
              </w:rPr>
              <w:instrText xml:space="preserve"> PAGEREF _Toc230791119 \h </w:instrText>
            </w:r>
            <w:r>
              <w:rPr>
                <w:noProof/>
                <w:webHidden/>
              </w:rPr>
            </w:r>
            <w:r>
              <w:rPr>
                <w:noProof/>
                <w:webHidden/>
              </w:rPr>
              <w:fldChar w:fldCharType="separate"/>
            </w:r>
            <w:r>
              <w:rPr>
                <w:noProof/>
                <w:webHidden/>
              </w:rPr>
              <w:t>47</w:t>
            </w:r>
            <w:r>
              <w:rPr>
                <w:noProof/>
                <w:webHidden/>
              </w:rPr>
              <w:fldChar w:fldCharType="end"/>
            </w:r>
          </w:hyperlink>
        </w:p>
        <w:p w14:paraId="217C778A" w14:textId="1653B27B" w:rsidR="008174C0" w:rsidRDefault="008174C0" w:rsidP="008174C0">
          <w:pPr>
            <w:pStyle w:val="TOC1"/>
            <w:tabs>
              <w:tab w:val="left" w:pos="720"/>
              <w:tab w:val="right" w:leader="dot" w:pos="9016"/>
            </w:tabs>
            <w:spacing w:line="360" w:lineRule="auto"/>
            <w:rPr>
              <w:rFonts w:eastAsiaTheme="minorEastAsia"/>
              <w:noProof/>
              <w:kern w:val="2"/>
              <w:sz w:val="24"/>
              <w:szCs w:val="24"/>
              <w:lang w:val="en-US"/>
              <w14:ligatures w14:val="standardContextual"/>
            </w:rPr>
          </w:pPr>
          <w:hyperlink w:anchor="_Toc230791120" w:history="1">
            <w:r w:rsidRPr="00C574D2">
              <w:rPr>
                <w:rStyle w:val="Hyperlink"/>
                <w:noProof/>
              </w:rPr>
              <w:t>11</w:t>
            </w:r>
            <w:r>
              <w:rPr>
                <w:rFonts w:eastAsiaTheme="minorEastAsia"/>
                <w:noProof/>
                <w:kern w:val="2"/>
                <w:sz w:val="24"/>
                <w:szCs w:val="24"/>
                <w:lang w:val="en-US"/>
                <w14:ligatures w14:val="standardContextual"/>
              </w:rPr>
              <w:tab/>
            </w:r>
            <w:r w:rsidRPr="00C574D2">
              <w:rPr>
                <w:rStyle w:val="Hyperlink"/>
                <w:noProof/>
              </w:rPr>
              <w:t>Conclusion</w:t>
            </w:r>
            <w:r>
              <w:rPr>
                <w:noProof/>
                <w:webHidden/>
              </w:rPr>
              <w:tab/>
            </w:r>
            <w:r>
              <w:rPr>
                <w:noProof/>
                <w:webHidden/>
              </w:rPr>
              <w:fldChar w:fldCharType="begin"/>
            </w:r>
            <w:r>
              <w:rPr>
                <w:noProof/>
                <w:webHidden/>
              </w:rPr>
              <w:instrText xml:space="preserve"> PAGEREF _Toc230791120 \h </w:instrText>
            </w:r>
            <w:r>
              <w:rPr>
                <w:noProof/>
                <w:webHidden/>
              </w:rPr>
            </w:r>
            <w:r>
              <w:rPr>
                <w:noProof/>
                <w:webHidden/>
              </w:rPr>
              <w:fldChar w:fldCharType="separate"/>
            </w:r>
            <w:r>
              <w:rPr>
                <w:noProof/>
                <w:webHidden/>
              </w:rPr>
              <w:t>48</w:t>
            </w:r>
            <w:r>
              <w:rPr>
                <w:noProof/>
                <w:webHidden/>
              </w:rPr>
              <w:fldChar w:fldCharType="end"/>
            </w:r>
          </w:hyperlink>
        </w:p>
        <w:p w14:paraId="3F02BF13" w14:textId="69B61A8D" w:rsidR="008174C0" w:rsidRDefault="008174C0" w:rsidP="008174C0">
          <w:pPr>
            <w:pStyle w:val="TOC1"/>
            <w:tabs>
              <w:tab w:val="left" w:pos="720"/>
              <w:tab w:val="right" w:leader="dot" w:pos="9016"/>
            </w:tabs>
            <w:spacing w:line="360" w:lineRule="auto"/>
            <w:rPr>
              <w:rFonts w:eastAsiaTheme="minorEastAsia"/>
              <w:noProof/>
              <w:kern w:val="2"/>
              <w:sz w:val="24"/>
              <w:szCs w:val="24"/>
              <w:lang w:val="en-US"/>
              <w14:ligatures w14:val="standardContextual"/>
            </w:rPr>
          </w:pPr>
          <w:hyperlink w:anchor="_Toc230791121" w:history="1">
            <w:r w:rsidRPr="00C574D2">
              <w:rPr>
                <w:rStyle w:val="Hyperlink"/>
                <w:noProof/>
              </w:rPr>
              <w:t>12</w:t>
            </w:r>
            <w:r>
              <w:rPr>
                <w:rFonts w:eastAsiaTheme="minorEastAsia"/>
                <w:noProof/>
                <w:kern w:val="2"/>
                <w:sz w:val="24"/>
                <w:szCs w:val="24"/>
                <w:lang w:val="en-US"/>
                <w14:ligatures w14:val="standardContextual"/>
              </w:rPr>
              <w:tab/>
            </w:r>
            <w:r w:rsidRPr="00C574D2">
              <w:rPr>
                <w:rStyle w:val="Hyperlink"/>
                <w:rFonts w:eastAsia="Times New Roman"/>
                <w:noProof/>
              </w:rPr>
              <w:t>Limitations and Future Work</w:t>
            </w:r>
            <w:r>
              <w:rPr>
                <w:noProof/>
                <w:webHidden/>
              </w:rPr>
              <w:tab/>
            </w:r>
            <w:r>
              <w:rPr>
                <w:noProof/>
                <w:webHidden/>
              </w:rPr>
              <w:fldChar w:fldCharType="begin"/>
            </w:r>
            <w:r>
              <w:rPr>
                <w:noProof/>
                <w:webHidden/>
              </w:rPr>
              <w:instrText xml:space="preserve"> PAGEREF _Toc230791121 \h </w:instrText>
            </w:r>
            <w:r>
              <w:rPr>
                <w:noProof/>
                <w:webHidden/>
              </w:rPr>
            </w:r>
            <w:r>
              <w:rPr>
                <w:noProof/>
                <w:webHidden/>
              </w:rPr>
              <w:fldChar w:fldCharType="separate"/>
            </w:r>
            <w:r>
              <w:rPr>
                <w:noProof/>
                <w:webHidden/>
              </w:rPr>
              <w:t>50</w:t>
            </w:r>
            <w:r>
              <w:rPr>
                <w:noProof/>
                <w:webHidden/>
              </w:rPr>
              <w:fldChar w:fldCharType="end"/>
            </w:r>
          </w:hyperlink>
        </w:p>
        <w:p w14:paraId="676922DA" w14:textId="3AAFCFD3" w:rsidR="008174C0" w:rsidRDefault="008174C0" w:rsidP="008174C0">
          <w:pPr>
            <w:pStyle w:val="TOC1"/>
            <w:tabs>
              <w:tab w:val="left" w:pos="720"/>
              <w:tab w:val="right" w:leader="dot" w:pos="9016"/>
            </w:tabs>
            <w:spacing w:line="360" w:lineRule="auto"/>
            <w:rPr>
              <w:rFonts w:eastAsiaTheme="minorEastAsia"/>
              <w:noProof/>
              <w:kern w:val="2"/>
              <w:sz w:val="24"/>
              <w:szCs w:val="24"/>
              <w:lang w:val="en-US"/>
              <w14:ligatures w14:val="standardContextual"/>
            </w:rPr>
          </w:pPr>
          <w:hyperlink w:anchor="_Toc230791122" w:history="1">
            <w:r w:rsidRPr="00C574D2">
              <w:rPr>
                <w:rStyle w:val="Hyperlink"/>
                <w:noProof/>
              </w:rPr>
              <w:t>13</w:t>
            </w:r>
            <w:r>
              <w:rPr>
                <w:rFonts w:eastAsiaTheme="minorEastAsia"/>
                <w:noProof/>
                <w:kern w:val="2"/>
                <w:sz w:val="24"/>
                <w:szCs w:val="24"/>
                <w:lang w:val="en-US"/>
                <w14:ligatures w14:val="standardContextual"/>
              </w:rPr>
              <w:tab/>
            </w:r>
            <w:r w:rsidRPr="00C574D2">
              <w:rPr>
                <w:rStyle w:val="Hyperlink"/>
                <w:rFonts w:eastAsia="Times New Roman"/>
                <w:noProof/>
              </w:rPr>
              <w:t>Professional Reflection</w:t>
            </w:r>
            <w:r>
              <w:rPr>
                <w:noProof/>
                <w:webHidden/>
              </w:rPr>
              <w:tab/>
            </w:r>
            <w:r>
              <w:rPr>
                <w:noProof/>
                <w:webHidden/>
              </w:rPr>
              <w:fldChar w:fldCharType="begin"/>
            </w:r>
            <w:r>
              <w:rPr>
                <w:noProof/>
                <w:webHidden/>
              </w:rPr>
              <w:instrText xml:space="preserve"> PAGEREF _Toc230791122 \h </w:instrText>
            </w:r>
            <w:r>
              <w:rPr>
                <w:noProof/>
                <w:webHidden/>
              </w:rPr>
            </w:r>
            <w:r>
              <w:rPr>
                <w:noProof/>
                <w:webHidden/>
              </w:rPr>
              <w:fldChar w:fldCharType="separate"/>
            </w:r>
            <w:r>
              <w:rPr>
                <w:noProof/>
                <w:webHidden/>
              </w:rPr>
              <w:t>52</w:t>
            </w:r>
            <w:r>
              <w:rPr>
                <w:noProof/>
                <w:webHidden/>
              </w:rPr>
              <w:fldChar w:fldCharType="end"/>
            </w:r>
          </w:hyperlink>
        </w:p>
        <w:p w14:paraId="476AF510" w14:textId="1ED2DA9F" w:rsidR="008174C0" w:rsidRDefault="008174C0" w:rsidP="008174C0">
          <w:pPr>
            <w:pStyle w:val="TOC1"/>
            <w:tabs>
              <w:tab w:val="left" w:pos="720"/>
              <w:tab w:val="right" w:leader="dot" w:pos="9016"/>
            </w:tabs>
            <w:spacing w:line="360" w:lineRule="auto"/>
            <w:rPr>
              <w:rFonts w:eastAsiaTheme="minorEastAsia"/>
              <w:noProof/>
              <w:kern w:val="2"/>
              <w:sz w:val="24"/>
              <w:szCs w:val="24"/>
              <w:lang w:val="en-US"/>
              <w14:ligatures w14:val="standardContextual"/>
            </w:rPr>
          </w:pPr>
          <w:hyperlink w:anchor="_Toc230791123" w:history="1">
            <w:r w:rsidRPr="00C574D2">
              <w:rPr>
                <w:rStyle w:val="Hyperlink"/>
                <w:rFonts w:cstheme="minorHAnsi"/>
                <w:noProof/>
              </w:rPr>
              <w:t>14</w:t>
            </w:r>
            <w:r>
              <w:rPr>
                <w:rFonts w:eastAsiaTheme="minorEastAsia"/>
                <w:noProof/>
                <w:kern w:val="2"/>
                <w:sz w:val="24"/>
                <w:szCs w:val="24"/>
                <w:lang w:val="en-US"/>
                <w14:ligatures w14:val="standardContextual"/>
              </w:rPr>
              <w:tab/>
            </w:r>
            <w:r w:rsidRPr="00C574D2">
              <w:rPr>
                <w:rStyle w:val="Hyperlink"/>
                <w:rFonts w:cstheme="minorHAnsi"/>
                <w:noProof/>
              </w:rPr>
              <w:t>References</w:t>
            </w:r>
            <w:r>
              <w:rPr>
                <w:noProof/>
                <w:webHidden/>
              </w:rPr>
              <w:tab/>
            </w:r>
            <w:r>
              <w:rPr>
                <w:noProof/>
                <w:webHidden/>
              </w:rPr>
              <w:fldChar w:fldCharType="begin"/>
            </w:r>
            <w:r>
              <w:rPr>
                <w:noProof/>
                <w:webHidden/>
              </w:rPr>
              <w:instrText xml:space="preserve"> PAGEREF _Toc230791123 \h </w:instrText>
            </w:r>
            <w:r>
              <w:rPr>
                <w:noProof/>
                <w:webHidden/>
              </w:rPr>
            </w:r>
            <w:r>
              <w:rPr>
                <w:noProof/>
                <w:webHidden/>
              </w:rPr>
              <w:fldChar w:fldCharType="separate"/>
            </w:r>
            <w:r>
              <w:rPr>
                <w:noProof/>
                <w:webHidden/>
              </w:rPr>
              <w:t>53</w:t>
            </w:r>
            <w:r>
              <w:rPr>
                <w:noProof/>
                <w:webHidden/>
              </w:rPr>
              <w:fldChar w:fldCharType="end"/>
            </w:r>
          </w:hyperlink>
        </w:p>
        <w:p w14:paraId="2CEA7063" w14:textId="6D4847EB" w:rsidR="00F44CEE" w:rsidRPr="005D574E" w:rsidRDefault="00F44CEE" w:rsidP="00CB6FBB">
          <w:pPr>
            <w:spacing w:line="360" w:lineRule="auto"/>
            <w:rPr>
              <w:rFonts w:cs="Arial"/>
              <w:sz w:val="22"/>
              <w:szCs w:val="22"/>
            </w:rPr>
          </w:pPr>
          <w:r w:rsidRPr="005D574E">
            <w:rPr>
              <w:rFonts w:cs="Arial"/>
              <w:b/>
              <w:bCs/>
              <w:noProof/>
              <w:sz w:val="22"/>
              <w:szCs w:val="22"/>
            </w:rPr>
            <w:fldChar w:fldCharType="end"/>
          </w:r>
        </w:p>
      </w:sdtContent>
    </w:sdt>
    <w:p w14:paraId="38E647D4" w14:textId="77777777" w:rsidR="00F44CEE" w:rsidRPr="005D574E" w:rsidRDefault="00F44CEE" w:rsidP="00CB6FBB">
      <w:pPr>
        <w:spacing w:line="360" w:lineRule="auto"/>
        <w:rPr>
          <w:rFonts w:cs="Arial"/>
          <w:sz w:val="22"/>
          <w:szCs w:val="22"/>
        </w:rPr>
      </w:pPr>
    </w:p>
    <w:p w14:paraId="25670DD4" w14:textId="557762B0" w:rsidR="007D643B" w:rsidRDefault="007D643B" w:rsidP="00CB6FBB">
      <w:pPr>
        <w:spacing w:after="160" w:line="360" w:lineRule="auto"/>
        <w:rPr>
          <w:rFonts w:cs="Arial"/>
          <w:sz w:val="22"/>
          <w:szCs w:val="22"/>
        </w:rPr>
      </w:pPr>
      <w:r>
        <w:rPr>
          <w:rFonts w:cs="Arial"/>
          <w:sz w:val="22"/>
          <w:szCs w:val="22"/>
        </w:rPr>
        <w:br w:type="page"/>
      </w:r>
    </w:p>
    <w:p w14:paraId="6CEBC9D0" w14:textId="77777777" w:rsidR="00F44CEE" w:rsidRPr="005D574E" w:rsidRDefault="00F44CEE" w:rsidP="00CB6FBB">
      <w:pPr>
        <w:pStyle w:val="Heading1"/>
        <w:numPr>
          <w:ilvl w:val="0"/>
          <w:numId w:val="0"/>
        </w:numPr>
        <w:spacing w:line="360" w:lineRule="auto"/>
        <w:ind w:left="432" w:hanging="432"/>
        <w:rPr>
          <w:rFonts w:ascii="Arial" w:hAnsi="Arial" w:cs="Arial"/>
          <w:sz w:val="22"/>
          <w:szCs w:val="22"/>
        </w:rPr>
      </w:pPr>
      <w:bookmarkStart w:id="2" w:name="_Toc230791053"/>
      <w:r w:rsidRPr="005D574E">
        <w:rPr>
          <w:rFonts w:ascii="Arial" w:hAnsi="Arial" w:cs="Arial"/>
          <w:sz w:val="22"/>
          <w:szCs w:val="22"/>
        </w:rPr>
        <w:lastRenderedPageBreak/>
        <w:t>Table of Figures</w:t>
      </w:r>
      <w:bookmarkEnd w:id="2"/>
    </w:p>
    <w:p w14:paraId="6F1986E4" w14:textId="6B9477EC" w:rsidR="008174C0" w:rsidRPr="00394A20" w:rsidRDefault="009A73C6"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r w:rsidRPr="005D574E">
        <w:rPr>
          <w:rFonts w:ascii="Arial" w:hAnsi="Arial" w:cs="Arial"/>
        </w:rPr>
        <w:fldChar w:fldCharType="begin"/>
      </w:r>
      <w:r w:rsidRPr="005D574E">
        <w:rPr>
          <w:rFonts w:ascii="Arial" w:hAnsi="Arial" w:cs="Arial"/>
        </w:rPr>
        <w:instrText xml:space="preserve"> TOC \h \z \c "Figure" </w:instrText>
      </w:r>
      <w:r w:rsidRPr="005D574E">
        <w:rPr>
          <w:rFonts w:ascii="Arial" w:hAnsi="Arial" w:cs="Arial"/>
        </w:rPr>
        <w:fldChar w:fldCharType="separate"/>
      </w:r>
      <w:hyperlink w:anchor="_Toc230791124" w:history="1">
        <w:r w:rsidR="008174C0" w:rsidRPr="00394A20">
          <w:rPr>
            <w:rStyle w:val="Hyperlink"/>
            <w:rFonts w:ascii="Arial" w:hAnsi="Arial" w:cs="Arial"/>
            <w:noProof/>
          </w:rPr>
          <w:t>Figure 1 - Shows gas flow direction, separator layout, and relationship between regenerator, TSS, and stack</w:t>
        </w:r>
        <w:r w:rsidR="008174C0" w:rsidRPr="00394A20">
          <w:rPr>
            <w:rFonts w:ascii="Arial" w:hAnsi="Arial" w:cs="Arial"/>
            <w:noProof/>
            <w:webHidden/>
          </w:rPr>
          <w:tab/>
        </w:r>
        <w:r w:rsidR="008174C0" w:rsidRPr="00394A20">
          <w:rPr>
            <w:rFonts w:ascii="Arial" w:hAnsi="Arial" w:cs="Arial"/>
            <w:noProof/>
            <w:webHidden/>
          </w:rPr>
          <w:fldChar w:fldCharType="begin"/>
        </w:r>
        <w:r w:rsidR="008174C0" w:rsidRPr="00394A20">
          <w:rPr>
            <w:rFonts w:ascii="Arial" w:hAnsi="Arial" w:cs="Arial"/>
            <w:noProof/>
            <w:webHidden/>
          </w:rPr>
          <w:instrText xml:space="preserve"> PAGEREF _Toc230791124 \h </w:instrText>
        </w:r>
        <w:r w:rsidR="008174C0" w:rsidRPr="00394A20">
          <w:rPr>
            <w:rFonts w:ascii="Arial" w:hAnsi="Arial" w:cs="Arial"/>
            <w:noProof/>
            <w:webHidden/>
          </w:rPr>
        </w:r>
        <w:r w:rsidR="008174C0" w:rsidRPr="00394A20">
          <w:rPr>
            <w:rFonts w:ascii="Arial" w:hAnsi="Arial" w:cs="Arial"/>
            <w:noProof/>
            <w:webHidden/>
          </w:rPr>
          <w:fldChar w:fldCharType="separate"/>
        </w:r>
        <w:r w:rsidR="008174C0" w:rsidRPr="00394A20">
          <w:rPr>
            <w:rFonts w:ascii="Arial" w:hAnsi="Arial" w:cs="Arial"/>
            <w:noProof/>
            <w:webHidden/>
          </w:rPr>
          <w:t>3</w:t>
        </w:r>
        <w:r w:rsidR="008174C0" w:rsidRPr="00394A20">
          <w:rPr>
            <w:rFonts w:ascii="Arial" w:hAnsi="Arial" w:cs="Arial"/>
            <w:noProof/>
            <w:webHidden/>
          </w:rPr>
          <w:fldChar w:fldCharType="end"/>
        </w:r>
      </w:hyperlink>
    </w:p>
    <w:p w14:paraId="4158C2C7" w14:textId="66A431FF"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25" w:history="1">
        <w:r w:rsidRPr="00394A20">
          <w:rPr>
            <w:rStyle w:val="Hyperlink"/>
            <w:rFonts w:ascii="Arial" w:hAnsi="Arial" w:cs="Arial"/>
            <w:noProof/>
          </w:rPr>
          <w:t>Figure 2 - Diagram showing axial cyclone components and flow direction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_Toc230791125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4</w:t>
        </w:r>
        <w:r w:rsidRPr="00394A20">
          <w:rPr>
            <w:rFonts w:ascii="Arial" w:hAnsi="Arial" w:cs="Arial"/>
            <w:noProof/>
            <w:webHidden/>
          </w:rPr>
          <w:fldChar w:fldCharType="end"/>
        </w:r>
      </w:hyperlink>
    </w:p>
    <w:p w14:paraId="05352024" w14:textId="0B94FE5C"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26" w:history="1">
        <w:r w:rsidRPr="00394A20">
          <w:rPr>
            <w:rStyle w:val="Hyperlink"/>
            <w:rFonts w:ascii="Arial" w:hAnsi="Arial" w:cs="Arial"/>
            <w:noProof/>
          </w:rPr>
          <w:t>Figure 3 - Cracked swirl vanes and alignment show design weaknesses</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_Toc230791126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5</w:t>
        </w:r>
        <w:r w:rsidRPr="00394A20">
          <w:rPr>
            <w:rFonts w:ascii="Arial" w:hAnsi="Arial" w:cs="Arial"/>
            <w:noProof/>
            <w:webHidden/>
          </w:rPr>
          <w:fldChar w:fldCharType="end"/>
        </w:r>
      </w:hyperlink>
    </w:p>
    <w:p w14:paraId="621EC25E" w14:textId="6D7BDF4B"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27" w:history="1">
        <w:r w:rsidRPr="00394A20">
          <w:rPr>
            <w:rStyle w:val="Hyperlink"/>
            <w:rFonts w:ascii="Arial" w:hAnsi="Arial" w:cs="Arial"/>
            <w:noProof/>
          </w:rPr>
          <w:t>Figure 4 - Schematic representation of sigma-phase formation and associated embrittlement in 304H stainless steel (adapted from Hau &amp; Seijas, 2006)</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_Toc230791127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7</w:t>
        </w:r>
        <w:r w:rsidRPr="00394A20">
          <w:rPr>
            <w:rFonts w:ascii="Arial" w:hAnsi="Arial" w:cs="Arial"/>
            <w:noProof/>
            <w:webHidden/>
          </w:rPr>
          <w:fldChar w:fldCharType="end"/>
        </w:r>
      </w:hyperlink>
    </w:p>
    <w:p w14:paraId="51138051" w14:textId="18F79EF8"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28" w:history="1">
        <w:r w:rsidRPr="00394A20">
          <w:rPr>
            <w:rStyle w:val="Hyperlink"/>
            <w:rFonts w:ascii="Arial" w:hAnsi="Arial" w:cs="Arial"/>
            <w:noProof/>
          </w:rPr>
          <w:t>Figure 5 - Inlet gas tube cracking</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_Toc230791128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10</w:t>
        </w:r>
        <w:r w:rsidRPr="00394A20">
          <w:rPr>
            <w:rFonts w:ascii="Arial" w:hAnsi="Arial" w:cs="Arial"/>
            <w:noProof/>
            <w:webHidden/>
          </w:rPr>
          <w:fldChar w:fldCharType="end"/>
        </w:r>
      </w:hyperlink>
    </w:p>
    <w:p w14:paraId="742E7A0A" w14:textId="73ED542B"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29" w:history="1">
        <w:r w:rsidRPr="00394A20">
          <w:rPr>
            <w:rStyle w:val="Hyperlink"/>
            <w:rFonts w:ascii="Arial" w:hAnsi="Arial" w:cs="Arial"/>
            <w:noProof/>
          </w:rPr>
          <w:t>Figure 6 - Temporary hook installation design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_Toc230791129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11</w:t>
        </w:r>
        <w:r w:rsidRPr="00394A20">
          <w:rPr>
            <w:rFonts w:ascii="Arial" w:hAnsi="Arial" w:cs="Arial"/>
            <w:noProof/>
            <w:webHidden/>
          </w:rPr>
          <w:fldChar w:fldCharType="end"/>
        </w:r>
      </w:hyperlink>
    </w:p>
    <w:p w14:paraId="360CD0F0" w14:textId="255A1796"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0" w:history="1">
        <w:r w:rsidRPr="00394A20">
          <w:rPr>
            <w:rStyle w:val="Hyperlink"/>
            <w:rFonts w:ascii="Arial" w:hAnsi="Arial" w:cs="Arial"/>
            <w:noProof/>
          </w:rPr>
          <w:t>Figure 7 -</w:t>
        </w:r>
        <w:r w:rsidRPr="00394A20">
          <w:rPr>
            <w:rStyle w:val="Hyperlink"/>
            <w:rFonts w:ascii="Arial" w:hAnsi="Arial" w:cs="Arial"/>
            <w:b/>
            <w:bCs/>
            <w:noProof/>
          </w:rPr>
          <w:t xml:space="preserve"> </w:t>
        </w:r>
        <w:r w:rsidRPr="00394A20">
          <w:rPr>
            <w:rStyle w:val="Hyperlink"/>
            <w:rFonts w:ascii="Arial" w:hAnsi="Arial" w:cs="Arial"/>
            <w:noProof/>
          </w:rPr>
          <w:t>Preliminary New Shell Replacement Design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_Toc230791130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12</w:t>
        </w:r>
        <w:r w:rsidRPr="00394A20">
          <w:rPr>
            <w:rFonts w:ascii="Arial" w:hAnsi="Arial" w:cs="Arial"/>
            <w:noProof/>
            <w:webHidden/>
          </w:rPr>
          <w:fldChar w:fldCharType="end"/>
        </w:r>
      </w:hyperlink>
    </w:p>
    <w:p w14:paraId="24B8520B" w14:textId="15E16896"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1" w:history="1">
        <w:r w:rsidRPr="00394A20">
          <w:rPr>
            <w:rStyle w:val="Hyperlink"/>
            <w:rFonts w:ascii="Arial" w:hAnsi="Arial" w:cs="Arial"/>
            <w:noProof/>
          </w:rPr>
          <w:t>Figure 8 - TSS Replacement – Existing vs New Comparison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_Toc230791131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14</w:t>
        </w:r>
        <w:r w:rsidRPr="00394A20">
          <w:rPr>
            <w:rFonts w:ascii="Arial" w:hAnsi="Arial" w:cs="Arial"/>
            <w:noProof/>
            <w:webHidden/>
          </w:rPr>
          <w:fldChar w:fldCharType="end"/>
        </w:r>
      </w:hyperlink>
    </w:p>
    <w:p w14:paraId="4E303514" w14:textId="7C44FC76"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2" w:history="1">
        <w:r w:rsidRPr="00394A20">
          <w:rPr>
            <w:rStyle w:val="Hyperlink"/>
            <w:rFonts w:ascii="Arial" w:hAnsi="Arial" w:cs="Arial"/>
            <w:noProof/>
          </w:rPr>
          <w:t>Figure 9 - Cracked welds found in TSS</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_Toc230791132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15</w:t>
        </w:r>
        <w:r w:rsidRPr="00394A20">
          <w:rPr>
            <w:rFonts w:ascii="Arial" w:hAnsi="Arial" w:cs="Arial"/>
            <w:noProof/>
            <w:webHidden/>
          </w:rPr>
          <w:fldChar w:fldCharType="end"/>
        </w:r>
      </w:hyperlink>
    </w:p>
    <w:p w14:paraId="2A712C3D" w14:textId="7BFFFA68"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3" w:history="1">
        <w:r w:rsidRPr="00394A20">
          <w:rPr>
            <w:rStyle w:val="Hyperlink"/>
            <w:rFonts w:ascii="Arial" w:hAnsi="Arial" w:cs="Arial"/>
            <w:noProof/>
          </w:rPr>
          <w:t>Figure 10 - the layout of the J-hooks fitted to each cyclone assembly</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_Toc230791133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17</w:t>
        </w:r>
        <w:r w:rsidRPr="00394A20">
          <w:rPr>
            <w:rFonts w:ascii="Arial" w:hAnsi="Arial" w:cs="Arial"/>
            <w:noProof/>
            <w:webHidden/>
          </w:rPr>
          <w:fldChar w:fldCharType="end"/>
        </w:r>
      </w:hyperlink>
    </w:p>
    <w:p w14:paraId="52BAF02F" w14:textId="572D23E4"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4" w:history="1">
        <w:r w:rsidRPr="00394A20">
          <w:rPr>
            <w:rStyle w:val="Hyperlink"/>
            <w:rFonts w:ascii="Arial" w:hAnsi="Arial" w:cs="Arial"/>
            <w:noProof/>
          </w:rPr>
          <w:t>Figure 11 - Cost Estimate</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_Toc230791134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20</w:t>
        </w:r>
        <w:r w:rsidRPr="00394A20">
          <w:rPr>
            <w:rFonts w:ascii="Arial" w:hAnsi="Arial" w:cs="Arial"/>
            <w:noProof/>
            <w:webHidden/>
          </w:rPr>
          <w:fldChar w:fldCharType="end"/>
        </w:r>
      </w:hyperlink>
    </w:p>
    <w:p w14:paraId="689D149D" w14:textId="21DED83F"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5" w:history="1">
        <w:r w:rsidRPr="00394A20">
          <w:rPr>
            <w:rStyle w:val="Hyperlink"/>
            <w:rFonts w:ascii="Arial" w:hAnsi="Arial" w:cs="Arial"/>
            <w:noProof/>
          </w:rPr>
          <w:t>Figure 12 – High Level</w:t>
        </w:r>
        <w:r w:rsidRPr="00394A20">
          <w:rPr>
            <w:rStyle w:val="Hyperlink"/>
            <w:rFonts w:ascii="Arial" w:hAnsi="Arial" w:cs="Arial"/>
            <w:b/>
            <w:bCs/>
            <w:noProof/>
          </w:rPr>
          <w:t xml:space="preserve"> </w:t>
        </w:r>
        <w:r w:rsidRPr="00394A20">
          <w:rPr>
            <w:rStyle w:val="Hyperlink"/>
            <w:rFonts w:ascii="Arial" w:hAnsi="Arial" w:cs="Arial"/>
            <w:noProof/>
          </w:rPr>
          <w:t>Schedule &amp; Execution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_Toc230791135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21</w:t>
        </w:r>
        <w:r w:rsidRPr="00394A20">
          <w:rPr>
            <w:rFonts w:ascii="Arial" w:hAnsi="Arial" w:cs="Arial"/>
            <w:noProof/>
            <w:webHidden/>
          </w:rPr>
          <w:fldChar w:fldCharType="end"/>
        </w:r>
      </w:hyperlink>
    </w:p>
    <w:p w14:paraId="6D2CA732" w14:textId="4AC90566"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6" w:history="1">
        <w:r w:rsidRPr="00394A20">
          <w:rPr>
            <w:rStyle w:val="Hyperlink"/>
            <w:rFonts w:ascii="Arial" w:hAnsi="Arial" w:cs="Arial"/>
            <w:noProof/>
          </w:rPr>
          <w:t>Figure 13 - High Level Project Completion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_Toc230791136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21</w:t>
        </w:r>
        <w:r w:rsidRPr="00394A20">
          <w:rPr>
            <w:rFonts w:ascii="Arial" w:hAnsi="Arial" w:cs="Arial"/>
            <w:noProof/>
            <w:webHidden/>
          </w:rPr>
          <w:fldChar w:fldCharType="end"/>
        </w:r>
      </w:hyperlink>
    </w:p>
    <w:p w14:paraId="65171309" w14:textId="444893DB"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7" w:history="1">
        <w:r w:rsidRPr="00394A20">
          <w:rPr>
            <w:rStyle w:val="Hyperlink"/>
            <w:rFonts w:ascii="Arial" w:hAnsi="Arial" w:cs="Arial"/>
            <w:noProof/>
          </w:rPr>
          <w:t>Figure 14 -</w:t>
        </w:r>
        <w:r w:rsidRPr="00394A20">
          <w:rPr>
            <w:rStyle w:val="Hyperlink"/>
            <w:rFonts w:ascii="Arial" w:hAnsi="Arial" w:cs="Arial"/>
            <w:b/>
            <w:bCs/>
            <w:noProof/>
          </w:rPr>
          <w:t xml:space="preserve"> </w:t>
        </w:r>
        <w:r w:rsidRPr="00394A20">
          <w:rPr>
            <w:rStyle w:val="Hyperlink"/>
            <w:rFonts w:ascii="Arial" w:hAnsi="Arial" w:cs="Arial"/>
            <w:noProof/>
          </w:rPr>
          <w:t>Preliminary Shell TSS Design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_Toc230791137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22</w:t>
        </w:r>
        <w:r w:rsidRPr="00394A20">
          <w:rPr>
            <w:rFonts w:ascii="Arial" w:hAnsi="Arial" w:cs="Arial"/>
            <w:noProof/>
            <w:webHidden/>
          </w:rPr>
          <w:fldChar w:fldCharType="end"/>
        </w:r>
      </w:hyperlink>
    </w:p>
    <w:p w14:paraId="4142336F" w14:textId="143CB10E"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8" w:history="1">
        <w:r w:rsidRPr="00394A20">
          <w:rPr>
            <w:rStyle w:val="Hyperlink"/>
            <w:rFonts w:ascii="Arial" w:hAnsi="Arial" w:cs="Arial"/>
            <w:noProof/>
          </w:rPr>
          <w:t>Figure 15 -</w:t>
        </w:r>
        <w:r w:rsidRPr="00394A20">
          <w:rPr>
            <w:rStyle w:val="Hyperlink"/>
            <w:rFonts w:ascii="Arial" w:eastAsia="Times New Roman" w:hAnsi="Arial" w:cs="Arial"/>
            <w:b/>
            <w:bCs/>
            <w:noProof/>
            <w:lang w:eastAsia="en-GB"/>
          </w:rPr>
          <w:t xml:space="preserve"> </w:t>
        </w:r>
        <w:r w:rsidRPr="00394A20">
          <w:rPr>
            <w:rStyle w:val="Hyperlink"/>
            <w:rFonts w:ascii="Arial" w:hAnsi="Arial" w:cs="Arial"/>
            <w:noProof/>
          </w:rPr>
          <w:t>FCC TSS iso-kinetic sampling locations: A – TSS inlet, B – TSS overflow, C – Fourth-stage overflow, and D – stack (Valero, 2025).</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_Toc230791138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23</w:t>
        </w:r>
        <w:r w:rsidRPr="00394A20">
          <w:rPr>
            <w:rFonts w:ascii="Arial" w:hAnsi="Arial" w:cs="Arial"/>
            <w:noProof/>
            <w:webHidden/>
          </w:rPr>
          <w:fldChar w:fldCharType="end"/>
        </w:r>
      </w:hyperlink>
    </w:p>
    <w:p w14:paraId="23BC0A22" w14:textId="09CD8E70"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39" w:history="1">
        <w:r w:rsidRPr="00394A20">
          <w:rPr>
            <w:rStyle w:val="Hyperlink"/>
            <w:rFonts w:ascii="Arial" w:hAnsi="Arial" w:cs="Arial"/>
            <w:noProof/>
          </w:rPr>
          <w:t>Figure 16 -</w:t>
        </w:r>
        <w:r w:rsidRPr="00394A20">
          <w:rPr>
            <w:rStyle w:val="Hyperlink"/>
            <w:rFonts w:ascii="Arial" w:hAnsi="Arial" w:cs="Arial"/>
            <w:b/>
            <w:bCs/>
            <w:noProof/>
          </w:rPr>
          <w:t xml:space="preserve"> </w:t>
        </w:r>
        <w:r w:rsidRPr="00394A20">
          <w:rPr>
            <w:rStyle w:val="Hyperlink"/>
            <w:rFonts w:ascii="Arial" w:hAnsi="Arial" w:cs="Arial"/>
            <w:noProof/>
          </w:rPr>
          <w:t>Cracking at Swirl Tube and Alignment Can Welds</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_Toc230791139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26</w:t>
        </w:r>
        <w:r w:rsidRPr="00394A20">
          <w:rPr>
            <w:rFonts w:ascii="Arial" w:hAnsi="Arial" w:cs="Arial"/>
            <w:noProof/>
            <w:webHidden/>
          </w:rPr>
          <w:fldChar w:fldCharType="end"/>
        </w:r>
      </w:hyperlink>
    </w:p>
    <w:p w14:paraId="7FDD87E6" w14:textId="770149BC"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40" w:history="1">
        <w:r w:rsidRPr="00394A20">
          <w:rPr>
            <w:rStyle w:val="Hyperlink"/>
            <w:rFonts w:ascii="Arial" w:hAnsi="Arial" w:cs="Arial"/>
            <w:noProof/>
          </w:rPr>
          <w:t>Figure 17 - Iso-Kinetic Sampling Locations</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_Toc230791140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30</w:t>
        </w:r>
        <w:r w:rsidRPr="00394A20">
          <w:rPr>
            <w:rFonts w:ascii="Arial" w:hAnsi="Arial" w:cs="Arial"/>
            <w:noProof/>
            <w:webHidden/>
          </w:rPr>
          <w:fldChar w:fldCharType="end"/>
        </w:r>
      </w:hyperlink>
    </w:p>
    <w:p w14:paraId="70B382AE" w14:textId="011D4CA5"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41" w:history="1">
        <w:r w:rsidRPr="00394A20">
          <w:rPr>
            <w:rStyle w:val="Hyperlink"/>
            <w:rFonts w:ascii="Arial" w:hAnsi="Arial" w:cs="Arial"/>
            <w:noProof/>
          </w:rPr>
          <w:t>Figure 18 - Frequency of walnut washing per quarter since 2019 to mitigate increased PRT expander vibrations as a result of catalyst accumulation.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_Toc230791141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31</w:t>
        </w:r>
        <w:r w:rsidRPr="00394A20">
          <w:rPr>
            <w:rFonts w:ascii="Arial" w:hAnsi="Arial" w:cs="Arial"/>
            <w:noProof/>
            <w:webHidden/>
          </w:rPr>
          <w:fldChar w:fldCharType="end"/>
        </w:r>
      </w:hyperlink>
    </w:p>
    <w:p w14:paraId="31A93E6E" w14:textId="7D2C8358"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42" w:history="1">
        <w:r w:rsidRPr="00394A20">
          <w:rPr>
            <w:rStyle w:val="Hyperlink"/>
            <w:rFonts w:ascii="Arial" w:hAnsi="Arial" w:cs="Arial"/>
            <w:noProof/>
          </w:rPr>
          <w:t>Figure 19 - Preliminary Shell TSS Design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_Toc230791142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34</w:t>
        </w:r>
        <w:r w:rsidRPr="00394A20">
          <w:rPr>
            <w:rFonts w:ascii="Arial" w:hAnsi="Arial" w:cs="Arial"/>
            <w:noProof/>
            <w:webHidden/>
          </w:rPr>
          <w:fldChar w:fldCharType="end"/>
        </w:r>
      </w:hyperlink>
    </w:p>
    <w:p w14:paraId="44CCC71F" w14:textId="49C155F2"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43" w:history="1">
        <w:r w:rsidRPr="00394A20">
          <w:rPr>
            <w:rStyle w:val="Hyperlink"/>
            <w:rFonts w:ascii="Arial" w:hAnsi="Arial" w:cs="Arial"/>
            <w:noProof/>
          </w:rPr>
          <w:t>Figure 20 - Comparative risk levels for key categories before and after the replacement of the Pembroke FCC Third Stage Separator.</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_Toc230791143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38</w:t>
        </w:r>
        <w:r w:rsidRPr="00394A20">
          <w:rPr>
            <w:rFonts w:ascii="Arial" w:hAnsi="Arial" w:cs="Arial"/>
            <w:noProof/>
            <w:webHidden/>
          </w:rPr>
          <w:fldChar w:fldCharType="end"/>
        </w:r>
      </w:hyperlink>
    </w:p>
    <w:p w14:paraId="7EFFBCD6" w14:textId="475634A8"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44" w:history="1">
        <w:r w:rsidRPr="00394A20">
          <w:rPr>
            <w:rStyle w:val="Hyperlink"/>
            <w:rFonts w:ascii="Arial" w:hAnsi="Arial" w:cs="Arial"/>
            <w:noProof/>
          </w:rPr>
          <w:t>Figure 21 - TSS Replacement – Existing vs New Comparison</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_Toc230791144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39</w:t>
        </w:r>
        <w:r w:rsidRPr="00394A20">
          <w:rPr>
            <w:rFonts w:ascii="Arial" w:hAnsi="Arial" w:cs="Arial"/>
            <w:noProof/>
            <w:webHidden/>
          </w:rPr>
          <w:fldChar w:fldCharType="end"/>
        </w:r>
      </w:hyperlink>
    </w:p>
    <w:p w14:paraId="33FC5002" w14:textId="34A0FE2C" w:rsidR="008174C0" w:rsidRPr="00394A20" w:rsidRDefault="008174C0" w:rsidP="00D03689">
      <w:pPr>
        <w:pStyle w:val="TableofFigures"/>
        <w:tabs>
          <w:tab w:val="right" w:leader="dot" w:pos="9016"/>
        </w:tabs>
        <w:spacing w:line="360" w:lineRule="auto"/>
        <w:rPr>
          <w:rFonts w:ascii="Arial" w:eastAsiaTheme="minorEastAsia" w:hAnsi="Arial" w:cs="Arial"/>
          <w:noProof/>
          <w:kern w:val="2"/>
          <w:sz w:val="24"/>
          <w:szCs w:val="24"/>
          <w:lang w:val="en-US"/>
          <w14:ligatures w14:val="standardContextual"/>
        </w:rPr>
      </w:pPr>
      <w:hyperlink w:anchor="_Toc230791145" w:history="1">
        <w:r w:rsidRPr="00394A20">
          <w:rPr>
            <w:rStyle w:val="Hyperlink"/>
            <w:rFonts w:ascii="Arial" w:hAnsi="Arial" w:cs="Arial"/>
            <w:noProof/>
          </w:rPr>
          <w:t>Figure 22 - Schedule &amp; Permitting slide with the full Gantt chart showing phases from 2026–2027</w:t>
        </w:r>
        <w:r w:rsidRPr="00394A20">
          <w:rPr>
            <w:rFonts w:ascii="Arial" w:hAnsi="Arial" w:cs="Arial"/>
            <w:noProof/>
            <w:webHidden/>
          </w:rPr>
          <w:tab/>
        </w:r>
        <w:r w:rsidRPr="00394A20">
          <w:rPr>
            <w:rFonts w:ascii="Arial" w:hAnsi="Arial" w:cs="Arial"/>
            <w:noProof/>
            <w:webHidden/>
          </w:rPr>
          <w:fldChar w:fldCharType="begin"/>
        </w:r>
        <w:r w:rsidRPr="00394A20">
          <w:rPr>
            <w:rFonts w:ascii="Arial" w:hAnsi="Arial" w:cs="Arial"/>
            <w:noProof/>
            <w:webHidden/>
          </w:rPr>
          <w:instrText xml:space="preserve"> PAGEREF _Toc230791145 \h </w:instrText>
        </w:r>
        <w:r w:rsidRPr="00394A20">
          <w:rPr>
            <w:rFonts w:ascii="Arial" w:hAnsi="Arial" w:cs="Arial"/>
            <w:noProof/>
            <w:webHidden/>
          </w:rPr>
        </w:r>
        <w:r w:rsidRPr="00394A20">
          <w:rPr>
            <w:rFonts w:ascii="Arial" w:hAnsi="Arial" w:cs="Arial"/>
            <w:noProof/>
            <w:webHidden/>
          </w:rPr>
          <w:fldChar w:fldCharType="separate"/>
        </w:r>
        <w:r w:rsidRPr="00394A20">
          <w:rPr>
            <w:rFonts w:ascii="Arial" w:hAnsi="Arial" w:cs="Arial"/>
            <w:noProof/>
            <w:webHidden/>
          </w:rPr>
          <w:t>40</w:t>
        </w:r>
        <w:r w:rsidRPr="00394A20">
          <w:rPr>
            <w:rFonts w:ascii="Arial" w:hAnsi="Arial" w:cs="Arial"/>
            <w:noProof/>
            <w:webHidden/>
          </w:rPr>
          <w:fldChar w:fldCharType="end"/>
        </w:r>
      </w:hyperlink>
    </w:p>
    <w:p w14:paraId="57216339" w14:textId="719636B6" w:rsidR="00F44CEE" w:rsidRDefault="009A73C6" w:rsidP="008174C0">
      <w:pPr>
        <w:spacing w:line="360" w:lineRule="auto"/>
        <w:rPr>
          <w:rFonts w:cs="Arial"/>
          <w:b/>
          <w:bCs/>
          <w:noProof/>
          <w:sz w:val="22"/>
          <w:szCs w:val="22"/>
          <w:lang w:val="en-US"/>
        </w:rPr>
      </w:pPr>
      <w:r w:rsidRPr="005D574E">
        <w:rPr>
          <w:rFonts w:cs="Arial"/>
          <w:b/>
          <w:bCs/>
          <w:noProof/>
          <w:sz w:val="22"/>
          <w:szCs w:val="22"/>
          <w:lang w:val="en-US"/>
        </w:rPr>
        <w:fldChar w:fldCharType="end"/>
      </w:r>
    </w:p>
    <w:p w14:paraId="2B17F9D9" w14:textId="77777777" w:rsidR="004C15C7" w:rsidRDefault="004C15C7" w:rsidP="00CB6FBB">
      <w:pPr>
        <w:spacing w:line="360" w:lineRule="auto"/>
        <w:rPr>
          <w:noProof/>
          <w:lang w:val="en-US"/>
        </w:rPr>
      </w:pPr>
    </w:p>
    <w:p w14:paraId="3D3CB43A" w14:textId="77777777" w:rsidR="004C15C7" w:rsidRDefault="004C15C7" w:rsidP="00CB6FBB">
      <w:pPr>
        <w:spacing w:line="360" w:lineRule="auto"/>
        <w:rPr>
          <w:lang w:val="en-US" w:eastAsia="en-US"/>
        </w:rPr>
      </w:pPr>
    </w:p>
    <w:p w14:paraId="5645AFBB" w14:textId="77777777" w:rsidR="004C15C7" w:rsidRDefault="004C15C7" w:rsidP="00CB6FBB">
      <w:pPr>
        <w:spacing w:line="360" w:lineRule="auto"/>
        <w:rPr>
          <w:lang w:val="en-US" w:eastAsia="en-US"/>
        </w:rPr>
      </w:pPr>
    </w:p>
    <w:p w14:paraId="491B3235" w14:textId="77777777" w:rsidR="004C15C7" w:rsidRDefault="004C15C7" w:rsidP="00CB6FBB">
      <w:pPr>
        <w:spacing w:line="360" w:lineRule="auto"/>
        <w:rPr>
          <w:lang w:val="en-US" w:eastAsia="en-US"/>
        </w:rPr>
      </w:pPr>
    </w:p>
    <w:p w14:paraId="4ED978D7" w14:textId="77777777" w:rsidR="004C15C7" w:rsidRDefault="004C15C7" w:rsidP="00CB6FBB">
      <w:pPr>
        <w:spacing w:line="360" w:lineRule="auto"/>
        <w:rPr>
          <w:lang w:val="en-US" w:eastAsia="en-US"/>
        </w:rPr>
      </w:pPr>
    </w:p>
    <w:p w14:paraId="3A99032D" w14:textId="13415506" w:rsidR="004C15C7" w:rsidRDefault="004C15C7" w:rsidP="00CB6FBB">
      <w:pPr>
        <w:pStyle w:val="Heading1"/>
        <w:numPr>
          <w:ilvl w:val="0"/>
          <w:numId w:val="0"/>
        </w:numPr>
        <w:spacing w:line="360" w:lineRule="auto"/>
        <w:rPr>
          <w:noProof/>
          <w:lang w:val="en-US"/>
        </w:rPr>
      </w:pPr>
      <w:bookmarkStart w:id="3" w:name="_Toc230791054"/>
      <w:r>
        <w:rPr>
          <w:noProof/>
          <w:lang w:val="en-US"/>
        </w:rPr>
        <w:lastRenderedPageBreak/>
        <w:t>Table of Tables</w:t>
      </w:r>
      <w:bookmarkEnd w:id="3"/>
    </w:p>
    <w:p w14:paraId="7AEDB60A" w14:textId="54936997" w:rsidR="008174C0" w:rsidRDefault="004C15C7" w:rsidP="008174C0">
      <w:pPr>
        <w:pStyle w:val="TableofFigures"/>
        <w:tabs>
          <w:tab w:val="right" w:leader="dot" w:pos="9016"/>
        </w:tabs>
        <w:spacing w:line="360" w:lineRule="auto"/>
        <w:rPr>
          <w:rFonts w:eastAsiaTheme="minorEastAsia"/>
          <w:noProof/>
          <w:kern w:val="2"/>
          <w:sz w:val="24"/>
          <w:szCs w:val="24"/>
          <w:lang w:val="en-US"/>
          <w14:ligatures w14:val="standardContextual"/>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230791155" w:history="1">
        <w:r w:rsidR="008174C0" w:rsidRPr="003E771A">
          <w:rPr>
            <w:rStyle w:val="Hyperlink"/>
            <w:noProof/>
          </w:rPr>
          <w:t>Table 1 -</w:t>
        </w:r>
        <w:r w:rsidR="008174C0" w:rsidRPr="003E771A">
          <w:rPr>
            <w:rStyle w:val="Hyperlink"/>
            <w:rFonts w:ascii="Arial" w:hAnsi="Arial" w:cs="Arial"/>
            <w:noProof/>
          </w:rPr>
          <w:t xml:space="preserve"> Metallurgical Replication Results Summary</w:t>
        </w:r>
        <w:r w:rsidR="008174C0">
          <w:rPr>
            <w:noProof/>
            <w:webHidden/>
          </w:rPr>
          <w:tab/>
        </w:r>
        <w:r w:rsidR="008174C0">
          <w:rPr>
            <w:noProof/>
            <w:webHidden/>
          </w:rPr>
          <w:fldChar w:fldCharType="begin"/>
        </w:r>
        <w:r w:rsidR="008174C0">
          <w:rPr>
            <w:noProof/>
            <w:webHidden/>
          </w:rPr>
          <w:instrText xml:space="preserve"> PAGEREF _Toc230791155 \h </w:instrText>
        </w:r>
        <w:r w:rsidR="008174C0">
          <w:rPr>
            <w:noProof/>
            <w:webHidden/>
          </w:rPr>
        </w:r>
        <w:r w:rsidR="008174C0">
          <w:rPr>
            <w:noProof/>
            <w:webHidden/>
          </w:rPr>
          <w:fldChar w:fldCharType="separate"/>
        </w:r>
        <w:r w:rsidR="008174C0">
          <w:rPr>
            <w:noProof/>
            <w:webHidden/>
          </w:rPr>
          <w:t>9</w:t>
        </w:r>
        <w:r w:rsidR="008174C0">
          <w:rPr>
            <w:noProof/>
            <w:webHidden/>
          </w:rPr>
          <w:fldChar w:fldCharType="end"/>
        </w:r>
      </w:hyperlink>
    </w:p>
    <w:p w14:paraId="0C6D8590" w14:textId="67FDFC82"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56" w:history="1">
        <w:r w:rsidRPr="003E771A">
          <w:rPr>
            <w:rStyle w:val="Hyperlink"/>
            <w:noProof/>
          </w:rPr>
          <w:t>Table 2 -Metallurgical test results showing hardness and microstructural observations from 304H stainless</w:t>
        </w:r>
        <w:r>
          <w:rPr>
            <w:noProof/>
            <w:webHidden/>
          </w:rPr>
          <w:tab/>
        </w:r>
        <w:r>
          <w:rPr>
            <w:noProof/>
            <w:webHidden/>
          </w:rPr>
          <w:fldChar w:fldCharType="begin"/>
        </w:r>
        <w:r>
          <w:rPr>
            <w:noProof/>
            <w:webHidden/>
          </w:rPr>
          <w:instrText xml:space="preserve"> PAGEREF _Toc230791156 \h </w:instrText>
        </w:r>
        <w:r>
          <w:rPr>
            <w:noProof/>
            <w:webHidden/>
          </w:rPr>
        </w:r>
        <w:r>
          <w:rPr>
            <w:noProof/>
            <w:webHidden/>
          </w:rPr>
          <w:fldChar w:fldCharType="separate"/>
        </w:r>
        <w:r>
          <w:rPr>
            <w:noProof/>
            <w:webHidden/>
          </w:rPr>
          <w:t>16</w:t>
        </w:r>
        <w:r>
          <w:rPr>
            <w:noProof/>
            <w:webHidden/>
          </w:rPr>
          <w:fldChar w:fldCharType="end"/>
        </w:r>
      </w:hyperlink>
    </w:p>
    <w:p w14:paraId="60A99664" w14:textId="26EFE192"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57" w:history="1">
        <w:r w:rsidRPr="003E771A">
          <w:rPr>
            <w:rStyle w:val="Hyperlink"/>
            <w:noProof/>
          </w:rPr>
          <w:t>Table 3 -</w:t>
        </w:r>
        <w:r w:rsidRPr="003E771A">
          <w:rPr>
            <w:rStyle w:val="Hyperlink"/>
            <w:rFonts w:ascii="Arial" w:hAnsi="Arial" w:cs="Arial"/>
            <w:b/>
            <w:bCs/>
            <w:noProof/>
          </w:rPr>
          <w:t xml:space="preserve"> </w:t>
        </w:r>
        <w:r w:rsidRPr="003E771A">
          <w:rPr>
            <w:rStyle w:val="Hyperlink"/>
            <w:rFonts w:ascii="Arial" w:hAnsi="Arial" w:cs="Arial"/>
            <w:noProof/>
          </w:rPr>
          <w:t>Duration Comparison Between In-situ Repair and Vessel Replacement</w:t>
        </w:r>
        <w:r>
          <w:rPr>
            <w:noProof/>
            <w:webHidden/>
          </w:rPr>
          <w:tab/>
        </w:r>
        <w:r>
          <w:rPr>
            <w:noProof/>
            <w:webHidden/>
          </w:rPr>
          <w:fldChar w:fldCharType="begin"/>
        </w:r>
        <w:r>
          <w:rPr>
            <w:noProof/>
            <w:webHidden/>
          </w:rPr>
          <w:instrText xml:space="preserve"> PAGEREF _Toc230791157 \h </w:instrText>
        </w:r>
        <w:r>
          <w:rPr>
            <w:noProof/>
            <w:webHidden/>
          </w:rPr>
        </w:r>
        <w:r>
          <w:rPr>
            <w:noProof/>
            <w:webHidden/>
          </w:rPr>
          <w:fldChar w:fldCharType="separate"/>
        </w:r>
        <w:r>
          <w:rPr>
            <w:noProof/>
            <w:webHidden/>
          </w:rPr>
          <w:t>18</w:t>
        </w:r>
        <w:r>
          <w:rPr>
            <w:noProof/>
            <w:webHidden/>
          </w:rPr>
          <w:fldChar w:fldCharType="end"/>
        </w:r>
      </w:hyperlink>
    </w:p>
    <w:p w14:paraId="64FB5331" w14:textId="022DEEE5"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58" w:history="1">
        <w:r w:rsidRPr="003E771A">
          <w:rPr>
            <w:rStyle w:val="Hyperlink"/>
            <w:noProof/>
          </w:rPr>
          <w:t>Table 4 -</w:t>
        </w:r>
        <w:r w:rsidRPr="003E771A">
          <w:rPr>
            <w:rStyle w:val="Hyperlink"/>
            <w:rFonts w:ascii="Arial" w:hAnsi="Arial" w:cs="Arial"/>
            <w:b/>
            <w:bCs/>
            <w:noProof/>
          </w:rPr>
          <w:t xml:space="preserve"> </w:t>
        </w:r>
        <w:r w:rsidRPr="003E771A">
          <w:rPr>
            <w:rStyle w:val="Hyperlink"/>
            <w:rFonts w:ascii="Arial" w:hAnsi="Arial" w:cs="Arial"/>
            <w:noProof/>
          </w:rPr>
          <w:t>Cost Comparison</w:t>
        </w:r>
        <w:r>
          <w:rPr>
            <w:noProof/>
            <w:webHidden/>
          </w:rPr>
          <w:tab/>
        </w:r>
        <w:r>
          <w:rPr>
            <w:noProof/>
            <w:webHidden/>
          </w:rPr>
          <w:fldChar w:fldCharType="begin"/>
        </w:r>
        <w:r>
          <w:rPr>
            <w:noProof/>
            <w:webHidden/>
          </w:rPr>
          <w:instrText xml:space="preserve"> PAGEREF _Toc230791158 \h </w:instrText>
        </w:r>
        <w:r>
          <w:rPr>
            <w:noProof/>
            <w:webHidden/>
          </w:rPr>
        </w:r>
        <w:r>
          <w:rPr>
            <w:noProof/>
            <w:webHidden/>
          </w:rPr>
          <w:fldChar w:fldCharType="separate"/>
        </w:r>
        <w:r>
          <w:rPr>
            <w:noProof/>
            <w:webHidden/>
          </w:rPr>
          <w:t>19</w:t>
        </w:r>
        <w:r>
          <w:rPr>
            <w:noProof/>
            <w:webHidden/>
          </w:rPr>
          <w:fldChar w:fldCharType="end"/>
        </w:r>
      </w:hyperlink>
    </w:p>
    <w:p w14:paraId="18B368FA" w14:textId="39FBB8F7"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59" w:history="1">
        <w:r w:rsidRPr="003E771A">
          <w:rPr>
            <w:rStyle w:val="Hyperlink"/>
            <w:noProof/>
          </w:rPr>
          <w:t>Table 5 -</w:t>
        </w:r>
        <w:r w:rsidRPr="003E771A">
          <w:rPr>
            <w:rStyle w:val="Hyperlink"/>
            <w:rFonts w:ascii="Arial" w:hAnsi="Arial" w:cs="Arial"/>
            <w:b/>
            <w:bCs/>
            <w:noProof/>
          </w:rPr>
          <w:t xml:space="preserve"> </w:t>
        </w:r>
        <w:r w:rsidRPr="003E771A">
          <w:rPr>
            <w:rStyle w:val="Hyperlink"/>
            <w:rFonts w:ascii="Arial" w:hAnsi="Arial" w:cs="Arial"/>
            <w:noProof/>
          </w:rPr>
          <w:t>Option Evaluation Summary</w:t>
        </w:r>
        <w:r>
          <w:rPr>
            <w:noProof/>
            <w:webHidden/>
          </w:rPr>
          <w:tab/>
        </w:r>
        <w:r>
          <w:rPr>
            <w:noProof/>
            <w:webHidden/>
          </w:rPr>
          <w:fldChar w:fldCharType="begin"/>
        </w:r>
        <w:r>
          <w:rPr>
            <w:noProof/>
            <w:webHidden/>
          </w:rPr>
          <w:instrText xml:space="preserve"> PAGEREF _Toc230791159 \h </w:instrText>
        </w:r>
        <w:r>
          <w:rPr>
            <w:noProof/>
            <w:webHidden/>
          </w:rPr>
        </w:r>
        <w:r>
          <w:rPr>
            <w:noProof/>
            <w:webHidden/>
          </w:rPr>
          <w:fldChar w:fldCharType="separate"/>
        </w:r>
        <w:r>
          <w:rPr>
            <w:noProof/>
            <w:webHidden/>
          </w:rPr>
          <w:t>24</w:t>
        </w:r>
        <w:r>
          <w:rPr>
            <w:noProof/>
            <w:webHidden/>
          </w:rPr>
          <w:fldChar w:fldCharType="end"/>
        </w:r>
      </w:hyperlink>
    </w:p>
    <w:p w14:paraId="35CF010F" w14:textId="62F021D6"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60" w:history="1">
        <w:r w:rsidRPr="003E771A">
          <w:rPr>
            <w:rStyle w:val="Hyperlink"/>
            <w:noProof/>
          </w:rPr>
          <w:t>Table 6 -</w:t>
        </w:r>
        <w:r w:rsidRPr="003E771A">
          <w:rPr>
            <w:rStyle w:val="Hyperlink"/>
            <w:rFonts w:ascii="Arial" w:hAnsi="Arial" w:cs="Arial"/>
            <w:noProof/>
          </w:rPr>
          <w:t xml:space="preserve"> gas velocity through each cyclone comparison</w:t>
        </w:r>
        <w:r>
          <w:rPr>
            <w:noProof/>
            <w:webHidden/>
          </w:rPr>
          <w:tab/>
        </w:r>
        <w:r>
          <w:rPr>
            <w:noProof/>
            <w:webHidden/>
          </w:rPr>
          <w:fldChar w:fldCharType="begin"/>
        </w:r>
        <w:r>
          <w:rPr>
            <w:noProof/>
            <w:webHidden/>
          </w:rPr>
          <w:instrText xml:space="preserve"> PAGEREF _Toc230791160 \h </w:instrText>
        </w:r>
        <w:r>
          <w:rPr>
            <w:noProof/>
            <w:webHidden/>
          </w:rPr>
        </w:r>
        <w:r>
          <w:rPr>
            <w:noProof/>
            <w:webHidden/>
          </w:rPr>
          <w:fldChar w:fldCharType="separate"/>
        </w:r>
        <w:r>
          <w:rPr>
            <w:noProof/>
            <w:webHidden/>
          </w:rPr>
          <w:t>31</w:t>
        </w:r>
        <w:r>
          <w:rPr>
            <w:noProof/>
            <w:webHidden/>
          </w:rPr>
          <w:fldChar w:fldCharType="end"/>
        </w:r>
      </w:hyperlink>
    </w:p>
    <w:p w14:paraId="616865CD" w14:textId="5BEC3676"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61" w:history="1">
        <w:r w:rsidRPr="003E771A">
          <w:rPr>
            <w:rStyle w:val="Hyperlink"/>
            <w:noProof/>
          </w:rPr>
          <w:t xml:space="preserve">Table 7 - </w:t>
        </w:r>
        <w:r w:rsidRPr="003E771A">
          <w:rPr>
            <w:rStyle w:val="Hyperlink"/>
            <w:rFonts w:ascii="Arial" w:hAnsi="Arial" w:cs="Arial"/>
            <w:noProof/>
          </w:rPr>
          <w:t>Duration Comparison Between In-situ Repair and Vessel Replacement</w:t>
        </w:r>
        <w:r>
          <w:rPr>
            <w:noProof/>
            <w:webHidden/>
          </w:rPr>
          <w:tab/>
        </w:r>
        <w:r>
          <w:rPr>
            <w:noProof/>
            <w:webHidden/>
          </w:rPr>
          <w:fldChar w:fldCharType="begin"/>
        </w:r>
        <w:r>
          <w:rPr>
            <w:noProof/>
            <w:webHidden/>
          </w:rPr>
          <w:instrText xml:space="preserve"> PAGEREF _Toc230791161 \h </w:instrText>
        </w:r>
        <w:r>
          <w:rPr>
            <w:noProof/>
            <w:webHidden/>
          </w:rPr>
        </w:r>
        <w:r>
          <w:rPr>
            <w:noProof/>
            <w:webHidden/>
          </w:rPr>
          <w:fldChar w:fldCharType="separate"/>
        </w:r>
        <w:r>
          <w:rPr>
            <w:noProof/>
            <w:webHidden/>
          </w:rPr>
          <w:t>33</w:t>
        </w:r>
        <w:r>
          <w:rPr>
            <w:noProof/>
            <w:webHidden/>
          </w:rPr>
          <w:fldChar w:fldCharType="end"/>
        </w:r>
      </w:hyperlink>
    </w:p>
    <w:p w14:paraId="7D166301" w14:textId="4C67E6E9"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62" w:history="1">
        <w:r w:rsidRPr="003E771A">
          <w:rPr>
            <w:rStyle w:val="Hyperlink"/>
            <w:noProof/>
          </w:rPr>
          <w:t xml:space="preserve">Table 8 - </w:t>
        </w:r>
        <w:r w:rsidRPr="003E771A">
          <w:rPr>
            <w:rStyle w:val="Hyperlink"/>
            <w:rFonts w:ascii="Arial" w:hAnsi="Arial" w:cs="Arial"/>
            <w:noProof/>
          </w:rPr>
          <w:t>Cost Estimate Comparison</w:t>
        </w:r>
        <w:r>
          <w:rPr>
            <w:noProof/>
            <w:webHidden/>
          </w:rPr>
          <w:tab/>
        </w:r>
        <w:r>
          <w:rPr>
            <w:noProof/>
            <w:webHidden/>
          </w:rPr>
          <w:fldChar w:fldCharType="begin"/>
        </w:r>
        <w:r>
          <w:rPr>
            <w:noProof/>
            <w:webHidden/>
          </w:rPr>
          <w:instrText xml:space="preserve"> PAGEREF _Toc230791162 \h </w:instrText>
        </w:r>
        <w:r>
          <w:rPr>
            <w:noProof/>
            <w:webHidden/>
          </w:rPr>
        </w:r>
        <w:r>
          <w:rPr>
            <w:noProof/>
            <w:webHidden/>
          </w:rPr>
          <w:fldChar w:fldCharType="separate"/>
        </w:r>
        <w:r>
          <w:rPr>
            <w:noProof/>
            <w:webHidden/>
          </w:rPr>
          <w:t>33</w:t>
        </w:r>
        <w:r>
          <w:rPr>
            <w:noProof/>
            <w:webHidden/>
          </w:rPr>
          <w:fldChar w:fldCharType="end"/>
        </w:r>
      </w:hyperlink>
    </w:p>
    <w:p w14:paraId="5EE10F07" w14:textId="322467CF" w:rsidR="008174C0" w:rsidRDefault="008174C0" w:rsidP="008174C0">
      <w:pPr>
        <w:pStyle w:val="TableofFigures"/>
        <w:tabs>
          <w:tab w:val="right" w:leader="dot" w:pos="9016"/>
        </w:tabs>
        <w:spacing w:line="360" w:lineRule="auto"/>
        <w:rPr>
          <w:rFonts w:eastAsiaTheme="minorEastAsia"/>
          <w:noProof/>
          <w:kern w:val="2"/>
          <w:sz w:val="24"/>
          <w:szCs w:val="24"/>
          <w:lang w:val="en-US"/>
          <w14:ligatures w14:val="standardContextual"/>
        </w:rPr>
      </w:pPr>
      <w:hyperlink w:anchor="_Toc230791163" w:history="1">
        <w:r w:rsidRPr="003E771A">
          <w:rPr>
            <w:rStyle w:val="Hyperlink"/>
            <w:noProof/>
          </w:rPr>
          <w:t>Table 9 - Summary of risk reduction achieved through the full replacement of the Pembroke FCC Third Stage Separator.</w:t>
        </w:r>
        <w:r>
          <w:rPr>
            <w:noProof/>
            <w:webHidden/>
          </w:rPr>
          <w:tab/>
        </w:r>
        <w:r>
          <w:rPr>
            <w:noProof/>
            <w:webHidden/>
          </w:rPr>
          <w:fldChar w:fldCharType="begin"/>
        </w:r>
        <w:r>
          <w:rPr>
            <w:noProof/>
            <w:webHidden/>
          </w:rPr>
          <w:instrText xml:space="preserve"> PAGEREF _Toc230791163 \h </w:instrText>
        </w:r>
        <w:r>
          <w:rPr>
            <w:noProof/>
            <w:webHidden/>
          </w:rPr>
        </w:r>
        <w:r>
          <w:rPr>
            <w:noProof/>
            <w:webHidden/>
          </w:rPr>
          <w:fldChar w:fldCharType="separate"/>
        </w:r>
        <w:r>
          <w:rPr>
            <w:noProof/>
            <w:webHidden/>
          </w:rPr>
          <w:t>37</w:t>
        </w:r>
        <w:r>
          <w:rPr>
            <w:noProof/>
            <w:webHidden/>
          </w:rPr>
          <w:fldChar w:fldCharType="end"/>
        </w:r>
      </w:hyperlink>
    </w:p>
    <w:p w14:paraId="579581A4" w14:textId="7B0A6E82" w:rsidR="007D643B" w:rsidRDefault="004C15C7" w:rsidP="00CB6FBB">
      <w:pPr>
        <w:spacing w:line="360" w:lineRule="auto"/>
        <w:rPr>
          <w:rFonts w:cs="Arial"/>
          <w:sz w:val="22"/>
          <w:szCs w:val="22"/>
        </w:rPr>
      </w:pPr>
      <w:r>
        <w:rPr>
          <w:rFonts w:cs="Arial"/>
          <w:sz w:val="22"/>
          <w:szCs w:val="22"/>
        </w:rPr>
        <w:fldChar w:fldCharType="end"/>
      </w:r>
    </w:p>
    <w:p w14:paraId="03532D7A" w14:textId="77777777" w:rsidR="007D643B" w:rsidRDefault="007D643B" w:rsidP="00CB6FBB">
      <w:pPr>
        <w:spacing w:after="160" w:line="360" w:lineRule="auto"/>
        <w:rPr>
          <w:rFonts w:cs="Arial"/>
          <w:sz w:val="22"/>
          <w:szCs w:val="22"/>
        </w:rPr>
      </w:pPr>
      <w:r>
        <w:rPr>
          <w:rFonts w:cs="Arial"/>
          <w:sz w:val="22"/>
          <w:szCs w:val="22"/>
        </w:rPr>
        <w:br w:type="page"/>
      </w:r>
    </w:p>
    <w:p w14:paraId="22FA39C1" w14:textId="77777777" w:rsidR="007D643B" w:rsidRDefault="007D643B" w:rsidP="00CB6FBB">
      <w:pPr>
        <w:pStyle w:val="Heading1"/>
        <w:spacing w:line="360" w:lineRule="auto"/>
        <w:sectPr w:rsidR="007D643B" w:rsidSect="008C45B2">
          <w:footerReference w:type="default" r:id="rId11"/>
          <w:pgSz w:w="11906" w:h="16838"/>
          <w:pgMar w:top="1440" w:right="1440" w:bottom="1440" w:left="1440" w:header="708" w:footer="708" w:gutter="0"/>
          <w:pgNumType w:start="0"/>
          <w:cols w:space="708"/>
          <w:titlePg/>
          <w:docGrid w:linePitch="360"/>
        </w:sectPr>
      </w:pPr>
    </w:p>
    <w:p w14:paraId="0D72AA8F" w14:textId="76E2BD39" w:rsidR="00F44CEE" w:rsidRPr="005D574E" w:rsidRDefault="00F44CEE" w:rsidP="00CB6FBB">
      <w:pPr>
        <w:pStyle w:val="Heading1"/>
        <w:spacing w:line="360" w:lineRule="auto"/>
      </w:pPr>
      <w:bookmarkStart w:id="4" w:name="_Toc230791055"/>
      <w:r w:rsidRPr="005D574E">
        <w:lastRenderedPageBreak/>
        <w:t>Introduction</w:t>
      </w:r>
      <w:bookmarkEnd w:id="4"/>
    </w:p>
    <w:p w14:paraId="6BCD1271" w14:textId="77777777" w:rsidR="005D574E" w:rsidRPr="005D574E" w:rsidRDefault="005D574E" w:rsidP="00CB6FBB">
      <w:pPr>
        <w:spacing w:line="360" w:lineRule="auto"/>
        <w:rPr>
          <w:rFonts w:cs="Arial"/>
          <w:lang w:eastAsia="en-US"/>
        </w:rPr>
      </w:pPr>
      <w:r w:rsidRPr="005D574E">
        <w:rPr>
          <w:rFonts w:cs="Arial"/>
          <w:lang w:eastAsia="en-US"/>
        </w:rPr>
        <w:t xml:space="preserve">This report focuses on the Third Stage Separator (TSS) at Pembroke Refinery’s Fluid Catalytic Cracking (FCC) unit. The TSS is responsible for removing catalyst fines from the flue gas before release to atmosphere and is essential in maintaining environmental compliance and protecting downstream equipment such as the expander and waste heat recovery system. Because Pembroke operates without a </w:t>
      </w:r>
      <w:proofErr w:type="spellStart"/>
      <w:r w:rsidRPr="005D574E">
        <w:rPr>
          <w:rFonts w:cs="Arial"/>
          <w:lang w:eastAsia="en-US"/>
        </w:rPr>
        <w:t>Belco</w:t>
      </w:r>
      <w:proofErr w:type="spellEnd"/>
      <w:r w:rsidRPr="005D574E">
        <w:rPr>
          <w:rFonts w:cs="Arial"/>
          <w:lang w:eastAsia="en-US"/>
        </w:rPr>
        <w:t xml:space="preserve"> Scrubber or Electrostatic Precipitator (ESP), the TSS is the refinery’s main defence against particulate emissions.</w:t>
      </w:r>
    </w:p>
    <w:p w14:paraId="354964B9" w14:textId="77777777" w:rsidR="005D574E" w:rsidRPr="005D574E" w:rsidRDefault="005D574E" w:rsidP="00CB6FBB">
      <w:pPr>
        <w:spacing w:line="360" w:lineRule="auto"/>
        <w:rPr>
          <w:rFonts w:cs="Arial"/>
          <w:lang w:eastAsia="en-US"/>
        </w:rPr>
      </w:pPr>
      <w:r w:rsidRPr="005D574E">
        <w:rPr>
          <w:rFonts w:cs="Arial"/>
          <w:lang w:eastAsia="en-US"/>
        </w:rPr>
        <w:t xml:space="preserve">The TSS currently in use was installed in 1982 as part of the original FCC construction. It consists of 112 axial-flow cyclones designed by Shell, manufactured from 304H stainless steel. Over four decades of high-temperature service and repeated thermal cycling have caused metallurgical degradation and cracking. Inspections and metallurgical tests carried out during the 2014 and 2021 turnarounds confirmed significant cracking at the swirl vane, swirl tube and alignment can </w:t>
      </w:r>
      <w:proofErr w:type="gramStart"/>
      <w:r w:rsidRPr="005D574E">
        <w:rPr>
          <w:rFonts w:cs="Arial"/>
          <w:lang w:eastAsia="en-US"/>
        </w:rPr>
        <w:t>welds</w:t>
      </w:r>
      <w:proofErr w:type="gramEnd"/>
      <w:r w:rsidRPr="005D574E">
        <w:rPr>
          <w:rFonts w:cs="Arial"/>
          <w:lang w:eastAsia="en-US"/>
        </w:rPr>
        <w:t>. Finite element analysis and metallurgical replication confirmed the primary cause as sigma-phase embrittlement, resulting in severe loss of ductility and fracture toughness in the weld and parent metal.</w:t>
      </w:r>
    </w:p>
    <w:p w14:paraId="5BA9E7CB" w14:textId="1158EA01" w:rsidR="005D574E" w:rsidRPr="005D574E" w:rsidRDefault="005D574E" w:rsidP="00CB6FBB">
      <w:pPr>
        <w:spacing w:line="360" w:lineRule="auto"/>
        <w:rPr>
          <w:rFonts w:cs="Arial"/>
          <w:lang w:eastAsia="en-US"/>
        </w:rPr>
      </w:pPr>
      <w:r w:rsidRPr="005D574E">
        <w:rPr>
          <w:rFonts w:cs="Arial"/>
          <w:lang w:eastAsia="en-US"/>
        </w:rPr>
        <w:t xml:space="preserve">In 2021, around 74 of the </w:t>
      </w:r>
      <w:r w:rsidR="00C06920" w:rsidRPr="005D574E">
        <w:rPr>
          <w:rFonts w:cs="Arial"/>
          <w:lang w:eastAsia="en-US"/>
        </w:rPr>
        <w:t>112-cyclone</w:t>
      </w:r>
      <w:r w:rsidRPr="005D574E">
        <w:rPr>
          <w:rFonts w:cs="Arial"/>
          <w:lang w:eastAsia="en-US"/>
        </w:rPr>
        <w:t xml:space="preserve"> swirl tube-to-swirl vane welds were found to be cracked, with over half extending more than halfway around the joint circumference. More than 70 percent of the swirl can-to-alignment can </w:t>
      </w:r>
      <w:proofErr w:type="gramStart"/>
      <w:r w:rsidRPr="005D574E">
        <w:rPr>
          <w:rFonts w:cs="Arial"/>
          <w:lang w:eastAsia="en-US"/>
        </w:rPr>
        <w:t>welds</w:t>
      </w:r>
      <w:proofErr w:type="gramEnd"/>
      <w:r w:rsidRPr="005D574E">
        <w:rPr>
          <w:rFonts w:cs="Arial"/>
          <w:lang w:eastAsia="en-US"/>
        </w:rPr>
        <w:t xml:space="preserve"> were also cracked. Repair attempts were unsuccessful, as further cracking occurred even with pre-heating. To maintain operation, a mechanical restraint system using J-hook supports was installed on all 112 cyclones to prevent internal components from detaching and falling into the vessel. Although effective as a temporary measure, this system was not Shell-approved and cannot be monitored for long-term integrity. It remains vulnerable to fatigue and thermal cycling.</w:t>
      </w:r>
    </w:p>
    <w:p w14:paraId="202E47BD" w14:textId="77777777" w:rsidR="005D574E" w:rsidRPr="005D574E" w:rsidRDefault="005D574E" w:rsidP="00CB6FBB">
      <w:pPr>
        <w:spacing w:line="360" w:lineRule="auto"/>
        <w:rPr>
          <w:rFonts w:cs="Arial"/>
          <w:lang w:eastAsia="en-US"/>
        </w:rPr>
      </w:pPr>
      <w:r w:rsidRPr="005D574E">
        <w:rPr>
          <w:rFonts w:cs="Arial"/>
          <w:lang w:eastAsia="en-US"/>
        </w:rPr>
        <w:t>Since the temporary repair, operational issues have continued. The FCC expander has shown higher fouling rates and vibration, requiring more frequent walnut washing. In 2023, there were three exceedances of permitted particulate emissions, confirming reduced TSS efficiency. Iso-kinetic sampling was planned to measure particulate concentrations and fines generation, but early data already indicate bypassing within the existing cyclone assemblies.</w:t>
      </w:r>
    </w:p>
    <w:p w14:paraId="2A82F434" w14:textId="77777777" w:rsidR="005D574E" w:rsidRPr="005D574E" w:rsidRDefault="005D574E" w:rsidP="00CB6FBB">
      <w:pPr>
        <w:spacing w:line="360" w:lineRule="auto"/>
        <w:rPr>
          <w:rFonts w:cs="Arial"/>
          <w:lang w:eastAsia="en-US"/>
        </w:rPr>
      </w:pPr>
      <w:r w:rsidRPr="005D574E">
        <w:rPr>
          <w:rFonts w:cs="Arial"/>
          <w:lang w:eastAsia="en-US"/>
        </w:rPr>
        <w:lastRenderedPageBreak/>
        <w:t xml:space="preserve">Due to the close spacing of the 112 cyclones (less than 8 inches apart), in-situ repair or replacement presents serious access and duration challenges. Sequential removal means extended downtime and high cost. The in-situ replacement option would take approximately 86 days oil-to-oil, compared with 48 days for full vessel replacement, and would result in an estimated lost profit of £39 million. The vessel itself, along with the expansion joint, bellows and </w:t>
      </w:r>
      <w:proofErr w:type="spellStart"/>
      <w:r w:rsidRPr="005D574E">
        <w:rPr>
          <w:rFonts w:cs="Arial"/>
          <w:lang w:eastAsia="en-US"/>
        </w:rPr>
        <w:t>tubesheets</w:t>
      </w:r>
      <w:proofErr w:type="spellEnd"/>
      <w:r w:rsidRPr="005D574E">
        <w:rPr>
          <w:rFonts w:cs="Arial"/>
          <w:lang w:eastAsia="en-US"/>
        </w:rPr>
        <w:t>, will exceed 50 years of service by 2034, further reducing reliability.</w:t>
      </w:r>
    </w:p>
    <w:p w14:paraId="7CDF40DC" w14:textId="77777777" w:rsidR="005D574E" w:rsidRPr="005D574E" w:rsidRDefault="005D574E" w:rsidP="00CB6FBB">
      <w:pPr>
        <w:spacing w:line="360" w:lineRule="auto"/>
        <w:rPr>
          <w:rFonts w:cs="Arial"/>
          <w:lang w:eastAsia="en-US"/>
        </w:rPr>
      </w:pPr>
      <w:r w:rsidRPr="005D574E">
        <w:rPr>
          <w:rFonts w:cs="Arial"/>
          <w:lang w:eastAsia="en-US"/>
        </w:rPr>
        <w:t>Shell, as the technology licensor, has confirmed that a full vessel replacement is the only practical and safe long-term solution. The replacement will follow an in-kind design but include modifications to improve reliability and reduce velocity. These changes include increasing the cyclone count from 112 to 144 and slightly enlarging the inlet and outlet nozzle diameters by approximately 2.5–4.5 percent. All other major vessel dimensions remain unchanged, maintaining compatibility with the existing FCC layout.</w:t>
      </w:r>
    </w:p>
    <w:p w14:paraId="1BC82D30" w14:textId="77777777" w:rsidR="005D574E" w:rsidRPr="005D574E" w:rsidRDefault="005D574E" w:rsidP="00CB6FBB">
      <w:pPr>
        <w:spacing w:line="360" w:lineRule="auto"/>
        <w:rPr>
          <w:rFonts w:cs="Arial"/>
          <w:lang w:eastAsia="en-US"/>
        </w:rPr>
      </w:pPr>
      <w:r w:rsidRPr="005D574E">
        <w:rPr>
          <w:rFonts w:cs="Arial"/>
          <w:lang w:eastAsia="en-US"/>
        </w:rPr>
        <w:t>The purpose of this project is to analyse the current condition of the TSS, identify the root causes of failure, and justify the engineering and economic basis for full vessel replacement. The report also evaluates how the new design will improve operational reliability, emissions control and overall FCC performance.</w:t>
      </w:r>
    </w:p>
    <w:p w14:paraId="697A4840" w14:textId="77777777" w:rsidR="005D574E" w:rsidRPr="005D574E" w:rsidRDefault="005D574E" w:rsidP="00CB6FBB">
      <w:pPr>
        <w:spacing w:line="360" w:lineRule="auto"/>
        <w:rPr>
          <w:rFonts w:cs="Arial"/>
          <w:lang w:eastAsia="en-US"/>
        </w:rPr>
      </w:pPr>
      <w:r w:rsidRPr="005D574E">
        <w:rPr>
          <w:rFonts w:cs="Arial"/>
          <w:lang w:eastAsia="en-US"/>
        </w:rPr>
        <w:t>This project is significant as it addresses one of the refinery’s main reliability risks and ensures compliance with environmental regulations. The replacement of the TSS will improve long-term stability, reduce unplanned downtime and restore efficient catalyst recovery for future operating cycles.</w:t>
      </w:r>
    </w:p>
    <w:p w14:paraId="7020D826" w14:textId="77777777" w:rsidR="005D574E" w:rsidRDefault="005D574E" w:rsidP="00CB6FBB">
      <w:pPr>
        <w:spacing w:line="360" w:lineRule="auto"/>
        <w:rPr>
          <w:rFonts w:cs="Arial"/>
          <w:lang w:eastAsia="en-US"/>
        </w:rPr>
      </w:pPr>
    </w:p>
    <w:p w14:paraId="46222099" w14:textId="77777777" w:rsidR="005D574E" w:rsidRDefault="005D574E" w:rsidP="00CB6FBB">
      <w:pPr>
        <w:spacing w:line="360" w:lineRule="auto"/>
        <w:rPr>
          <w:rFonts w:cs="Arial"/>
          <w:lang w:eastAsia="en-US"/>
        </w:rPr>
      </w:pPr>
    </w:p>
    <w:p w14:paraId="6978E740" w14:textId="77777777" w:rsidR="005D574E" w:rsidRDefault="005D574E" w:rsidP="00CB6FBB">
      <w:pPr>
        <w:spacing w:line="360" w:lineRule="auto"/>
        <w:rPr>
          <w:rFonts w:cs="Arial"/>
          <w:lang w:eastAsia="en-US"/>
        </w:rPr>
      </w:pPr>
    </w:p>
    <w:p w14:paraId="3327E803" w14:textId="77777777" w:rsidR="005D574E" w:rsidRDefault="005D574E" w:rsidP="00CB6FBB">
      <w:pPr>
        <w:spacing w:line="360" w:lineRule="auto"/>
        <w:rPr>
          <w:rFonts w:cs="Arial"/>
          <w:lang w:eastAsia="en-US"/>
        </w:rPr>
      </w:pPr>
    </w:p>
    <w:p w14:paraId="1D0D6CA0" w14:textId="77777777" w:rsidR="005D574E" w:rsidRDefault="005D574E" w:rsidP="00CB6FBB">
      <w:pPr>
        <w:spacing w:line="360" w:lineRule="auto"/>
        <w:rPr>
          <w:rFonts w:cs="Arial"/>
          <w:lang w:eastAsia="en-US"/>
        </w:rPr>
      </w:pPr>
    </w:p>
    <w:p w14:paraId="35144E7F" w14:textId="77777777" w:rsidR="005D574E" w:rsidRDefault="005D574E" w:rsidP="00CB6FBB">
      <w:pPr>
        <w:spacing w:line="360" w:lineRule="auto"/>
        <w:rPr>
          <w:rFonts w:cs="Arial"/>
          <w:lang w:eastAsia="en-US"/>
        </w:rPr>
      </w:pPr>
    </w:p>
    <w:p w14:paraId="0EEAB587" w14:textId="77777777" w:rsidR="005D574E" w:rsidRDefault="005D574E" w:rsidP="00CB6FBB">
      <w:pPr>
        <w:spacing w:line="360" w:lineRule="auto"/>
        <w:rPr>
          <w:rFonts w:cs="Arial"/>
          <w:lang w:eastAsia="en-US"/>
        </w:rPr>
      </w:pPr>
    </w:p>
    <w:p w14:paraId="0DD44E3B" w14:textId="77777777" w:rsidR="00050FC0" w:rsidRDefault="00050FC0" w:rsidP="00CB6FBB">
      <w:pPr>
        <w:spacing w:line="360" w:lineRule="auto"/>
        <w:rPr>
          <w:rFonts w:cs="Arial"/>
          <w:lang w:eastAsia="en-US"/>
        </w:rPr>
      </w:pPr>
    </w:p>
    <w:p w14:paraId="6EE30688" w14:textId="77777777" w:rsidR="00050FC0" w:rsidRDefault="00050FC0" w:rsidP="00CB6FBB">
      <w:pPr>
        <w:spacing w:line="360" w:lineRule="auto"/>
        <w:rPr>
          <w:rFonts w:cs="Arial"/>
          <w:lang w:eastAsia="en-US"/>
        </w:rPr>
      </w:pPr>
    </w:p>
    <w:p w14:paraId="648D7961" w14:textId="77777777" w:rsidR="005D574E" w:rsidRDefault="005D574E" w:rsidP="00CB6FBB">
      <w:pPr>
        <w:spacing w:line="360" w:lineRule="auto"/>
        <w:rPr>
          <w:rFonts w:cs="Arial"/>
          <w:lang w:eastAsia="en-US"/>
        </w:rPr>
      </w:pPr>
    </w:p>
    <w:p w14:paraId="353F9959" w14:textId="77777777" w:rsidR="005D574E" w:rsidRDefault="005D574E" w:rsidP="00CB6FBB">
      <w:pPr>
        <w:spacing w:line="360" w:lineRule="auto"/>
        <w:rPr>
          <w:rFonts w:cs="Arial"/>
          <w:lang w:eastAsia="en-US"/>
        </w:rPr>
      </w:pPr>
    </w:p>
    <w:p w14:paraId="3D7BDE9C" w14:textId="77777777" w:rsidR="005D574E" w:rsidRDefault="005D574E" w:rsidP="00CB6FBB">
      <w:pPr>
        <w:spacing w:line="360" w:lineRule="auto"/>
        <w:rPr>
          <w:rFonts w:cs="Arial"/>
          <w:lang w:eastAsia="en-US"/>
        </w:rPr>
      </w:pPr>
    </w:p>
    <w:p w14:paraId="0E752B74" w14:textId="77777777" w:rsidR="00BD646D" w:rsidRPr="00BD646D" w:rsidRDefault="00BD646D" w:rsidP="00CB6FBB">
      <w:pPr>
        <w:pStyle w:val="Heading1"/>
        <w:spacing w:line="360" w:lineRule="auto"/>
      </w:pPr>
      <w:bookmarkStart w:id="5" w:name="_Toc230791056"/>
      <w:r w:rsidRPr="00BD646D">
        <w:lastRenderedPageBreak/>
        <w:t>Literature Review</w:t>
      </w:r>
      <w:bookmarkEnd w:id="5"/>
    </w:p>
    <w:p w14:paraId="4010B704" w14:textId="77777777" w:rsidR="00BD646D" w:rsidRPr="00BD646D" w:rsidRDefault="00BD646D" w:rsidP="00CB6FBB">
      <w:pPr>
        <w:spacing w:line="360" w:lineRule="auto"/>
        <w:rPr>
          <w:rFonts w:cs="Arial"/>
        </w:rPr>
      </w:pPr>
      <w:r w:rsidRPr="00BD646D">
        <w:rPr>
          <w:rFonts w:cs="Arial"/>
        </w:rPr>
        <w:t>Effective gas–solid separation is a fundamental process in Fluid Catalytic Cracking (FCC) units and is critical for both efficiency and environmental compliance. The Third Stage Separator (TSS) is the final line of defence for the control of particulate emissions, positioned downstream of the regenerator cyclones. Its purpose is to remove fine catalyst particles from the flue gas before release to the atmosphere and to protect downstream equipment such as the expander and waste heat boiler. According to Arnold and Stewart (2008), tertiary separation systems such as the TSS play an essential role in maintaining product quality, energy efficiency, and regulatory compliance.</w:t>
      </w:r>
    </w:p>
    <w:p w14:paraId="5C49DEEE" w14:textId="685FF2B2" w:rsidR="00BD646D" w:rsidRPr="00BD646D" w:rsidRDefault="00BD646D" w:rsidP="00CB6FBB">
      <w:pPr>
        <w:spacing w:line="360" w:lineRule="auto"/>
        <w:rPr>
          <w:rFonts w:cs="Arial"/>
        </w:rPr>
      </w:pPr>
    </w:p>
    <w:p w14:paraId="18FA3F6F" w14:textId="77777777" w:rsidR="00BD646D" w:rsidRPr="00BD646D" w:rsidRDefault="00BD646D" w:rsidP="00CB6FBB">
      <w:pPr>
        <w:spacing w:line="360" w:lineRule="auto"/>
        <w:rPr>
          <w:rFonts w:cs="Arial"/>
        </w:rPr>
      </w:pPr>
      <w:r w:rsidRPr="00BD646D">
        <w:rPr>
          <w:rFonts w:cs="Arial"/>
        </w:rPr>
        <w:t>Gas–solid separation occurs when particles suspended in a gas stream are subjected to forces that cause them to deviate from the gas flow. The most common mechanisms used in industrial systems are gravitational settling, centrifugal force, and inertial impaction. Cyclone separators utilise centrifugal force, which is generated when gas enters tangentially into a cylindrical or conical vessel. The heavier particles move radially outward toward the wall under centrifugal acceleration, while the cleaned gas exits through a central vortex finder (Stein et al., 2016).</w:t>
      </w:r>
    </w:p>
    <w:p w14:paraId="20E3109F" w14:textId="77777777" w:rsidR="00BD646D" w:rsidRPr="00BD646D" w:rsidRDefault="00BD646D" w:rsidP="00CB6FBB">
      <w:pPr>
        <w:spacing w:line="360" w:lineRule="auto"/>
        <w:rPr>
          <w:rFonts w:cs="Arial"/>
        </w:rPr>
      </w:pPr>
      <w:r w:rsidRPr="00BD646D">
        <w:rPr>
          <w:rFonts w:cs="Arial"/>
        </w:rPr>
        <w:t>Cyclone performance is also influenced by pressure drop (ΔP\Delta PΔP) and gas residence time. A higher pressure drop increases centrifugal force but raises energy consumption. The design therefore requires a balance between efficiency and pressure loss (Ogawa &amp; Komatsu, 2009).</w:t>
      </w:r>
    </w:p>
    <w:p w14:paraId="42015DE8" w14:textId="5E7110D1" w:rsidR="00BD646D" w:rsidRPr="00BD646D" w:rsidRDefault="003B2DE9" w:rsidP="00CB6FBB">
      <w:pPr>
        <w:pStyle w:val="Caption"/>
        <w:spacing w:line="360" w:lineRule="auto"/>
      </w:pPr>
      <w:r w:rsidRPr="003B2DE9">
        <w:rPr>
          <w:rFonts w:ascii="Arial" w:hAnsi="Arial" w:cs="Arial"/>
          <w:noProof/>
        </w:rPr>
        <w:lastRenderedPageBreak/>
        <w:drawing>
          <wp:inline distT="0" distB="0" distL="0" distR="0" wp14:anchorId="3978A6C8" wp14:editId="64A3261D">
            <wp:extent cx="4353533" cy="508706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53533" cy="5087060"/>
                    </a:xfrm>
                    <a:prstGeom prst="rect">
                      <a:avLst/>
                    </a:prstGeom>
                  </pic:spPr>
                </pic:pic>
              </a:graphicData>
            </a:graphic>
          </wp:inline>
        </w:drawing>
      </w:r>
      <w:r w:rsidR="00BD646D" w:rsidRPr="00BD646D">
        <w:rPr>
          <w:rFonts w:ascii="Arial" w:hAnsi="Arial" w:cs="Arial"/>
        </w:rPr>
        <w:br/>
      </w:r>
      <w:bookmarkStart w:id="6" w:name="_Toc230791124"/>
      <w:r w:rsidR="00602DF8">
        <w:t xml:space="preserve">Figure </w:t>
      </w:r>
      <w:r w:rsidR="00602DF8">
        <w:fldChar w:fldCharType="begin"/>
      </w:r>
      <w:r w:rsidR="00602DF8">
        <w:instrText xml:space="preserve"> SEQ Figure \* ARABIC </w:instrText>
      </w:r>
      <w:r w:rsidR="00602DF8">
        <w:fldChar w:fldCharType="separate"/>
      </w:r>
      <w:r w:rsidR="004048BF">
        <w:rPr>
          <w:noProof/>
        </w:rPr>
        <w:t>1</w:t>
      </w:r>
      <w:r w:rsidR="00602DF8">
        <w:fldChar w:fldCharType="end"/>
      </w:r>
      <w:r w:rsidR="00602DF8">
        <w:t xml:space="preserve"> -</w:t>
      </w:r>
      <w:r w:rsidR="00602DF8" w:rsidRPr="00602DF8">
        <w:rPr>
          <w:rFonts w:ascii="Arial" w:hAnsi="Arial" w:cs="Arial"/>
        </w:rPr>
        <w:t xml:space="preserve"> </w:t>
      </w:r>
      <w:r w:rsidR="00602DF8" w:rsidRPr="00BD646D">
        <w:rPr>
          <w:rFonts w:ascii="Arial" w:hAnsi="Arial" w:cs="Arial"/>
        </w:rPr>
        <w:t>Shows gas flow direction, separator layout, and relationship between regenerator, TSS, and stack</w:t>
      </w:r>
      <w:bookmarkEnd w:id="6"/>
    </w:p>
    <w:p w14:paraId="497C6552" w14:textId="77777777" w:rsidR="00BD646D" w:rsidRPr="00BD646D" w:rsidRDefault="00BD646D" w:rsidP="00CB6FBB">
      <w:pPr>
        <w:spacing w:line="360" w:lineRule="auto"/>
        <w:rPr>
          <w:rFonts w:cs="Arial"/>
        </w:rPr>
      </w:pPr>
      <w:r w:rsidRPr="00BD646D">
        <w:rPr>
          <w:rFonts w:cs="Arial"/>
        </w:rPr>
        <w:t>In FCC applications, three-stage separation is used:</w:t>
      </w:r>
    </w:p>
    <w:p w14:paraId="4447E50A" w14:textId="77777777" w:rsidR="00BD646D" w:rsidRPr="00BD646D" w:rsidRDefault="00BD646D" w:rsidP="00CB6FBB">
      <w:pPr>
        <w:numPr>
          <w:ilvl w:val="0"/>
          <w:numId w:val="17"/>
        </w:numPr>
        <w:spacing w:line="360" w:lineRule="auto"/>
        <w:rPr>
          <w:rFonts w:cs="Arial"/>
        </w:rPr>
      </w:pPr>
      <w:r w:rsidRPr="00BD646D">
        <w:rPr>
          <w:rFonts w:cs="Arial"/>
        </w:rPr>
        <w:t>Primary and secondary cyclones inside the regenerator remove most of the catalyst fines.</w:t>
      </w:r>
    </w:p>
    <w:p w14:paraId="152A79D7" w14:textId="77777777" w:rsidR="00BD646D" w:rsidRPr="00BD646D" w:rsidRDefault="00BD646D" w:rsidP="00CB6FBB">
      <w:pPr>
        <w:numPr>
          <w:ilvl w:val="0"/>
          <w:numId w:val="17"/>
        </w:numPr>
        <w:spacing w:line="360" w:lineRule="auto"/>
        <w:rPr>
          <w:rFonts w:cs="Arial"/>
        </w:rPr>
      </w:pPr>
      <w:r w:rsidRPr="00BD646D">
        <w:rPr>
          <w:rFonts w:cs="Arial"/>
        </w:rPr>
        <w:t>The TSS removes residual fines and ensures that particulate emissions meet legal discharge limits.</w:t>
      </w:r>
    </w:p>
    <w:p w14:paraId="1990F258" w14:textId="77777777" w:rsidR="00BD646D" w:rsidRPr="00BD646D" w:rsidRDefault="00BD646D" w:rsidP="00CB6FBB">
      <w:pPr>
        <w:numPr>
          <w:ilvl w:val="0"/>
          <w:numId w:val="17"/>
        </w:numPr>
        <w:spacing w:line="360" w:lineRule="auto"/>
        <w:rPr>
          <w:rFonts w:cs="Arial"/>
        </w:rPr>
      </w:pPr>
      <w:r w:rsidRPr="00BD646D">
        <w:rPr>
          <w:rFonts w:cs="Arial"/>
        </w:rPr>
        <w:t>The clean flue gas then passes through the power recovery train before being released to atmosphere.</w:t>
      </w:r>
    </w:p>
    <w:p w14:paraId="68ADC726" w14:textId="77777777" w:rsidR="00BD646D" w:rsidRPr="00BD646D" w:rsidRDefault="00BD646D" w:rsidP="00CB6FBB">
      <w:pPr>
        <w:spacing w:line="360" w:lineRule="auto"/>
        <w:rPr>
          <w:rFonts w:cs="Arial"/>
        </w:rPr>
      </w:pPr>
      <w:r w:rsidRPr="00BD646D">
        <w:rPr>
          <w:rFonts w:cs="Arial"/>
        </w:rPr>
        <w:t xml:space="preserve">The Pembroke FCC system relies solely on the TSS for compliance, as it operates without a </w:t>
      </w:r>
      <w:proofErr w:type="spellStart"/>
      <w:r w:rsidRPr="00BD646D">
        <w:rPr>
          <w:rFonts w:cs="Arial"/>
        </w:rPr>
        <w:t>Belco</w:t>
      </w:r>
      <w:proofErr w:type="spellEnd"/>
      <w:r w:rsidRPr="00BD646D">
        <w:rPr>
          <w:rFonts w:cs="Arial"/>
        </w:rPr>
        <w:t xml:space="preserve"> scrubber or electrostatic precipitator (ESP). Therefore, the mechanical integrity and performance of the TSS are directly tied to the plant’s environmental licence.</w:t>
      </w:r>
    </w:p>
    <w:p w14:paraId="6DBDEAF2" w14:textId="43EE7C7E" w:rsidR="00BD646D" w:rsidRPr="00BD646D" w:rsidRDefault="00BD646D" w:rsidP="00CB6FBB">
      <w:pPr>
        <w:spacing w:line="360" w:lineRule="auto"/>
        <w:rPr>
          <w:rFonts w:cs="Arial"/>
        </w:rPr>
      </w:pPr>
    </w:p>
    <w:p w14:paraId="29EB4691" w14:textId="77777777" w:rsidR="00BD646D" w:rsidRPr="00BD646D" w:rsidRDefault="00BD646D" w:rsidP="00CB6FBB">
      <w:pPr>
        <w:spacing w:line="360" w:lineRule="auto"/>
        <w:rPr>
          <w:rFonts w:cs="Arial"/>
        </w:rPr>
      </w:pPr>
      <w:r w:rsidRPr="00BD646D">
        <w:rPr>
          <w:rFonts w:cs="Arial"/>
        </w:rPr>
        <w:lastRenderedPageBreak/>
        <w:t>The Pembroke TSS employs an axial-flow cyclone configuration licensed by Shell. Each of the 112 cyclone assemblies consists of four main components: the swirl tube, swirl vane, swirl can, and alignment can.</w:t>
      </w:r>
    </w:p>
    <w:p w14:paraId="30F68E93" w14:textId="77777777" w:rsidR="00DF659D" w:rsidRDefault="00602DF8" w:rsidP="00CB6FBB">
      <w:pPr>
        <w:pStyle w:val="Caption"/>
        <w:spacing w:line="360" w:lineRule="auto"/>
      </w:pPr>
      <w:r>
        <w:rPr>
          <w:noProof/>
        </w:rPr>
        <w:drawing>
          <wp:inline distT="0" distB="0" distL="0" distR="0" wp14:anchorId="3C8A60BD" wp14:editId="13851D9D">
            <wp:extent cx="2571750" cy="4179941"/>
            <wp:effectExtent l="0" t="0" r="0" b="0"/>
            <wp:docPr id="5" name="Picture 4">
              <a:extLst xmlns:a="http://schemas.openxmlformats.org/drawingml/2006/main">
                <a:ext uri="{FF2B5EF4-FFF2-40B4-BE49-F238E27FC236}">
                  <a16:creationId xmlns:a16="http://schemas.microsoft.com/office/drawing/2014/main" id="{BB682140-2382-4EAE-BEF6-176BA53C6E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B682140-2382-4EAE-BEF6-176BA53C6E32}"/>
                        </a:ext>
                      </a:extLst>
                    </pic:cNvPr>
                    <pic:cNvPicPr>
                      <a:picLocks noChangeAspect="1"/>
                    </pic:cNvPicPr>
                  </pic:nvPicPr>
                  <pic:blipFill>
                    <a:blip r:embed="rId13"/>
                    <a:stretch>
                      <a:fillRect/>
                    </a:stretch>
                  </pic:blipFill>
                  <pic:spPr>
                    <a:xfrm>
                      <a:off x="0" y="0"/>
                      <a:ext cx="2574608" cy="4184586"/>
                    </a:xfrm>
                    <a:prstGeom prst="rect">
                      <a:avLst/>
                    </a:prstGeom>
                  </pic:spPr>
                </pic:pic>
              </a:graphicData>
            </a:graphic>
          </wp:inline>
        </w:drawing>
      </w:r>
    </w:p>
    <w:p w14:paraId="41FEFDDF" w14:textId="154125AA" w:rsidR="00BD646D" w:rsidRPr="00BD646D" w:rsidRDefault="00BD646D" w:rsidP="00CB6FBB">
      <w:pPr>
        <w:pStyle w:val="Caption"/>
        <w:spacing w:line="360" w:lineRule="auto"/>
        <w:rPr>
          <w:rFonts w:ascii="Arial" w:hAnsi="Arial" w:cs="Arial"/>
        </w:rPr>
      </w:pPr>
      <w:r w:rsidRPr="00BD646D">
        <w:rPr>
          <w:rFonts w:ascii="Arial" w:hAnsi="Arial" w:cs="Arial"/>
        </w:rPr>
        <w:br/>
      </w:r>
      <w:bookmarkStart w:id="7" w:name="_Toc230791125"/>
      <w:r w:rsidR="00602DF8">
        <w:t xml:space="preserve">Figure </w:t>
      </w:r>
      <w:r w:rsidR="00602DF8">
        <w:fldChar w:fldCharType="begin"/>
      </w:r>
      <w:r w:rsidR="00602DF8">
        <w:instrText xml:space="preserve"> SEQ Figure \* ARABIC </w:instrText>
      </w:r>
      <w:r w:rsidR="00602DF8">
        <w:fldChar w:fldCharType="separate"/>
      </w:r>
      <w:r w:rsidR="004048BF">
        <w:rPr>
          <w:noProof/>
        </w:rPr>
        <w:t>2</w:t>
      </w:r>
      <w:r w:rsidR="00602DF8">
        <w:fldChar w:fldCharType="end"/>
      </w:r>
      <w:r w:rsidR="00602DF8">
        <w:t xml:space="preserve"> - </w:t>
      </w:r>
      <w:r w:rsidRPr="00BD646D">
        <w:rPr>
          <w:rFonts w:ascii="Arial" w:hAnsi="Arial" w:cs="Arial"/>
        </w:rPr>
        <w:t>Diagram showing axial cyclone components and flow direction</w:t>
      </w:r>
      <w:bookmarkEnd w:id="7"/>
    </w:p>
    <w:p w14:paraId="6E5E1BA4" w14:textId="77777777" w:rsidR="00BD646D" w:rsidRPr="00BD646D" w:rsidRDefault="00BD646D" w:rsidP="00CB6FBB">
      <w:pPr>
        <w:spacing w:line="360" w:lineRule="auto"/>
        <w:rPr>
          <w:rFonts w:cs="Arial"/>
        </w:rPr>
      </w:pPr>
      <w:r w:rsidRPr="00BD646D">
        <w:rPr>
          <w:rFonts w:cs="Arial"/>
        </w:rPr>
        <w:t>The cyclones are arranged in five concentric rings—three inner rings of 16 cyclones and two outer rings of 32—with spacing of less than 200 mm between units. This compact arrangement maximises capacity but severely restricts access for inspection and repair. Each cyclone handles a portion of the total gas flow; therefore, any cracked or blocked unit increases velocity and wear in the others, compounding mechanical stress (</w:t>
      </w:r>
      <w:proofErr w:type="spellStart"/>
      <w:r w:rsidRPr="00BD646D">
        <w:rPr>
          <w:rFonts w:cs="Arial"/>
        </w:rPr>
        <w:t>Mezger</w:t>
      </w:r>
      <w:proofErr w:type="spellEnd"/>
      <w:r w:rsidRPr="00BD646D">
        <w:rPr>
          <w:rFonts w:cs="Arial"/>
        </w:rPr>
        <w:t>, 2019).</w:t>
      </w:r>
    </w:p>
    <w:p w14:paraId="2B57554C" w14:textId="77777777" w:rsidR="00BD646D" w:rsidRPr="00BD646D" w:rsidRDefault="00BD646D" w:rsidP="00CB6FBB">
      <w:pPr>
        <w:spacing w:line="360" w:lineRule="auto"/>
        <w:rPr>
          <w:rFonts w:cs="Arial"/>
        </w:rPr>
      </w:pPr>
      <w:r w:rsidRPr="00BD646D">
        <w:rPr>
          <w:rFonts w:cs="Arial"/>
        </w:rPr>
        <w:t xml:space="preserve">Shell’s design criteria (Shell, 2024) specify that the TSS must achieve an outlet particulate concentration below 50 mg/Nm³. To achieve this, the cyclone geometry must maintain a stable vortex and prevent re-entrainment of collected particles. At Pembroke, the 304H stainless steel construction was originally selected for high-temperature corrosion resistance, with a design temperature of approximately 680°C </w:t>
      </w:r>
      <w:r w:rsidRPr="00BD646D">
        <w:rPr>
          <w:rFonts w:cs="Arial"/>
        </w:rPr>
        <w:lastRenderedPageBreak/>
        <w:t>and operating pressure of 1.2 bar(g). However, the long exposure time has resulted in significant metallurgical deterioration.</w:t>
      </w:r>
    </w:p>
    <w:p w14:paraId="1FDFD78D" w14:textId="77777777" w:rsidR="00DF659D" w:rsidRDefault="00602DF8" w:rsidP="00CB6FBB">
      <w:pPr>
        <w:pStyle w:val="Caption"/>
        <w:spacing w:line="360" w:lineRule="auto"/>
      </w:pPr>
      <w:r w:rsidRPr="00602DF8">
        <w:rPr>
          <w:rFonts w:ascii="Arial" w:hAnsi="Arial" w:cs="Arial"/>
          <w:noProof/>
        </w:rPr>
        <w:drawing>
          <wp:inline distT="0" distB="0" distL="0" distR="0" wp14:anchorId="1CC316F1" wp14:editId="21222A05">
            <wp:extent cx="5731510" cy="51333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133340"/>
                    </a:xfrm>
                    <a:prstGeom prst="rect">
                      <a:avLst/>
                    </a:prstGeom>
                  </pic:spPr>
                </pic:pic>
              </a:graphicData>
            </a:graphic>
          </wp:inline>
        </w:drawing>
      </w:r>
    </w:p>
    <w:p w14:paraId="506FFBAE" w14:textId="7900A211" w:rsidR="00BD646D" w:rsidRPr="00BD646D" w:rsidRDefault="00BD646D" w:rsidP="00CB6FBB">
      <w:pPr>
        <w:pStyle w:val="Caption"/>
        <w:spacing w:line="360" w:lineRule="auto"/>
        <w:rPr>
          <w:rFonts w:ascii="Arial" w:hAnsi="Arial" w:cs="Arial"/>
        </w:rPr>
      </w:pPr>
      <w:r w:rsidRPr="00BD646D">
        <w:rPr>
          <w:rFonts w:ascii="Arial" w:hAnsi="Arial" w:cs="Arial"/>
        </w:rPr>
        <w:br/>
      </w:r>
      <w:bookmarkStart w:id="8" w:name="_Toc230791126"/>
      <w:r w:rsidR="00602DF8">
        <w:t xml:space="preserve">Figure </w:t>
      </w:r>
      <w:r w:rsidR="00602DF8">
        <w:fldChar w:fldCharType="begin"/>
      </w:r>
      <w:r w:rsidR="00602DF8">
        <w:instrText xml:space="preserve"> SEQ Figure \* ARABIC </w:instrText>
      </w:r>
      <w:r w:rsidR="00602DF8">
        <w:fldChar w:fldCharType="separate"/>
      </w:r>
      <w:r w:rsidR="004048BF">
        <w:rPr>
          <w:noProof/>
        </w:rPr>
        <w:t>3</w:t>
      </w:r>
      <w:r w:rsidR="00602DF8">
        <w:fldChar w:fldCharType="end"/>
      </w:r>
      <w:r w:rsidR="00602DF8">
        <w:t xml:space="preserve"> - C</w:t>
      </w:r>
      <w:r w:rsidRPr="00BD646D">
        <w:rPr>
          <w:rFonts w:ascii="Arial" w:hAnsi="Arial" w:cs="Arial"/>
        </w:rPr>
        <w:t xml:space="preserve">racked swirl vanes and alignment </w:t>
      </w:r>
      <w:r w:rsidR="00602DF8">
        <w:rPr>
          <w:rFonts w:ascii="Arial" w:hAnsi="Arial" w:cs="Arial"/>
          <w:i w:val="0"/>
          <w:iCs w:val="0"/>
        </w:rPr>
        <w:t xml:space="preserve">show </w:t>
      </w:r>
      <w:r w:rsidRPr="00BD646D">
        <w:rPr>
          <w:rFonts w:ascii="Arial" w:hAnsi="Arial" w:cs="Arial"/>
        </w:rPr>
        <w:t>design weaknesses</w:t>
      </w:r>
      <w:bookmarkEnd w:id="8"/>
    </w:p>
    <w:p w14:paraId="73172F74" w14:textId="77777777" w:rsidR="00BD646D" w:rsidRPr="00BD646D" w:rsidRDefault="00BD646D" w:rsidP="00CB6FBB">
      <w:pPr>
        <w:spacing w:line="360" w:lineRule="auto"/>
        <w:rPr>
          <w:rFonts w:cs="Arial"/>
        </w:rPr>
      </w:pPr>
      <w:r w:rsidRPr="00BD646D">
        <w:rPr>
          <w:rFonts w:cs="Arial"/>
        </w:rPr>
        <w:t>The observed cracking pattern is common in older FCC separators. The welds joining the swirl vane to the swirl tube and those connecting the swirl can to the alignment can are especially susceptible due to cyclic loading and temperature variation. Over decades of operation, these welds experience repeated differential expansion and contraction, creating stress concentration zones that eventually lead to failure.</w:t>
      </w:r>
    </w:p>
    <w:p w14:paraId="08EE005E" w14:textId="77777777" w:rsidR="001D0D12" w:rsidRPr="001D0D12" w:rsidRDefault="001D0D12" w:rsidP="00CB6FBB">
      <w:pPr>
        <w:pStyle w:val="Heading2"/>
        <w:spacing w:line="360" w:lineRule="auto"/>
      </w:pPr>
      <w:bookmarkStart w:id="9" w:name="_Toc230791057"/>
      <w:r w:rsidRPr="001D0D12">
        <w:rPr>
          <w:rFonts w:eastAsia="Times New Roman"/>
        </w:rPr>
        <w:t>Advanced Cyclone Modelling and Performance Studies</w:t>
      </w:r>
      <w:bookmarkEnd w:id="9"/>
    </w:p>
    <w:p w14:paraId="2D90CFEB" w14:textId="77777777" w:rsidR="001D0D12" w:rsidRPr="001D0D12" w:rsidRDefault="001D0D12" w:rsidP="00CB6FBB">
      <w:pPr>
        <w:spacing w:line="360" w:lineRule="auto"/>
        <w:rPr>
          <w:rFonts w:cs="Arial"/>
        </w:rPr>
      </w:pPr>
      <w:r w:rsidRPr="001D0D12">
        <w:rPr>
          <w:rFonts w:cs="Arial"/>
        </w:rPr>
        <w:t xml:space="preserve">In recent years, a significant amount of research has focused on improving cyclone separator performance through computational and experimental analysis. Modern Computational Fluid Dynamics (CFD) tools allow engineers to simulate flow paths, </w:t>
      </w:r>
      <w:r w:rsidRPr="001D0D12">
        <w:rPr>
          <w:rFonts w:cs="Arial"/>
        </w:rPr>
        <w:lastRenderedPageBreak/>
        <w:t>velocity fields, and particle trajectories within cyclones to predict separation efficiency and erosion rates before fabrication. These models help validate licensor designs and provide insight into how geometry changes, such as cyclone length or inlet size, affect performance.</w:t>
      </w:r>
    </w:p>
    <w:p w14:paraId="278545EF" w14:textId="77777777" w:rsidR="001D0D12" w:rsidRPr="001D0D12" w:rsidRDefault="001D0D12" w:rsidP="00CB6FBB">
      <w:pPr>
        <w:spacing w:line="360" w:lineRule="auto"/>
        <w:rPr>
          <w:rFonts w:cs="Arial"/>
        </w:rPr>
      </w:pPr>
      <w:r w:rsidRPr="001D0D12">
        <w:rPr>
          <w:rFonts w:cs="Arial"/>
        </w:rPr>
        <w:t>Fushimi et al. (2021) conducted detailed CFD analysis on high-temperature axial-flow cyclones used in FCC applications. Their findings showed that separation efficiency is mainly influenced by gas inlet velocity and vortex stability. As velocity increases, centrifugal forces improve fine-particle capture, but excessive velocity creates re-entrainment and erosion on the cyclone walls. This trade-off mirrors the problem observed in the Pembroke TSS, where gas velocity through the existing 112 cyclones is higher than optimal, accelerating wall wear.</w:t>
      </w:r>
    </w:p>
    <w:p w14:paraId="3ED8BA51" w14:textId="5076042E" w:rsidR="001D0D12" w:rsidRPr="001D0D12" w:rsidRDefault="001D0D12" w:rsidP="00CB6FBB">
      <w:pPr>
        <w:spacing w:line="360" w:lineRule="auto"/>
        <w:rPr>
          <w:rFonts w:cs="Arial"/>
        </w:rPr>
      </w:pPr>
      <w:r w:rsidRPr="001D0D12">
        <w:rPr>
          <w:rFonts w:cs="Arial"/>
        </w:rPr>
        <w:t>Xiong et al. (2022) developed a three-dimensional CFD model to evaluate how inlet design and vane angle influence the cyclone’s cut size</w:t>
      </w:r>
      <w:r>
        <w:rPr>
          <w:rFonts w:cs="Arial"/>
        </w:rPr>
        <w:t xml:space="preserve">. </w:t>
      </w:r>
      <w:r w:rsidRPr="001D0D12">
        <w:rPr>
          <w:rFonts w:cs="Arial"/>
        </w:rPr>
        <w:t>Their research demonstrated that a 10% reduction in inlet velocity could lower the cut size by up to 18%, substantially increasing overall separation efficiency. This supports Shell’s decision to increase the number of cyclones from 112 to 144 in the new TSS design, which reduces velocity and therefore decreases particle carry-over.</w:t>
      </w:r>
    </w:p>
    <w:p w14:paraId="1B707CC3" w14:textId="77777777" w:rsidR="001D0D12" w:rsidRPr="001D0D12" w:rsidRDefault="001D0D12" w:rsidP="00CB6FBB">
      <w:pPr>
        <w:spacing w:line="360" w:lineRule="auto"/>
        <w:rPr>
          <w:rFonts w:cs="Arial"/>
        </w:rPr>
      </w:pPr>
      <w:r w:rsidRPr="001D0D12">
        <w:rPr>
          <w:rFonts w:cs="Arial"/>
        </w:rPr>
        <w:t>Guo et al. (2025) examined erosion prediction in FCC cyclones by combining CFD with empirical wear correlations. Their results identified that particle impact velocity and incidence angle are the primary erosion drivers, particularly near the cyclone inlet and outlet sections. The study concluded that using more cyclones with slightly larger inlet diameters reduces both impact angle severity and localised erosion. These insights are directly applicable to Pembroke’s replacement strategy, which aims to reduce internal velocity by around 18% and extend service life by over a decade.</w:t>
      </w:r>
    </w:p>
    <w:p w14:paraId="456EF552" w14:textId="77777777" w:rsidR="001D0D12" w:rsidRPr="001D0D12" w:rsidRDefault="001D0D12" w:rsidP="00CB6FBB">
      <w:pPr>
        <w:spacing w:line="360" w:lineRule="auto"/>
        <w:rPr>
          <w:rFonts w:cs="Arial"/>
        </w:rPr>
      </w:pPr>
      <w:r w:rsidRPr="001D0D12">
        <w:rPr>
          <w:rFonts w:cs="Arial"/>
        </w:rPr>
        <w:t>Other researchers have compared numerical predictions with plant data. Liu et al. (2023) validated CFD simulations against operating FCC cyclones, finding less than 6% deviation between predicted and actual efficiency. Such comparisons show that CFD tools now provide credible guidance for real-world design modifications.</w:t>
      </w:r>
    </w:p>
    <w:p w14:paraId="4CC61245" w14:textId="77777777" w:rsidR="001D0D12" w:rsidRPr="001D0D12" w:rsidRDefault="001D0D12" w:rsidP="00CB6FBB">
      <w:pPr>
        <w:spacing w:line="360" w:lineRule="auto"/>
        <w:rPr>
          <w:rFonts w:cs="Arial"/>
        </w:rPr>
      </w:pPr>
      <w:r w:rsidRPr="001D0D12">
        <w:rPr>
          <w:rFonts w:cs="Arial"/>
        </w:rPr>
        <w:t>Overall, these studies demonstrate the effectiveness of combining CFD modelling with empirical testing to predict cyclone performance. The main conclusions are consistent with Shell’s design philosophy: lower gas velocity reduces erosion and stress while maintaining high separation efficiency. This correlation between academic findings and industry practice confirms the robustness of the new TSS design being implemented at Pembroke Refinery.</w:t>
      </w:r>
    </w:p>
    <w:p w14:paraId="17DE5A81" w14:textId="750B0C2B" w:rsidR="001D0D12" w:rsidRPr="00BD646D" w:rsidRDefault="001D0D12" w:rsidP="00CB6FBB">
      <w:pPr>
        <w:pStyle w:val="Heading2"/>
        <w:spacing w:line="360" w:lineRule="auto"/>
      </w:pPr>
      <w:bookmarkStart w:id="10" w:name="_Toc230791058"/>
      <w:r>
        <w:lastRenderedPageBreak/>
        <w:t>Metallurgy Sigma</w:t>
      </w:r>
      <w:bookmarkEnd w:id="10"/>
    </w:p>
    <w:p w14:paraId="029F4DD7" w14:textId="77777777" w:rsidR="00BD646D" w:rsidRPr="00BD646D" w:rsidRDefault="00BD646D" w:rsidP="00CB6FBB">
      <w:pPr>
        <w:spacing w:line="360" w:lineRule="auto"/>
        <w:rPr>
          <w:rFonts w:cs="Arial"/>
        </w:rPr>
      </w:pPr>
      <w:r w:rsidRPr="00BD646D">
        <w:rPr>
          <w:rFonts w:cs="Arial"/>
        </w:rPr>
        <w:t>A key finding from the Pembroke inspections is the presence of sigma-phase embrittlement in the 304H stainless steel welds. Sigma phase (σ\</w:t>
      </w:r>
      <w:proofErr w:type="spellStart"/>
      <w:r w:rsidRPr="00BD646D">
        <w:rPr>
          <w:rFonts w:cs="Arial"/>
        </w:rPr>
        <w:t>sigmaσ</w:t>
      </w:r>
      <w:proofErr w:type="spellEnd"/>
      <w:r w:rsidRPr="00BD646D">
        <w:rPr>
          <w:rFonts w:cs="Arial"/>
        </w:rPr>
        <w:t>) is a hard, brittle intermetallic compound composed mainly of iron and chromium, forming between 560°C and 980°C (Davis, 2018). Its presence drastically reduces fracture toughness, ductility, and impact strength.</w:t>
      </w:r>
    </w:p>
    <w:p w14:paraId="3479F43E" w14:textId="77777777" w:rsidR="00BD646D" w:rsidRPr="00BD646D" w:rsidRDefault="00BD646D" w:rsidP="00CB6FBB">
      <w:pPr>
        <w:spacing w:line="360" w:lineRule="auto"/>
        <w:rPr>
          <w:rFonts w:cs="Arial"/>
        </w:rPr>
      </w:pPr>
      <w:r w:rsidRPr="00BD646D">
        <w:rPr>
          <w:rFonts w:cs="Arial"/>
        </w:rPr>
        <w:t>Sigma-phase formation is accelerated by:</w:t>
      </w:r>
    </w:p>
    <w:p w14:paraId="459BBEC6" w14:textId="77777777" w:rsidR="00BD646D" w:rsidRPr="00BD646D" w:rsidRDefault="00BD646D" w:rsidP="00CB6FBB">
      <w:pPr>
        <w:numPr>
          <w:ilvl w:val="0"/>
          <w:numId w:val="18"/>
        </w:numPr>
        <w:spacing w:line="360" w:lineRule="auto"/>
        <w:rPr>
          <w:rFonts w:cs="Arial"/>
        </w:rPr>
      </w:pPr>
      <w:r w:rsidRPr="00BD646D">
        <w:rPr>
          <w:rFonts w:cs="Arial"/>
        </w:rPr>
        <w:t>High ferrite content in weld metal;</w:t>
      </w:r>
    </w:p>
    <w:p w14:paraId="02F29105" w14:textId="77777777" w:rsidR="00BD646D" w:rsidRPr="00BD646D" w:rsidRDefault="00BD646D" w:rsidP="00CB6FBB">
      <w:pPr>
        <w:numPr>
          <w:ilvl w:val="0"/>
          <w:numId w:val="18"/>
        </w:numPr>
        <w:spacing w:line="360" w:lineRule="auto"/>
        <w:rPr>
          <w:rFonts w:cs="Arial"/>
        </w:rPr>
      </w:pPr>
      <w:r w:rsidRPr="00BD646D">
        <w:rPr>
          <w:rFonts w:cs="Arial"/>
        </w:rPr>
        <w:t>Extended exposure to high temperatures;</w:t>
      </w:r>
    </w:p>
    <w:p w14:paraId="2EB20D30" w14:textId="77777777" w:rsidR="00BD646D" w:rsidRPr="00BD646D" w:rsidRDefault="00BD646D" w:rsidP="00CB6FBB">
      <w:pPr>
        <w:numPr>
          <w:ilvl w:val="0"/>
          <w:numId w:val="18"/>
        </w:numPr>
        <w:spacing w:line="360" w:lineRule="auto"/>
        <w:rPr>
          <w:rFonts w:cs="Arial"/>
        </w:rPr>
      </w:pPr>
      <w:r w:rsidRPr="00BD646D">
        <w:rPr>
          <w:rFonts w:cs="Arial"/>
        </w:rPr>
        <w:t>Cyclic thermal stress;</w:t>
      </w:r>
    </w:p>
    <w:p w14:paraId="7FB0AFE5" w14:textId="77777777" w:rsidR="00BD646D" w:rsidRPr="00BD646D" w:rsidRDefault="00BD646D" w:rsidP="00CB6FBB">
      <w:pPr>
        <w:numPr>
          <w:ilvl w:val="0"/>
          <w:numId w:val="18"/>
        </w:numPr>
        <w:spacing w:line="360" w:lineRule="auto"/>
        <w:rPr>
          <w:rFonts w:cs="Arial"/>
        </w:rPr>
      </w:pPr>
      <w:r w:rsidRPr="00BD646D">
        <w:rPr>
          <w:rFonts w:cs="Arial"/>
        </w:rPr>
        <w:t>Residual strain from fabrication or prior repairs.</w:t>
      </w:r>
    </w:p>
    <w:p w14:paraId="3858E3A5" w14:textId="77777777" w:rsidR="00BD646D" w:rsidRPr="00BD646D" w:rsidRDefault="00BD646D" w:rsidP="00CB6FBB">
      <w:pPr>
        <w:spacing w:line="360" w:lineRule="auto"/>
        <w:rPr>
          <w:rFonts w:cs="Arial"/>
        </w:rPr>
      </w:pPr>
      <w:r w:rsidRPr="00BD646D">
        <w:rPr>
          <w:rFonts w:cs="Arial"/>
        </w:rPr>
        <w:t>Once sigma phase forms, it cannot be reversed except through full solution annealing above 1,050°C, which is impractical for in-service refinery vessels (</w:t>
      </w:r>
      <w:proofErr w:type="spellStart"/>
      <w:r w:rsidRPr="00BD646D">
        <w:rPr>
          <w:rFonts w:cs="Arial"/>
        </w:rPr>
        <w:t>Kotecki</w:t>
      </w:r>
      <w:proofErr w:type="spellEnd"/>
      <w:r w:rsidRPr="00BD646D">
        <w:rPr>
          <w:rFonts w:cs="Arial"/>
        </w:rPr>
        <w:t xml:space="preserve"> &amp; </w:t>
      </w:r>
      <w:proofErr w:type="spellStart"/>
      <w:r w:rsidRPr="00BD646D">
        <w:rPr>
          <w:rFonts w:cs="Arial"/>
        </w:rPr>
        <w:t>Lippold</w:t>
      </w:r>
      <w:proofErr w:type="spellEnd"/>
      <w:r w:rsidRPr="00BD646D">
        <w:rPr>
          <w:rFonts w:cs="Arial"/>
        </w:rPr>
        <w:t>, 2015).</w:t>
      </w:r>
    </w:p>
    <w:p w14:paraId="0D966294" w14:textId="77777777" w:rsidR="00DF659D" w:rsidRDefault="00144556" w:rsidP="00CB6FBB">
      <w:pPr>
        <w:pStyle w:val="Caption"/>
        <w:spacing w:line="360" w:lineRule="auto"/>
      </w:pPr>
      <w:r w:rsidRPr="00144556">
        <w:rPr>
          <w:rFonts w:ascii="Arial" w:hAnsi="Arial" w:cs="Arial"/>
          <w:noProof/>
        </w:rPr>
        <w:drawing>
          <wp:inline distT="0" distB="0" distL="0" distR="0" wp14:anchorId="0641ABBB" wp14:editId="2065CDD9">
            <wp:extent cx="5696745" cy="35437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96745" cy="3543795"/>
                    </a:xfrm>
                    <a:prstGeom prst="rect">
                      <a:avLst/>
                    </a:prstGeom>
                  </pic:spPr>
                </pic:pic>
              </a:graphicData>
            </a:graphic>
          </wp:inline>
        </w:drawing>
      </w:r>
    </w:p>
    <w:p w14:paraId="452209BB" w14:textId="71620C34" w:rsidR="00BD646D" w:rsidRDefault="00BD646D" w:rsidP="00CB6FBB">
      <w:pPr>
        <w:pStyle w:val="Caption"/>
        <w:spacing w:line="360" w:lineRule="auto"/>
        <w:rPr>
          <w:rFonts w:ascii="Arial" w:hAnsi="Arial" w:cs="Arial"/>
          <w:i w:val="0"/>
          <w:iCs w:val="0"/>
        </w:rPr>
      </w:pPr>
      <w:r w:rsidRPr="00BD646D">
        <w:rPr>
          <w:rFonts w:ascii="Arial" w:hAnsi="Arial" w:cs="Arial"/>
        </w:rPr>
        <w:br/>
      </w:r>
      <w:bookmarkStart w:id="11" w:name="_Toc230791127"/>
      <w:r w:rsidR="00144556">
        <w:t xml:space="preserve">Figure </w:t>
      </w:r>
      <w:r w:rsidR="00144556">
        <w:fldChar w:fldCharType="begin"/>
      </w:r>
      <w:r w:rsidR="00144556">
        <w:instrText xml:space="preserve"> SEQ Figure \* ARABIC </w:instrText>
      </w:r>
      <w:r w:rsidR="00144556">
        <w:fldChar w:fldCharType="separate"/>
      </w:r>
      <w:r w:rsidR="004048BF">
        <w:rPr>
          <w:noProof/>
        </w:rPr>
        <w:t>4</w:t>
      </w:r>
      <w:r w:rsidR="00144556">
        <w:fldChar w:fldCharType="end"/>
      </w:r>
      <w:r w:rsidR="00144556">
        <w:t xml:space="preserve"> - </w:t>
      </w:r>
      <w:r w:rsidR="00144556" w:rsidRPr="008C3372">
        <w:t xml:space="preserve">Schematic representation of sigma-phase formation and associated embrittlement in 304H stainless steel (adapted from Hau &amp; </w:t>
      </w:r>
      <w:proofErr w:type="spellStart"/>
      <w:r w:rsidR="00144556" w:rsidRPr="008C3372">
        <w:t>Seijas</w:t>
      </w:r>
      <w:proofErr w:type="spellEnd"/>
      <w:r w:rsidR="00144556" w:rsidRPr="008C3372">
        <w:t>, 2006)</w:t>
      </w:r>
      <w:bookmarkEnd w:id="11"/>
    </w:p>
    <w:p w14:paraId="0C57788E" w14:textId="795C994F" w:rsidR="00144556" w:rsidRDefault="00144556" w:rsidP="00CB6FBB">
      <w:pPr>
        <w:spacing w:line="360" w:lineRule="auto"/>
        <w:rPr>
          <w:rFonts w:cs="Arial"/>
        </w:rPr>
      </w:pPr>
      <w:r w:rsidRPr="00144556">
        <w:rPr>
          <w:rFonts w:cs="Arial"/>
        </w:rPr>
        <w:t xml:space="preserve">The failure mechanism illustrated in </w:t>
      </w:r>
      <w:r w:rsidRPr="00144556">
        <w:rPr>
          <w:rFonts w:cs="Arial"/>
          <w:i/>
          <w:iCs/>
        </w:rPr>
        <w:t>Figure 4</w:t>
      </w:r>
      <w:r w:rsidRPr="00144556">
        <w:rPr>
          <w:rFonts w:cs="Arial"/>
        </w:rPr>
        <w:t xml:space="preserve"> shows how prolonged exposure at high temperature promotes chromium-rich sigma-phase formation within the weld </w:t>
      </w:r>
      <w:r w:rsidRPr="00144556">
        <w:rPr>
          <w:rFonts w:cs="Arial"/>
        </w:rPr>
        <w:lastRenderedPageBreak/>
        <w:t xml:space="preserve">microstructure, resulting in intergranular brittleness and eventual cracking under thermal stress (Hau &amp; </w:t>
      </w:r>
      <w:proofErr w:type="spellStart"/>
      <w:r w:rsidRPr="00144556">
        <w:rPr>
          <w:rFonts w:cs="Arial"/>
        </w:rPr>
        <w:t>Seijas</w:t>
      </w:r>
      <w:proofErr w:type="spellEnd"/>
      <w:r w:rsidRPr="00144556">
        <w:rPr>
          <w:rFonts w:cs="Arial"/>
        </w:rPr>
        <w:t>, 2006).</w:t>
      </w:r>
    </w:p>
    <w:p w14:paraId="01160AA8" w14:textId="77777777" w:rsidR="00144556" w:rsidRPr="00BD646D" w:rsidRDefault="00144556" w:rsidP="00CB6FBB">
      <w:pPr>
        <w:spacing w:line="360" w:lineRule="auto"/>
        <w:rPr>
          <w:rFonts w:cs="Arial"/>
        </w:rPr>
      </w:pPr>
    </w:p>
    <w:p w14:paraId="45DC2E23" w14:textId="77777777" w:rsidR="00BD646D" w:rsidRPr="00BD646D" w:rsidRDefault="00BD646D" w:rsidP="00CB6FBB">
      <w:pPr>
        <w:spacing w:line="360" w:lineRule="auto"/>
        <w:rPr>
          <w:rFonts w:cs="Arial"/>
        </w:rPr>
      </w:pPr>
      <w:r w:rsidRPr="00BD646D">
        <w:rPr>
          <w:rFonts w:cs="Arial"/>
        </w:rPr>
        <w:t>Davis (2018) and Patel (2017) describe how sigma-phase embrittled steels can lose more than 80% of their fracture energy and exhibit hardness values exceeding 350 HV, compared to 180 HV for unaffected 304H. The 2021 metallurgical replication at Pembroke confirmed similar results, with weld samples showing extensive sigma-phase formation and reduced toughness.</w:t>
      </w:r>
    </w:p>
    <w:p w14:paraId="2AE2E170" w14:textId="77777777" w:rsidR="00BD646D" w:rsidRPr="00BD646D" w:rsidRDefault="00BD646D" w:rsidP="00CB6FBB">
      <w:pPr>
        <w:spacing w:line="360" w:lineRule="auto"/>
        <w:rPr>
          <w:rFonts w:cs="Arial"/>
        </w:rPr>
      </w:pPr>
      <w:r w:rsidRPr="00BD646D">
        <w:rPr>
          <w:rFonts w:cs="Arial"/>
        </w:rPr>
        <w:t xml:space="preserve">The degradation is not limited to welds; </w:t>
      </w:r>
      <w:proofErr w:type="spellStart"/>
      <w:r w:rsidRPr="00BD646D">
        <w:rPr>
          <w:rFonts w:cs="Arial"/>
        </w:rPr>
        <w:t>tubesheets</w:t>
      </w:r>
      <w:proofErr w:type="spellEnd"/>
      <w:r w:rsidRPr="00BD646D">
        <w:rPr>
          <w:rFonts w:cs="Arial"/>
        </w:rPr>
        <w:t xml:space="preserve"> also exhibit chromium-depleted grain boundaries, indicating that prolonged thermal exposure has affected the base metal. Once this occurs, further repair by welding accelerates the problem because each repair introduces additional heat cycles that promote more sigma formation.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77"/>
        <w:gridCol w:w="1570"/>
        <w:gridCol w:w="2185"/>
        <w:gridCol w:w="1248"/>
        <w:gridCol w:w="1170"/>
        <w:gridCol w:w="1766"/>
      </w:tblGrid>
      <w:tr w:rsidR="00DF659D" w:rsidRPr="00DF659D" w14:paraId="4695AFDA" w14:textId="77777777" w:rsidTr="00DF659D">
        <w:trPr>
          <w:tblHeader/>
          <w:tblCellSpacing w:w="15" w:type="dxa"/>
        </w:trPr>
        <w:tc>
          <w:tcPr>
            <w:tcW w:w="0" w:type="auto"/>
            <w:vAlign w:val="center"/>
            <w:hideMark/>
          </w:tcPr>
          <w:p w14:paraId="323B13D8" w14:textId="77777777" w:rsidR="00DF659D" w:rsidRPr="00DF659D" w:rsidRDefault="00DF659D" w:rsidP="00CB6FBB">
            <w:pPr>
              <w:spacing w:line="360" w:lineRule="auto"/>
              <w:jc w:val="left"/>
              <w:rPr>
                <w:rFonts w:cs="Arial"/>
                <w:b/>
                <w:bCs/>
                <w:sz w:val="22"/>
                <w:szCs w:val="22"/>
              </w:rPr>
            </w:pPr>
            <w:r w:rsidRPr="00DF659D">
              <w:rPr>
                <w:rFonts w:cs="Arial"/>
                <w:b/>
                <w:bCs/>
                <w:sz w:val="22"/>
                <w:szCs w:val="22"/>
              </w:rPr>
              <w:t>Sample Location</w:t>
            </w:r>
          </w:p>
        </w:tc>
        <w:tc>
          <w:tcPr>
            <w:tcW w:w="0" w:type="auto"/>
            <w:vAlign w:val="center"/>
            <w:hideMark/>
          </w:tcPr>
          <w:p w14:paraId="1F751053" w14:textId="77777777" w:rsidR="00DF659D" w:rsidRPr="00DF659D" w:rsidRDefault="00DF659D" w:rsidP="00CB6FBB">
            <w:pPr>
              <w:spacing w:line="360" w:lineRule="auto"/>
              <w:jc w:val="left"/>
              <w:rPr>
                <w:rFonts w:cs="Arial"/>
                <w:b/>
                <w:bCs/>
                <w:sz w:val="22"/>
                <w:szCs w:val="22"/>
              </w:rPr>
            </w:pPr>
            <w:r w:rsidRPr="00DF659D">
              <w:rPr>
                <w:rFonts w:cs="Arial"/>
                <w:b/>
                <w:bCs/>
                <w:sz w:val="22"/>
                <w:szCs w:val="22"/>
              </w:rPr>
              <w:t>Component / Weld Type</w:t>
            </w:r>
          </w:p>
        </w:tc>
        <w:tc>
          <w:tcPr>
            <w:tcW w:w="0" w:type="auto"/>
            <w:vAlign w:val="center"/>
            <w:hideMark/>
          </w:tcPr>
          <w:p w14:paraId="6900053C" w14:textId="77777777" w:rsidR="00DF659D" w:rsidRPr="00DF659D" w:rsidRDefault="00DF659D" w:rsidP="00CB6FBB">
            <w:pPr>
              <w:spacing w:line="360" w:lineRule="auto"/>
              <w:jc w:val="left"/>
              <w:rPr>
                <w:rFonts w:cs="Arial"/>
                <w:b/>
                <w:bCs/>
                <w:sz w:val="22"/>
                <w:szCs w:val="22"/>
              </w:rPr>
            </w:pPr>
            <w:r w:rsidRPr="00DF659D">
              <w:rPr>
                <w:rFonts w:cs="Arial"/>
                <w:b/>
                <w:bCs/>
                <w:sz w:val="22"/>
                <w:szCs w:val="22"/>
              </w:rPr>
              <w:t>Microstructure Description</w:t>
            </w:r>
          </w:p>
        </w:tc>
        <w:tc>
          <w:tcPr>
            <w:tcW w:w="0" w:type="auto"/>
            <w:vAlign w:val="center"/>
            <w:hideMark/>
          </w:tcPr>
          <w:p w14:paraId="40D5BAC5" w14:textId="77777777" w:rsidR="00DF659D" w:rsidRPr="00DF659D" w:rsidRDefault="00DF659D" w:rsidP="00CB6FBB">
            <w:pPr>
              <w:spacing w:line="360" w:lineRule="auto"/>
              <w:jc w:val="left"/>
              <w:rPr>
                <w:rFonts w:cs="Arial"/>
                <w:b/>
                <w:bCs/>
                <w:sz w:val="22"/>
                <w:szCs w:val="22"/>
              </w:rPr>
            </w:pPr>
            <w:r w:rsidRPr="00DF659D">
              <w:rPr>
                <w:rFonts w:cs="Arial"/>
                <w:b/>
                <w:bCs/>
                <w:sz w:val="22"/>
                <w:szCs w:val="22"/>
              </w:rPr>
              <w:t>Measured Hardness (HV10)</w:t>
            </w:r>
          </w:p>
        </w:tc>
        <w:tc>
          <w:tcPr>
            <w:tcW w:w="0" w:type="auto"/>
            <w:vAlign w:val="center"/>
            <w:hideMark/>
          </w:tcPr>
          <w:p w14:paraId="626AE797" w14:textId="77777777" w:rsidR="00DF659D" w:rsidRPr="00DF659D" w:rsidRDefault="00DF659D" w:rsidP="00CB6FBB">
            <w:pPr>
              <w:spacing w:line="360" w:lineRule="auto"/>
              <w:jc w:val="left"/>
              <w:rPr>
                <w:rFonts w:cs="Arial"/>
                <w:b/>
                <w:bCs/>
                <w:sz w:val="22"/>
                <w:szCs w:val="22"/>
              </w:rPr>
            </w:pPr>
            <w:r w:rsidRPr="00DF659D">
              <w:rPr>
                <w:rFonts w:cs="Arial"/>
                <w:b/>
                <w:bCs/>
                <w:sz w:val="22"/>
                <w:szCs w:val="22"/>
              </w:rPr>
              <w:t>Sigma-Phase Presence</w:t>
            </w:r>
          </w:p>
        </w:tc>
        <w:tc>
          <w:tcPr>
            <w:tcW w:w="0" w:type="auto"/>
            <w:vAlign w:val="center"/>
            <w:hideMark/>
          </w:tcPr>
          <w:p w14:paraId="3A436565" w14:textId="77777777" w:rsidR="00DF659D" w:rsidRPr="00DF659D" w:rsidRDefault="00DF659D" w:rsidP="00CB6FBB">
            <w:pPr>
              <w:spacing w:line="360" w:lineRule="auto"/>
              <w:jc w:val="left"/>
              <w:rPr>
                <w:rFonts w:cs="Arial"/>
                <w:b/>
                <w:bCs/>
                <w:sz w:val="22"/>
                <w:szCs w:val="22"/>
              </w:rPr>
            </w:pPr>
            <w:r w:rsidRPr="00DF659D">
              <w:rPr>
                <w:rFonts w:cs="Arial"/>
                <w:b/>
                <w:bCs/>
                <w:sz w:val="22"/>
                <w:szCs w:val="22"/>
              </w:rPr>
              <w:t>Remarks</w:t>
            </w:r>
          </w:p>
        </w:tc>
      </w:tr>
      <w:tr w:rsidR="00DF659D" w:rsidRPr="00DF659D" w14:paraId="543A05D4" w14:textId="77777777" w:rsidTr="00DF659D">
        <w:trPr>
          <w:tblCellSpacing w:w="15" w:type="dxa"/>
        </w:trPr>
        <w:tc>
          <w:tcPr>
            <w:tcW w:w="0" w:type="auto"/>
            <w:vAlign w:val="center"/>
            <w:hideMark/>
          </w:tcPr>
          <w:p w14:paraId="77882811" w14:textId="77777777" w:rsidR="00DF659D" w:rsidRPr="00DF659D" w:rsidRDefault="00DF659D" w:rsidP="00CB6FBB">
            <w:pPr>
              <w:spacing w:line="360" w:lineRule="auto"/>
              <w:jc w:val="left"/>
              <w:rPr>
                <w:rFonts w:cs="Arial"/>
                <w:sz w:val="22"/>
                <w:szCs w:val="22"/>
              </w:rPr>
            </w:pPr>
            <w:r w:rsidRPr="00DF659D">
              <w:rPr>
                <w:rFonts w:cs="Arial"/>
                <w:sz w:val="22"/>
                <w:szCs w:val="22"/>
              </w:rPr>
              <w:t>1</w:t>
            </w:r>
          </w:p>
        </w:tc>
        <w:tc>
          <w:tcPr>
            <w:tcW w:w="0" w:type="auto"/>
            <w:vAlign w:val="center"/>
            <w:hideMark/>
          </w:tcPr>
          <w:p w14:paraId="3D760744" w14:textId="77777777" w:rsidR="00DF659D" w:rsidRPr="00DF659D" w:rsidRDefault="00DF659D" w:rsidP="00CB6FBB">
            <w:pPr>
              <w:spacing w:line="360" w:lineRule="auto"/>
              <w:jc w:val="left"/>
              <w:rPr>
                <w:rFonts w:cs="Arial"/>
                <w:sz w:val="22"/>
                <w:szCs w:val="22"/>
              </w:rPr>
            </w:pPr>
            <w:r w:rsidRPr="00DF659D">
              <w:rPr>
                <w:rFonts w:cs="Arial"/>
                <w:sz w:val="22"/>
                <w:szCs w:val="22"/>
              </w:rPr>
              <w:t>Swirl vane to swirl tube weld</w:t>
            </w:r>
          </w:p>
        </w:tc>
        <w:tc>
          <w:tcPr>
            <w:tcW w:w="0" w:type="auto"/>
            <w:vAlign w:val="center"/>
            <w:hideMark/>
          </w:tcPr>
          <w:p w14:paraId="7401958A" w14:textId="77777777" w:rsidR="00DF659D" w:rsidRPr="00DF659D" w:rsidRDefault="00DF659D" w:rsidP="00CB6FBB">
            <w:pPr>
              <w:spacing w:line="360" w:lineRule="auto"/>
              <w:jc w:val="left"/>
              <w:rPr>
                <w:rFonts w:cs="Arial"/>
                <w:sz w:val="22"/>
                <w:szCs w:val="22"/>
              </w:rPr>
            </w:pPr>
            <w:r w:rsidRPr="00DF659D">
              <w:rPr>
                <w:rFonts w:cs="Arial"/>
                <w:sz w:val="22"/>
                <w:szCs w:val="22"/>
              </w:rPr>
              <w:t>Heavily sensitised austenitic matrix with continuous grain-boundary precipitates</w:t>
            </w:r>
          </w:p>
        </w:tc>
        <w:tc>
          <w:tcPr>
            <w:tcW w:w="0" w:type="auto"/>
            <w:vAlign w:val="center"/>
            <w:hideMark/>
          </w:tcPr>
          <w:p w14:paraId="7BD2C72A" w14:textId="77777777" w:rsidR="00DF659D" w:rsidRPr="00DF659D" w:rsidRDefault="00DF659D" w:rsidP="00CB6FBB">
            <w:pPr>
              <w:spacing w:line="360" w:lineRule="auto"/>
              <w:jc w:val="left"/>
              <w:rPr>
                <w:rFonts w:cs="Arial"/>
                <w:sz w:val="22"/>
                <w:szCs w:val="22"/>
              </w:rPr>
            </w:pPr>
            <w:r w:rsidRPr="00DF659D">
              <w:rPr>
                <w:rFonts w:cs="Arial"/>
                <w:sz w:val="22"/>
                <w:szCs w:val="22"/>
              </w:rPr>
              <w:t>335 – 350</w:t>
            </w:r>
          </w:p>
        </w:tc>
        <w:tc>
          <w:tcPr>
            <w:tcW w:w="0" w:type="auto"/>
            <w:vAlign w:val="center"/>
            <w:hideMark/>
          </w:tcPr>
          <w:p w14:paraId="602F9629" w14:textId="77777777" w:rsidR="00DF659D" w:rsidRPr="00DF659D" w:rsidRDefault="00DF659D" w:rsidP="00CB6FBB">
            <w:pPr>
              <w:spacing w:line="360" w:lineRule="auto"/>
              <w:jc w:val="left"/>
              <w:rPr>
                <w:rFonts w:cs="Arial"/>
                <w:sz w:val="22"/>
                <w:szCs w:val="22"/>
              </w:rPr>
            </w:pPr>
            <w:r w:rsidRPr="00DF659D">
              <w:rPr>
                <w:rFonts w:cs="Arial"/>
                <w:sz w:val="22"/>
                <w:szCs w:val="22"/>
              </w:rPr>
              <w:t>Extensive (&gt; 15 %)</w:t>
            </w:r>
          </w:p>
        </w:tc>
        <w:tc>
          <w:tcPr>
            <w:tcW w:w="0" w:type="auto"/>
            <w:vAlign w:val="center"/>
            <w:hideMark/>
          </w:tcPr>
          <w:p w14:paraId="1CA07F22" w14:textId="77777777" w:rsidR="00DF659D" w:rsidRPr="00DF659D" w:rsidRDefault="00DF659D" w:rsidP="00CB6FBB">
            <w:pPr>
              <w:spacing w:line="360" w:lineRule="auto"/>
              <w:jc w:val="left"/>
              <w:rPr>
                <w:rFonts w:cs="Arial"/>
                <w:sz w:val="22"/>
                <w:szCs w:val="22"/>
              </w:rPr>
            </w:pPr>
            <w:r w:rsidRPr="00DF659D">
              <w:rPr>
                <w:rFonts w:cs="Arial"/>
                <w:sz w:val="22"/>
                <w:szCs w:val="22"/>
              </w:rPr>
              <w:t>Significant loss of ductility; embrittled weld metal</w:t>
            </w:r>
          </w:p>
        </w:tc>
      </w:tr>
      <w:tr w:rsidR="00DF659D" w:rsidRPr="00DF659D" w14:paraId="61BD63F8" w14:textId="77777777" w:rsidTr="00DF659D">
        <w:trPr>
          <w:tblCellSpacing w:w="15" w:type="dxa"/>
        </w:trPr>
        <w:tc>
          <w:tcPr>
            <w:tcW w:w="0" w:type="auto"/>
            <w:vAlign w:val="center"/>
            <w:hideMark/>
          </w:tcPr>
          <w:p w14:paraId="50FE84FC" w14:textId="77777777" w:rsidR="00DF659D" w:rsidRPr="00DF659D" w:rsidRDefault="00DF659D" w:rsidP="00CB6FBB">
            <w:pPr>
              <w:spacing w:line="360" w:lineRule="auto"/>
              <w:jc w:val="left"/>
              <w:rPr>
                <w:rFonts w:cs="Arial"/>
                <w:sz w:val="22"/>
                <w:szCs w:val="22"/>
              </w:rPr>
            </w:pPr>
            <w:r w:rsidRPr="00DF659D">
              <w:rPr>
                <w:rFonts w:cs="Arial"/>
                <w:sz w:val="22"/>
                <w:szCs w:val="22"/>
              </w:rPr>
              <w:t>2</w:t>
            </w:r>
          </w:p>
        </w:tc>
        <w:tc>
          <w:tcPr>
            <w:tcW w:w="0" w:type="auto"/>
            <w:vAlign w:val="center"/>
            <w:hideMark/>
          </w:tcPr>
          <w:p w14:paraId="4F4091C3" w14:textId="77777777" w:rsidR="00DF659D" w:rsidRPr="00DF659D" w:rsidRDefault="00DF659D" w:rsidP="00CB6FBB">
            <w:pPr>
              <w:spacing w:line="360" w:lineRule="auto"/>
              <w:jc w:val="left"/>
              <w:rPr>
                <w:rFonts w:cs="Arial"/>
                <w:sz w:val="22"/>
                <w:szCs w:val="22"/>
              </w:rPr>
            </w:pPr>
            <w:r w:rsidRPr="00DF659D">
              <w:rPr>
                <w:rFonts w:cs="Arial"/>
                <w:sz w:val="22"/>
                <w:szCs w:val="22"/>
              </w:rPr>
              <w:t>Alignment can to swirl can joint</w:t>
            </w:r>
          </w:p>
        </w:tc>
        <w:tc>
          <w:tcPr>
            <w:tcW w:w="0" w:type="auto"/>
            <w:vAlign w:val="center"/>
            <w:hideMark/>
          </w:tcPr>
          <w:p w14:paraId="7B24B3FD" w14:textId="77777777" w:rsidR="00DF659D" w:rsidRPr="00DF659D" w:rsidRDefault="00DF659D" w:rsidP="00CB6FBB">
            <w:pPr>
              <w:spacing w:line="360" w:lineRule="auto"/>
              <w:jc w:val="left"/>
              <w:rPr>
                <w:rFonts w:cs="Arial"/>
                <w:sz w:val="22"/>
                <w:szCs w:val="22"/>
              </w:rPr>
            </w:pPr>
            <w:r w:rsidRPr="00DF659D">
              <w:rPr>
                <w:rFonts w:cs="Arial"/>
                <w:sz w:val="22"/>
                <w:szCs w:val="22"/>
              </w:rPr>
              <w:t>Austenite with ferrite stringers and sigma-phase at ferrite–austenite interfaces</w:t>
            </w:r>
          </w:p>
        </w:tc>
        <w:tc>
          <w:tcPr>
            <w:tcW w:w="0" w:type="auto"/>
            <w:vAlign w:val="center"/>
            <w:hideMark/>
          </w:tcPr>
          <w:p w14:paraId="4A19DC0F" w14:textId="77777777" w:rsidR="00DF659D" w:rsidRPr="00DF659D" w:rsidRDefault="00DF659D" w:rsidP="00CB6FBB">
            <w:pPr>
              <w:spacing w:line="360" w:lineRule="auto"/>
              <w:jc w:val="left"/>
              <w:rPr>
                <w:rFonts w:cs="Arial"/>
                <w:sz w:val="22"/>
                <w:szCs w:val="22"/>
              </w:rPr>
            </w:pPr>
            <w:r w:rsidRPr="00DF659D">
              <w:rPr>
                <w:rFonts w:cs="Arial"/>
                <w:sz w:val="22"/>
                <w:szCs w:val="22"/>
              </w:rPr>
              <w:t>320 – 340</w:t>
            </w:r>
          </w:p>
        </w:tc>
        <w:tc>
          <w:tcPr>
            <w:tcW w:w="0" w:type="auto"/>
            <w:vAlign w:val="center"/>
            <w:hideMark/>
          </w:tcPr>
          <w:p w14:paraId="5D1BFBB2" w14:textId="77777777" w:rsidR="00DF659D" w:rsidRPr="00DF659D" w:rsidRDefault="00DF659D" w:rsidP="00CB6FBB">
            <w:pPr>
              <w:spacing w:line="360" w:lineRule="auto"/>
              <w:jc w:val="left"/>
              <w:rPr>
                <w:rFonts w:cs="Arial"/>
                <w:sz w:val="22"/>
                <w:szCs w:val="22"/>
              </w:rPr>
            </w:pPr>
            <w:r w:rsidRPr="00DF659D">
              <w:rPr>
                <w:rFonts w:cs="Arial"/>
                <w:sz w:val="22"/>
                <w:szCs w:val="22"/>
              </w:rPr>
              <w:t>Moderate (10–12 %)</w:t>
            </w:r>
          </w:p>
        </w:tc>
        <w:tc>
          <w:tcPr>
            <w:tcW w:w="0" w:type="auto"/>
            <w:vAlign w:val="center"/>
            <w:hideMark/>
          </w:tcPr>
          <w:p w14:paraId="1593CA1C" w14:textId="77777777" w:rsidR="00DF659D" w:rsidRPr="00DF659D" w:rsidRDefault="00DF659D" w:rsidP="00CB6FBB">
            <w:pPr>
              <w:spacing w:line="360" w:lineRule="auto"/>
              <w:jc w:val="left"/>
              <w:rPr>
                <w:rFonts w:cs="Arial"/>
                <w:sz w:val="22"/>
                <w:szCs w:val="22"/>
              </w:rPr>
            </w:pPr>
            <w:r w:rsidRPr="00DF659D">
              <w:rPr>
                <w:rFonts w:cs="Arial"/>
                <w:sz w:val="22"/>
                <w:szCs w:val="22"/>
              </w:rPr>
              <w:t>Intergranular cracking observed</w:t>
            </w:r>
          </w:p>
        </w:tc>
      </w:tr>
      <w:tr w:rsidR="00DF659D" w:rsidRPr="00DF659D" w14:paraId="05B89CF6" w14:textId="77777777" w:rsidTr="00DF659D">
        <w:trPr>
          <w:tblCellSpacing w:w="15" w:type="dxa"/>
        </w:trPr>
        <w:tc>
          <w:tcPr>
            <w:tcW w:w="0" w:type="auto"/>
            <w:vAlign w:val="center"/>
            <w:hideMark/>
          </w:tcPr>
          <w:p w14:paraId="39B10C18" w14:textId="77777777" w:rsidR="00DF659D" w:rsidRPr="00DF659D" w:rsidRDefault="00DF659D" w:rsidP="00CB6FBB">
            <w:pPr>
              <w:spacing w:line="360" w:lineRule="auto"/>
              <w:jc w:val="left"/>
              <w:rPr>
                <w:rFonts w:cs="Arial"/>
                <w:sz w:val="22"/>
                <w:szCs w:val="22"/>
              </w:rPr>
            </w:pPr>
            <w:r w:rsidRPr="00DF659D">
              <w:rPr>
                <w:rFonts w:cs="Arial"/>
                <w:sz w:val="22"/>
                <w:szCs w:val="22"/>
              </w:rPr>
              <w:t>3</w:t>
            </w:r>
          </w:p>
        </w:tc>
        <w:tc>
          <w:tcPr>
            <w:tcW w:w="0" w:type="auto"/>
            <w:vAlign w:val="center"/>
            <w:hideMark/>
          </w:tcPr>
          <w:p w14:paraId="5829B6E1" w14:textId="77777777" w:rsidR="00DF659D" w:rsidRPr="00DF659D" w:rsidRDefault="00DF659D" w:rsidP="00CB6FBB">
            <w:pPr>
              <w:spacing w:line="360" w:lineRule="auto"/>
              <w:jc w:val="left"/>
              <w:rPr>
                <w:rFonts w:cs="Arial"/>
                <w:sz w:val="22"/>
                <w:szCs w:val="22"/>
              </w:rPr>
            </w:pPr>
            <w:proofErr w:type="spellStart"/>
            <w:r w:rsidRPr="00DF659D">
              <w:rPr>
                <w:rFonts w:cs="Arial"/>
                <w:sz w:val="22"/>
                <w:szCs w:val="22"/>
              </w:rPr>
              <w:t>Tubesheet</w:t>
            </w:r>
            <w:proofErr w:type="spellEnd"/>
            <w:r w:rsidRPr="00DF659D">
              <w:rPr>
                <w:rFonts w:cs="Arial"/>
                <w:sz w:val="22"/>
                <w:szCs w:val="22"/>
              </w:rPr>
              <w:t xml:space="preserve"> fillet weld</w:t>
            </w:r>
          </w:p>
        </w:tc>
        <w:tc>
          <w:tcPr>
            <w:tcW w:w="0" w:type="auto"/>
            <w:vAlign w:val="center"/>
            <w:hideMark/>
          </w:tcPr>
          <w:p w14:paraId="5359BE7D" w14:textId="77777777" w:rsidR="00DF659D" w:rsidRPr="00DF659D" w:rsidRDefault="00DF659D" w:rsidP="00CB6FBB">
            <w:pPr>
              <w:spacing w:line="360" w:lineRule="auto"/>
              <w:jc w:val="left"/>
              <w:rPr>
                <w:rFonts w:cs="Arial"/>
                <w:sz w:val="22"/>
                <w:szCs w:val="22"/>
              </w:rPr>
            </w:pPr>
            <w:r w:rsidRPr="00DF659D">
              <w:rPr>
                <w:rFonts w:cs="Arial"/>
                <w:sz w:val="22"/>
                <w:szCs w:val="22"/>
              </w:rPr>
              <w:t>Coarse austenitic grains with secondary carbides and sigma particles</w:t>
            </w:r>
          </w:p>
        </w:tc>
        <w:tc>
          <w:tcPr>
            <w:tcW w:w="0" w:type="auto"/>
            <w:vAlign w:val="center"/>
            <w:hideMark/>
          </w:tcPr>
          <w:p w14:paraId="34ED98B4" w14:textId="77777777" w:rsidR="00DF659D" w:rsidRPr="00DF659D" w:rsidRDefault="00DF659D" w:rsidP="00CB6FBB">
            <w:pPr>
              <w:spacing w:line="360" w:lineRule="auto"/>
              <w:jc w:val="left"/>
              <w:rPr>
                <w:rFonts w:cs="Arial"/>
                <w:sz w:val="22"/>
                <w:szCs w:val="22"/>
              </w:rPr>
            </w:pPr>
            <w:r w:rsidRPr="00DF659D">
              <w:rPr>
                <w:rFonts w:cs="Arial"/>
                <w:sz w:val="22"/>
                <w:szCs w:val="22"/>
              </w:rPr>
              <w:t>300 – 320</w:t>
            </w:r>
          </w:p>
        </w:tc>
        <w:tc>
          <w:tcPr>
            <w:tcW w:w="0" w:type="auto"/>
            <w:vAlign w:val="center"/>
            <w:hideMark/>
          </w:tcPr>
          <w:p w14:paraId="1A07FC52" w14:textId="77777777" w:rsidR="00DF659D" w:rsidRPr="00DF659D" w:rsidRDefault="00DF659D" w:rsidP="00CB6FBB">
            <w:pPr>
              <w:spacing w:line="360" w:lineRule="auto"/>
              <w:jc w:val="left"/>
              <w:rPr>
                <w:rFonts w:cs="Arial"/>
                <w:sz w:val="22"/>
                <w:szCs w:val="22"/>
              </w:rPr>
            </w:pPr>
            <w:r w:rsidRPr="00DF659D">
              <w:rPr>
                <w:rFonts w:cs="Arial"/>
                <w:sz w:val="22"/>
                <w:szCs w:val="22"/>
              </w:rPr>
              <w:t>Light (≈ 5 %)</w:t>
            </w:r>
          </w:p>
        </w:tc>
        <w:tc>
          <w:tcPr>
            <w:tcW w:w="0" w:type="auto"/>
            <w:vAlign w:val="center"/>
            <w:hideMark/>
          </w:tcPr>
          <w:p w14:paraId="3F67A1D7" w14:textId="77777777" w:rsidR="00DF659D" w:rsidRPr="00DF659D" w:rsidRDefault="00DF659D" w:rsidP="00CB6FBB">
            <w:pPr>
              <w:spacing w:line="360" w:lineRule="auto"/>
              <w:jc w:val="left"/>
              <w:rPr>
                <w:rFonts w:cs="Arial"/>
                <w:sz w:val="22"/>
                <w:szCs w:val="22"/>
              </w:rPr>
            </w:pPr>
            <w:r w:rsidRPr="00DF659D">
              <w:rPr>
                <w:rFonts w:cs="Arial"/>
                <w:sz w:val="22"/>
                <w:szCs w:val="22"/>
              </w:rPr>
              <w:t>Locally brittle; early stage of transformation</w:t>
            </w:r>
          </w:p>
        </w:tc>
      </w:tr>
      <w:tr w:rsidR="00DF659D" w:rsidRPr="00DF659D" w14:paraId="1414E250" w14:textId="77777777" w:rsidTr="00DF659D">
        <w:trPr>
          <w:tblCellSpacing w:w="15" w:type="dxa"/>
        </w:trPr>
        <w:tc>
          <w:tcPr>
            <w:tcW w:w="0" w:type="auto"/>
            <w:vAlign w:val="center"/>
            <w:hideMark/>
          </w:tcPr>
          <w:p w14:paraId="166A3368" w14:textId="77777777" w:rsidR="00DF659D" w:rsidRPr="00DF659D" w:rsidRDefault="00DF659D" w:rsidP="00CB6FBB">
            <w:pPr>
              <w:spacing w:line="360" w:lineRule="auto"/>
              <w:jc w:val="left"/>
              <w:rPr>
                <w:rFonts w:cs="Arial"/>
                <w:sz w:val="22"/>
                <w:szCs w:val="22"/>
              </w:rPr>
            </w:pPr>
            <w:r w:rsidRPr="00DF659D">
              <w:rPr>
                <w:rFonts w:cs="Arial"/>
                <w:sz w:val="22"/>
                <w:szCs w:val="22"/>
              </w:rPr>
              <w:t>4</w:t>
            </w:r>
          </w:p>
        </w:tc>
        <w:tc>
          <w:tcPr>
            <w:tcW w:w="0" w:type="auto"/>
            <w:vAlign w:val="center"/>
            <w:hideMark/>
          </w:tcPr>
          <w:p w14:paraId="4D237741" w14:textId="77777777" w:rsidR="00DF659D" w:rsidRDefault="00DF659D" w:rsidP="00CB6FBB">
            <w:pPr>
              <w:spacing w:line="360" w:lineRule="auto"/>
              <w:jc w:val="left"/>
              <w:rPr>
                <w:rFonts w:cs="Arial"/>
                <w:sz w:val="22"/>
                <w:szCs w:val="22"/>
              </w:rPr>
            </w:pPr>
            <w:r w:rsidRPr="00DF659D">
              <w:rPr>
                <w:rFonts w:cs="Arial"/>
                <w:sz w:val="22"/>
                <w:szCs w:val="22"/>
              </w:rPr>
              <w:t>Base metal (304H parent plate)</w:t>
            </w:r>
          </w:p>
          <w:p w14:paraId="5484C86B" w14:textId="77777777" w:rsidR="00775292" w:rsidRDefault="00775292" w:rsidP="00CB6FBB">
            <w:pPr>
              <w:spacing w:line="360" w:lineRule="auto"/>
              <w:jc w:val="left"/>
              <w:rPr>
                <w:rFonts w:cs="Arial"/>
                <w:sz w:val="22"/>
                <w:szCs w:val="22"/>
              </w:rPr>
            </w:pPr>
          </w:p>
          <w:p w14:paraId="58F0473D" w14:textId="77777777" w:rsidR="00775292" w:rsidRDefault="00775292" w:rsidP="00CB6FBB">
            <w:pPr>
              <w:spacing w:line="360" w:lineRule="auto"/>
              <w:jc w:val="left"/>
              <w:rPr>
                <w:rFonts w:cs="Arial"/>
                <w:sz w:val="22"/>
                <w:szCs w:val="22"/>
              </w:rPr>
            </w:pPr>
          </w:p>
          <w:p w14:paraId="0342CC71" w14:textId="77777777" w:rsidR="00775292" w:rsidRPr="00DF659D" w:rsidRDefault="00775292" w:rsidP="00CB6FBB">
            <w:pPr>
              <w:spacing w:line="360" w:lineRule="auto"/>
              <w:jc w:val="left"/>
              <w:rPr>
                <w:rFonts w:cs="Arial"/>
                <w:sz w:val="22"/>
                <w:szCs w:val="22"/>
              </w:rPr>
            </w:pPr>
          </w:p>
        </w:tc>
        <w:tc>
          <w:tcPr>
            <w:tcW w:w="0" w:type="auto"/>
            <w:vAlign w:val="center"/>
            <w:hideMark/>
          </w:tcPr>
          <w:p w14:paraId="34A9AC3F" w14:textId="77777777" w:rsidR="00DF659D" w:rsidRPr="00DF659D" w:rsidRDefault="00DF659D" w:rsidP="00CB6FBB">
            <w:pPr>
              <w:spacing w:line="360" w:lineRule="auto"/>
              <w:jc w:val="left"/>
              <w:rPr>
                <w:rFonts w:cs="Arial"/>
                <w:sz w:val="22"/>
                <w:szCs w:val="22"/>
              </w:rPr>
            </w:pPr>
            <w:r w:rsidRPr="00DF659D">
              <w:rPr>
                <w:rFonts w:cs="Arial"/>
                <w:sz w:val="22"/>
                <w:szCs w:val="22"/>
              </w:rPr>
              <w:t>Uniform austenitic structure; minimal delta ferrite</w:t>
            </w:r>
          </w:p>
        </w:tc>
        <w:tc>
          <w:tcPr>
            <w:tcW w:w="0" w:type="auto"/>
            <w:vAlign w:val="center"/>
            <w:hideMark/>
          </w:tcPr>
          <w:p w14:paraId="6C41B245" w14:textId="77777777" w:rsidR="00DF659D" w:rsidRPr="00DF659D" w:rsidRDefault="00DF659D" w:rsidP="00CB6FBB">
            <w:pPr>
              <w:spacing w:line="360" w:lineRule="auto"/>
              <w:jc w:val="left"/>
              <w:rPr>
                <w:rFonts w:cs="Arial"/>
                <w:sz w:val="22"/>
                <w:szCs w:val="22"/>
              </w:rPr>
            </w:pPr>
            <w:r w:rsidRPr="00DF659D">
              <w:rPr>
                <w:rFonts w:cs="Arial"/>
                <w:sz w:val="22"/>
                <w:szCs w:val="22"/>
              </w:rPr>
              <w:t>175 – 190</w:t>
            </w:r>
          </w:p>
        </w:tc>
        <w:tc>
          <w:tcPr>
            <w:tcW w:w="0" w:type="auto"/>
            <w:vAlign w:val="center"/>
            <w:hideMark/>
          </w:tcPr>
          <w:p w14:paraId="2F60F98D" w14:textId="77777777" w:rsidR="00DF659D" w:rsidRPr="00DF659D" w:rsidRDefault="00DF659D" w:rsidP="00CB6FBB">
            <w:pPr>
              <w:spacing w:line="360" w:lineRule="auto"/>
              <w:jc w:val="left"/>
              <w:rPr>
                <w:rFonts w:cs="Arial"/>
                <w:sz w:val="22"/>
                <w:szCs w:val="22"/>
              </w:rPr>
            </w:pPr>
            <w:r w:rsidRPr="00DF659D">
              <w:rPr>
                <w:rFonts w:cs="Arial"/>
                <w:sz w:val="22"/>
                <w:szCs w:val="22"/>
              </w:rPr>
              <w:t>None detected</w:t>
            </w:r>
          </w:p>
        </w:tc>
        <w:tc>
          <w:tcPr>
            <w:tcW w:w="0" w:type="auto"/>
            <w:vAlign w:val="center"/>
            <w:hideMark/>
          </w:tcPr>
          <w:p w14:paraId="3652730F" w14:textId="77777777" w:rsidR="00DF659D" w:rsidRPr="00DF659D" w:rsidRDefault="00DF659D" w:rsidP="00CB6FBB">
            <w:pPr>
              <w:spacing w:line="360" w:lineRule="auto"/>
              <w:jc w:val="left"/>
              <w:rPr>
                <w:rFonts w:cs="Arial"/>
                <w:sz w:val="22"/>
                <w:szCs w:val="22"/>
              </w:rPr>
            </w:pPr>
            <w:r w:rsidRPr="00DF659D">
              <w:rPr>
                <w:rFonts w:cs="Arial"/>
                <w:sz w:val="22"/>
                <w:szCs w:val="22"/>
              </w:rPr>
              <w:t>Normal condition; no degradation</w:t>
            </w:r>
          </w:p>
        </w:tc>
      </w:tr>
      <w:tr w:rsidR="00DF659D" w:rsidRPr="00DF659D" w14:paraId="570D1D88" w14:textId="77777777" w:rsidTr="00DF659D">
        <w:trPr>
          <w:tblCellSpacing w:w="15" w:type="dxa"/>
        </w:trPr>
        <w:tc>
          <w:tcPr>
            <w:tcW w:w="0" w:type="auto"/>
            <w:vAlign w:val="center"/>
            <w:hideMark/>
          </w:tcPr>
          <w:p w14:paraId="003AE511" w14:textId="77777777" w:rsidR="00DF659D" w:rsidRPr="00DF659D" w:rsidRDefault="00DF659D" w:rsidP="00CB6FBB">
            <w:pPr>
              <w:spacing w:line="360" w:lineRule="auto"/>
              <w:jc w:val="left"/>
              <w:rPr>
                <w:rFonts w:cs="Arial"/>
                <w:sz w:val="22"/>
                <w:szCs w:val="22"/>
              </w:rPr>
            </w:pPr>
            <w:r w:rsidRPr="00DF659D">
              <w:rPr>
                <w:rFonts w:cs="Arial"/>
                <w:sz w:val="22"/>
                <w:szCs w:val="22"/>
              </w:rPr>
              <w:lastRenderedPageBreak/>
              <w:t>5</w:t>
            </w:r>
          </w:p>
        </w:tc>
        <w:tc>
          <w:tcPr>
            <w:tcW w:w="0" w:type="auto"/>
            <w:vAlign w:val="center"/>
            <w:hideMark/>
          </w:tcPr>
          <w:p w14:paraId="6E727405" w14:textId="77777777" w:rsidR="00DF659D" w:rsidRPr="00DF659D" w:rsidRDefault="00DF659D" w:rsidP="00CB6FBB">
            <w:pPr>
              <w:spacing w:line="360" w:lineRule="auto"/>
              <w:jc w:val="left"/>
              <w:rPr>
                <w:rFonts w:cs="Arial"/>
                <w:sz w:val="22"/>
                <w:szCs w:val="22"/>
              </w:rPr>
            </w:pPr>
            <w:r w:rsidRPr="00DF659D">
              <w:rPr>
                <w:rFonts w:cs="Arial"/>
                <w:sz w:val="22"/>
                <w:szCs w:val="22"/>
              </w:rPr>
              <w:t>Previously repaired weld (region of past overlay)</w:t>
            </w:r>
          </w:p>
        </w:tc>
        <w:tc>
          <w:tcPr>
            <w:tcW w:w="0" w:type="auto"/>
            <w:vAlign w:val="center"/>
            <w:hideMark/>
          </w:tcPr>
          <w:p w14:paraId="37D9E286" w14:textId="77777777" w:rsidR="00DF659D" w:rsidRPr="00DF659D" w:rsidRDefault="00DF659D" w:rsidP="00CB6FBB">
            <w:pPr>
              <w:spacing w:line="360" w:lineRule="auto"/>
              <w:jc w:val="left"/>
              <w:rPr>
                <w:rFonts w:cs="Arial"/>
                <w:sz w:val="22"/>
                <w:szCs w:val="22"/>
              </w:rPr>
            </w:pPr>
            <w:r w:rsidRPr="00DF659D">
              <w:rPr>
                <w:rFonts w:cs="Arial"/>
                <w:sz w:val="22"/>
                <w:szCs w:val="22"/>
              </w:rPr>
              <w:t>Mixed ferritic–austenitic microstructure with heavy sigma-phase formation and micro-cracks</w:t>
            </w:r>
          </w:p>
        </w:tc>
        <w:tc>
          <w:tcPr>
            <w:tcW w:w="0" w:type="auto"/>
            <w:vAlign w:val="center"/>
            <w:hideMark/>
          </w:tcPr>
          <w:p w14:paraId="3CD3F689" w14:textId="77777777" w:rsidR="00DF659D" w:rsidRPr="00DF659D" w:rsidRDefault="00DF659D" w:rsidP="00CB6FBB">
            <w:pPr>
              <w:spacing w:line="360" w:lineRule="auto"/>
              <w:jc w:val="left"/>
              <w:rPr>
                <w:rFonts w:cs="Arial"/>
                <w:sz w:val="22"/>
                <w:szCs w:val="22"/>
              </w:rPr>
            </w:pPr>
            <w:r w:rsidRPr="00DF659D">
              <w:rPr>
                <w:rFonts w:cs="Arial"/>
                <w:sz w:val="22"/>
                <w:szCs w:val="22"/>
              </w:rPr>
              <w:t>340 – 360</w:t>
            </w:r>
          </w:p>
        </w:tc>
        <w:tc>
          <w:tcPr>
            <w:tcW w:w="0" w:type="auto"/>
            <w:vAlign w:val="center"/>
            <w:hideMark/>
          </w:tcPr>
          <w:p w14:paraId="2AA5C707" w14:textId="77777777" w:rsidR="00DF659D" w:rsidRPr="00DF659D" w:rsidRDefault="00DF659D" w:rsidP="00CB6FBB">
            <w:pPr>
              <w:spacing w:line="360" w:lineRule="auto"/>
              <w:jc w:val="left"/>
              <w:rPr>
                <w:rFonts w:cs="Arial"/>
                <w:sz w:val="22"/>
                <w:szCs w:val="22"/>
              </w:rPr>
            </w:pPr>
            <w:r w:rsidRPr="00DF659D">
              <w:rPr>
                <w:rFonts w:cs="Arial"/>
                <w:sz w:val="22"/>
                <w:szCs w:val="22"/>
              </w:rPr>
              <w:t>Severe (&gt; 20 %)</w:t>
            </w:r>
          </w:p>
        </w:tc>
        <w:tc>
          <w:tcPr>
            <w:tcW w:w="0" w:type="auto"/>
            <w:vAlign w:val="center"/>
            <w:hideMark/>
          </w:tcPr>
          <w:p w14:paraId="34D1288B" w14:textId="77777777" w:rsidR="00DF659D" w:rsidRPr="00DF659D" w:rsidRDefault="00DF659D" w:rsidP="00CB6FBB">
            <w:pPr>
              <w:spacing w:line="360" w:lineRule="auto"/>
              <w:jc w:val="left"/>
              <w:rPr>
                <w:rFonts w:cs="Arial"/>
                <w:sz w:val="22"/>
                <w:szCs w:val="22"/>
              </w:rPr>
            </w:pPr>
            <w:r w:rsidRPr="00DF659D">
              <w:rPr>
                <w:rFonts w:cs="Arial"/>
                <w:sz w:val="22"/>
                <w:szCs w:val="22"/>
              </w:rPr>
              <w:t>Embrittled and unsalvageable</w:t>
            </w:r>
          </w:p>
        </w:tc>
      </w:tr>
    </w:tbl>
    <w:p w14:paraId="3A3ECF9E" w14:textId="77777777" w:rsidR="00DF659D" w:rsidRDefault="00DF659D" w:rsidP="00CB6FBB">
      <w:pPr>
        <w:pStyle w:val="Caption"/>
        <w:spacing w:line="360" w:lineRule="auto"/>
      </w:pPr>
    </w:p>
    <w:p w14:paraId="462D729B" w14:textId="14D8F5C0" w:rsidR="00DF659D" w:rsidRPr="00DF659D" w:rsidRDefault="00DF659D" w:rsidP="00CB6FBB">
      <w:pPr>
        <w:pStyle w:val="Caption"/>
        <w:spacing w:line="360" w:lineRule="auto"/>
        <w:rPr>
          <w:rFonts w:ascii="Arial" w:hAnsi="Arial" w:cs="Arial"/>
        </w:rPr>
      </w:pPr>
      <w:bookmarkStart w:id="12" w:name="_Toc230791155"/>
      <w:r>
        <w:t xml:space="preserve">Table </w:t>
      </w:r>
      <w:r w:rsidRPr="00DF659D">
        <w:fldChar w:fldCharType="begin"/>
      </w:r>
      <w:r w:rsidRPr="00DF659D">
        <w:instrText xml:space="preserve"> SEQ Table \* ARABIC </w:instrText>
      </w:r>
      <w:r w:rsidRPr="00DF659D">
        <w:fldChar w:fldCharType="separate"/>
      </w:r>
      <w:r w:rsidR="004048BF">
        <w:rPr>
          <w:noProof/>
        </w:rPr>
        <w:t>1</w:t>
      </w:r>
      <w:r w:rsidRPr="00DF659D">
        <w:fldChar w:fldCharType="end"/>
      </w:r>
      <w:r w:rsidRPr="00DF659D">
        <w:t xml:space="preserve"> -</w:t>
      </w:r>
      <w:r w:rsidRPr="00DF659D">
        <w:rPr>
          <w:rFonts w:ascii="Arial" w:hAnsi="Arial" w:cs="Arial"/>
        </w:rPr>
        <w:t xml:space="preserve"> </w:t>
      </w:r>
      <w:r w:rsidRPr="00BD646D">
        <w:rPr>
          <w:rFonts w:ascii="Arial" w:hAnsi="Arial" w:cs="Arial"/>
        </w:rPr>
        <w:t>Metallurgical Replication Results Summary</w:t>
      </w:r>
      <w:bookmarkEnd w:id="12"/>
    </w:p>
    <w:p w14:paraId="63A9CCD0" w14:textId="77777777" w:rsidR="00BD646D" w:rsidRPr="00BD646D" w:rsidRDefault="00BD646D" w:rsidP="00CB6FBB">
      <w:pPr>
        <w:spacing w:line="360" w:lineRule="auto"/>
        <w:rPr>
          <w:rFonts w:cs="Arial"/>
        </w:rPr>
      </w:pPr>
      <w:r w:rsidRPr="00BD646D">
        <w:rPr>
          <w:rFonts w:cs="Arial"/>
        </w:rPr>
        <w:t>Embrittlement in the TSS welds explains the extensive cracking observed during inspection. When subjected to normal thermal cycling or vibration, the brittle welds fracture rather than deform plastically. The combination of high temperature, vibration, and low fracture toughness makes the existing separator unreliable for continued operation.</w:t>
      </w:r>
    </w:p>
    <w:p w14:paraId="0423277A" w14:textId="098903B5" w:rsidR="00BD646D" w:rsidRPr="00BD646D" w:rsidRDefault="00BD646D" w:rsidP="00CB6FBB">
      <w:pPr>
        <w:spacing w:line="360" w:lineRule="auto"/>
        <w:rPr>
          <w:rFonts w:cs="Arial"/>
        </w:rPr>
      </w:pPr>
    </w:p>
    <w:p w14:paraId="53AE139D" w14:textId="77777777" w:rsidR="00BD646D" w:rsidRPr="00BD646D" w:rsidRDefault="00BD646D" w:rsidP="00CB6FBB">
      <w:pPr>
        <w:spacing w:line="360" w:lineRule="auto"/>
        <w:rPr>
          <w:rFonts w:cs="Arial"/>
        </w:rPr>
      </w:pPr>
      <w:r w:rsidRPr="00BD646D">
        <w:rPr>
          <w:rFonts w:cs="Arial"/>
        </w:rPr>
        <w:t>The TSS experiences repeated temperature fluctuations during start-up, shutdown, and load changes. These cycles produce differential expansion between the cyclone internals and the vessel shell. According to Lee and Anderson (2012), thermal fatigue arises when temperature gradients generate alternating tensile and compressive stresses at the weld interface.</w:t>
      </w:r>
    </w:p>
    <w:p w14:paraId="583352E3" w14:textId="77777777" w:rsidR="00BD646D" w:rsidRPr="00BD646D" w:rsidRDefault="00BD646D" w:rsidP="00CB6FBB">
      <w:pPr>
        <w:spacing w:line="360" w:lineRule="auto"/>
        <w:rPr>
          <w:rFonts w:cs="Arial"/>
        </w:rPr>
      </w:pPr>
      <w:r w:rsidRPr="00BD646D">
        <w:rPr>
          <w:rFonts w:cs="Arial"/>
        </w:rPr>
        <w:t xml:space="preserve">Each thermal cycle causes incremental crack growth. When combined with mechanical vibration from flue gas pulsation and catalyst impingement, cracks propagate through the weld circumference until structural failure occurs. The 2021 inspection confirmed through-wall cracks in several alignment can </w:t>
      </w:r>
      <w:proofErr w:type="gramStart"/>
      <w:r w:rsidRPr="00BD646D">
        <w:rPr>
          <w:rFonts w:cs="Arial"/>
        </w:rPr>
        <w:t>joints</w:t>
      </w:r>
      <w:proofErr w:type="gramEnd"/>
      <w:r w:rsidRPr="00BD646D">
        <w:rPr>
          <w:rFonts w:cs="Arial"/>
        </w:rPr>
        <w:t>, suggesting complete mechanical separation between cyclone components (Valero, 2021).</w:t>
      </w:r>
    </w:p>
    <w:p w14:paraId="6D2137FF" w14:textId="77777777" w:rsidR="00DF659D" w:rsidRDefault="00DF659D" w:rsidP="00CB6FBB">
      <w:pPr>
        <w:pStyle w:val="Caption"/>
        <w:spacing w:line="360" w:lineRule="auto"/>
      </w:pPr>
      <w:r w:rsidRPr="00DF659D">
        <w:rPr>
          <w:rFonts w:ascii="Arial" w:hAnsi="Arial" w:cs="Arial"/>
          <w:noProof/>
        </w:rPr>
        <w:lastRenderedPageBreak/>
        <w:drawing>
          <wp:inline distT="0" distB="0" distL="0" distR="0" wp14:anchorId="72F9FF15" wp14:editId="53F8310B">
            <wp:extent cx="5731510" cy="31711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71190"/>
                    </a:xfrm>
                    <a:prstGeom prst="rect">
                      <a:avLst/>
                    </a:prstGeom>
                  </pic:spPr>
                </pic:pic>
              </a:graphicData>
            </a:graphic>
          </wp:inline>
        </w:drawing>
      </w:r>
      <w:r w:rsidR="00BD646D" w:rsidRPr="00BD646D">
        <w:rPr>
          <w:rFonts w:ascii="Arial" w:hAnsi="Arial" w:cs="Arial"/>
        </w:rPr>
        <w:br/>
      </w:r>
    </w:p>
    <w:p w14:paraId="43FFBB09" w14:textId="1881EED5" w:rsidR="00BD646D" w:rsidRDefault="00DF659D" w:rsidP="00CB6FBB">
      <w:pPr>
        <w:pStyle w:val="Caption"/>
        <w:spacing w:line="360" w:lineRule="auto"/>
        <w:rPr>
          <w:rFonts w:ascii="Arial" w:hAnsi="Arial" w:cs="Arial"/>
          <w:i w:val="0"/>
          <w:iCs w:val="0"/>
        </w:rPr>
      </w:pPr>
      <w:bookmarkStart w:id="13" w:name="_Toc230791128"/>
      <w:r>
        <w:t xml:space="preserve">Figure </w:t>
      </w:r>
      <w:r>
        <w:fldChar w:fldCharType="begin"/>
      </w:r>
      <w:r>
        <w:instrText xml:space="preserve"> SEQ Figure \* ARABIC </w:instrText>
      </w:r>
      <w:r>
        <w:fldChar w:fldCharType="separate"/>
      </w:r>
      <w:r w:rsidR="004048BF">
        <w:rPr>
          <w:noProof/>
        </w:rPr>
        <w:t>5</w:t>
      </w:r>
      <w:r>
        <w:fldChar w:fldCharType="end"/>
      </w:r>
      <w:r>
        <w:t xml:space="preserve"> - Inlet gas tube cracking</w:t>
      </w:r>
      <w:bookmarkEnd w:id="13"/>
    </w:p>
    <w:p w14:paraId="44B729AD" w14:textId="77777777" w:rsidR="00BD646D" w:rsidRPr="00BD646D" w:rsidRDefault="00BD646D" w:rsidP="00CB6FBB">
      <w:pPr>
        <w:spacing w:line="360" w:lineRule="auto"/>
        <w:rPr>
          <w:rFonts w:cs="Arial"/>
        </w:rPr>
      </w:pPr>
      <w:r w:rsidRPr="00BD646D">
        <w:rPr>
          <w:rFonts w:cs="Arial"/>
        </w:rPr>
        <w:t>Erosion from fine catalyst particles further accelerates degradation by thinning the cyclone walls and exposing new surfaces to oxidation. Combined with sigma-phase embrittlement, this results in brittle fracture rather than ductile yielding.</w:t>
      </w:r>
    </w:p>
    <w:p w14:paraId="41C6B0C8" w14:textId="77777777" w:rsidR="00BD646D" w:rsidRPr="00BD646D" w:rsidRDefault="00BD646D" w:rsidP="00CB6FBB">
      <w:pPr>
        <w:spacing w:line="360" w:lineRule="auto"/>
        <w:rPr>
          <w:rFonts w:cs="Arial"/>
        </w:rPr>
      </w:pPr>
      <w:r w:rsidRPr="00BD646D">
        <w:rPr>
          <w:rFonts w:cs="Arial"/>
        </w:rPr>
        <w:t>Thermal cycling effects were modelled using finite element analysis (FEA) to simulate expansion stress. The analysis revealed localised stress peaks exceeding 85% of yield strength at 600°C. These conditions explain the accelerated cracking between 2014 and 2021 and confirm that the temporary mechanical restraints installed in 2021 (J-hooks) are insufficient to withstand long-term cyclic stress.</w:t>
      </w:r>
    </w:p>
    <w:p w14:paraId="7E78C7D0" w14:textId="2F2AC1D8" w:rsidR="00BD646D" w:rsidRPr="00BD646D" w:rsidRDefault="00BD646D" w:rsidP="00CB6FBB">
      <w:pPr>
        <w:spacing w:line="360" w:lineRule="auto"/>
        <w:rPr>
          <w:rFonts w:cs="Arial"/>
        </w:rPr>
      </w:pPr>
    </w:p>
    <w:p w14:paraId="7A966AA0" w14:textId="77777777" w:rsidR="00BD646D" w:rsidRPr="00BD646D" w:rsidRDefault="00BD646D" w:rsidP="00CB6FBB">
      <w:pPr>
        <w:spacing w:line="360" w:lineRule="auto"/>
        <w:rPr>
          <w:rFonts w:cs="Arial"/>
        </w:rPr>
      </w:pPr>
      <w:r w:rsidRPr="00BD646D">
        <w:rPr>
          <w:rFonts w:cs="Arial"/>
        </w:rPr>
        <w:t xml:space="preserve">To prevent immediate mechanical failure, a J-hook restraint system was installed across all 112 cyclone assemblies during the 2021 turnaround. This system uses hooked rods to anchor the swirl vanes and swirl cans to the upper </w:t>
      </w:r>
      <w:proofErr w:type="spellStart"/>
      <w:r w:rsidRPr="00BD646D">
        <w:rPr>
          <w:rFonts w:cs="Arial"/>
        </w:rPr>
        <w:t>tubesheet</w:t>
      </w:r>
      <w:proofErr w:type="spellEnd"/>
      <w:r w:rsidRPr="00BD646D">
        <w:rPr>
          <w:rFonts w:cs="Arial"/>
        </w:rPr>
        <w:t>, preventing them from detaching and dropping into the vessel base.</w:t>
      </w:r>
    </w:p>
    <w:p w14:paraId="778563E6" w14:textId="77777777" w:rsidR="00BD646D" w:rsidRPr="00BD646D" w:rsidRDefault="00BD646D" w:rsidP="00CB6FBB">
      <w:pPr>
        <w:spacing w:line="360" w:lineRule="auto"/>
        <w:rPr>
          <w:rFonts w:cs="Arial"/>
        </w:rPr>
      </w:pPr>
      <w:r w:rsidRPr="00BD646D">
        <w:rPr>
          <w:rFonts w:cs="Arial"/>
        </w:rPr>
        <w:t>While the design temporarily mitigated the risk of catastrophic failure, it introduced several limitations:</w:t>
      </w:r>
    </w:p>
    <w:p w14:paraId="53565E6C" w14:textId="77777777" w:rsidR="00BD646D" w:rsidRPr="00BD646D" w:rsidRDefault="00BD646D" w:rsidP="00CB6FBB">
      <w:pPr>
        <w:numPr>
          <w:ilvl w:val="0"/>
          <w:numId w:val="19"/>
        </w:numPr>
        <w:spacing w:line="360" w:lineRule="auto"/>
        <w:rPr>
          <w:rFonts w:cs="Arial"/>
        </w:rPr>
      </w:pPr>
      <w:r w:rsidRPr="00BD646D">
        <w:rPr>
          <w:rFonts w:cs="Arial"/>
        </w:rPr>
        <w:t>It was not approved by Shell as a permanent repair;</w:t>
      </w:r>
    </w:p>
    <w:p w14:paraId="3371366B" w14:textId="77777777" w:rsidR="00BD646D" w:rsidRPr="00BD646D" w:rsidRDefault="00BD646D" w:rsidP="00CB6FBB">
      <w:pPr>
        <w:numPr>
          <w:ilvl w:val="0"/>
          <w:numId w:val="19"/>
        </w:numPr>
        <w:spacing w:line="360" w:lineRule="auto"/>
        <w:rPr>
          <w:rFonts w:cs="Arial"/>
        </w:rPr>
      </w:pPr>
      <w:r w:rsidRPr="00BD646D">
        <w:rPr>
          <w:rFonts w:cs="Arial"/>
        </w:rPr>
        <w:t>The components cannot be condition-monitored effectively;</w:t>
      </w:r>
    </w:p>
    <w:p w14:paraId="194170E7" w14:textId="77777777" w:rsidR="00BD646D" w:rsidRPr="00BD646D" w:rsidRDefault="00BD646D" w:rsidP="00CB6FBB">
      <w:pPr>
        <w:numPr>
          <w:ilvl w:val="0"/>
          <w:numId w:val="19"/>
        </w:numPr>
        <w:spacing w:line="360" w:lineRule="auto"/>
        <w:rPr>
          <w:rFonts w:cs="Arial"/>
        </w:rPr>
      </w:pPr>
      <w:r w:rsidRPr="00BD646D">
        <w:rPr>
          <w:rFonts w:cs="Arial"/>
        </w:rPr>
        <w:t>The system remains vulnerable to thermal cycling fatigue;</w:t>
      </w:r>
    </w:p>
    <w:p w14:paraId="7E951313" w14:textId="77777777" w:rsidR="00BD646D" w:rsidRPr="00BD646D" w:rsidRDefault="00BD646D" w:rsidP="00CB6FBB">
      <w:pPr>
        <w:numPr>
          <w:ilvl w:val="0"/>
          <w:numId w:val="19"/>
        </w:numPr>
        <w:spacing w:line="360" w:lineRule="auto"/>
        <w:rPr>
          <w:rFonts w:cs="Arial"/>
        </w:rPr>
      </w:pPr>
      <w:r w:rsidRPr="00BD646D">
        <w:rPr>
          <w:rFonts w:cs="Arial"/>
        </w:rPr>
        <w:t>It does not address the underlying metallurgical degradation (Valero, 2021).</w:t>
      </w:r>
    </w:p>
    <w:p w14:paraId="2A3D2AD8" w14:textId="77777777" w:rsidR="00DF659D" w:rsidRDefault="00DF659D" w:rsidP="00CB6FBB">
      <w:pPr>
        <w:spacing w:line="360" w:lineRule="auto"/>
        <w:rPr>
          <w:rFonts w:cs="Arial"/>
          <w:i/>
          <w:iCs/>
        </w:rPr>
      </w:pPr>
      <w:r w:rsidRPr="00DF659D">
        <w:rPr>
          <w:rFonts w:cs="Arial"/>
          <w:noProof/>
        </w:rPr>
        <w:lastRenderedPageBreak/>
        <w:drawing>
          <wp:inline distT="0" distB="0" distL="0" distR="0" wp14:anchorId="58864E89" wp14:editId="20E0E59A">
            <wp:extent cx="5731510" cy="3440430"/>
            <wp:effectExtent l="0" t="0" r="2540" b="7620"/>
            <wp:docPr id="8" name="Picture 4" descr="cid:image001.png@01D70BA3.DECCD6A0"/>
            <wp:cNvGraphicFramePr/>
            <a:graphic xmlns:a="http://schemas.openxmlformats.org/drawingml/2006/main">
              <a:graphicData uri="http://schemas.openxmlformats.org/drawingml/2006/picture">
                <pic:pic xmlns:pic="http://schemas.openxmlformats.org/drawingml/2006/picture">
                  <pic:nvPicPr>
                    <pic:cNvPr id="5" name="Picture 4" descr="cid:image001.png@01D70BA3.DECCD6A0"/>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440430"/>
                    </a:xfrm>
                    <a:prstGeom prst="rect">
                      <a:avLst/>
                    </a:prstGeom>
                    <a:noFill/>
                    <a:ln>
                      <a:noFill/>
                    </a:ln>
                  </pic:spPr>
                </pic:pic>
              </a:graphicData>
            </a:graphic>
          </wp:inline>
        </w:drawing>
      </w:r>
    </w:p>
    <w:p w14:paraId="511F5D72" w14:textId="77777777" w:rsidR="00DF659D" w:rsidRDefault="00DF659D" w:rsidP="00CB6FBB">
      <w:pPr>
        <w:pStyle w:val="Caption"/>
        <w:spacing w:line="360" w:lineRule="auto"/>
      </w:pPr>
    </w:p>
    <w:p w14:paraId="3809B2D8" w14:textId="775E6399" w:rsidR="00BD646D" w:rsidRPr="00BD646D" w:rsidRDefault="00DF659D" w:rsidP="00CB6FBB">
      <w:pPr>
        <w:pStyle w:val="Caption"/>
        <w:spacing w:line="360" w:lineRule="auto"/>
        <w:rPr>
          <w:rFonts w:ascii="Arial" w:hAnsi="Arial" w:cs="Arial"/>
        </w:rPr>
      </w:pPr>
      <w:bookmarkStart w:id="14" w:name="_Toc230791129"/>
      <w:r>
        <w:t xml:space="preserve">Figure </w:t>
      </w:r>
      <w:r>
        <w:fldChar w:fldCharType="begin"/>
      </w:r>
      <w:r>
        <w:instrText xml:space="preserve"> SEQ Figure \* ARABIC </w:instrText>
      </w:r>
      <w:r>
        <w:fldChar w:fldCharType="separate"/>
      </w:r>
      <w:r w:rsidR="004048BF">
        <w:rPr>
          <w:noProof/>
        </w:rPr>
        <w:t>6</w:t>
      </w:r>
      <w:r>
        <w:fldChar w:fldCharType="end"/>
      </w:r>
      <w:r>
        <w:t xml:space="preserve"> - Temporary hook installation design</w:t>
      </w:r>
      <w:bookmarkEnd w:id="14"/>
    </w:p>
    <w:p w14:paraId="671ED485" w14:textId="77777777" w:rsidR="00BD646D" w:rsidRPr="00BD646D" w:rsidRDefault="00BD646D" w:rsidP="00CB6FBB">
      <w:pPr>
        <w:spacing w:line="360" w:lineRule="auto"/>
        <w:rPr>
          <w:rFonts w:cs="Arial"/>
        </w:rPr>
      </w:pPr>
      <w:r w:rsidRPr="00BD646D">
        <w:rPr>
          <w:rFonts w:cs="Arial"/>
        </w:rPr>
        <w:t>The J-hook system therefore functions as a short-term operational safeguard only, allowing continued operation until a permanent solution could be engineered.</w:t>
      </w:r>
    </w:p>
    <w:p w14:paraId="24CBDA2B" w14:textId="165B4DAB" w:rsidR="00BD646D" w:rsidRPr="00BD646D" w:rsidRDefault="00BD646D" w:rsidP="00CB6FBB">
      <w:pPr>
        <w:spacing w:line="360" w:lineRule="auto"/>
        <w:rPr>
          <w:rFonts w:cs="Arial"/>
        </w:rPr>
      </w:pPr>
    </w:p>
    <w:p w14:paraId="3B7D7405" w14:textId="77777777" w:rsidR="00BD646D" w:rsidRPr="00BD646D" w:rsidRDefault="00BD646D" w:rsidP="00CB6FBB">
      <w:pPr>
        <w:spacing w:line="360" w:lineRule="auto"/>
        <w:rPr>
          <w:rFonts w:cs="Arial"/>
        </w:rPr>
      </w:pPr>
      <w:r w:rsidRPr="00BD646D">
        <w:rPr>
          <w:rFonts w:cs="Arial"/>
        </w:rPr>
        <w:t>Sigma-phase embrittlement and cyclone cracking are not unique to Pembroke. Similar failures have been reported across older Shell and UOP FCC units operating since the 1980s. The 2018 TSS replacement at Petro-Canada’s Montreal Refinery revealed identical cracking in 304H cyclone welds after 40 years of service (Petro-Canada, 2019). The project cost approximately £12 million and demonstrated that replacement was the only viable long-term solution.</w:t>
      </w:r>
    </w:p>
    <w:p w14:paraId="56D8B9D5" w14:textId="77777777" w:rsidR="00BD646D" w:rsidRPr="00BD646D" w:rsidRDefault="00BD646D" w:rsidP="00CB6FBB">
      <w:pPr>
        <w:spacing w:line="360" w:lineRule="auto"/>
        <w:rPr>
          <w:rFonts w:cs="Arial"/>
        </w:rPr>
      </w:pPr>
      <w:r w:rsidRPr="00BD646D">
        <w:rPr>
          <w:rFonts w:cs="Arial"/>
        </w:rPr>
        <w:t>Industry lessons learned from such projects led to design improvements:</w:t>
      </w:r>
    </w:p>
    <w:p w14:paraId="535E0E4C" w14:textId="77777777" w:rsidR="00BD646D" w:rsidRPr="00BD646D" w:rsidRDefault="00BD646D" w:rsidP="00CB6FBB">
      <w:pPr>
        <w:numPr>
          <w:ilvl w:val="0"/>
          <w:numId w:val="20"/>
        </w:numPr>
        <w:spacing w:line="360" w:lineRule="auto"/>
        <w:rPr>
          <w:rFonts w:cs="Arial"/>
        </w:rPr>
      </w:pPr>
      <w:r w:rsidRPr="00BD646D">
        <w:rPr>
          <w:rFonts w:cs="Arial"/>
        </w:rPr>
        <w:t>Increasing cyclone count to reduce individual unit gas velocity;</w:t>
      </w:r>
    </w:p>
    <w:p w14:paraId="5A57655B" w14:textId="77777777" w:rsidR="00BD646D" w:rsidRPr="00BD646D" w:rsidRDefault="00BD646D" w:rsidP="00CB6FBB">
      <w:pPr>
        <w:numPr>
          <w:ilvl w:val="0"/>
          <w:numId w:val="20"/>
        </w:numPr>
        <w:spacing w:line="360" w:lineRule="auto"/>
        <w:rPr>
          <w:rFonts w:cs="Arial"/>
        </w:rPr>
      </w:pPr>
      <w:r w:rsidRPr="00BD646D">
        <w:rPr>
          <w:rFonts w:cs="Arial"/>
        </w:rPr>
        <w:t>Enlarging inlet and outlet nozzles to reduce pressure drop;</w:t>
      </w:r>
    </w:p>
    <w:p w14:paraId="65D8358A" w14:textId="77777777" w:rsidR="00BD646D" w:rsidRPr="00BD646D" w:rsidRDefault="00BD646D" w:rsidP="00CB6FBB">
      <w:pPr>
        <w:numPr>
          <w:ilvl w:val="0"/>
          <w:numId w:val="20"/>
        </w:numPr>
        <w:spacing w:line="360" w:lineRule="auto"/>
        <w:rPr>
          <w:rFonts w:cs="Arial"/>
        </w:rPr>
      </w:pPr>
      <w:r w:rsidRPr="00BD646D">
        <w:rPr>
          <w:rFonts w:cs="Arial"/>
        </w:rPr>
        <w:t>Upgrading fabrication standards and welding procedures;</w:t>
      </w:r>
    </w:p>
    <w:p w14:paraId="328AD509" w14:textId="77777777" w:rsidR="00BD646D" w:rsidRDefault="00BD646D" w:rsidP="00CB6FBB">
      <w:pPr>
        <w:numPr>
          <w:ilvl w:val="0"/>
          <w:numId w:val="20"/>
        </w:numPr>
        <w:spacing w:line="360" w:lineRule="auto"/>
        <w:rPr>
          <w:rFonts w:cs="Arial"/>
        </w:rPr>
      </w:pPr>
      <w:r w:rsidRPr="00BD646D">
        <w:rPr>
          <w:rFonts w:cs="Arial"/>
        </w:rPr>
        <w:t>Implementing improved material controls and heat treatment (Shell Global Solutions, 2020).</w:t>
      </w:r>
    </w:p>
    <w:p w14:paraId="5B03EDA8" w14:textId="6736EF47" w:rsidR="00DF659D" w:rsidRDefault="00DF659D" w:rsidP="00CB6FBB">
      <w:pPr>
        <w:spacing w:line="360" w:lineRule="auto"/>
        <w:rPr>
          <w:rFonts w:cs="Arial"/>
        </w:rPr>
      </w:pPr>
      <w:r w:rsidRPr="00DF659D">
        <w:rPr>
          <w:rFonts w:cs="Arial"/>
          <w:noProof/>
        </w:rPr>
        <w:lastRenderedPageBreak/>
        <w:drawing>
          <wp:inline distT="0" distB="0" distL="0" distR="0" wp14:anchorId="418670A1" wp14:editId="5D9B9EF0">
            <wp:extent cx="3750170" cy="5172075"/>
            <wp:effectExtent l="0" t="0" r="3175" b="0"/>
            <wp:docPr id="9" name="Picture 4">
              <a:extLst xmlns:a="http://schemas.openxmlformats.org/drawingml/2006/main">
                <a:ext uri="{FF2B5EF4-FFF2-40B4-BE49-F238E27FC236}">
                  <a16:creationId xmlns:a16="http://schemas.microsoft.com/office/drawing/2014/main" id="{F7451EDA-A84F-DC90-8187-37B5821FF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7451EDA-A84F-DC90-8187-37B5821FF244}"/>
                        </a:ext>
                      </a:extLst>
                    </pic:cNvPr>
                    <pic:cNvPicPr>
                      <a:picLocks noChangeAspect="1"/>
                    </pic:cNvPicPr>
                  </pic:nvPicPr>
                  <pic:blipFill>
                    <a:blip r:embed="rId18"/>
                    <a:stretch>
                      <a:fillRect/>
                    </a:stretch>
                  </pic:blipFill>
                  <pic:spPr>
                    <a:xfrm>
                      <a:off x="0" y="0"/>
                      <a:ext cx="3750170" cy="5172075"/>
                    </a:xfrm>
                    <a:prstGeom prst="rect">
                      <a:avLst/>
                    </a:prstGeom>
                  </pic:spPr>
                </pic:pic>
              </a:graphicData>
            </a:graphic>
          </wp:inline>
        </w:drawing>
      </w:r>
    </w:p>
    <w:p w14:paraId="2357802D" w14:textId="77777777" w:rsidR="00DF659D" w:rsidRDefault="00DF659D" w:rsidP="00CB6FBB">
      <w:pPr>
        <w:pStyle w:val="Caption"/>
        <w:spacing w:line="360" w:lineRule="auto"/>
      </w:pPr>
    </w:p>
    <w:p w14:paraId="24FA0D19" w14:textId="62651A56" w:rsidR="00DF659D" w:rsidRPr="00BD646D" w:rsidRDefault="00DF659D" w:rsidP="00CB6FBB">
      <w:pPr>
        <w:pStyle w:val="Caption"/>
        <w:spacing w:line="360" w:lineRule="auto"/>
        <w:rPr>
          <w:rFonts w:ascii="Arial" w:hAnsi="Arial" w:cs="Arial"/>
        </w:rPr>
      </w:pPr>
      <w:bookmarkStart w:id="15" w:name="_Toc230791130"/>
      <w:r>
        <w:t xml:space="preserve">Figure </w:t>
      </w:r>
      <w:r>
        <w:fldChar w:fldCharType="begin"/>
      </w:r>
      <w:r>
        <w:instrText xml:space="preserve"> SEQ Figure \* ARABIC </w:instrText>
      </w:r>
      <w:r>
        <w:fldChar w:fldCharType="separate"/>
      </w:r>
      <w:r w:rsidR="004048BF">
        <w:rPr>
          <w:noProof/>
        </w:rPr>
        <w:t>7</w:t>
      </w:r>
      <w:r>
        <w:fldChar w:fldCharType="end"/>
      </w:r>
      <w:r>
        <w:t xml:space="preserve"> -</w:t>
      </w:r>
      <w:r w:rsidRPr="00DF659D">
        <w:rPr>
          <w:rFonts w:ascii="Arial" w:hAnsi="Arial" w:cs="Arial"/>
          <w:b/>
          <w:bCs/>
        </w:rPr>
        <w:t xml:space="preserve"> </w:t>
      </w:r>
      <w:r w:rsidRPr="00BD646D">
        <w:rPr>
          <w:rFonts w:ascii="Arial" w:hAnsi="Arial" w:cs="Arial"/>
        </w:rPr>
        <w:t xml:space="preserve">Preliminary </w:t>
      </w:r>
      <w:r>
        <w:rPr>
          <w:rFonts w:ascii="Arial" w:hAnsi="Arial" w:cs="Arial"/>
        </w:rPr>
        <w:t xml:space="preserve">New </w:t>
      </w:r>
      <w:r w:rsidRPr="00BD646D">
        <w:rPr>
          <w:rFonts w:ascii="Arial" w:hAnsi="Arial" w:cs="Arial"/>
        </w:rPr>
        <w:t>Shell Replacement Design</w:t>
      </w:r>
      <w:bookmarkEnd w:id="15"/>
    </w:p>
    <w:p w14:paraId="243BC5C7" w14:textId="77777777" w:rsidR="00BD646D" w:rsidRPr="00BD646D" w:rsidRDefault="00BD646D" w:rsidP="00CB6FBB">
      <w:pPr>
        <w:spacing w:line="360" w:lineRule="auto"/>
        <w:rPr>
          <w:rFonts w:cs="Arial"/>
        </w:rPr>
      </w:pPr>
      <w:r w:rsidRPr="00BD646D">
        <w:rPr>
          <w:rFonts w:cs="Arial"/>
        </w:rPr>
        <w:t>The revised Shell design for Pembroke adopts these improvements. The cyclone count increases from 112 to 144, with minor changes to nozzle diameter (2.5–4.5% increase). Although the metallurgy remains 304H stainless steel, the new design incorporates enhanced welding and post-weld heat treatment to minimise future sigma-phase formation (Shell, 2024).</w:t>
      </w:r>
    </w:p>
    <w:p w14:paraId="241F211C" w14:textId="77777777" w:rsidR="00BD646D" w:rsidRDefault="00BD646D" w:rsidP="00CB6FBB">
      <w:pPr>
        <w:spacing w:line="360" w:lineRule="auto"/>
        <w:rPr>
          <w:rFonts w:cs="Arial"/>
        </w:rPr>
      </w:pPr>
      <w:r w:rsidRPr="00BD646D">
        <w:rPr>
          <w:rFonts w:cs="Arial"/>
        </w:rPr>
        <w:t>The updated configuration reduces internal velocity and erosion rates while maintaining vessel dimensions compatible with existing piping. These changes are expected to extend service life by at least 15 years and reduce maintenance requirements.</w:t>
      </w:r>
    </w:p>
    <w:p w14:paraId="47121D42" w14:textId="77777777" w:rsidR="001D0D12" w:rsidRPr="001D0D12" w:rsidRDefault="001D0D12" w:rsidP="00CB6FBB">
      <w:pPr>
        <w:pStyle w:val="Heading2"/>
        <w:spacing w:line="360" w:lineRule="auto"/>
      </w:pPr>
      <w:bookmarkStart w:id="16" w:name="_Toc230791059"/>
      <w:r w:rsidRPr="001D0D12">
        <w:rPr>
          <w:rFonts w:eastAsia="Times New Roman"/>
        </w:rPr>
        <w:lastRenderedPageBreak/>
        <w:t>Erosion and Wear Mechanisms in High-Temperature Cyclones</w:t>
      </w:r>
      <w:bookmarkEnd w:id="16"/>
    </w:p>
    <w:p w14:paraId="1CF956C7" w14:textId="77777777" w:rsidR="001D0D12" w:rsidRPr="001D0D12" w:rsidRDefault="001D0D12" w:rsidP="00CB6FBB">
      <w:pPr>
        <w:spacing w:line="360" w:lineRule="auto"/>
        <w:rPr>
          <w:rFonts w:cs="Arial"/>
        </w:rPr>
      </w:pPr>
      <w:r w:rsidRPr="001D0D12">
        <w:rPr>
          <w:rFonts w:cs="Arial"/>
        </w:rPr>
        <w:t xml:space="preserve">In addition to metallurgical degradation, erosion is one of the most common life-limiting factors in FCC separator systems. Erosion occurs when catalyst particles entrained in the flue gas strike internal surfaces at high velocity. The rate of wear depends on impact angle, particle hardness, gas velocity, and temperature. At Pembroke, erosion is most severe at the cyclone inlet and on the upper </w:t>
      </w:r>
      <w:proofErr w:type="spellStart"/>
      <w:r w:rsidRPr="001D0D12">
        <w:rPr>
          <w:rFonts w:cs="Arial"/>
        </w:rPr>
        <w:t>tubesheet</w:t>
      </w:r>
      <w:proofErr w:type="spellEnd"/>
      <w:r w:rsidRPr="001D0D12">
        <w:rPr>
          <w:rFonts w:cs="Arial"/>
        </w:rPr>
        <w:t xml:space="preserve"> where gas flow is redirected, creating high-energy particle impacts.</w:t>
      </w:r>
    </w:p>
    <w:p w14:paraId="4A5A8EAF" w14:textId="0E890327" w:rsidR="001D0D12" w:rsidRPr="00775292" w:rsidRDefault="001D0D12" w:rsidP="00CB6FBB">
      <w:pPr>
        <w:spacing w:line="360" w:lineRule="auto"/>
        <w:rPr>
          <w:rFonts w:cs="Arial"/>
          <w:lang w:val="en-US"/>
        </w:rPr>
      </w:pPr>
      <w:r w:rsidRPr="001D0D12">
        <w:rPr>
          <w:rFonts w:cs="Arial"/>
        </w:rPr>
        <w:t xml:space="preserve">The earliest erosion models, such as Finnie (1960), established that maximum material removal occurs when hard particles impact at shallow angles, typically between 20° and 30°. Later studies by Grant and </w:t>
      </w:r>
      <w:proofErr w:type="spellStart"/>
      <w:r w:rsidRPr="001D0D12">
        <w:rPr>
          <w:rFonts w:cs="Arial"/>
        </w:rPr>
        <w:t>Tabakoff</w:t>
      </w:r>
      <w:proofErr w:type="spellEnd"/>
      <w:r w:rsidRPr="001D0D12">
        <w:rPr>
          <w:rFonts w:cs="Arial"/>
        </w:rPr>
        <w:t xml:space="preserve"> (1975) refined this relationship by including particle size and impact velocity. </w:t>
      </w:r>
    </w:p>
    <w:p w14:paraId="71C867EC" w14:textId="77777777" w:rsidR="001D0D12" w:rsidRPr="001D0D12" w:rsidRDefault="001D0D12" w:rsidP="00CB6FBB">
      <w:pPr>
        <w:spacing w:line="360" w:lineRule="auto"/>
        <w:rPr>
          <w:rFonts w:cs="Arial"/>
        </w:rPr>
      </w:pPr>
      <w:r w:rsidRPr="001D0D12">
        <w:rPr>
          <w:rFonts w:cs="Arial"/>
        </w:rPr>
        <w:t>At high temperatures above 550 °C, oxidation and surface scaling further increase wear because the oxide layer is brittle and easily removed upon impact (Davis, 2018). In the Pembroke TSS, repeated oxidation and catalyst impingement have combined to produce both wall thinning and surface pitting. Once the stainless-steel surface loses its protective film, erosion accelerates rapidly, especially where sigma-phase embrittlement has already hardened the material.</w:t>
      </w:r>
    </w:p>
    <w:p w14:paraId="3047AB91" w14:textId="77777777" w:rsidR="001D0D12" w:rsidRPr="001D0D12" w:rsidRDefault="001D0D12" w:rsidP="00CB6FBB">
      <w:pPr>
        <w:spacing w:line="360" w:lineRule="auto"/>
        <w:rPr>
          <w:rFonts w:cs="Arial"/>
        </w:rPr>
      </w:pPr>
      <w:r w:rsidRPr="001D0D12">
        <w:rPr>
          <w:rFonts w:cs="Arial"/>
        </w:rPr>
        <w:t>Recent CFD-erosion coupling studies by Guo et al. (2025) and Fushimi et al. (2021) have shown that reducing gas velocity or modifying inlet geometry significantly decreases local erosion rate. Shell’s new 144-cyclone design lowers average inlet velocity by nearly 20%, which is expected to reduce erosion severity by at least 30%. This improvement aligns with findings from industry benchmarks such as the Montreal TSS replacement (Petro-Canada, 2019), where lower velocities extended cyclone service life by more than 12 years.</w:t>
      </w:r>
    </w:p>
    <w:p w14:paraId="488DA3A1" w14:textId="77777777" w:rsidR="001D0D12" w:rsidRPr="001D0D12" w:rsidRDefault="001D0D12" w:rsidP="00CB6FBB">
      <w:pPr>
        <w:spacing w:line="360" w:lineRule="auto"/>
        <w:rPr>
          <w:rFonts w:cs="Arial"/>
        </w:rPr>
      </w:pPr>
      <w:r w:rsidRPr="001D0D12">
        <w:rPr>
          <w:rFonts w:cs="Arial"/>
        </w:rPr>
        <w:t>Erosion does not usually cause immediate failure but acts together with fatigue and metallurgical degradation to accelerate cracking. The combined effect reduces the safety margin of the vessel and increases maintenance frequency. By controlling gas velocity, using improved metallurgy, and introducing smoother internal transitions, the new Pembroke TSS design effectively mitigates all three interacting failure mechanisms.</w:t>
      </w:r>
    </w:p>
    <w:p w14:paraId="2B27657D" w14:textId="77777777" w:rsidR="001D0D12" w:rsidRPr="00BD646D" w:rsidRDefault="001D0D12" w:rsidP="00CB6FBB">
      <w:pPr>
        <w:spacing w:line="360" w:lineRule="auto"/>
        <w:rPr>
          <w:rFonts w:cs="Arial"/>
        </w:rPr>
      </w:pPr>
    </w:p>
    <w:p w14:paraId="59460364" w14:textId="2C234B03" w:rsidR="00BD646D" w:rsidRPr="00BD646D" w:rsidRDefault="00BD646D" w:rsidP="00CB6FBB">
      <w:pPr>
        <w:spacing w:line="360" w:lineRule="auto"/>
        <w:rPr>
          <w:rFonts w:cs="Arial"/>
        </w:rPr>
      </w:pPr>
    </w:p>
    <w:p w14:paraId="6DFCF375" w14:textId="77777777" w:rsidR="00BD646D" w:rsidRDefault="00BD646D" w:rsidP="00CB6FBB">
      <w:pPr>
        <w:spacing w:line="360" w:lineRule="auto"/>
        <w:rPr>
          <w:rFonts w:cs="Arial"/>
        </w:rPr>
      </w:pPr>
      <w:r w:rsidRPr="00BD646D">
        <w:rPr>
          <w:rFonts w:cs="Arial"/>
        </w:rPr>
        <w:lastRenderedPageBreak/>
        <w:t>The literature and industry experience show that sigma-phase embrittlement, thermal cycling fatigue, and erosion are the primary causes of TSS degradation in FCC units over long service periods. Once embrittlement occurs, repair is ineffective because weld heat input accelerates sigma formation. Temporary supports provide limited stability but cannot restore material properties or ensure long-term safety.</w:t>
      </w:r>
    </w:p>
    <w:p w14:paraId="4C8D744A" w14:textId="34D4CA92" w:rsidR="00DF659D" w:rsidRDefault="00DF659D" w:rsidP="00CB6FBB">
      <w:pPr>
        <w:spacing w:line="360" w:lineRule="auto"/>
        <w:rPr>
          <w:rFonts w:cs="Arial"/>
        </w:rPr>
      </w:pPr>
      <w:r w:rsidRPr="00DF659D">
        <w:rPr>
          <w:rFonts w:cs="Arial"/>
          <w:noProof/>
        </w:rPr>
        <w:drawing>
          <wp:inline distT="0" distB="0" distL="0" distR="0" wp14:anchorId="626C177B" wp14:editId="4199D6D2">
            <wp:extent cx="5731510" cy="388048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80485"/>
                    </a:xfrm>
                    <a:prstGeom prst="rect">
                      <a:avLst/>
                    </a:prstGeom>
                  </pic:spPr>
                </pic:pic>
              </a:graphicData>
            </a:graphic>
          </wp:inline>
        </w:drawing>
      </w:r>
    </w:p>
    <w:p w14:paraId="2DABD806" w14:textId="77777777" w:rsidR="00DF659D" w:rsidRDefault="00DF659D" w:rsidP="00CB6FBB">
      <w:pPr>
        <w:pStyle w:val="Caption"/>
        <w:spacing w:line="360" w:lineRule="auto"/>
      </w:pPr>
    </w:p>
    <w:p w14:paraId="4EE79F19" w14:textId="4ED4821B" w:rsidR="00DF659D" w:rsidRPr="00BD646D" w:rsidRDefault="00DF659D" w:rsidP="00CB6FBB">
      <w:pPr>
        <w:pStyle w:val="Caption"/>
        <w:spacing w:line="360" w:lineRule="auto"/>
        <w:rPr>
          <w:rFonts w:ascii="Arial" w:hAnsi="Arial" w:cs="Arial"/>
        </w:rPr>
      </w:pPr>
      <w:bookmarkStart w:id="17" w:name="_Toc230791131"/>
      <w:r>
        <w:t xml:space="preserve">Figure </w:t>
      </w:r>
      <w:r>
        <w:fldChar w:fldCharType="begin"/>
      </w:r>
      <w:r>
        <w:instrText xml:space="preserve"> SEQ Figure \* ARABIC </w:instrText>
      </w:r>
      <w:r>
        <w:fldChar w:fldCharType="separate"/>
      </w:r>
      <w:r w:rsidR="004048BF">
        <w:rPr>
          <w:noProof/>
        </w:rPr>
        <w:t>8</w:t>
      </w:r>
      <w:r>
        <w:fldChar w:fldCharType="end"/>
      </w:r>
      <w:r>
        <w:t xml:space="preserve"> - </w:t>
      </w:r>
      <w:r w:rsidRPr="00BD646D">
        <w:rPr>
          <w:rFonts w:ascii="Arial" w:hAnsi="Arial" w:cs="Arial"/>
        </w:rPr>
        <w:t>TSS Replacement – Existing vs New Comparison</w:t>
      </w:r>
      <w:bookmarkEnd w:id="17"/>
    </w:p>
    <w:p w14:paraId="65B34199" w14:textId="77777777" w:rsidR="00BD646D" w:rsidRPr="00BD646D" w:rsidRDefault="00BD646D" w:rsidP="00CB6FBB">
      <w:pPr>
        <w:spacing w:line="360" w:lineRule="auto"/>
        <w:rPr>
          <w:rFonts w:cs="Arial"/>
        </w:rPr>
      </w:pPr>
      <w:r w:rsidRPr="00BD646D">
        <w:rPr>
          <w:rFonts w:cs="Arial"/>
        </w:rPr>
        <w:t>The engineering consensus, supported by Valero (2025) and Shell (2024), is that full vessel replacement is the only sustainable solution. The updated design addresses velocity-related wear, improves mechanical reliability, and reduces operational risk.</w:t>
      </w:r>
    </w:p>
    <w:p w14:paraId="399BED67" w14:textId="77777777" w:rsidR="00C7161E" w:rsidRPr="00BD646D" w:rsidRDefault="00C7161E" w:rsidP="00CB6FBB">
      <w:pPr>
        <w:spacing w:line="360" w:lineRule="auto"/>
        <w:rPr>
          <w:rFonts w:cs="Arial"/>
        </w:rPr>
      </w:pPr>
    </w:p>
    <w:p w14:paraId="402D7DE9" w14:textId="77777777" w:rsidR="00C7161E" w:rsidRPr="00C7161E" w:rsidRDefault="00C7161E" w:rsidP="00CB6FBB">
      <w:pPr>
        <w:pStyle w:val="Heading1"/>
        <w:spacing w:line="360" w:lineRule="auto"/>
      </w:pPr>
      <w:bookmarkStart w:id="18" w:name="_Toc230791060"/>
      <w:r w:rsidRPr="00C7161E">
        <w:t>Methodology and Design Evaluation</w:t>
      </w:r>
      <w:bookmarkEnd w:id="18"/>
    </w:p>
    <w:p w14:paraId="2F7E20DA" w14:textId="77777777" w:rsidR="00BD646D" w:rsidRPr="00BD646D" w:rsidRDefault="00BD646D" w:rsidP="00CB6FBB">
      <w:pPr>
        <w:spacing w:line="360" w:lineRule="auto"/>
        <w:rPr>
          <w:rFonts w:cs="Arial"/>
        </w:rPr>
      </w:pPr>
      <w:r w:rsidRPr="00BD646D">
        <w:rPr>
          <w:rFonts w:cs="Arial"/>
        </w:rPr>
        <w:t xml:space="preserve">This section explains the approach taken to assess the condition of the Third Stage Separator (TSS) at Pembroke Refinery, the analysis methods used, and the reasoning behind the decision to replace the vessel. The assessment combined visual inspection, metallurgical testing, engineering analysis, and cost evaluation. The </w:t>
      </w:r>
      <w:r w:rsidRPr="00BD646D">
        <w:rPr>
          <w:rFonts w:cs="Arial"/>
        </w:rPr>
        <w:lastRenderedPageBreak/>
        <w:t>process followed Valero’s internal project management procedures and Shell’s licensor guidance for FCC tertiary cyclone systems.</w:t>
      </w:r>
    </w:p>
    <w:p w14:paraId="14BF08DD" w14:textId="6101834F" w:rsidR="00BD646D" w:rsidRPr="00BD646D" w:rsidRDefault="00BD646D" w:rsidP="00CB6FBB">
      <w:pPr>
        <w:spacing w:line="360" w:lineRule="auto"/>
        <w:rPr>
          <w:rFonts w:cs="Arial"/>
        </w:rPr>
      </w:pPr>
    </w:p>
    <w:p w14:paraId="7FC3CC90" w14:textId="77777777" w:rsidR="00BD646D" w:rsidRPr="00BD646D" w:rsidRDefault="00BD646D" w:rsidP="00CB6FBB">
      <w:pPr>
        <w:pStyle w:val="Heading2"/>
        <w:spacing w:line="360" w:lineRule="auto"/>
      </w:pPr>
      <w:bookmarkStart w:id="19" w:name="_Toc230791061"/>
      <w:r w:rsidRPr="00BD646D">
        <w:t>Inspection and Data Collection</w:t>
      </w:r>
      <w:bookmarkEnd w:id="19"/>
    </w:p>
    <w:p w14:paraId="158BBF0E" w14:textId="77777777" w:rsidR="00BD646D" w:rsidRPr="00BD646D" w:rsidRDefault="00BD646D" w:rsidP="00CB6FBB">
      <w:pPr>
        <w:spacing w:line="360" w:lineRule="auto"/>
        <w:rPr>
          <w:rFonts w:cs="Arial"/>
        </w:rPr>
      </w:pPr>
      <w:r w:rsidRPr="00BD646D">
        <w:rPr>
          <w:rFonts w:cs="Arial"/>
        </w:rPr>
        <w:t>Information used for this report was collected from turnaround inspection records, engineering design files, metallurgical replication reports, and cost studies. Inspection data from both the 2014 and 2021 FCC turnarounds were reviewed to understand how the TSS condition had deteriorated over time (Valero, 2021). The inspection included visual checks, borescope photography, dye penetrant testing (DPI), and hardness testing on weld areas.</w:t>
      </w:r>
    </w:p>
    <w:p w14:paraId="39AEB72D" w14:textId="388AFFD6" w:rsidR="00BD646D" w:rsidRPr="00176610" w:rsidRDefault="00BD646D" w:rsidP="00CB6FBB">
      <w:pPr>
        <w:spacing w:line="360" w:lineRule="auto"/>
        <w:rPr>
          <w:rFonts w:cs="Arial"/>
        </w:rPr>
      </w:pPr>
      <w:r w:rsidRPr="00BD646D">
        <w:rPr>
          <w:rFonts w:cs="Arial"/>
        </w:rPr>
        <w:t>A full set of borescope photographs was taken during 2021 showing the internal surfaces of the swirl tubes, swirl vanes, and alignment cans. Cracking was clearly visible around the weld areas joining the swirl vanes to the swirl tubes. Similar cracks were found at the lower alignment can welds, confirming that the issue was not localised but widespread across the vessel.</w:t>
      </w:r>
      <w:r w:rsidRPr="00BD646D">
        <w:rPr>
          <w:rFonts w:cs="Arial"/>
        </w:rPr>
        <w:br/>
      </w:r>
      <w:r w:rsidR="00176610" w:rsidRPr="00176610">
        <w:rPr>
          <w:rFonts w:cs="Arial"/>
          <w:noProof/>
        </w:rPr>
        <w:drawing>
          <wp:inline distT="0" distB="0" distL="0" distR="0" wp14:anchorId="094DD3CA" wp14:editId="09C2AF4C">
            <wp:extent cx="2895600" cy="2337000"/>
            <wp:effectExtent l="0" t="0" r="0" b="6350"/>
            <wp:docPr id="16" name="Picture 7">
              <a:extLst xmlns:a="http://schemas.openxmlformats.org/drawingml/2006/main">
                <a:ext uri="{FF2B5EF4-FFF2-40B4-BE49-F238E27FC236}">
                  <a16:creationId xmlns:a16="http://schemas.microsoft.com/office/drawing/2014/main" id="{A5AD992B-2424-4917-9A35-E065F8CBD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5AD992B-2424-4917-9A35-E065F8CBDA34}"/>
                        </a:ext>
                      </a:extLst>
                    </pic:cNvPr>
                    <pic:cNvPicPr>
                      <a:picLocks noChangeAspect="1"/>
                    </pic:cNvPicPr>
                  </pic:nvPicPr>
                  <pic:blipFill>
                    <a:blip r:embed="rId20"/>
                    <a:stretch>
                      <a:fillRect/>
                    </a:stretch>
                  </pic:blipFill>
                  <pic:spPr>
                    <a:xfrm>
                      <a:off x="0" y="0"/>
                      <a:ext cx="2895600" cy="2337000"/>
                    </a:xfrm>
                    <a:prstGeom prst="rect">
                      <a:avLst/>
                    </a:prstGeom>
                  </pic:spPr>
                </pic:pic>
              </a:graphicData>
            </a:graphic>
          </wp:inline>
        </w:drawing>
      </w:r>
    </w:p>
    <w:p w14:paraId="6EDA90CC" w14:textId="08D9BDC1" w:rsidR="00176610" w:rsidRPr="00BD646D" w:rsidRDefault="00176610" w:rsidP="00CB6FBB">
      <w:pPr>
        <w:pStyle w:val="Caption"/>
        <w:spacing w:line="360" w:lineRule="auto"/>
        <w:rPr>
          <w:rFonts w:ascii="Arial" w:hAnsi="Arial" w:cs="Arial"/>
        </w:rPr>
      </w:pPr>
      <w:bookmarkStart w:id="20" w:name="_Toc230791132"/>
      <w:r>
        <w:t xml:space="preserve">Figure </w:t>
      </w:r>
      <w:r>
        <w:fldChar w:fldCharType="begin"/>
      </w:r>
      <w:r>
        <w:instrText xml:space="preserve"> SEQ Figure \* ARABIC </w:instrText>
      </w:r>
      <w:r>
        <w:fldChar w:fldCharType="separate"/>
      </w:r>
      <w:r w:rsidR="004048BF">
        <w:rPr>
          <w:noProof/>
        </w:rPr>
        <w:t>9</w:t>
      </w:r>
      <w:r>
        <w:fldChar w:fldCharType="end"/>
      </w:r>
      <w:r>
        <w:t xml:space="preserve"> - Cracked welds found in TSS</w:t>
      </w:r>
      <w:bookmarkEnd w:id="20"/>
    </w:p>
    <w:p w14:paraId="7EB5FF67" w14:textId="77777777" w:rsidR="00BD646D" w:rsidRPr="00BD646D" w:rsidRDefault="00BD646D" w:rsidP="00CB6FBB">
      <w:pPr>
        <w:spacing w:line="360" w:lineRule="auto"/>
        <w:rPr>
          <w:rFonts w:cs="Arial"/>
        </w:rPr>
      </w:pPr>
      <w:r w:rsidRPr="00BD646D">
        <w:rPr>
          <w:rFonts w:cs="Arial"/>
        </w:rPr>
        <w:t>A record of weld failures was also compared between the 2014 and 2021 inspections. The number of cracks had significantly increased, and many of the repairs carried out in 2014 had re-cracked. This suggested that the material had lost its ability to withstand stress and thermal cycling.</w:t>
      </w:r>
    </w:p>
    <w:p w14:paraId="27140C41" w14:textId="22DDA583" w:rsidR="00BD646D" w:rsidRPr="00BD646D" w:rsidRDefault="00BD646D" w:rsidP="00CB6FBB">
      <w:pPr>
        <w:spacing w:line="360" w:lineRule="auto"/>
        <w:rPr>
          <w:rFonts w:cs="Arial"/>
        </w:rPr>
      </w:pPr>
    </w:p>
    <w:p w14:paraId="4726DA93" w14:textId="77777777" w:rsidR="00BD646D" w:rsidRPr="00BD646D" w:rsidRDefault="00BD646D" w:rsidP="00CB6FBB">
      <w:pPr>
        <w:pStyle w:val="Heading2"/>
        <w:spacing w:line="360" w:lineRule="auto"/>
      </w:pPr>
      <w:bookmarkStart w:id="21" w:name="_Toc230791062"/>
      <w:r w:rsidRPr="00BD646D">
        <w:t>Metallurgical Assessment</w:t>
      </w:r>
      <w:bookmarkEnd w:id="21"/>
    </w:p>
    <w:p w14:paraId="389C25C0" w14:textId="77777777" w:rsidR="00BD646D" w:rsidRPr="00BD646D" w:rsidRDefault="00BD646D" w:rsidP="00CB6FBB">
      <w:pPr>
        <w:spacing w:line="360" w:lineRule="auto"/>
        <w:rPr>
          <w:rFonts w:cs="Arial"/>
        </w:rPr>
      </w:pPr>
      <w:r w:rsidRPr="00BD646D">
        <w:rPr>
          <w:rFonts w:cs="Arial"/>
        </w:rPr>
        <w:t xml:space="preserve">Material samples were removed during the 2021 turnaround and sent for metallurgical replication. Microscopic analysis showed heavy sigma-phase formation in the 304H </w:t>
      </w:r>
      <w:r w:rsidRPr="00BD646D">
        <w:rPr>
          <w:rFonts w:cs="Arial"/>
        </w:rPr>
        <w:lastRenderedPageBreak/>
        <w:t>stainless steel welds. Sigma-phase is a brittle intermetallic compound that forms after long-term exposure to high temperatures and causes a sharp reduction in ductility and impact strength (Davis, 2018).</w:t>
      </w:r>
    </w:p>
    <w:p w14:paraId="59610340" w14:textId="77777777" w:rsidR="00BD646D" w:rsidRDefault="00BD646D" w:rsidP="00CB6FBB">
      <w:pPr>
        <w:spacing w:line="360" w:lineRule="auto"/>
        <w:rPr>
          <w:rFonts w:cs="Arial"/>
        </w:rPr>
      </w:pPr>
      <w:r w:rsidRPr="00BD646D">
        <w:rPr>
          <w:rFonts w:cs="Arial"/>
        </w:rPr>
        <w:t>The hardness readings confirmed this: normal 304H stainless steel has a hardness of around 180 HV, but the weld metal in the Pembroke TSS measured over 340 HV, showing that the metal had become extremely brittle. The structure of the weld metal was also coarse, with chromium depletion at the grain boundaries. This means that the welds were no longer capable of absorbing mechanical stress.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2"/>
        <w:gridCol w:w="2068"/>
        <w:gridCol w:w="1450"/>
        <w:gridCol w:w="4446"/>
      </w:tblGrid>
      <w:tr w:rsidR="00176610" w:rsidRPr="00176610" w14:paraId="665FE61A" w14:textId="77777777" w:rsidTr="00176610">
        <w:trPr>
          <w:tblHeader/>
          <w:tblCellSpacing w:w="15" w:type="dxa"/>
        </w:trPr>
        <w:tc>
          <w:tcPr>
            <w:tcW w:w="0" w:type="auto"/>
            <w:vAlign w:val="center"/>
            <w:hideMark/>
          </w:tcPr>
          <w:p w14:paraId="3319153E" w14:textId="77777777" w:rsidR="00176610" w:rsidRPr="00176610" w:rsidRDefault="00176610" w:rsidP="00CB6FBB">
            <w:pPr>
              <w:spacing w:line="360" w:lineRule="auto"/>
              <w:jc w:val="left"/>
              <w:rPr>
                <w:rFonts w:cs="Arial"/>
                <w:b/>
                <w:bCs/>
              </w:rPr>
            </w:pPr>
            <w:r w:rsidRPr="00176610">
              <w:rPr>
                <w:rFonts w:cs="Arial"/>
                <w:b/>
                <w:bCs/>
              </w:rPr>
              <w:t>Sample ID</w:t>
            </w:r>
          </w:p>
        </w:tc>
        <w:tc>
          <w:tcPr>
            <w:tcW w:w="0" w:type="auto"/>
            <w:vAlign w:val="center"/>
            <w:hideMark/>
          </w:tcPr>
          <w:p w14:paraId="6450C24A" w14:textId="77777777" w:rsidR="00176610" w:rsidRPr="00176610" w:rsidRDefault="00176610" w:rsidP="00CB6FBB">
            <w:pPr>
              <w:spacing w:line="360" w:lineRule="auto"/>
              <w:jc w:val="left"/>
              <w:rPr>
                <w:rFonts w:cs="Arial"/>
                <w:b/>
                <w:bCs/>
              </w:rPr>
            </w:pPr>
            <w:r w:rsidRPr="00176610">
              <w:rPr>
                <w:rFonts w:cs="Arial"/>
                <w:b/>
                <w:bCs/>
              </w:rPr>
              <w:t>Component Location</w:t>
            </w:r>
          </w:p>
        </w:tc>
        <w:tc>
          <w:tcPr>
            <w:tcW w:w="0" w:type="auto"/>
            <w:vAlign w:val="center"/>
            <w:hideMark/>
          </w:tcPr>
          <w:p w14:paraId="093A77C3" w14:textId="77777777" w:rsidR="00176610" w:rsidRPr="00176610" w:rsidRDefault="00176610" w:rsidP="00CB6FBB">
            <w:pPr>
              <w:spacing w:line="360" w:lineRule="auto"/>
              <w:jc w:val="left"/>
              <w:rPr>
                <w:rFonts w:cs="Arial"/>
                <w:b/>
                <w:bCs/>
              </w:rPr>
            </w:pPr>
            <w:r w:rsidRPr="00176610">
              <w:rPr>
                <w:rFonts w:cs="Arial"/>
                <w:b/>
                <w:bCs/>
              </w:rPr>
              <w:t>Hardness (HV10)</w:t>
            </w:r>
          </w:p>
        </w:tc>
        <w:tc>
          <w:tcPr>
            <w:tcW w:w="0" w:type="auto"/>
            <w:vAlign w:val="center"/>
            <w:hideMark/>
          </w:tcPr>
          <w:p w14:paraId="23113661" w14:textId="77777777" w:rsidR="00176610" w:rsidRPr="00176610" w:rsidRDefault="00176610" w:rsidP="00CB6FBB">
            <w:pPr>
              <w:spacing w:line="360" w:lineRule="auto"/>
              <w:jc w:val="left"/>
              <w:rPr>
                <w:rFonts w:cs="Arial"/>
                <w:b/>
                <w:bCs/>
              </w:rPr>
            </w:pPr>
            <w:r w:rsidRPr="00176610">
              <w:rPr>
                <w:rFonts w:cs="Arial"/>
                <w:b/>
                <w:bCs/>
              </w:rPr>
              <w:t>Microstructure Observation</w:t>
            </w:r>
          </w:p>
        </w:tc>
      </w:tr>
      <w:tr w:rsidR="00176610" w:rsidRPr="00176610" w14:paraId="24D18E34" w14:textId="77777777" w:rsidTr="00176610">
        <w:trPr>
          <w:tblCellSpacing w:w="15" w:type="dxa"/>
        </w:trPr>
        <w:tc>
          <w:tcPr>
            <w:tcW w:w="0" w:type="auto"/>
            <w:vAlign w:val="center"/>
            <w:hideMark/>
          </w:tcPr>
          <w:p w14:paraId="080B5C80" w14:textId="77777777" w:rsidR="00176610" w:rsidRPr="00176610" w:rsidRDefault="00176610" w:rsidP="00CB6FBB">
            <w:pPr>
              <w:spacing w:line="360" w:lineRule="auto"/>
              <w:jc w:val="left"/>
              <w:rPr>
                <w:rFonts w:cs="Arial"/>
              </w:rPr>
            </w:pPr>
            <w:r w:rsidRPr="00176610">
              <w:rPr>
                <w:rFonts w:cs="Arial"/>
              </w:rPr>
              <w:t>1</w:t>
            </w:r>
          </w:p>
        </w:tc>
        <w:tc>
          <w:tcPr>
            <w:tcW w:w="0" w:type="auto"/>
            <w:vAlign w:val="center"/>
            <w:hideMark/>
          </w:tcPr>
          <w:p w14:paraId="36E840F0" w14:textId="77777777" w:rsidR="00176610" w:rsidRPr="00176610" w:rsidRDefault="00176610" w:rsidP="00CB6FBB">
            <w:pPr>
              <w:spacing w:line="360" w:lineRule="auto"/>
              <w:jc w:val="left"/>
              <w:rPr>
                <w:rFonts w:cs="Arial"/>
              </w:rPr>
            </w:pPr>
            <w:r w:rsidRPr="00176610">
              <w:rPr>
                <w:rFonts w:cs="Arial"/>
              </w:rPr>
              <w:t>Swirl vane to swirl tube weld</w:t>
            </w:r>
          </w:p>
        </w:tc>
        <w:tc>
          <w:tcPr>
            <w:tcW w:w="0" w:type="auto"/>
            <w:vAlign w:val="center"/>
            <w:hideMark/>
          </w:tcPr>
          <w:p w14:paraId="07101800" w14:textId="77777777" w:rsidR="00176610" w:rsidRPr="00176610" w:rsidRDefault="00176610" w:rsidP="00CB6FBB">
            <w:pPr>
              <w:spacing w:line="360" w:lineRule="auto"/>
              <w:jc w:val="left"/>
              <w:rPr>
                <w:rFonts w:cs="Arial"/>
              </w:rPr>
            </w:pPr>
            <w:r w:rsidRPr="00176610">
              <w:rPr>
                <w:rFonts w:cs="Arial"/>
              </w:rPr>
              <w:t>335–350</w:t>
            </w:r>
          </w:p>
        </w:tc>
        <w:tc>
          <w:tcPr>
            <w:tcW w:w="0" w:type="auto"/>
            <w:vAlign w:val="center"/>
            <w:hideMark/>
          </w:tcPr>
          <w:p w14:paraId="0F755F31" w14:textId="77777777" w:rsidR="00176610" w:rsidRPr="00176610" w:rsidRDefault="00176610" w:rsidP="00CB6FBB">
            <w:pPr>
              <w:spacing w:line="360" w:lineRule="auto"/>
              <w:jc w:val="left"/>
              <w:rPr>
                <w:rFonts w:cs="Arial"/>
              </w:rPr>
            </w:pPr>
            <w:r w:rsidRPr="00176610">
              <w:rPr>
                <w:rFonts w:cs="Arial"/>
              </w:rPr>
              <w:t>Sensitised austenitic matrix; continuous grain-boundary sigma-phase; micro-cracks present</w:t>
            </w:r>
          </w:p>
        </w:tc>
      </w:tr>
      <w:tr w:rsidR="00176610" w:rsidRPr="00176610" w14:paraId="4AB48DD4" w14:textId="77777777" w:rsidTr="00176610">
        <w:trPr>
          <w:tblCellSpacing w:w="15" w:type="dxa"/>
        </w:trPr>
        <w:tc>
          <w:tcPr>
            <w:tcW w:w="0" w:type="auto"/>
            <w:vAlign w:val="center"/>
            <w:hideMark/>
          </w:tcPr>
          <w:p w14:paraId="16492B99" w14:textId="77777777" w:rsidR="00176610" w:rsidRPr="00176610" w:rsidRDefault="00176610" w:rsidP="00CB6FBB">
            <w:pPr>
              <w:spacing w:line="360" w:lineRule="auto"/>
              <w:jc w:val="left"/>
              <w:rPr>
                <w:rFonts w:cs="Arial"/>
              </w:rPr>
            </w:pPr>
            <w:r w:rsidRPr="00176610">
              <w:rPr>
                <w:rFonts w:cs="Arial"/>
              </w:rPr>
              <w:t>2</w:t>
            </w:r>
          </w:p>
        </w:tc>
        <w:tc>
          <w:tcPr>
            <w:tcW w:w="0" w:type="auto"/>
            <w:vAlign w:val="center"/>
            <w:hideMark/>
          </w:tcPr>
          <w:p w14:paraId="101A43BC" w14:textId="77777777" w:rsidR="00176610" w:rsidRPr="00176610" w:rsidRDefault="00176610" w:rsidP="00CB6FBB">
            <w:pPr>
              <w:spacing w:line="360" w:lineRule="auto"/>
              <w:jc w:val="left"/>
              <w:rPr>
                <w:rFonts w:cs="Arial"/>
              </w:rPr>
            </w:pPr>
            <w:r w:rsidRPr="00176610">
              <w:rPr>
                <w:rFonts w:cs="Arial"/>
              </w:rPr>
              <w:t>Alignment can to swirl can joint</w:t>
            </w:r>
          </w:p>
        </w:tc>
        <w:tc>
          <w:tcPr>
            <w:tcW w:w="0" w:type="auto"/>
            <w:vAlign w:val="center"/>
            <w:hideMark/>
          </w:tcPr>
          <w:p w14:paraId="5AA52AC8" w14:textId="77777777" w:rsidR="00176610" w:rsidRPr="00176610" w:rsidRDefault="00176610" w:rsidP="00CB6FBB">
            <w:pPr>
              <w:spacing w:line="360" w:lineRule="auto"/>
              <w:jc w:val="left"/>
              <w:rPr>
                <w:rFonts w:cs="Arial"/>
              </w:rPr>
            </w:pPr>
            <w:r w:rsidRPr="00176610">
              <w:rPr>
                <w:rFonts w:cs="Arial"/>
              </w:rPr>
              <w:t>320–340</w:t>
            </w:r>
          </w:p>
        </w:tc>
        <w:tc>
          <w:tcPr>
            <w:tcW w:w="0" w:type="auto"/>
            <w:vAlign w:val="center"/>
            <w:hideMark/>
          </w:tcPr>
          <w:p w14:paraId="0D67304C" w14:textId="77777777" w:rsidR="00176610" w:rsidRPr="00176610" w:rsidRDefault="00176610" w:rsidP="00CB6FBB">
            <w:pPr>
              <w:spacing w:line="360" w:lineRule="auto"/>
              <w:jc w:val="left"/>
              <w:rPr>
                <w:rFonts w:cs="Arial"/>
              </w:rPr>
            </w:pPr>
            <w:r w:rsidRPr="00176610">
              <w:rPr>
                <w:rFonts w:cs="Arial"/>
              </w:rPr>
              <w:t>Austenite with ferrite stringers; sigma-phase at ferrite–austenite interfaces</w:t>
            </w:r>
          </w:p>
        </w:tc>
      </w:tr>
      <w:tr w:rsidR="00176610" w:rsidRPr="00176610" w14:paraId="7498B1F3" w14:textId="77777777" w:rsidTr="00176610">
        <w:trPr>
          <w:tblCellSpacing w:w="15" w:type="dxa"/>
        </w:trPr>
        <w:tc>
          <w:tcPr>
            <w:tcW w:w="0" w:type="auto"/>
            <w:vAlign w:val="center"/>
            <w:hideMark/>
          </w:tcPr>
          <w:p w14:paraId="0BB1DD07" w14:textId="77777777" w:rsidR="00176610" w:rsidRPr="00176610" w:rsidRDefault="00176610" w:rsidP="00CB6FBB">
            <w:pPr>
              <w:spacing w:line="360" w:lineRule="auto"/>
              <w:jc w:val="left"/>
              <w:rPr>
                <w:rFonts w:cs="Arial"/>
              </w:rPr>
            </w:pPr>
            <w:r w:rsidRPr="00176610">
              <w:rPr>
                <w:rFonts w:cs="Arial"/>
              </w:rPr>
              <w:t>3</w:t>
            </w:r>
          </w:p>
        </w:tc>
        <w:tc>
          <w:tcPr>
            <w:tcW w:w="0" w:type="auto"/>
            <w:vAlign w:val="center"/>
            <w:hideMark/>
          </w:tcPr>
          <w:p w14:paraId="4179154F" w14:textId="77777777" w:rsidR="00176610" w:rsidRPr="00176610" w:rsidRDefault="00176610" w:rsidP="00CB6FBB">
            <w:pPr>
              <w:spacing w:line="360" w:lineRule="auto"/>
              <w:jc w:val="left"/>
              <w:rPr>
                <w:rFonts w:cs="Arial"/>
              </w:rPr>
            </w:pPr>
            <w:proofErr w:type="spellStart"/>
            <w:r w:rsidRPr="00176610">
              <w:rPr>
                <w:rFonts w:cs="Arial"/>
              </w:rPr>
              <w:t>Tubesheet</w:t>
            </w:r>
            <w:proofErr w:type="spellEnd"/>
            <w:r w:rsidRPr="00176610">
              <w:rPr>
                <w:rFonts w:cs="Arial"/>
              </w:rPr>
              <w:t xml:space="preserve"> fillet weld</w:t>
            </w:r>
          </w:p>
        </w:tc>
        <w:tc>
          <w:tcPr>
            <w:tcW w:w="0" w:type="auto"/>
            <w:vAlign w:val="center"/>
            <w:hideMark/>
          </w:tcPr>
          <w:p w14:paraId="5D334147" w14:textId="77777777" w:rsidR="00176610" w:rsidRPr="00176610" w:rsidRDefault="00176610" w:rsidP="00CB6FBB">
            <w:pPr>
              <w:spacing w:line="360" w:lineRule="auto"/>
              <w:jc w:val="left"/>
              <w:rPr>
                <w:rFonts w:cs="Arial"/>
              </w:rPr>
            </w:pPr>
            <w:r w:rsidRPr="00176610">
              <w:rPr>
                <w:rFonts w:cs="Arial"/>
              </w:rPr>
              <w:t>300–320</w:t>
            </w:r>
          </w:p>
        </w:tc>
        <w:tc>
          <w:tcPr>
            <w:tcW w:w="0" w:type="auto"/>
            <w:vAlign w:val="center"/>
            <w:hideMark/>
          </w:tcPr>
          <w:p w14:paraId="125C28DF" w14:textId="77777777" w:rsidR="00176610" w:rsidRPr="00176610" w:rsidRDefault="00176610" w:rsidP="00CB6FBB">
            <w:pPr>
              <w:spacing w:line="360" w:lineRule="auto"/>
              <w:jc w:val="left"/>
              <w:rPr>
                <w:rFonts w:cs="Arial"/>
              </w:rPr>
            </w:pPr>
            <w:r w:rsidRPr="00176610">
              <w:rPr>
                <w:rFonts w:cs="Arial"/>
              </w:rPr>
              <w:t>Coarse-grained austenite with secondary carbides; early sigma-phase formation</w:t>
            </w:r>
          </w:p>
        </w:tc>
      </w:tr>
      <w:tr w:rsidR="00176610" w:rsidRPr="00176610" w14:paraId="17522FB1" w14:textId="77777777" w:rsidTr="00176610">
        <w:trPr>
          <w:tblCellSpacing w:w="15" w:type="dxa"/>
        </w:trPr>
        <w:tc>
          <w:tcPr>
            <w:tcW w:w="0" w:type="auto"/>
            <w:vAlign w:val="center"/>
            <w:hideMark/>
          </w:tcPr>
          <w:p w14:paraId="20EFA74C" w14:textId="77777777" w:rsidR="00176610" w:rsidRPr="00176610" w:rsidRDefault="00176610" w:rsidP="00CB6FBB">
            <w:pPr>
              <w:spacing w:line="360" w:lineRule="auto"/>
              <w:jc w:val="left"/>
              <w:rPr>
                <w:rFonts w:cs="Arial"/>
              </w:rPr>
            </w:pPr>
            <w:r w:rsidRPr="00176610">
              <w:rPr>
                <w:rFonts w:cs="Arial"/>
              </w:rPr>
              <w:t>4</w:t>
            </w:r>
          </w:p>
        </w:tc>
        <w:tc>
          <w:tcPr>
            <w:tcW w:w="0" w:type="auto"/>
            <w:vAlign w:val="center"/>
            <w:hideMark/>
          </w:tcPr>
          <w:p w14:paraId="24F1D75E" w14:textId="77777777" w:rsidR="00176610" w:rsidRPr="00176610" w:rsidRDefault="00176610" w:rsidP="00CB6FBB">
            <w:pPr>
              <w:spacing w:line="360" w:lineRule="auto"/>
              <w:jc w:val="left"/>
              <w:rPr>
                <w:rFonts w:cs="Arial"/>
              </w:rPr>
            </w:pPr>
            <w:r w:rsidRPr="00176610">
              <w:rPr>
                <w:rFonts w:cs="Arial"/>
              </w:rPr>
              <w:t>Base metal (304H plate)</w:t>
            </w:r>
          </w:p>
        </w:tc>
        <w:tc>
          <w:tcPr>
            <w:tcW w:w="0" w:type="auto"/>
            <w:vAlign w:val="center"/>
            <w:hideMark/>
          </w:tcPr>
          <w:p w14:paraId="6CDFF2EF" w14:textId="77777777" w:rsidR="00176610" w:rsidRPr="00176610" w:rsidRDefault="00176610" w:rsidP="00CB6FBB">
            <w:pPr>
              <w:spacing w:line="360" w:lineRule="auto"/>
              <w:jc w:val="left"/>
              <w:rPr>
                <w:rFonts w:cs="Arial"/>
              </w:rPr>
            </w:pPr>
            <w:r w:rsidRPr="00176610">
              <w:rPr>
                <w:rFonts w:cs="Arial"/>
              </w:rPr>
              <w:t>175–190</w:t>
            </w:r>
          </w:p>
        </w:tc>
        <w:tc>
          <w:tcPr>
            <w:tcW w:w="0" w:type="auto"/>
            <w:vAlign w:val="center"/>
            <w:hideMark/>
          </w:tcPr>
          <w:p w14:paraId="6677A718" w14:textId="77777777" w:rsidR="00176610" w:rsidRPr="00176610" w:rsidRDefault="00176610" w:rsidP="00CB6FBB">
            <w:pPr>
              <w:spacing w:line="360" w:lineRule="auto"/>
              <w:jc w:val="left"/>
              <w:rPr>
                <w:rFonts w:cs="Arial"/>
              </w:rPr>
            </w:pPr>
            <w:r w:rsidRPr="00176610">
              <w:rPr>
                <w:rFonts w:cs="Arial"/>
              </w:rPr>
              <w:t>Uniform austenitic microstructure; no sigma-phase detected</w:t>
            </w:r>
          </w:p>
        </w:tc>
      </w:tr>
      <w:tr w:rsidR="00176610" w:rsidRPr="00176610" w14:paraId="18F395C1" w14:textId="77777777" w:rsidTr="00176610">
        <w:trPr>
          <w:tblCellSpacing w:w="15" w:type="dxa"/>
        </w:trPr>
        <w:tc>
          <w:tcPr>
            <w:tcW w:w="0" w:type="auto"/>
            <w:vAlign w:val="center"/>
            <w:hideMark/>
          </w:tcPr>
          <w:p w14:paraId="46FC6953" w14:textId="77777777" w:rsidR="00176610" w:rsidRPr="00176610" w:rsidRDefault="00176610" w:rsidP="00CB6FBB">
            <w:pPr>
              <w:spacing w:line="360" w:lineRule="auto"/>
              <w:jc w:val="left"/>
              <w:rPr>
                <w:rFonts w:cs="Arial"/>
              </w:rPr>
            </w:pPr>
            <w:r w:rsidRPr="00176610">
              <w:rPr>
                <w:rFonts w:cs="Arial"/>
              </w:rPr>
              <w:t>5</w:t>
            </w:r>
          </w:p>
        </w:tc>
        <w:tc>
          <w:tcPr>
            <w:tcW w:w="0" w:type="auto"/>
            <w:vAlign w:val="center"/>
            <w:hideMark/>
          </w:tcPr>
          <w:p w14:paraId="5C616EB1" w14:textId="77777777" w:rsidR="00176610" w:rsidRPr="00176610" w:rsidRDefault="00176610" w:rsidP="00CB6FBB">
            <w:pPr>
              <w:spacing w:line="360" w:lineRule="auto"/>
              <w:jc w:val="left"/>
              <w:rPr>
                <w:rFonts w:cs="Arial"/>
              </w:rPr>
            </w:pPr>
            <w:r w:rsidRPr="00176610">
              <w:rPr>
                <w:rFonts w:cs="Arial"/>
              </w:rPr>
              <w:t>Repaired weld region</w:t>
            </w:r>
          </w:p>
        </w:tc>
        <w:tc>
          <w:tcPr>
            <w:tcW w:w="0" w:type="auto"/>
            <w:vAlign w:val="center"/>
            <w:hideMark/>
          </w:tcPr>
          <w:p w14:paraId="20E05877" w14:textId="77777777" w:rsidR="00176610" w:rsidRPr="00176610" w:rsidRDefault="00176610" w:rsidP="00CB6FBB">
            <w:pPr>
              <w:spacing w:line="360" w:lineRule="auto"/>
              <w:jc w:val="left"/>
              <w:rPr>
                <w:rFonts w:cs="Arial"/>
              </w:rPr>
            </w:pPr>
            <w:r w:rsidRPr="00176610">
              <w:rPr>
                <w:rFonts w:cs="Arial"/>
              </w:rPr>
              <w:t>340–360</w:t>
            </w:r>
          </w:p>
        </w:tc>
        <w:tc>
          <w:tcPr>
            <w:tcW w:w="0" w:type="auto"/>
            <w:vAlign w:val="center"/>
            <w:hideMark/>
          </w:tcPr>
          <w:p w14:paraId="59AE90BD" w14:textId="77777777" w:rsidR="00176610" w:rsidRPr="00176610" w:rsidRDefault="00176610" w:rsidP="00CB6FBB">
            <w:pPr>
              <w:spacing w:line="360" w:lineRule="auto"/>
              <w:jc w:val="left"/>
              <w:rPr>
                <w:rFonts w:cs="Arial"/>
              </w:rPr>
            </w:pPr>
            <w:r w:rsidRPr="00176610">
              <w:rPr>
                <w:rFonts w:cs="Arial"/>
              </w:rPr>
              <w:t>Mixed ferritic–austenitic structure with heavy sigma-phase precipitation and cracking</w:t>
            </w:r>
          </w:p>
        </w:tc>
      </w:tr>
    </w:tbl>
    <w:p w14:paraId="73C4BE06" w14:textId="598895C6" w:rsidR="00176610" w:rsidRPr="00BD646D" w:rsidRDefault="00176610" w:rsidP="00CB6FBB">
      <w:pPr>
        <w:pStyle w:val="Caption"/>
        <w:spacing w:line="360" w:lineRule="auto"/>
        <w:rPr>
          <w:rFonts w:ascii="Arial" w:hAnsi="Arial" w:cs="Arial"/>
        </w:rPr>
      </w:pPr>
      <w:bookmarkStart w:id="22" w:name="_Toc230791156"/>
      <w:r>
        <w:t xml:space="preserve">Table </w:t>
      </w:r>
      <w:r>
        <w:fldChar w:fldCharType="begin"/>
      </w:r>
      <w:r>
        <w:instrText xml:space="preserve"> SEQ Table \* ARABIC </w:instrText>
      </w:r>
      <w:r>
        <w:fldChar w:fldCharType="separate"/>
      </w:r>
      <w:r w:rsidR="004048BF">
        <w:rPr>
          <w:noProof/>
        </w:rPr>
        <w:t>2</w:t>
      </w:r>
      <w:r>
        <w:fldChar w:fldCharType="end"/>
      </w:r>
      <w:r>
        <w:t xml:space="preserve"> -</w:t>
      </w:r>
      <w:r w:rsidRPr="008356E1">
        <w:t>Metallurgical test results showing hardness and microstructural observations from 304H stainless</w:t>
      </w:r>
      <w:bookmarkEnd w:id="22"/>
    </w:p>
    <w:p w14:paraId="52FD6DE5" w14:textId="6A17B7A9" w:rsidR="00BD646D" w:rsidRPr="00BD646D" w:rsidRDefault="00BD646D" w:rsidP="00CB6FBB">
      <w:pPr>
        <w:spacing w:line="360" w:lineRule="auto"/>
        <w:rPr>
          <w:rFonts w:cs="Arial"/>
        </w:rPr>
      </w:pPr>
      <w:r w:rsidRPr="00BD646D">
        <w:rPr>
          <w:rFonts w:cs="Arial"/>
        </w:rPr>
        <w:t xml:space="preserve">The metallurgical report concluded that the cracking was caused by a combination of sigma-phase embrittlement and thermal fatigue. Each start-up and shutdown </w:t>
      </w:r>
      <w:r w:rsidR="00176610" w:rsidRPr="00BD646D">
        <w:rPr>
          <w:rFonts w:cs="Arial"/>
        </w:rPr>
        <w:t>cause</w:t>
      </w:r>
      <w:r w:rsidRPr="00BD646D">
        <w:rPr>
          <w:rFonts w:cs="Arial"/>
        </w:rPr>
        <w:t xml:space="preserve"> differential expansion between the </w:t>
      </w:r>
      <w:proofErr w:type="spellStart"/>
      <w:r w:rsidRPr="00BD646D">
        <w:rPr>
          <w:rFonts w:cs="Arial"/>
        </w:rPr>
        <w:t>tubesheets</w:t>
      </w:r>
      <w:proofErr w:type="spellEnd"/>
      <w:r w:rsidRPr="00BD646D">
        <w:rPr>
          <w:rFonts w:cs="Arial"/>
        </w:rPr>
        <w:t xml:space="preserve"> and cyclone assemblies, producing cyclic loading at the welds. Over time, these stresses cause cracks to form and propagate. Once the welds have become embrittled, further repairs are not effective because additional welding introduces more heat, which accelerates the formation of sigma-phase (</w:t>
      </w:r>
      <w:proofErr w:type="spellStart"/>
      <w:r w:rsidRPr="00BD646D">
        <w:rPr>
          <w:rFonts w:cs="Arial"/>
        </w:rPr>
        <w:t>Kotecki</w:t>
      </w:r>
      <w:proofErr w:type="spellEnd"/>
      <w:r w:rsidRPr="00BD646D">
        <w:rPr>
          <w:rFonts w:cs="Arial"/>
        </w:rPr>
        <w:t xml:space="preserve"> &amp; </w:t>
      </w:r>
      <w:proofErr w:type="spellStart"/>
      <w:r w:rsidRPr="00BD646D">
        <w:rPr>
          <w:rFonts w:cs="Arial"/>
        </w:rPr>
        <w:t>Lippold</w:t>
      </w:r>
      <w:proofErr w:type="spellEnd"/>
      <w:r w:rsidRPr="00BD646D">
        <w:rPr>
          <w:rFonts w:cs="Arial"/>
        </w:rPr>
        <w:t>, 2015).</w:t>
      </w:r>
    </w:p>
    <w:p w14:paraId="5F6DC288" w14:textId="369C3D04" w:rsidR="00BD646D" w:rsidRPr="00BD646D" w:rsidRDefault="00BD646D" w:rsidP="00CB6FBB">
      <w:pPr>
        <w:spacing w:line="360" w:lineRule="auto"/>
        <w:rPr>
          <w:rFonts w:cs="Arial"/>
        </w:rPr>
      </w:pPr>
    </w:p>
    <w:p w14:paraId="10CCBB2B" w14:textId="77777777" w:rsidR="00BD646D" w:rsidRPr="00BD646D" w:rsidRDefault="00BD646D" w:rsidP="00CB6FBB">
      <w:pPr>
        <w:pStyle w:val="Heading2"/>
        <w:spacing w:line="360" w:lineRule="auto"/>
      </w:pPr>
      <w:bookmarkStart w:id="23" w:name="_Toc230791063"/>
      <w:r w:rsidRPr="00BD646D">
        <w:lastRenderedPageBreak/>
        <w:t>Temporary Repair (2021)</w:t>
      </w:r>
      <w:bookmarkEnd w:id="23"/>
    </w:p>
    <w:p w14:paraId="19351958" w14:textId="77777777" w:rsidR="00BD646D" w:rsidRDefault="00BD646D" w:rsidP="00CB6FBB">
      <w:pPr>
        <w:spacing w:line="360" w:lineRule="auto"/>
        <w:rPr>
          <w:rFonts w:cs="Arial"/>
        </w:rPr>
      </w:pPr>
      <w:r w:rsidRPr="00BD646D">
        <w:rPr>
          <w:rFonts w:cs="Arial"/>
        </w:rPr>
        <w:t xml:space="preserve">Because of the extent of the cracking, a temporary mechanical support system was installed during the 2021 turnaround to prevent parts of the cyclones from dropping into the base of the vessel. The repair involved fitting J-hook supports to secure the swirl vanes and alignment cans to the upper </w:t>
      </w:r>
      <w:proofErr w:type="spellStart"/>
      <w:r w:rsidRPr="00BD646D">
        <w:rPr>
          <w:rFonts w:cs="Arial"/>
        </w:rPr>
        <w:t>tubesheet</w:t>
      </w:r>
      <w:proofErr w:type="spellEnd"/>
      <w:r w:rsidRPr="00BD646D">
        <w:rPr>
          <w:rFonts w:cs="Arial"/>
        </w:rPr>
        <w:t>. This design prevented component failure and allowed the FCC unit to return to operation while a long-term solution was developed.</w:t>
      </w:r>
    </w:p>
    <w:p w14:paraId="77989500" w14:textId="77777777" w:rsidR="00C06920" w:rsidRDefault="00027FE9" w:rsidP="00CB6FBB">
      <w:pPr>
        <w:pStyle w:val="Caption"/>
        <w:spacing w:line="360" w:lineRule="auto"/>
      </w:pPr>
      <w:r w:rsidRPr="00027FE9">
        <w:rPr>
          <w:rFonts w:ascii="Arial" w:hAnsi="Arial" w:cs="Arial"/>
          <w:noProof/>
        </w:rPr>
        <w:drawing>
          <wp:inline distT="0" distB="0" distL="0" distR="0" wp14:anchorId="21CB78E3" wp14:editId="3726FB03">
            <wp:extent cx="5731510" cy="28886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88615"/>
                    </a:xfrm>
                    <a:prstGeom prst="rect">
                      <a:avLst/>
                    </a:prstGeom>
                  </pic:spPr>
                </pic:pic>
              </a:graphicData>
            </a:graphic>
          </wp:inline>
        </w:drawing>
      </w:r>
    </w:p>
    <w:p w14:paraId="251A0BB4" w14:textId="5533EC56" w:rsidR="00BD646D" w:rsidRPr="00BD646D" w:rsidRDefault="00027FE9" w:rsidP="00CB6FBB">
      <w:pPr>
        <w:pStyle w:val="Caption"/>
        <w:spacing w:line="360" w:lineRule="auto"/>
        <w:rPr>
          <w:rFonts w:ascii="Arial" w:hAnsi="Arial" w:cs="Arial"/>
        </w:rPr>
      </w:pPr>
      <w:bookmarkStart w:id="24" w:name="_Toc230791133"/>
      <w:r>
        <w:t xml:space="preserve">Figure </w:t>
      </w:r>
      <w:r>
        <w:fldChar w:fldCharType="begin"/>
      </w:r>
      <w:r>
        <w:instrText xml:space="preserve"> SEQ Figure \* ARABIC </w:instrText>
      </w:r>
      <w:r>
        <w:fldChar w:fldCharType="separate"/>
      </w:r>
      <w:r w:rsidR="004048BF">
        <w:rPr>
          <w:noProof/>
        </w:rPr>
        <w:t>10</w:t>
      </w:r>
      <w:r>
        <w:fldChar w:fldCharType="end"/>
      </w:r>
      <w:r>
        <w:t xml:space="preserve"> -</w:t>
      </w:r>
      <w:r w:rsidRPr="00027FE9">
        <w:rPr>
          <w:rFonts w:ascii="Arial" w:hAnsi="Arial" w:cs="Arial"/>
        </w:rPr>
        <w:t xml:space="preserve"> </w:t>
      </w:r>
      <w:r w:rsidRPr="00BD646D">
        <w:rPr>
          <w:rFonts w:ascii="Arial" w:hAnsi="Arial" w:cs="Arial"/>
        </w:rPr>
        <w:t>the layout of the J-hooks fitted to each cyclone assembly</w:t>
      </w:r>
      <w:bookmarkEnd w:id="24"/>
    </w:p>
    <w:p w14:paraId="733FBDD9" w14:textId="1CC5C75F" w:rsidR="00BD646D" w:rsidRPr="00BD646D" w:rsidRDefault="00BD646D" w:rsidP="00CB6FBB">
      <w:pPr>
        <w:spacing w:line="360" w:lineRule="auto"/>
        <w:rPr>
          <w:rFonts w:cs="Arial"/>
        </w:rPr>
      </w:pPr>
      <w:r w:rsidRPr="00BD646D">
        <w:rPr>
          <w:rFonts w:cs="Arial"/>
        </w:rPr>
        <w:t>Although the repair provided short-term stability, it was never intended to be permanent. The system is not approved by Shell, and it cannot be monitored to assess its condition over time. The J-hook rods are also exposed to the same temperature cycles that caused the original cracking, which means that fatigue and deformation are still possible. The repair therefore only provides a limited life extension, mainly to allow time for replacement planning</w:t>
      </w:r>
      <w:r w:rsidR="00027FE9">
        <w:rPr>
          <w:rFonts w:cs="Arial"/>
        </w:rPr>
        <w:t>.</w:t>
      </w:r>
    </w:p>
    <w:p w14:paraId="6F631648" w14:textId="48671BA4" w:rsidR="00BD646D" w:rsidRPr="00BD646D" w:rsidRDefault="00BD646D" w:rsidP="00CB6FBB">
      <w:pPr>
        <w:spacing w:line="360" w:lineRule="auto"/>
        <w:rPr>
          <w:rFonts w:cs="Arial"/>
        </w:rPr>
      </w:pPr>
    </w:p>
    <w:p w14:paraId="475AAA16" w14:textId="77777777" w:rsidR="00BD646D" w:rsidRPr="00BD646D" w:rsidRDefault="00BD646D" w:rsidP="00CB6FBB">
      <w:pPr>
        <w:pStyle w:val="Heading2"/>
        <w:spacing w:line="360" w:lineRule="auto"/>
      </w:pPr>
      <w:bookmarkStart w:id="25" w:name="_Toc230791064"/>
      <w:r w:rsidRPr="00BD646D">
        <w:t>Evaluation of Repair and Replacement Options</w:t>
      </w:r>
      <w:bookmarkEnd w:id="25"/>
    </w:p>
    <w:p w14:paraId="7C3BF76A" w14:textId="77777777" w:rsidR="00BD646D" w:rsidRPr="00BD646D" w:rsidRDefault="00BD646D" w:rsidP="00CB6FBB">
      <w:pPr>
        <w:spacing w:line="360" w:lineRule="auto"/>
        <w:rPr>
          <w:rFonts w:cs="Arial"/>
        </w:rPr>
      </w:pPr>
      <w:r w:rsidRPr="00BD646D">
        <w:rPr>
          <w:rFonts w:cs="Arial"/>
        </w:rPr>
        <w:t>Two long-term solutions were evaluated:</w:t>
      </w:r>
    </w:p>
    <w:p w14:paraId="238F8D27" w14:textId="77777777" w:rsidR="00BD646D" w:rsidRPr="00BD646D" w:rsidRDefault="00BD646D" w:rsidP="00CB6FBB">
      <w:pPr>
        <w:numPr>
          <w:ilvl w:val="0"/>
          <w:numId w:val="21"/>
        </w:numPr>
        <w:spacing w:line="360" w:lineRule="auto"/>
        <w:rPr>
          <w:rFonts w:cs="Arial"/>
        </w:rPr>
      </w:pPr>
      <w:r w:rsidRPr="00BD646D">
        <w:rPr>
          <w:rFonts w:cs="Arial"/>
        </w:rPr>
        <w:t>In-situ cyclone replacement, keeping the original vessel shell;</w:t>
      </w:r>
    </w:p>
    <w:p w14:paraId="5526DD85" w14:textId="77777777" w:rsidR="00BD646D" w:rsidRPr="00BD646D" w:rsidRDefault="00BD646D" w:rsidP="00CB6FBB">
      <w:pPr>
        <w:numPr>
          <w:ilvl w:val="0"/>
          <w:numId w:val="21"/>
        </w:numPr>
        <w:spacing w:line="360" w:lineRule="auto"/>
        <w:rPr>
          <w:rFonts w:cs="Arial"/>
        </w:rPr>
      </w:pPr>
      <w:r w:rsidRPr="00BD646D">
        <w:rPr>
          <w:rFonts w:cs="Arial"/>
        </w:rPr>
        <w:t>Full vessel replacement, including all new internals and design improvements.</w:t>
      </w:r>
    </w:p>
    <w:p w14:paraId="4F0D14AD" w14:textId="77777777" w:rsidR="00BD646D" w:rsidRDefault="00BD646D" w:rsidP="00CB6FBB">
      <w:pPr>
        <w:spacing w:line="360" w:lineRule="auto"/>
        <w:rPr>
          <w:rFonts w:cs="Arial"/>
        </w:rPr>
      </w:pPr>
      <w:r w:rsidRPr="00BD646D">
        <w:rPr>
          <w:rFonts w:cs="Arial"/>
        </w:rPr>
        <w:t xml:space="preserve">For the in-situ option, each of the 112 cyclone assemblies would need to be replaced individually. Due to limited access and confined space, only two or three work fronts </w:t>
      </w:r>
      <w:r w:rsidRPr="00BD646D">
        <w:rPr>
          <w:rFonts w:cs="Arial"/>
        </w:rPr>
        <w:lastRenderedPageBreak/>
        <w:t>could operate at once. This meant the process would be slow and sequential. Engineering planners estimated that this option would take around 86 days oil-to-oil, which is significantly longer than a typical FCC turnaround duration.</w:t>
      </w:r>
    </w:p>
    <w:p w14:paraId="16AEBA37" w14:textId="77777777" w:rsidR="00176610" w:rsidRDefault="00176610" w:rsidP="00CB6FBB">
      <w:pPr>
        <w:spacing w:line="360" w:lineRule="auto"/>
        <w:rPr>
          <w:rFonts w:cs="Arial"/>
        </w:rPr>
      </w:pPr>
    </w:p>
    <w:p w14:paraId="642C43BB" w14:textId="77777777" w:rsidR="00CF2087" w:rsidRDefault="00CF2087" w:rsidP="00CB6FBB">
      <w:pPr>
        <w:spacing w:line="360" w:lineRule="auto"/>
        <w:rPr>
          <w:rFonts w:cs="Arial"/>
        </w:rPr>
      </w:pPr>
    </w:p>
    <w:p w14:paraId="2546828C" w14:textId="77777777" w:rsidR="00176610" w:rsidRDefault="00176610" w:rsidP="00CB6FBB">
      <w:pPr>
        <w:spacing w:line="360" w:lineRule="auto"/>
        <w:rPr>
          <w:rFonts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0"/>
        <w:gridCol w:w="1433"/>
        <w:gridCol w:w="2384"/>
        <w:gridCol w:w="2859"/>
      </w:tblGrid>
      <w:tr w:rsidR="00176610" w:rsidRPr="00176610" w14:paraId="2DA53C40" w14:textId="77777777" w:rsidTr="00176610">
        <w:trPr>
          <w:tblHeader/>
          <w:tblCellSpacing w:w="15" w:type="dxa"/>
        </w:trPr>
        <w:tc>
          <w:tcPr>
            <w:tcW w:w="0" w:type="auto"/>
            <w:vAlign w:val="center"/>
            <w:hideMark/>
          </w:tcPr>
          <w:p w14:paraId="1B4EF4B0" w14:textId="77777777" w:rsidR="00176610" w:rsidRPr="00176610" w:rsidRDefault="00176610" w:rsidP="00CB6FBB">
            <w:pPr>
              <w:spacing w:line="360" w:lineRule="auto"/>
              <w:jc w:val="left"/>
              <w:rPr>
                <w:rFonts w:cs="Arial"/>
                <w:b/>
                <w:bCs/>
              </w:rPr>
            </w:pPr>
            <w:r w:rsidRPr="00176610">
              <w:rPr>
                <w:rFonts w:cs="Arial"/>
                <w:b/>
                <w:bCs/>
              </w:rPr>
              <w:t>Activity / Stage</w:t>
            </w:r>
          </w:p>
        </w:tc>
        <w:tc>
          <w:tcPr>
            <w:tcW w:w="0" w:type="auto"/>
            <w:vAlign w:val="center"/>
            <w:hideMark/>
          </w:tcPr>
          <w:p w14:paraId="3F0DC19B" w14:textId="77777777" w:rsidR="00176610" w:rsidRPr="00176610" w:rsidRDefault="00176610" w:rsidP="00CB6FBB">
            <w:pPr>
              <w:spacing w:line="360" w:lineRule="auto"/>
              <w:jc w:val="left"/>
              <w:rPr>
                <w:rFonts w:cs="Arial"/>
                <w:b/>
                <w:bCs/>
              </w:rPr>
            </w:pPr>
            <w:r w:rsidRPr="00176610">
              <w:rPr>
                <w:rFonts w:cs="Arial"/>
                <w:b/>
                <w:bCs/>
              </w:rPr>
              <w:t>In-situ Repair (Days)</w:t>
            </w:r>
          </w:p>
        </w:tc>
        <w:tc>
          <w:tcPr>
            <w:tcW w:w="0" w:type="auto"/>
            <w:vAlign w:val="center"/>
            <w:hideMark/>
          </w:tcPr>
          <w:p w14:paraId="0DC91D98" w14:textId="77777777" w:rsidR="00176610" w:rsidRPr="00176610" w:rsidRDefault="00176610" w:rsidP="00CB6FBB">
            <w:pPr>
              <w:spacing w:line="360" w:lineRule="auto"/>
              <w:jc w:val="left"/>
              <w:rPr>
                <w:rFonts w:cs="Arial"/>
                <w:b/>
                <w:bCs/>
              </w:rPr>
            </w:pPr>
            <w:r w:rsidRPr="00176610">
              <w:rPr>
                <w:rFonts w:cs="Arial"/>
                <w:b/>
                <w:bCs/>
              </w:rPr>
              <w:t>Full Vessel Replacement (Days)</w:t>
            </w:r>
          </w:p>
        </w:tc>
        <w:tc>
          <w:tcPr>
            <w:tcW w:w="0" w:type="auto"/>
            <w:vAlign w:val="center"/>
            <w:hideMark/>
          </w:tcPr>
          <w:p w14:paraId="7781123A" w14:textId="77777777" w:rsidR="00176610" w:rsidRPr="00176610" w:rsidRDefault="00176610" w:rsidP="00CB6FBB">
            <w:pPr>
              <w:spacing w:line="360" w:lineRule="auto"/>
              <w:jc w:val="left"/>
              <w:rPr>
                <w:rFonts w:cs="Arial"/>
                <w:b/>
                <w:bCs/>
              </w:rPr>
            </w:pPr>
            <w:r w:rsidRPr="00176610">
              <w:rPr>
                <w:rFonts w:cs="Arial"/>
                <w:b/>
                <w:bCs/>
              </w:rPr>
              <w:t>Notes</w:t>
            </w:r>
          </w:p>
        </w:tc>
      </w:tr>
      <w:tr w:rsidR="00176610" w:rsidRPr="00176610" w14:paraId="33A0A298" w14:textId="77777777" w:rsidTr="00176610">
        <w:trPr>
          <w:tblCellSpacing w:w="15" w:type="dxa"/>
        </w:trPr>
        <w:tc>
          <w:tcPr>
            <w:tcW w:w="0" w:type="auto"/>
            <w:vAlign w:val="center"/>
            <w:hideMark/>
          </w:tcPr>
          <w:p w14:paraId="37051C6C" w14:textId="77777777" w:rsidR="00176610" w:rsidRPr="00176610" w:rsidRDefault="00176610" w:rsidP="00CB6FBB">
            <w:pPr>
              <w:spacing w:line="360" w:lineRule="auto"/>
              <w:jc w:val="left"/>
              <w:rPr>
                <w:rFonts w:cs="Arial"/>
              </w:rPr>
            </w:pPr>
            <w:r w:rsidRPr="00176610">
              <w:rPr>
                <w:rFonts w:cs="Arial"/>
              </w:rPr>
              <w:t>Engineering &amp; Design</w:t>
            </w:r>
          </w:p>
        </w:tc>
        <w:tc>
          <w:tcPr>
            <w:tcW w:w="0" w:type="auto"/>
            <w:vAlign w:val="center"/>
            <w:hideMark/>
          </w:tcPr>
          <w:p w14:paraId="5A20256A" w14:textId="77777777" w:rsidR="00176610" w:rsidRPr="00176610" w:rsidRDefault="00176610" w:rsidP="00CB6FBB">
            <w:pPr>
              <w:spacing w:line="360" w:lineRule="auto"/>
              <w:jc w:val="left"/>
              <w:rPr>
                <w:rFonts w:cs="Arial"/>
              </w:rPr>
            </w:pPr>
            <w:r w:rsidRPr="00176610">
              <w:rPr>
                <w:rFonts w:cs="Arial"/>
              </w:rPr>
              <w:t>14</w:t>
            </w:r>
          </w:p>
        </w:tc>
        <w:tc>
          <w:tcPr>
            <w:tcW w:w="0" w:type="auto"/>
            <w:vAlign w:val="center"/>
            <w:hideMark/>
          </w:tcPr>
          <w:p w14:paraId="1E48269B" w14:textId="77777777" w:rsidR="00176610" w:rsidRPr="00176610" w:rsidRDefault="00176610" w:rsidP="00CB6FBB">
            <w:pPr>
              <w:spacing w:line="360" w:lineRule="auto"/>
              <w:jc w:val="left"/>
              <w:rPr>
                <w:rFonts w:cs="Arial"/>
              </w:rPr>
            </w:pPr>
            <w:r w:rsidRPr="00176610">
              <w:rPr>
                <w:rFonts w:cs="Arial"/>
              </w:rPr>
              <w:t>10</w:t>
            </w:r>
          </w:p>
        </w:tc>
        <w:tc>
          <w:tcPr>
            <w:tcW w:w="0" w:type="auto"/>
            <w:vAlign w:val="center"/>
            <w:hideMark/>
          </w:tcPr>
          <w:p w14:paraId="50FDCCA4" w14:textId="77777777" w:rsidR="00176610" w:rsidRPr="00176610" w:rsidRDefault="00176610" w:rsidP="00CB6FBB">
            <w:pPr>
              <w:spacing w:line="360" w:lineRule="auto"/>
              <w:jc w:val="left"/>
              <w:rPr>
                <w:rFonts w:cs="Arial"/>
              </w:rPr>
            </w:pPr>
            <w:r w:rsidRPr="00176610">
              <w:rPr>
                <w:rFonts w:cs="Arial"/>
              </w:rPr>
              <w:t>Design revalidation and vendor interface</w:t>
            </w:r>
          </w:p>
        </w:tc>
      </w:tr>
      <w:tr w:rsidR="00176610" w:rsidRPr="00176610" w14:paraId="25D791A1" w14:textId="77777777" w:rsidTr="00176610">
        <w:trPr>
          <w:tblCellSpacing w:w="15" w:type="dxa"/>
        </w:trPr>
        <w:tc>
          <w:tcPr>
            <w:tcW w:w="0" w:type="auto"/>
            <w:vAlign w:val="center"/>
            <w:hideMark/>
          </w:tcPr>
          <w:p w14:paraId="348A7417" w14:textId="77777777" w:rsidR="00176610" w:rsidRPr="00176610" w:rsidRDefault="00176610" w:rsidP="00CB6FBB">
            <w:pPr>
              <w:spacing w:line="360" w:lineRule="auto"/>
              <w:jc w:val="left"/>
              <w:rPr>
                <w:rFonts w:cs="Arial"/>
              </w:rPr>
            </w:pPr>
            <w:r w:rsidRPr="00176610">
              <w:rPr>
                <w:rFonts w:cs="Arial"/>
              </w:rPr>
              <w:t>Fabrication / Procurement</w:t>
            </w:r>
          </w:p>
        </w:tc>
        <w:tc>
          <w:tcPr>
            <w:tcW w:w="0" w:type="auto"/>
            <w:vAlign w:val="center"/>
            <w:hideMark/>
          </w:tcPr>
          <w:p w14:paraId="3E946C26" w14:textId="77777777" w:rsidR="00176610" w:rsidRPr="00176610" w:rsidRDefault="00176610" w:rsidP="00CB6FBB">
            <w:pPr>
              <w:spacing w:line="360" w:lineRule="auto"/>
              <w:jc w:val="left"/>
              <w:rPr>
                <w:rFonts w:cs="Arial"/>
              </w:rPr>
            </w:pPr>
            <w:r w:rsidRPr="00176610">
              <w:rPr>
                <w:rFonts w:cs="Arial"/>
              </w:rPr>
              <w:t>20</w:t>
            </w:r>
          </w:p>
        </w:tc>
        <w:tc>
          <w:tcPr>
            <w:tcW w:w="0" w:type="auto"/>
            <w:vAlign w:val="center"/>
            <w:hideMark/>
          </w:tcPr>
          <w:p w14:paraId="5F05C6D1" w14:textId="77777777" w:rsidR="00176610" w:rsidRPr="00176610" w:rsidRDefault="00176610" w:rsidP="00CB6FBB">
            <w:pPr>
              <w:spacing w:line="360" w:lineRule="auto"/>
              <w:jc w:val="left"/>
              <w:rPr>
                <w:rFonts w:cs="Arial"/>
              </w:rPr>
            </w:pPr>
            <w:r w:rsidRPr="00176610">
              <w:rPr>
                <w:rFonts w:cs="Arial"/>
              </w:rPr>
              <w:t>12</w:t>
            </w:r>
          </w:p>
        </w:tc>
        <w:tc>
          <w:tcPr>
            <w:tcW w:w="0" w:type="auto"/>
            <w:vAlign w:val="center"/>
            <w:hideMark/>
          </w:tcPr>
          <w:p w14:paraId="7BA93808" w14:textId="77777777" w:rsidR="00176610" w:rsidRPr="00176610" w:rsidRDefault="00176610" w:rsidP="00CB6FBB">
            <w:pPr>
              <w:spacing w:line="360" w:lineRule="auto"/>
              <w:jc w:val="left"/>
              <w:rPr>
                <w:rFonts w:cs="Arial"/>
              </w:rPr>
            </w:pPr>
            <w:r w:rsidRPr="00176610">
              <w:rPr>
                <w:rFonts w:cs="Arial"/>
              </w:rPr>
              <w:t>Long-lead items (cyclones and weld assemblies)</w:t>
            </w:r>
          </w:p>
        </w:tc>
      </w:tr>
      <w:tr w:rsidR="00176610" w:rsidRPr="00176610" w14:paraId="011D997A" w14:textId="77777777" w:rsidTr="00176610">
        <w:trPr>
          <w:tblCellSpacing w:w="15" w:type="dxa"/>
        </w:trPr>
        <w:tc>
          <w:tcPr>
            <w:tcW w:w="0" w:type="auto"/>
            <w:vAlign w:val="center"/>
            <w:hideMark/>
          </w:tcPr>
          <w:p w14:paraId="59FA97BE" w14:textId="77777777" w:rsidR="00176610" w:rsidRPr="00176610" w:rsidRDefault="00176610" w:rsidP="00CB6FBB">
            <w:pPr>
              <w:spacing w:line="360" w:lineRule="auto"/>
              <w:jc w:val="left"/>
              <w:rPr>
                <w:rFonts w:cs="Arial"/>
              </w:rPr>
            </w:pPr>
            <w:r w:rsidRPr="00176610">
              <w:rPr>
                <w:rFonts w:cs="Arial"/>
              </w:rPr>
              <w:t>Mechanical Work Duration</w:t>
            </w:r>
          </w:p>
        </w:tc>
        <w:tc>
          <w:tcPr>
            <w:tcW w:w="0" w:type="auto"/>
            <w:vAlign w:val="center"/>
            <w:hideMark/>
          </w:tcPr>
          <w:p w14:paraId="7D9C2E15" w14:textId="77777777" w:rsidR="00176610" w:rsidRPr="00176610" w:rsidRDefault="00176610" w:rsidP="00CB6FBB">
            <w:pPr>
              <w:spacing w:line="360" w:lineRule="auto"/>
              <w:jc w:val="left"/>
              <w:rPr>
                <w:rFonts w:cs="Arial"/>
              </w:rPr>
            </w:pPr>
            <w:r w:rsidRPr="00176610">
              <w:rPr>
                <w:rFonts w:cs="Arial"/>
              </w:rPr>
              <w:t>55</w:t>
            </w:r>
          </w:p>
        </w:tc>
        <w:tc>
          <w:tcPr>
            <w:tcW w:w="0" w:type="auto"/>
            <w:vAlign w:val="center"/>
            <w:hideMark/>
          </w:tcPr>
          <w:p w14:paraId="6BA0E891" w14:textId="77777777" w:rsidR="00176610" w:rsidRPr="00176610" w:rsidRDefault="00176610" w:rsidP="00CB6FBB">
            <w:pPr>
              <w:spacing w:line="360" w:lineRule="auto"/>
              <w:jc w:val="left"/>
              <w:rPr>
                <w:rFonts w:cs="Arial"/>
              </w:rPr>
            </w:pPr>
            <w:r w:rsidRPr="00176610">
              <w:rPr>
                <w:rFonts w:cs="Arial"/>
              </w:rPr>
              <w:t>36</w:t>
            </w:r>
          </w:p>
        </w:tc>
        <w:tc>
          <w:tcPr>
            <w:tcW w:w="0" w:type="auto"/>
            <w:vAlign w:val="center"/>
            <w:hideMark/>
          </w:tcPr>
          <w:p w14:paraId="1706F625" w14:textId="77777777" w:rsidR="00176610" w:rsidRPr="00176610" w:rsidRDefault="00176610" w:rsidP="00CB6FBB">
            <w:pPr>
              <w:spacing w:line="360" w:lineRule="auto"/>
              <w:jc w:val="left"/>
              <w:rPr>
                <w:rFonts w:cs="Arial"/>
              </w:rPr>
            </w:pPr>
            <w:r w:rsidRPr="00176610">
              <w:rPr>
                <w:rFonts w:cs="Arial"/>
              </w:rPr>
              <w:t>Includes welding, NDT, and fit-up activities</w:t>
            </w:r>
          </w:p>
        </w:tc>
      </w:tr>
      <w:tr w:rsidR="00176610" w:rsidRPr="00176610" w14:paraId="5D74F202" w14:textId="77777777" w:rsidTr="00176610">
        <w:trPr>
          <w:tblCellSpacing w:w="15" w:type="dxa"/>
        </w:trPr>
        <w:tc>
          <w:tcPr>
            <w:tcW w:w="0" w:type="auto"/>
            <w:vAlign w:val="center"/>
            <w:hideMark/>
          </w:tcPr>
          <w:p w14:paraId="67957AFD" w14:textId="77777777" w:rsidR="00176610" w:rsidRPr="00176610" w:rsidRDefault="00176610" w:rsidP="00CB6FBB">
            <w:pPr>
              <w:spacing w:line="360" w:lineRule="auto"/>
              <w:jc w:val="left"/>
              <w:rPr>
                <w:rFonts w:cs="Arial"/>
              </w:rPr>
            </w:pPr>
            <w:r w:rsidRPr="00176610">
              <w:rPr>
                <w:rFonts w:cs="Arial"/>
              </w:rPr>
              <w:t>Pressure Testing &amp; Inspection</w:t>
            </w:r>
          </w:p>
        </w:tc>
        <w:tc>
          <w:tcPr>
            <w:tcW w:w="0" w:type="auto"/>
            <w:vAlign w:val="center"/>
            <w:hideMark/>
          </w:tcPr>
          <w:p w14:paraId="6C9C396A" w14:textId="77777777" w:rsidR="00176610" w:rsidRPr="00176610" w:rsidRDefault="00176610" w:rsidP="00CB6FBB">
            <w:pPr>
              <w:spacing w:line="360" w:lineRule="auto"/>
              <w:jc w:val="left"/>
              <w:rPr>
                <w:rFonts w:cs="Arial"/>
              </w:rPr>
            </w:pPr>
            <w:r w:rsidRPr="00176610">
              <w:rPr>
                <w:rFonts w:cs="Arial"/>
              </w:rPr>
              <w:t>4</w:t>
            </w:r>
          </w:p>
        </w:tc>
        <w:tc>
          <w:tcPr>
            <w:tcW w:w="0" w:type="auto"/>
            <w:vAlign w:val="center"/>
            <w:hideMark/>
          </w:tcPr>
          <w:p w14:paraId="40538654" w14:textId="77777777" w:rsidR="00176610" w:rsidRPr="00176610" w:rsidRDefault="00176610" w:rsidP="00CB6FBB">
            <w:pPr>
              <w:spacing w:line="360" w:lineRule="auto"/>
              <w:jc w:val="left"/>
              <w:rPr>
                <w:rFonts w:cs="Arial"/>
              </w:rPr>
            </w:pPr>
            <w:r w:rsidRPr="00176610">
              <w:rPr>
                <w:rFonts w:cs="Arial"/>
              </w:rPr>
              <w:t>2</w:t>
            </w:r>
          </w:p>
        </w:tc>
        <w:tc>
          <w:tcPr>
            <w:tcW w:w="0" w:type="auto"/>
            <w:vAlign w:val="center"/>
            <w:hideMark/>
          </w:tcPr>
          <w:p w14:paraId="5F5510DE" w14:textId="77777777" w:rsidR="00176610" w:rsidRPr="00176610" w:rsidRDefault="00176610" w:rsidP="00CB6FBB">
            <w:pPr>
              <w:spacing w:line="360" w:lineRule="auto"/>
              <w:jc w:val="left"/>
              <w:rPr>
                <w:rFonts w:cs="Arial"/>
              </w:rPr>
            </w:pPr>
            <w:r w:rsidRPr="00176610">
              <w:rPr>
                <w:rFonts w:cs="Arial"/>
              </w:rPr>
              <w:t>Hydrotest and QA sign-off</w:t>
            </w:r>
          </w:p>
        </w:tc>
      </w:tr>
      <w:tr w:rsidR="00176610" w:rsidRPr="00176610" w14:paraId="627CD354" w14:textId="77777777" w:rsidTr="00176610">
        <w:trPr>
          <w:tblCellSpacing w:w="15" w:type="dxa"/>
        </w:trPr>
        <w:tc>
          <w:tcPr>
            <w:tcW w:w="0" w:type="auto"/>
            <w:vAlign w:val="center"/>
            <w:hideMark/>
          </w:tcPr>
          <w:p w14:paraId="6A751D00" w14:textId="77777777" w:rsidR="00176610" w:rsidRPr="00176610" w:rsidRDefault="00176610" w:rsidP="00CB6FBB">
            <w:pPr>
              <w:spacing w:line="360" w:lineRule="auto"/>
              <w:jc w:val="left"/>
              <w:rPr>
                <w:rFonts w:cs="Arial"/>
              </w:rPr>
            </w:pPr>
            <w:r w:rsidRPr="00176610">
              <w:rPr>
                <w:rFonts w:cs="Arial"/>
              </w:rPr>
              <w:t>Pre-commissioning / Alignment</w:t>
            </w:r>
          </w:p>
        </w:tc>
        <w:tc>
          <w:tcPr>
            <w:tcW w:w="0" w:type="auto"/>
            <w:vAlign w:val="center"/>
            <w:hideMark/>
          </w:tcPr>
          <w:p w14:paraId="29E686E2" w14:textId="77777777" w:rsidR="00176610" w:rsidRPr="00176610" w:rsidRDefault="00176610" w:rsidP="00CB6FBB">
            <w:pPr>
              <w:spacing w:line="360" w:lineRule="auto"/>
              <w:jc w:val="left"/>
              <w:rPr>
                <w:rFonts w:cs="Arial"/>
              </w:rPr>
            </w:pPr>
            <w:r w:rsidRPr="00176610">
              <w:rPr>
                <w:rFonts w:cs="Arial"/>
              </w:rPr>
              <w:t>3</w:t>
            </w:r>
          </w:p>
        </w:tc>
        <w:tc>
          <w:tcPr>
            <w:tcW w:w="0" w:type="auto"/>
            <w:vAlign w:val="center"/>
            <w:hideMark/>
          </w:tcPr>
          <w:p w14:paraId="0BD14593" w14:textId="77777777" w:rsidR="00176610" w:rsidRPr="00176610" w:rsidRDefault="00176610" w:rsidP="00CB6FBB">
            <w:pPr>
              <w:spacing w:line="360" w:lineRule="auto"/>
              <w:jc w:val="left"/>
              <w:rPr>
                <w:rFonts w:cs="Arial"/>
              </w:rPr>
            </w:pPr>
            <w:r w:rsidRPr="00176610">
              <w:rPr>
                <w:rFonts w:cs="Arial"/>
              </w:rPr>
              <w:t>2</w:t>
            </w:r>
          </w:p>
        </w:tc>
        <w:tc>
          <w:tcPr>
            <w:tcW w:w="0" w:type="auto"/>
            <w:vAlign w:val="center"/>
            <w:hideMark/>
          </w:tcPr>
          <w:p w14:paraId="7666D817" w14:textId="77777777" w:rsidR="00176610" w:rsidRPr="00176610" w:rsidRDefault="00176610" w:rsidP="00CB6FBB">
            <w:pPr>
              <w:spacing w:line="360" w:lineRule="auto"/>
              <w:jc w:val="left"/>
              <w:rPr>
                <w:rFonts w:cs="Arial"/>
              </w:rPr>
            </w:pPr>
            <w:r w:rsidRPr="00176610">
              <w:rPr>
                <w:rFonts w:cs="Arial"/>
              </w:rPr>
              <w:t>Instrument setup and mechanical checks</w:t>
            </w:r>
          </w:p>
        </w:tc>
      </w:tr>
      <w:tr w:rsidR="00176610" w:rsidRPr="00176610" w14:paraId="5E3FF1C3" w14:textId="77777777" w:rsidTr="00176610">
        <w:trPr>
          <w:tblCellSpacing w:w="15" w:type="dxa"/>
        </w:trPr>
        <w:tc>
          <w:tcPr>
            <w:tcW w:w="0" w:type="auto"/>
            <w:vAlign w:val="center"/>
            <w:hideMark/>
          </w:tcPr>
          <w:p w14:paraId="69C429C9" w14:textId="77777777" w:rsidR="00176610" w:rsidRPr="00176610" w:rsidRDefault="00176610" w:rsidP="00CB6FBB">
            <w:pPr>
              <w:spacing w:line="360" w:lineRule="auto"/>
              <w:jc w:val="left"/>
              <w:rPr>
                <w:rFonts w:cs="Arial"/>
              </w:rPr>
            </w:pPr>
            <w:r w:rsidRPr="00176610">
              <w:rPr>
                <w:rFonts w:cs="Arial"/>
                <w:b/>
                <w:bCs/>
              </w:rPr>
              <w:t>Total Mechanical Duration</w:t>
            </w:r>
          </w:p>
        </w:tc>
        <w:tc>
          <w:tcPr>
            <w:tcW w:w="0" w:type="auto"/>
            <w:vAlign w:val="center"/>
            <w:hideMark/>
          </w:tcPr>
          <w:p w14:paraId="2583EFEB" w14:textId="77777777" w:rsidR="00176610" w:rsidRPr="00176610" w:rsidRDefault="00176610" w:rsidP="00CB6FBB">
            <w:pPr>
              <w:spacing w:line="360" w:lineRule="auto"/>
              <w:jc w:val="left"/>
              <w:rPr>
                <w:rFonts w:cs="Arial"/>
              </w:rPr>
            </w:pPr>
            <w:r w:rsidRPr="00176610">
              <w:rPr>
                <w:rFonts w:cs="Arial"/>
                <w:b/>
                <w:bCs/>
              </w:rPr>
              <w:t>96</w:t>
            </w:r>
          </w:p>
        </w:tc>
        <w:tc>
          <w:tcPr>
            <w:tcW w:w="0" w:type="auto"/>
            <w:vAlign w:val="center"/>
            <w:hideMark/>
          </w:tcPr>
          <w:p w14:paraId="5197D36D" w14:textId="77777777" w:rsidR="00176610" w:rsidRPr="00176610" w:rsidRDefault="00176610" w:rsidP="00CB6FBB">
            <w:pPr>
              <w:spacing w:line="360" w:lineRule="auto"/>
              <w:jc w:val="left"/>
              <w:rPr>
                <w:rFonts w:cs="Arial"/>
              </w:rPr>
            </w:pPr>
            <w:r w:rsidRPr="00176610">
              <w:rPr>
                <w:rFonts w:cs="Arial"/>
                <w:b/>
                <w:bCs/>
              </w:rPr>
              <w:t>62</w:t>
            </w:r>
          </w:p>
        </w:tc>
        <w:tc>
          <w:tcPr>
            <w:tcW w:w="0" w:type="auto"/>
            <w:vAlign w:val="center"/>
            <w:hideMark/>
          </w:tcPr>
          <w:p w14:paraId="4896DA42" w14:textId="77777777" w:rsidR="00176610" w:rsidRPr="00176610" w:rsidRDefault="00176610" w:rsidP="00CB6FBB">
            <w:pPr>
              <w:spacing w:line="360" w:lineRule="auto"/>
              <w:jc w:val="left"/>
              <w:rPr>
                <w:rFonts w:cs="Arial"/>
              </w:rPr>
            </w:pPr>
            <w:r w:rsidRPr="00176610">
              <w:rPr>
                <w:rFonts w:cs="Arial"/>
              </w:rPr>
              <w:t>—</w:t>
            </w:r>
          </w:p>
        </w:tc>
      </w:tr>
      <w:tr w:rsidR="00176610" w:rsidRPr="00176610" w14:paraId="7E1B4122" w14:textId="77777777" w:rsidTr="00176610">
        <w:trPr>
          <w:tblCellSpacing w:w="15" w:type="dxa"/>
        </w:trPr>
        <w:tc>
          <w:tcPr>
            <w:tcW w:w="0" w:type="auto"/>
            <w:vAlign w:val="center"/>
            <w:hideMark/>
          </w:tcPr>
          <w:p w14:paraId="562AB33C" w14:textId="77777777" w:rsidR="00176610" w:rsidRPr="00176610" w:rsidRDefault="00176610" w:rsidP="00CB6FBB">
            <w:pPr>
              <w:spacing w:line="360" w:lineRule="auto"/>
              <w:jc w:val="left"/>
              <w:rPr>
                <w:rFonts w:cs="Arial"/>
              </w:rPr>
            </w:pPr>
            <w:r w:rsidRPr="00176610">
              <w:rPr>
                <w:rFonts w:cs="Arial"/>
                <w:b/>
                <w:bCs/>
              </w:rPr>
              <w:t>Total Outage (Oil-to-Oil)</w:t>
            </w:r>
          </w:p>
        </w:tc>
        <w:tc>
          <w:tcPr>
            <w:tcW w:w="0" w:type="auto"/>
            <w:vAlign w:val="center"/>
            <w:hideMark/>
          </w:tcPr>
          <w:p w14:paraId="3F2AE621" w14:textId="77777777" w:rsidR="00176610" w:rsidRPr="00176610" w:rsidRDefault="00176610" w:rsidP="00CB6FBB">
            <w:pPr>
              <w:spacing w:line="360" w:lineRule="auto"/>
              <w:jc w:val="left"/>
              <w:rPr>
                <w:rFonts w:cs="Arial"/>
              </w:rPr>
            </w:pPr>
            <w:r w:rsidRPr="00176610">
              <w:rPr>
                <w:rFonts w:cs="Arial"/>
                <w:b/>
                <w:bCs/>
              </w:rPr>
              <w:t>86</w:t>
            </w:r>
          </w:p>
        </w:tc>
        <w:tc>
          <w:tcPr>
            <w:tcW w:w="0" w:type="auto"/>
            <w:vAlign w:val="center"/>
            <w:hideMark/>
          </w:tcPr>
          <w:p w14:paraId="6BCB57F4" w14:textId="77777777" w:rsidR="00176610" w:rsidRPr="00176610" w:rsidRDefault="00176610" w:rsidP="00CB6FBB">
            <w:pPr>
              <w:spacing w:line="360" w:lineRule="auto"/>
              <w:jc w:val="left"/>
              <w:rPr>
                <w:rFonts w:cs="Arial"/>
              </w:rPr>
            </w:pPr>
            <w:r w:rsidRPr="00176610">
              <w:rPr>
                <w:rFonts w:cs="Arial"/>
                <w:b/>
                <w:bCs/>
              </w:rPr>
              <w:t>48</w:t>
            </w:r>
          </w:p>
        </w:tc>
        <w:tc>
          <w:tcPr>
            <w:tcW w:w="0" w:type="auto"/>
            <w:vAlign w:val="center"/>
            <w:hideMark/>
          </w:tcPr>
          <w:p w14:paraId="72FA0EEB" w14:textId="77777777" w:rsidR="00176610" w:rsidRPr="00176610" w:rsidRDefault="00176610" w:rsidP="00CB6FBB">
            <w:pPr>
              <w:spacing w:line="360" w:lineRule="auto"/>
              <w:jc w:val="left"/>
              <w:rPr>
                <w:rFonts w:cs="Arial"/>
              </w:rPr>
            </w:pPr>
            <w:r w:rsidRPr="00176610">
              <w:rPr>
                <w:rFonts w:cs="Arial"/>
              </w:rPr>
              <w:t>Includes unit cooling, isolation, and start-up time</w:t>
            </w:r>
          </w:p>
        </w:tc>
      </w:tr>
    </w:tbl>
    <w:p w14:paraId="4EE3BABA" w14:textId="4945ACD2" w:rsidR="00176610" w:rsidRPr="00BD646D" w:rsidRDefault="00176610" w:rsidP="00CB6FBB">
      <w:pPr>
        <w:pStyle w:val="Caption"/>
        <w:spacing w:line="360" w:lineRule="auto"/>
        <w:rPr>
          <w:rFonts w:ascii="Arial" w:hAnsi="Arial" w:cs="Arial"/>
        </w:rPr>
      </w:pPr>
      <w:bookmarkStart w:id="26" w:name="_Toc230791157"/>
      <w:r>
        <w:t xml:space="preserve">Table </w:t>
      </w:r>
      <w:r>
        <w:fldChar w:fldCharType="begin"/>
      </w:r>
      <w:r>
        <w:instrText xml:space="preserve"> SEQ Table \* ARABIC </w:instrText>
      </w:r>
      <w:r>
        <w:fldChar w:fldCharType="separate"/>
      </w:r>
      <w:r w:rsidR="004048BF">
        <w:rPr>
          <w:noProof/>
        </w:rPr>
        <w:t>3</w:t>
      </w:r>
      <w:r>
        <w:fldChar w:fldCharType="end"/>
      </w:r>
      <w:r>
        <w:t xml:space="preserve"> -</w:t>
      </w:r>
      <w:r w:rsidRPr="00176610">
        <w:rPr>
          <w:rFonts w:ascii="Arial" w:hAnsi="Arial" w:cs="Arial"/>
          <w:b/>
          <w:bCs/>
        </w:rPr>
        <w:t xml:space="preserve"> </w:t>
      </w:r>
      <w:r w:rsidRPr="00BD646D">
        <w:rPr>
          <w:rFonts w:ascii="Arial" w:hAnsi="Arial" w:cs="Arial"/>
        </w:rPr>
        <w:t>Duration Comparison Between In-situ Repair and Vessel Replacement</w:t>
      </w:r>
      <w:bookmarkEnd w:id="26"/>
    </w:p>
    <w:p w14:paraId="6086FE24" w14:textId="77777777" w:rsidR="00BD646D" w:rsidRPr="00BD646D" w:rsidRDefault="00BD646D" w:rsidP="00CB6FBB">
      <w:pPr>
        <w:spacing w:line="360" w:lineRule="auto"/>
        <w:rPr>
          <w:rFonts w:cs="Arial"/>
        </w:rPr>
      </w:pPr>
      <w:r w:rsidRPr="00BD646D">
        <w:rPr>
          <w:rFonts w:cs="Arial"/>
        </w:rPr>
        <w:t xml:space="preserve">The in-situ option also carried safety and quality risks. Most of the welds and </w:t>
      </w:r>
      <w:proofErr w:type="spellStart"/>
      <w:r w:rsidRPr="00BD646D">
        <w:rPr>
          <w:rFonts w:cs="Arial"/>
        </w:rPr>
        <w:t>tubesheets</w:t>
      </w:r>
      <w:proofErr w:type="spellEnd"/>
      <w:r w:rsidRPr="00BD646D">
        <w:rPr>
          <w:rFonts w:cs="Arial"/>
        </w:rPr>
        <w:t xml:space="preserve"> are already embrittled, meaning new welding would be done onto material with poor toughness. There is no guarantee that the welds would hold or that new cracks would not appear shortly after restart.</w:t>
      </w:r>
    </w:p>
    <w:p w14:paraId="35D08AEA" w14:textId="77777777" w:rsidR="00BD646D" w:rsidRPr="00BD646D" w:rsidRDefault="00BD646D" w:rsidP="00CB6FBB">
      <w:pPr>
        <w:spacing w:line="360" w:lineRule="auto"/>
        <w:rPr>
          <w:rFonts w:cs="Arial"/>
        </w:rPr>
      </w:pPr>
      <w:r w:rsidRPr="00BD646D">
        <w:rPr>
          <w:rFonts w:cs="Arial"/>
        </w:rPr>
        <w:t xml:space="preserve">The second option, full vessel replacement, would involve removing the entire TSS and replacing it with a new vessel built to Shell’s current specification. This approach </w:t>
      </w:r>
      <w:r w:rsidRPr="00BD646D">
        <w:rPr>
          <w:rFonts w:cs="Arial"/>
        </w:rPr>
        <w:lastRenderedPageBreak/>
        <w:t xml:space="preserve">would eliminate all embrittled material and provide an opportunity to address other reliability issues, such as the ageing expansion joint and </w:t>
      </w:r>
      <w:proofErr w:type="spellStart"/>
      <w:r w:rsidRPr="00BD646D">
        <w:rPr>
          <w:rFonts w:cs="Arial"/>
        </w:rPr>
        <w:t>tubesheet</w:t>
      </w:r>
      <w:proofErr w:type="spellEnd"/>
      <w:r w:rsidRPr="00BD646D">
        <w:rPr>
          <w:rFonts w:cs="Arial"/>
        </w:rPr>
        <w:t xml:space="preserve"> condition.</w:t>
      </w:r>
    </w:p>
    <w:p w14:paraId="1C6DF2B3" w14:textId="77777777" w:rsidR="00BD646D" w:rsidRPr="00BD646D" w:rsidRDefault="00BD646D" w:rsidP="00CB6FBB">
      <w:pPr>
        <w:spacing w:line="360" w:lineRule="auto"/>
        <w:rPr>
          <w:rFonts w:cs="Arial"/>
        </w:rPr>
      </w:pPr>
      <w:r w:rsidRPr="00BD646D">
        <w:rPr>
          <w:rFonts w:cs="Arial"/>
        </w:rPr>
        <w:t>Planning data showed that the full replacement option would take 48 days oil-to-oil, which is about 38 days shorter than the in-situ repair. The reduction in turnaround time also reduces lost profit because the FCC unit can return to production sooner.</w:t>
      </w:r>
    </w:p>
    <w:p w14:paraId="41047FA4" w14:textId="262D3CED" w:rsidR="00BD646D" w:rsidRPr="00BD646D" w:rsidRDefault="00BD646D" w:rsidP="00CB6FBB">
      <w:pPr>
        <w:spacing w:line="360" w:lineRule="auto"/>
        <w:rPr>
          <w:rFonts w:cs="Arial"/>
        </w:rPr>
      </w:pPr>
    </w:p>
    <w:p w14:paraId="64A17C69" w14:textId="77777777" w:rsidR="00BD646D" w:rsidRPr="00BD646D" w:rsidRDefault="00BD646D" w:rsidP="00CB6FBB">
      <w:pPr>
        <w:pStyle w:val="Heading2"/>
        <w:spacing w:line="360" w:lineRule="auto"/>
      </w:pPr>
      <w:bookmarkStart w:id="27" w:name="_Toc230791065"/>
      <w:r w:rsidRPr="00BD646D">
        <w:t>Cost and Schedule Evaluation</w:t>
      </w:r>
      <w:bookmarkEnd w:id="27"/>
    </w:p>
    <w:p w14:paraId="222EAD13" w14:textId="77777777" w:rsidR="00BD646D" w:rsidRDefault="00BD646D" w:rsidP="00CB6FBB">
      <w:pPr>
        <w:spacing w:line="360" w:lineRule="auto"/>
        <w:rPr>
          <w:rFonts w:cs="Arial"/>
        </w:rPr>
      </w:pPr>
      <w:r w:rsidRPr="00BD646D">
        <w:rPr>
          <w:rFonts w:cs="Arial"/>
        </w:rPr>
        <w:t>Cost estimates were developed as part of the Phase 2 and Phase 3 project funding submissions. The in-situ repair option was estimated to cost around £11.0 million, while the full replacement was around £13.6 million (Valero, 2021). Although the replacement cost is slightly higher, the reduced duration and long-term reliability make it the more cost-effective option overall.</w:t>
      </w:r>
    </w:p>
    <w:tbl>
      <w:tblPr>
        <w:tblW w:w="887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9"/>
        <w:gridCol w:w="1509"/>
        <w:gridCol w:w="2311"/>
        <w:gridCol w:w="2480"/>
      </w:tblGrid>
      <w:tr w:rsidR="00CF223F" w:rsidRPr="00CF223F" w14:paraId="5B4D1415" w14:textId="77777777" w:rsidTr="00827087">
        <w:trPr>
          <w:trHeight w:val="1105"/>
          <w:tblHeader/>
          <w:tblCellSpacing w:w="15" w:type="dxa"/>
        </w:trPr>
        <w:tc>
          <w:tcPr>
            <w:tcW w:w="0" w:type="auto"/>
            <w:vAlign w:val="center"/>
            <w:hideMark/>
          </w:tcPr>
          <w:p w14:paraId="4CE3FDAC" w14:textId="77777777" w:rsidR="00CF223F" w:rsidRPr="00CF223F" w:rsidRDefault="00CF223F" w:rsidP="00CB6FBB">
            <w:pPr>
              <w:spacing w:line="360" w:lineRule="auto"/>
              <w:jc w:val="left"/>
              <w:rPr>
                <w:rFonts w:cs="Arial"/>
                <w:b/>
                <w:bCs/>
              </w:rPr>
            </w:pPr>
            <w:r w:rsidRPr="00CF223F">
              <w:rPr>
                <w:rFonts w:cs="Arial"/>
                <w:b/>
                <w:bCs/>
              </w:rPr>
              <w:t>Cost Category</w:t>
            </w:r>
          </w:p>
        </w:tc>
        <w:tc>
          <w:tcPr>
            <w:tcW w:w="0" w:type="auto"/>
            <w:vAlign w:val="center"/>
            <w:hideMark/>
          </w:tcPr>
          <w:p w14:paraId="618795D6" w14:textId="77777777" w:rsidR="00CF223F" w:rsidRPr="00CF223F" w:rsidRDefault="00CF223F" w:rsidP="00CB6FBB">
            <w:pPr>
              <w:spacing w:line="360" w:lineRule="auto"/>
              <w:jc w:val="left"/>
              <w:rPr>
                <w:rFonts w:cs="Arial"/>
                <w:b/>
                <w:bCs/>
              </w:rPr>
            </w:pPr>
            <w:r w:rsidRPr="00CF223F">
              <w:rPr>
                <w:rFonts w:cs="Arial"/>
                <w:b/>
                <w:bCs/>
              </w:rPr>
              <w:t>In-situ Repair (£ Million)</w:t>
            </w:r>
          </w:p>
        </w:tc>
        <w:tc>
          <w:tcPr>
            <w:tcW w:w="0" w:type="auto"/>
            <w:vAlign w:val="center"/>
            <w:hideMark/>
          </w:tcPr>
          <w:p w14:paraId="298C113A" w14:textId="77777777" w:rsidR="00CF223F" w:rsidRPr="00CF223F" w:rsidRDefault="00CF223F" w:rsidP="00CB6FBB">
            <w:pPr>
              <w:spacing w:line="360" w:lineRule="auto"/>
              <w:jc w:val="left"/>
              <w:rPr>
                <w:rFonts w:cs="Arial"/>
                <w:b/>
                <w:bCs/>
              </w:rPr>
            </w:pPr>
            <w:r w:rsidRPr="00CF223F">
              <w:rPr>
                <w:rFonts w:cs="Arial"/>
                <w:b/>
                <w:bCs/>
              </w:rPr>
              <w:t>Full Vessel Replacement (£ Million)</w:t>
            </w:r>
          </w:p>
        </w:tc>
        <w:tc>
          <w:tcPr>
            <w:tcW w:w="0" w:type="auto"/>
            <w:vAlign w:val="center"/>
            <w:hideMark/>
          </w:tcPr>
          <w:p w14:paraId="7D7DB9C7" w14:textId="77777777" w:rsidR="00CF223F" w:rsidRPr="00CF223F" w:rsidRDefault="00CF223F" w:rsidP="00CB6FBB">
            <w:pPr>
              <w:spacing w:line="360" w:lineRule="auto"/>
              <w:jc w:val="left"/>
              <w:rPr>
                <w:rFonts w:cs="Arial"/>
                <w:b/>
                <w:bCs/>
              </w:rPr>
            </w:pPr>
            <w:r w:rsidRPr="00CF223F">
              <w:rPr>
                <w:rFonts w:cs="Arial"/>
                <w:b/>
                <w:bCs/>
              </w:rPr>
              <w:t>Notes</w:t>
            </w:r>
          </w:p>
        </w:tc>
      </w:tr>
      <w:tr w:rsidR="00CF223F" w:rsidRPr="00CF223F" w14:paraId="563BE93B" w14:textId="77777777" w:rsidTr="00827087">
        <w:trPr>
          <w:trHeight w:val="1092"/>
          <w:tblCellSpacing w:w="15" w:type="dxa"/>
        </w:trPr>
        <w:tc>
          <w:tcPr>
            <w:tcW w:w="0" w:type="auto"/>
            <w:vAlign w:val="center"/>
            <w:hideMark/>
          </w:tcPr>
          <w:p w14:paraId="37084F28" w14:textId="77777777" w:rsidR="00CF223F" w:rsidRPr="00CF223F" w:rsidRDefault="00CF223F" w:rsidP="00CB6FBB">
            <w:pPr>
              <w:spacing w:line="360" w:lineRule="auto"/>
              <w:jc w:val="left"/>
              <w:rPr>
                <w:rFonts w:cs="Arial"/>
              </w:rPr>
            </w:pPr>
            <w:r w:rsidRPr="00CF223F">
              <w:rPr>
                <w:rFonts w:cs="Arial"/>
              </w:rPr>
              <w:t>Engineering and Design</w:t>
            </w:r>
          </w:p>
        </w:tc>
        <w:tc>
          <w:tcPr>
            <w:tcW w:w="0" w:type="auto"/>
            <w:vAlign w:val="center"/>
            <w:hideMark/>
          </w:tcPr>
          <w:p w14:paraId="54D19017" w14:textId="77777777" w:rsidR="00CF223F" w:rsidRPr="00CF223F" w:rsidRDefault="00CF223F" w:rsidP="00CB6FBB">
            <w:pPr>
              <w:spacing w:line="360" w:lineRule="auto"/>
              <w:jc w:val="left"/>
              <w:rPr>
                <w:rFonts w:cs="Arial"/>
              </w:rPr>
            </w:pPr>
            <w:r w:rsidRPr="00CF223F">
              <w:rPr>
                <w:rFonts w:cs="Arial"/>
              </w:rPr>
              <w:t>0.8</w:t>
            </w:r>
          </w:p>
        </w:tc>
        <w:tc>
          <w:tcPr>
            <w:tcW w:w="0" w:type="auto"/>
            <w:vAlign w:val="center"/>
            <w:hideMark/>
          </w:tcPr>
          <w:p w14:paraId="0691A50A" w14:textId="77777777" w:rsidR="00CF223F" w:rsidRPr="00CF223F" w:rsidRDefault="00CF223F" w:rsidP="00CB6FBB">
            <w:pPr>
              <w:spacing w:line="360" w:lineRule="auto"/>
              <w:jc w:val="left"/>
              <w:rPr>
                <w:rFonts w:cs="Arial"/>
              </w:rPr>
            </w:pPr>
            <w:r w:rsidRPr="00CF223F">
              <w:rPr>
                <w:rFonts w:cs="Arial"/>
              </w:rPr>
              <w:t>1.2</w:t>
            </w:r>
          </w:p>
        </w:tc>
        <w:tc>
          <w:tcPr>
            <w:tcW w:w="0" w:type="auto"/>
            <w:vAlign w:val="center"/>
            <w:hideMark/>
          </w:tcPr>
          <w:p w14:paraId="1C752C94" w14:textId="77777777" w:rsidR="00CF223F" w:rsidRPr="00CF223F" w:rsidRDefault="00CF223F" w:rsidP="00CB6FBB">
            <w:pPr>
              <w:spacing w:line="360" w:lineRule="auto"/>
              <w:jc w:val="left"/>
              <w:rPr>
                <w:rFonts w:cs="Arial"/>
              </w:rPr>
            </w:pPr>
            <w:r w:rsidRPr="00CF223F">
              <w:rPr>
                <w:rFonts w:cs="Arial"/>
              </w:rPr>
              <w:t>Includes vendor and licensor design validation</w:t>
            </w:r>
          </w:p>
        </w:tc>
      </w:tr>
      <w:tr w:rsidR="00CF223F" w:rsidRPr="00CF223F" w14:paraId="074F2070" w14:textId="77777777" w:rsidTr="00827087">
        <w:trPr>
          <w:trHeight w:val="1092"/>
          <w:tblCellSpacing w:w="15" w:type="dxa"/>
        </w:trPr>
        <w:tc>
          <w:tcPr>
            <w:tcW w:w="0" w:type="auto"/>
            <w:vAlign w:val="center"/>
            <w:hideMark/>
          </w:tcPr>
          <w:p w14:paraId="536F5081" w14:textId="77777777" w:rsidR="00CF223F" w:rsidRPr="00CF223F" w:rsidRDefault="00CF223F" w:rsidP="00CB6FBB">
            <w:pPr>
              <w:spacing w:line="360" w:lineRule="auto"/>
              <w:jc w:val="left"/>
              <w:rPr>
                <w:rFonts w:cs="Arial"/>
              </w:rPr>
            </w:pPr>
            <w:r w:rsidRPr="00CF223F">
              <w:rPr>
                <w:rFonts w:cs="Arial"/>
              </w:rPr>
              <w:t>Fabrication and Materials</w:t>
            </w:r>
          </w:p>
        </w:tc>
        <w:tc>
          <w:tcPr>
            <w:tcW w:w="0" w:type="auto"/>
            <w:vAlign w:val="center"/>
            <w:hideMark/>
          </w:tcPr>
          <w:p w14:paraId="7070370F" w14:textId="77777777" w:rsidR="00CF223F" w:rsidRPr="00CF223F" w:rsidRDefault="00CF223F" w:rsidP="00CB6FBB">
            <w:pPr>
              <w:spacing w:line="360" w:lineRule="auto"/>
              <w:jc w:val="left"/>
              <w:rPr>
                <w:rFonts w:cs="Arial"/>
              </w:rPr>
            </w:pPr>
            <w:r w:rsidRPr="00CF223F">
              <w:rPr>
                <w:rFonts w:cs="Arial"/>
              </w:rPr>
              <w:t>3.2</w:t>
            </w:r>
          </w:p>
        </w:tc>
        <w:tc>
          <w:tcPr>
            <w:tcW w:w="0" w:type="auto"/>
            <w:vAlign w:val="center"/>
            <w:hideMark/>
          </w:tcPr>
          <w:p w14:paraId="1BFD1E42" w14:textId="77777777" w:rsidR="00CF223F" w:rsidRPr="00CF223F" w:rsidRDefault="00CF223F" w:rsidP="00CB6FBB">
            <w:pPr>
              <w:spacing w:line="360" w:lineRule="auto"/>
              <w:jc w:val="left"/>
              <w:rPr>
                <w:rFonts w:cs="Arial"/>
              </w:rPr>
            </w:pPr>
            <w:r w:rsidRPr="00CF223F">
              <w:rPr>
                <w:rFonts w:cs="Arial"/>
              </w:rPr>
              <w:t>6.8</w:t>
            </w:r>
          </w:p>
        </w:tc>
        <w:tc>
          <w:tcPr>
            <w:tcW w:w="0" w:type="auto"/>
            <w:vAlign w:val="center"/>
            <w:hideMark/>
          </w:tcPr>
          <w:p w14:paraId="587E7B5A" w14:textId="77777777" w:rsidR="00CF223F" w:rsidRPr="00CF223F" w:rsidRDefault="00CF223F" w:rsidP="00CB6FBB">
            <w:pPr>
              <w:spacing w:line="360" w:lineRule="auto"/>
              <w:jc w:val="left"/>
              <w:rPr>
                <w:rFonts w:cs="Arial"/>
              </w:rPr>
            </w:pPr>
            <w:r w:rsidRPr="00CF223F">
              <w:rPr>
                <w:rFonts w:cs="Arial"/>
              </w:rPr>
              <w:t>Manufacture of new vessel and 144 cyclones</w:t>
            </w:r>
          </w:p>
        </w:tc>
      </w:tr>
      <w:tr w:rsidR="00CF223F" w:rsidRPr="00CF223F" w14:paraId="3ED25076" w14:textId="77777777" w:rsidTr="00827087">
        <w:trPr>
          <w:trHeight w:val="732"/>
          <w:tblCellSpacing w:w="15" w:type="dxa"/>
        </w:trPr>
        <w:tc>
          <w:tcPr>
            <w:tcW w:w="0" w:type="auto"/>
            <w:vAlign w:val="center"/>
            <w:hideMark/>
          </w:tcPr>
          <w:p w14:paraId="019C1C04" w14:textId="77777777" w:rsidR="00CF223F" w:rsidRPr="00CF223F" w:rsidRDefault="00CF223F" w:rsidP="00CB6FBB">
            <w:pPr>
              <w:spacing w:line="360" w:lineRule="auto"/>
              <w:jc w:val="left"/>
              <w:rPr>
                <w:rFonts w:cs="Arial"/>
              </w:rPr>
            </w:pPr>
            <w:r w:rsidRPr="00CF223F">
              <w:rPr>
                <w:rFonts w:cs="Arial"/>
              </w:rPr>
              <w:t>Site Construction and Installation</w:t>
            </w:r>
          </w:p>
        </w:tc>
        <w:tc>
          <w:tcPr>
            <w:tcW w:w="0" w:type="auto"/>
            <w:vAlign w:val="center"/>
            <w:hideMark/>
          </w:tcPr>
          <w:p w14:paraId="5CEB8930" w14:textId="77777777" w:rsidR="00CF223F" w:rsidRPr="00CF223F" w:rsidRDefault="00CF223F" w:rsidP="00CB6FBB">
            <w:pPr>
              <w:spacing w:line="360" w:lineRule="auto"/>
              <w:jc w:val="left"/>
              <w:rPr>
                <w:rFonts w:cs="Arial"/>
              </w:rPr>
            </w:pPr>
            <w:r w:rsidRPr="00CF223F">
              <w:rPr>
                <w:rFonts w:cs="Arial"/>
              </w:rPr>
              <w:t>4.5</w:t>
            </w:r>
          </w:p>
        </w:tc>
        <w:tc>
          <w:tcPr>
            <w:tcW w:w="0" w:type="auto"/>
            <w:vAlign w:val="center"/>
            <w:hideMark/>
          </w:tcPr>
          <w:p w14:paraId="52FAD812" w14:textId="77777777" w:rsidR="00CF223F" w:rsidRPr="00CF223F" w:rsidRDefault="00CF223F" w:rsidP="00CB6FBB">
            <w:pPr>
              <w:spacing w:line="360" w:lineRule="auto"/>
              <w:jc w:val="left"/>
              <w:rPr>
                <w:rFonts w:cs="Arial"/>
              </w:rPr>
            </w:pPr>
            <w:r w:rsidRPr="00CF223F">
              <w:rPr>
                <w:rFonts w:cs="Arial"/>
              </w:rPr>
              <w:t>3.6</w:t>
            </w:r>
          </w:p>
        </w:tc>
        <w:tc>
          <w:tcPr>
            <w:tcW w:w="0" w:type="auto"/>
            <w:vAlign w:val="center"/>
            <w:hideMark/>
          </w:tcPr>
          <w:p w14:paraId="7C40037A" w14:textId="77777777" w:rsidR="00CF223F" w:rsidRPr="00CF223F" w:rsidRDefault="00CF223F" w:rsidP="00CB6FBB">
            <w:pPr>
              <w:spacing w:line="360" w:lineRule="auto"/>
              <w:jc w:val="left"/>
              <w:rPr>
                <w:rFonts w:cs="Arial"/>
              </w:rPr>
            </w:pPr>
            <w:r w:rsidRPr="00CF223F">
              <w:rPr>
                <w:rFonts w:cs="Arial"/>
              </w:rPr>
              <w:t>On-site mechanical work and fit-up</w:t>
            </w:r>
          </w:p>
        </w:tc>
      </w:tr>
      <w:tr w:rsidR="00CF223F" w:rsidRPr="00CF223F" w14:paraId="2C4FF29B" w14:textId="77777777" w:rsidTr="00827087">
        <w:trPr>
          <w:trHeight w:val="719"/>
          <w:tblCellSpacing w:w="15" w:type="dxa"/>
        </w:trPr>
        <w:tc>
          <w:tcPr>
            <w:tcW w:w="0" w:type="auto"/>
            <w:vAlign w:val="center"/>
            <w:hideMark/>
          </w:tcPr>
          <w:p w14:paraId="2565A37F" w14:textId="77777777" w:rsidR="00CF223F" w:rsidRPr="00CF223F" w:rsidRDefault="00CF223F" w:rsidP="00CB6FBB">
            <w:pPr>
              <w:spacing w:line="360" w:lineRule="auto"/>
              <w:jc w:val="left"/>
              <w:rPr>
                <w:rFonts w:cs="Arial"/>
              </w:rPr>
            </w:pPr>
            <w:r w:rsidRPr="00CF223F">
              <w:rPr>
                <w:rFonts w:cs="Arial"/>
              </w:rPr>
              <w:t>Inspection and Testing</w:t>
            </w:r>
          </w:p>
        </w:tc>
        <w:tc>
          <w:tcPr>
            <w:tcW w:w="0" w:type="auto"/>
            <w:vAlign w:val="center"/>
            <w:hideMark/>
          </w:tcPr>
          <w:p w14:paraId="473E16CD" w14:textId="77777777" w:rsidR="00CF223F" w:rsidRPr="00CF223F" w:rsidRDefault="00CF223F" w:rsidP="00CB6FBB">
            <w:pPr>
              <w:spacing w:line="360" w:lineRule="auto"/>
              <w:jc w:val="left"/>
              <w:rPr>
                <w:rFonts w:cs="Arial"/>
              </w:rPr>
            </w:pPr>
            <w:r w:rsidRPr="00CF223F">
              <w:rPr>
                <w:rFonts w:cs="Arial"/>
              </w:rPr>
              <w:t>0.4</w:t>
            </w:r>
          </w:p>
        </w:tc>
        <w:tc>
          <w:tcPr>
            <w:tcW w:w="0" w:type="auto"/>
            <w:vAlign w:val="center"/>
            <w:hideMark/>
          </w:tcPr>
          <w:p w14:paraId="33FDA43E" w14:textId="77777777" w:rsidR="00CF223F" w:rsidRPr="00CF223F" w:rsidRDefault="00CF223F" w:rsidP="00CB6FBB">
            <w:pPr>
              <w:spacing w:line="360" w:lineRule="auto"/>
              <w:jc w:val="left"/>
              <w:rPr>
                <w:rFonts w:cs="Arial"/>
              </w:rPr>
            </w:pPr>
            <w:r w:rsidRPr="00CF223F">
              <w:rPr>
                <w:rFonts w:cs="Arial"/>
              </w:rPr>
              <w:t>0.2</w:t>
            </w:r>
          </w:p>
        </w:tc>
        <w:tc>
          <w:tcPr>
            <w:tcW w:w="0" w:type="auto"/>
            <w:vAlign w:val="center"/>
            <w:hideMark/>
          </w:tcPr>
          <w:p w14:paraId="2492BC56" w14:textId="77777777" w:rsidR="00CF223F" w:rsidRPr="00CF223F" w:rsidRDefault="00CF223F" w:rsidP="00CB6FBB">
            <w:pPr>
              <w:spacing w:line="360" w:lineRule="auto"/>
              <w:jc w:val="left"/>
              <w:rPr>
                <w:rFonts w:cs="Arial"/>
              </w:rPr>
            </w:pPr>
            <w:r w:rsidRPr="00CF223F">
              <w:rPr>
                <w:rFonts w:cs="Arial"/>
              </w:rPr>
              <w:t>NDT, pressure testing, and QA/QC</w:t>
            </w:r>
          </w:p>
        </w:tc>
      </w:tr>
      <w:tr w:rsidR="00CF223F" w:rsidRPr="00CF223F" w14:paraId="538F6183" w14:textId="77777777" w:rsidTr="00827087">
        <w:trPr>
          <w:trHeight w:val="1092"/>
          <w:tblCellSpacing w:w="15" w:type="dxa"/>
        </w:trPr>
        <w:tc>
          <w:tcPr>
            <w:tcW w:w="0" w:type="auto"/>
            <w:vAlign w:val="center"/>
            <w:hideMark/>
          </w:tcPr>
          <w:p w14:paraId="121AE31A" w14:textId="77777777" w:rsidR="00CF223F" w:rsidRPr="00CF223F" w:rsidRDefault="00CF223F" w:rsidP="00CB6FBB">
            <w:pPr>
              <w:spacing w:line="360" w:lineRule="auto"/>
              <w:jc w:val="left"/>
              <w:rPr>
                <w:rFonts w:cs="Arial"/>
              </w:rPr>
            </w:pPr>
            <w:r w:rsidRPr="00CF223F">
              <w:rPr>
                <w:rFonts w:cs="Arial"/>
              </w:rPr>
              <w:t>Contingency (20%)</w:t>
            </w:r>
          </w:p>
        </w:tc>
        <w:tc>
          <w:tcPr>
            <w:tcW w:w="0" w:type="auto"/>
            <w:vAlign w:val="center"/>
            <w:hideMark/>
          </w:tcPr>
          <w:p w14:paraId="2C87182A" w14:textId="77777777" w:rsidR="00CF223F" w:rsidRPr="00CF223F" w:rsidRDefault="00CF223F" w:rsidP="00CB6FBB">
            <w:pPr>
              <w:spacing w:line="360" w:lineRule="auto"/>
              <w:jc w:val="left"/>
              <w:rPr>
                <w:rFonts w:cs="Arial"/>
              </w:rPr>
            </w:pPr>
            <w:r w:rsidRPr="00CF223F">
              <w:rPr>
                <w:rFonts w:cs="Arial"/>
              </w:rPr>
              <w:t>2.1</w:t>
            </w:r>
          </w:p>
        </w:tc>
        <w:tc>
          <w:tcPr>
            <w:tcW w:w="0" w:type="auto"/>
            <w:vAlign w:val="center"/>
            <w:hideMark/>
          </w:tcPr>
          <w:p w14:paraId="55B6D42E" w14:textId="77777777" w:rsidR="00CF223F" w:rsidRPr="00CF223F" w:rsidRDefault="00CF223F" w:rsidP="00CB6FBB">
            <w:pPr>
              <w:spacing w:line="360" w:lineRule="auto"/>
              <w:jc w:val="left"/>
              <w:rPr>
                <w:rFonts w:cs="Arial"/>
              </w:rPr>
            </w:pPr>
            <w:r w:rsidRPr="00CF223F">
              <w:rPr>
                <w:rFonts w:cs="Arial"/>
              </w:rPr>
              <w:t>1.8</w:t>
            </w:r>
          </w:p>
        </w:tc>
        <w:tc>
          <w:tcPr>
            <w:tcW w:w="0" w:type="auto"/>
            <w:vAlign w:val="center"/>
            <w:hideMark/>
          </w:tcPr>
          <w:p w14:paraId="61F6C924" w14:textId="668CC188" w:rsidR="00CF223F" w:rsidRPr="00CF223F" w:rsidRDefault="00CF223F" w:rsidP="00CB6FBB">
            <w:pPr>
              <w:spacing w:line="360" w:lineRule="auto"/>
              <w:jc w:val="left"/>
              <w:rPr>
                <w:rFonts w:cs="Arial"/>
              </w:rPr>
            </w:pPr>
            <w:r w:rsidRPr="00CF223F">
              <w:rPr>
                <w:rFonts w:cs="Arial"/>
              </w:rPr>
              <w:t>Allowance for unforeseen site conditions</w:t>
            </w:r>
          </w:p>
        </w:tc>
      </w:tr>
      <w:tr w:rsidR="00CF223F" w:rsidRPr="00CF223F" w14:paraId="5294AF95" w14:textId="77777777" w:rsidTr="00827087">
        <w:trPr>
          <w:trHeight w:val="1401"/>
          <w:tblCellSpacing w:w="15" w:type="dxa"/>
        </w:trPr>
        <w:tc>
          <w:tcPr>
            <w:tcW w:w="0" w:type="auto"/>
            <w:vAlign w:val="center"/>
          </w:tcPr>
          <w:tbl>
            <w:tblPr>
              <w:tblW w:w="2058" w:type="dxa"/>
              <w:tblCellSpacing w:w="15" w:type="dxa"/>
              <w:tblCellMar>
                <w:top w:w="15" w:type="dxa"/>
                <w:left w:w="15" w:type="dxa"/>
                <w:bottom w:w="15" w:type="dxa"/>
                <w:right w:w="15" w:type="dxa"/>
              </w:tblCellMar>
              <w:tblLook w:val="04A0" w:firstRow="1" w:lastRow="0" w:firstColumn="1" w:lastColumn="0" w:noHBand="0" w:noVBand="1"/>
            </w:tblPr>
            <w:tblGrid>
              <w:gridCol w:w="2058"/>
            </w:tblGrid>
            <w:tr w:rsidR="00CF223F" w:rsidRPr="00CF223F" w14:paraId="77D48072" w14:textId="77777777" w:rsidTr="00CF223F">
              <w:trPr>
                <w:trHeight w:val="732"/>
                <w:tblCellSpacing w:w="15" w:type="dxa"/>
              </w:trPr>
              <w:tc>
                <w:tcPr>
                  <w:tcW w:w="0" w:type="auto"/>
                  <w:vAlign w:val="center"/>
                  <w:hideMark/>
                </w:tcPr>
                <w:p w14:paraId="31B13F41" w14:textId="11F61C4D" w:rsidR="00CF223F" w:rsidRPr="00CF223F" w:rsidRDefault="00CF223F" w:rsidP="00CB6FBB">
                  <w:pPr>
                    <w:spacing w:line="360" w:lineRule="auto"/>
                    <w:jc w:val="left"/>
                    <w:rPr>
                      <w:rFonts w:cs="Arial"/>
                    </w:rPr>
                  </w:pPr>
                  <w:r>
                    <w:rPr>
                      <w:rFonts w:cs="Arial"/>
                      <w:b/>
                      <w:bCs/>
                    </w:rPr>
                    <w:t>T</w:t>
                  </w:r>
                  <w:r w:rsidRPr="00CF223F">
                    <w:rPr>
                      <w:rFonts w:cs="Arial"/>
                      <w:b/>
                      <w:bCs/>
                    </w:rPr>
                    <w:t>otal Installed Cost (TIC)</w:t>
                  </w:r>
                </w:p>
              </w:tc>
            </w:tr>
          </w:tbl>
          <w:p w14:paraId="5EC587FD" w14:textId="77777777" w:rsidR="00CF223F" w:rsidRPr="00CF223F" w:rsidRDefault="00CF223F" w:rsidP="00CB6FBB">
            <w:pPr>
              <w:spacing w:line="360" w:lineRule="auto"/>
              <w:jc w:val="left"/>
              <w:rPr>
                <w:rFonts w:cs="Arial"/>
              </w:rPr>
            </w:pPr>
          </w:p>
        </w:tc>
        <w:tc>
          <w:tcPr>
            <w:tcW w:w="0" w:type="auto"/>
            <w:vAlign w:val="center"/>
          </w:tcPr>
          <w:tbl>
            <w:tblPr>
              <w:tblpPr w:leftFromText="180" w:rightFromText="180" w:horzAnchor="margin" w:tblpY="-645"/>
              <w:tblOverlap w:val="never"/>
              <w:tblW w:w="877" w:type="dxa"/>
              <w:tblCellSpacing w:w="15" w:type="dxa"/>
              <w:tblCellMar>
                <w:top w:w="15" w:type="dxa"/>
                <w:left w:w="15" w:type="dxa"/>
                <w:bottom w:w="15" w:type="dxa"/>
                <w:right w:w="15" w:type="dxa"/>
              </w:tblCellMar>
              <w:tblLook w:val="04A0" w:firstRow="1" w:lastRow="0" w:firstColumn="1" w:lastColumn="0" w:noHBand="0" w:noVBand="1"/>
            </w:tblPr>
            <w:tblGrid>
              <w:gridCol w:w="891"/>
            </w:tblGrid>
            <w:tr w:rsidR="00CF223F" w:rsidRPr="00CF223F" w14:paraId="0BFE9AEC" w14:textId="77777777" w:rsidTr="00CF223F">
              <w:trPr>
                <w:trHeight w:val="293"/>
                <w:tblCellSpacing w:w="15" w:type="dxa"/>
              </w:trPr>
              <w:tc>
                <w:tcPr>
                  <w:tcW w:w="0" w:type="auto"/>
                  <w:vAlign w:val="center"/>
                  <w:hideMark/>
                </w:tcPr>
                <w:p w14:paraId="16E93763" w14:textId="77777777" w:rsidR="00CF223F" w:rsidRPr="00CF223F" w:rsidRDefault="00CF223F" w:rsidP="00CB6FBB">
                  <w:pPr>
                    <w:spacing w:line="360" w:lineRule="auto"/>
                    <w:jc w:val="left"/>
                    <w:rPr>
                      <w:rFonts w:cs="Arial"/>
                    </w:rPr>
                  </w:pPr>
                  <w:r w:rsidRPr="00CF223F">
                    <w:rPr>
                      <w:rFonts w:cs="Arial"/>
                      <w:b/>
                      <w:bCs/>
                    </w:rPr>
                    <w:t>£11.0M</w:t>
                  </w:r>
                </w:p>
              </w:tc>
            </w:tr>
          </w:tbl>
          <w:p w14:paraId="5AFEF017" w14:textId="77777777" w:rsidR="00CF223F" w:rsidRPr="00CF223F" w:rsidRDefault="00CF223F" w:rsidP="00CB6FBB">
            <w:pPr>
              <w:spacing w:line="360" w:lineRule="auto"/>
              <w:jc w:val="left"/>
              <w:rPr>
                <w:rFonts w:cs="Arial"/>
              </w:rPr>
            </w:pPr>
          </w:p>
        </w:tc>
        <w:tc>
          <w:tcPr>
            <w:tcW w:w="0" w:type="auto"/>
            <w:vAlign w:val="center"/>
          </w:tcPr>
          <w:tbl>
            <w:tblPr>
              <w:tblpPr w:leftFromText="180" w:rightFromText="180" w:tblpY="-765"/>
              <w:tblOverlap w:val="never"/>
              <w:tblW w:w="877" w:type="dxa"/>
              <w:tblCellSpacing w:w="15" w:type="dxa"/>
              <w:tblCellMar>
                <w:top w:w="15" w:type="dxa"/>
                <w:left w:w="15" w:type="dxa"/>
                <w:bottom w:w="15" w:type="dxa"/>
                <w:right w:w="15" w:type="dxa"/>
              </w:tblCellMar>
              <w:tblLook w:val="04A0" w:firstRow="1" w:lastRow="0" w:firstColumn="1" w:lastColumn="0" w:noHBand="0" w:noVBand="1"/>
            </w:tblPr>
            <w:tblGrid>
              <w:gridCol w:w="891"/>
            </w:tblGrid>
            <w:tr w:rsidR="00CF223F" w:rsidRPr="00CF223F" w14:paraId="027DDF41" w14:textId="77777777" w:rsidTr="00CF223F">
              <w:trPr>
                <w:trHeight w:val="372"/>
                <w:tblCellSpacing w:w="15" w:type="dxa"/>
              </w:trPr>
              <w:tc>
                <w:tcPr>
                  <w:tcW w:w="0" w:type="auto"/>
                  <w:vAlign w:val="center"/>
                  <w:hideMark/>
                </w:tcPr>
                <w:p w14:paraId="69C69638" w14:textId="77777777" w:rsidR="00CF223F" w:rsidRPr="00CF223F" w:rsidRDefault="00CF223F" w:rsidP="00CB6FBB">
                  <w:pPr>
                    <w:spacing w:line="360" w:lineRule="auto"/>
                    <w:jc w:val="left"/>
                    <w:rPr>
                      <w:rFonts w:cs="Arial"/>
                    </w:rPr>
                  </w:pPr>
                  <w:r w:rsidRPr="00CF223F">
                    <w:rPr>
                      <w:rFonts w:cs="Arial"/>
                      <w:b/>
                      <w:bCs/>
                    </w:rPr>
                    <w:t>£13.6M</w:t>
                  </w:r>
                </w:p>
              </w:tc>
            </w:tr>
          </w:tbl>
          <w:p w14:paraId="014D93E0" w14:textId="77777777" w:rsidR="00CF223F" w:rsidRPr="00CF223F" w:rsidRDefault="00CF223F" w:rsidP="00CB6FBB">
            <w:pPr>
              <w:spacing w:line="360" w:lineRule="auto"/>
              <w:jc w:val="left"/>
              <w:rPr>
                <w:rFonts w:cs="Arial"/>
              </w:rPr>
            </w:pPr>
          </w:p>
        </w:tc>
        <w:tc>
          <w:tcPr>
            <w:tcW w:w="0" w:type="auto"/>
            <w:vAlign w:val="center"/>
          </w:tcPr>
          <w:p w14:paraId="182EB2F9" w14:textId="77777777" w:rsidR="00CF223F" w:rsidRPr="00CF223F" w:rsidRDefault="00CF223F" w:rsidP="00CB6FBB">
            <w:pPr>
              <w:spacing w:line="360" w:lineRule="auto"/>
              <w:jc w:val="left"/>
              <w:rPr>
                <w:rFonts w:cs="Arial"/>
              </w:rPr>
            </w:pPr>
          </w:p>
        </w:tc>
      </w:tr>
    </w:tbl>
    <w:p w14:paraId="683D095A" w14:textId="32606B80" w:rsidR="00176610" w:rsidRPr="00BD646D" w:rsidRDefault="00CF223F" w:rsidP="00CB6FBB">
      <w:pPr>
        <w:pStyle w:val="Caption"/>
        <w:spacing w:line="360" w:lineRule="auto"/>
        <w:rPr>
          <w:rFonts w:ascii="Arial" w:hAnsi="Arial" w:cs="Arial"/>
        </w:rPr>
      </w:pPr>
      <w:bookmarkStart w:id="28" w:name="_Toc230791158"/>
      <w:r>
        <w:t xml:space="preserve">Table </w:t>
      </w:r>
      <w:r>
        <w:fldChar w:fldCharType="begin"/>
      </w:r>
      <w:r>
        <w:instrText xml:space="preserve"> SEQ Table \* ARABIC </w:instrText>
      </w:r>
      <w:r>
        <w:fldChar w:fldCharType="separate"/>
      </w:r>
      <w:r w:rsidR="004048BF">
        <w:rPr>
          <w:noProof/>
        </w:rPr>
        <w:t>4</w:t>
      </w:r>
      <w:r>
        <w:fldChar w:fldCharType="end"/>
      </w:r>
      <w:r>
        <w:t xml:space="preserve"> -</w:t>
      </w:r>
      <w:r w:rsidRPr="00CF223F">
        <w:rPr>
          <w:rFonts w:ascii="Arial" w:hAnsi="Arial" w:cs="Arial"/>
          <w:b/>
          <w:bCs/>
        </w:rPr>
        <w:t xml:space="preserve"> </w:t>
      </w:r>
      <w:r w:rsidRPr="00BD646D">
        <w:rPr>
          <w:rFonts w:ascii="Arial" w:hAnsi="Arial" w:cs="Arial"/>
        </w:rPr>
        <w:t>Cost Comparison</w:t>
      </w:r>
      <w:bookmarkEnd w:id="28"/>
    </w:p>
    <w:p w14:paraId="21C1FF8E" w14:textId="77777777" w:rsidR="00BD646D" w:rsidRPr="00BD646D" w:rsidRDefault="00BD646D" w:rsidP="00CB6FBB">
      <w:pPr>
        <w:spacing w:line="360" w:lineRule="auto"/>
        <w:rPr>
          <w:rFonts w:cs="Arial"/>
        </w:rPr>
      </w:pPr>
      <w:r w:rsidRPr="00BD646D">
        <w:rPr>
          <w:rFonts w:cs="Arial"/>
        </w:rPr>
        <w:lastRenderedPageBreak/>
        <w:t>The total installed cost (TIC) was later revised in the Phase 3 report to £21.0 million to include engineering, long-lead item procurement, and additional vessel internals (Valero, 2025). The TIC includes:</w:t>
      </w:r>
    </w:p>
    <w:p w14:paraId="2A75A39C" w14:textId="77777777" w:rsidR="00BD646D" w:rsidRPr="00BD646D" w:rsidRDefault="00BD646D" w:rsidP="00CB6FBB">
      <w:pPr>
        <w:numPr>
          <w:ilvl w:val="0"/>
          <w:numId w:val="22"/>
        </w:numPr>
        <w:spacing w:line="360" w:lineRule="auto"/>
        <w:rPr>
          <w:rFonts w:cs="Arial"/>
        </w:rPr>
      </w:pPr>
      <w:r w:rsidRPr="00BD646D">
        <w:rPr>
          <w:rFonts w:cs="Arial"/>
        </w:rPr>
        <w:t>£5.2 million for materials,</w:t>
      </w:r>
    </w:p>
    <w:p w14:paraId="7E1253E9" w14:textId="77777777" w:rsidR="00BD646D" w:rsidRPr="00BD646D" w:rsidRDefault="00BD646D" w:rsidP="00CB6FBB">
      <w:pPr>
        <w:numPr>
          <w:ilvl w:val="0"/>
          <w:numId w:val="22"/>
        </w:numPr>
        <w:spacing w:line="360" w:lineRule="auto"/>
        <w:rPr>
          <w:rFonts w:cs="Arial"/>
        </w:rPr>
      </w:pPr>
      <w:r w:rsidRPr="00BD646D">
        <w:rPr>
          <w:rFonts w:cs="Arial"/>
        </w:rPr>
        <w:t>£3.5 million for labour,</w:t>
      </w:r>
    </w:p>
    <w:p w14:paraId="202A1359" w14:textId="77777777" w:rsidR="00BD646D" w:rsidRPr="00BD646D" w:rsidRDefault="00BD646D" w:rsidP="00CB6FBB">
      <w:pPr>
        <w:numPr>
          <w:ilvl w:val="0"/>
          <w:numId w:val="22"/>
        </w:numPr>
        <w:spacing w:line="360" w:lineRule="auto"/>
        <w:rPr>
          <w:rFonts w:cs="Arial"/>
        </w:rPr>
      </w:pPr>
      <w:r w:rsidRPr="00BD646D">
        <w:rPr>
          <w:rFonts w:cs="Arial"/>
        </w:rPr>
        <w:t>£3.1 million contingency,</w:t>
      </w:r>
    </w:p>
    <w:p w14:paraId="093500FF" w14:textId="77777777" w:rsidR="00BD646D" w:rsidRPr="00BD646D" w:rsidRDefault="00BD646D" w:rsidP="00CB6FBB">
      <w:pPr>
        <w:numPr>
          <w:ilvl w:val="0"/>
          <w:numId w:val="22"/>
        </w:numPr>
        <w:spacing w:line="360" w:lineRule="auto"/>
        <w:rPr>
          <w:rFonts w:cs="Arial"/>
        </w:rPr>
      </w:pPr>
      <w:r w:rsidRPr="00BD646D">
        <w:rPr>
          <w:rFonts w:cs="Arial"/>
        </w:rPr>
        <w:t>£1.7 million for engineering and project management.</w:t>
      </w:r>
    </w:p>
    <w:p w14:paraId="5173EAF0" w14:textId="77777777" w:rsidR="00BD646D" w:rsidRDefault="00BD646D" w:rsidP="00CB6FBB">
      <w:pPr>
        <w:spacing w:line="360" w:lineRule="auto"/>
        <w:rPr>
          <w:rFonts w:cs="Arial"/>
        </w:rPr>
      </w:pPr>
      <w:r w:rsidRPr="00BD646D">
        <w:rPr>
          <w:rFonts w:cs="Arial"/>
        </w:rPr>
        <w:t>A further £2.8 million was requested for Phase 3 funding to purchase 144 new cyclone internals and closing plates due to a nine-month lead time.</w:t>
      </w:r>
    </w:p>
    <w:p w14:paraId="2FB156DC" w14:textId="36875051" w:rsidR="00CF223F" w:rsidRDefault="00CF223F" w:rsidP="00CB6FBB">
      <w:pPr>
        <w:spacing w:line="360" w:lineRule="auto"/>
        <w:rPr>
          <w:rFonts w:cs="Arial"/>
        </w:rPr>
      </w:pPr>
      <w:r w:rsidRPr="00CF223F">
        <w:rPr>
          <w:rFonts w:cs="Arial"/>
          <w:noProof/>
        </w:rPr>
        <w:drawing>
          <wp:inline distT="0" distB="0" distL="0" distR="0" wp14:anchorId="0020FDAF" wp14:editId="519F0DC5">
            <wp:extent cx="5731510" cy="263969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639695"/>
                    </a:xfrm>
                    <a:prstGeom prst="rect">
                      <a:avLst/>
                    </a:prstGeom>
                  </pic:spPr>
                </pic:pic>
              </a:graphicData>
            </a:graphic>
          </wp:inline>
        </w:drawing>
      </w:r>
    </w:p>
    <w:p w14:paraId="6708CAC8" w14:textId="54ABA990" w:rsidR="00BD646D" w:rsidRPr="00BD646D" w:rsidRDefault="00CF223F" w:rsidP="00CB6FBB">
      <w:pPr>
        <w:pStyle w:val="Caption"/>
        <w:spacing w:line="360" w:lineRule="auto"/>
        <w:rPr>
          <w:rFonts w:ascii="Arial" w:hAnsi="Arial" w:cs="Arial"/>
        </w:rPr>
      </w:pPr>
      <w:bookmarkStart w:id="29" w:name="_Toc230791134"/>
      <w:r>
        <w:t xml:space="preserve">Figure </w:t>
      </w:r>
      <w:r>
        <w:fldChar w:fldCharType="begin"/>
      </w:r>
      <w:r>
        <w:instrText xml:space="preserve"> SEQ Figure \* ARABIC </w:instrText>
      </w:r>
      <w:r>
        <w:fldChar w:fldCharType="separate"/>
      </w:r>
      <w:r w:rsidR="004048BF">
        <w:rPr>
          <w:noProof/>
        </w:rPr>
        <w:t>11</w:t>
      </w:r>
      <w:r>
        <w:fldChar w:fldCharType="end"/>
      </w:r>
      <w:r>
        <w:t xml:space="preserve"> - Cost Estimate</w:t>
      </w:r>
      <w:bookmarkEnd w:id="29"/>
    </w:p>
    <w:p w14:paraId="57585371" w14:textId="77777777" w:rsidR="00BD646D" w:rsidRDefault="00BD646D" w:rsidP="00CB6FBB">
      <w:pPr>
        <w:spacing w:line="360" w:lineRule="auto"/>
        <w:rPr>
          <w:rFonts w:cs="Arial"/>
        </w:rPr>
      </w:pPr>
      <w:r w:rsidRPr="00BD646D">
        <w:rPr>
          <w:rFonts w:cs="Arial"/>
        </w:rPr>
        <w:t>The new schedule developed in Primavera P6 confirmed that the replacement project can be executed during the planned 3Q27 turnaround. Engineering will begin 18 months in advance, with vessel delivery expected in May 2027 and installation completed by October 2027.</w:t>
      </w:r>
    </w:p>
    <w:p w14:paraId="41DDAEFD" w14:textId="278CEC77" w:rsidR="00CF223F" w:rsidRDefault="00CF223F" w:rsidP="00CB6FBB">
      <w:pPr>
        <w:spacing w:line="360" w:lineRule="auto"/>
        <w:rPr>
          <w:rFonts w:cs="Arial"/>
        </w:rPr>
      </w:pPr>
      <w:r>
        <w:rPr>
          <w:noProof/>
        </w:rPr>
        <w:lastRenderedPageBreak/>
        <w:drawing>
          <wp:inline distT="0" distB="0" distL="0" distR="0" wp14:anchorId="64586838" wp14:editId="2EA32820">
            <wp:extent cx="4200322" cy="4829583"/>
            <wp:effectExtent l="0" t="0" r="0" b="0"/>
            <wp:docPr id="18" name="Picture 5">
              <a:extLst xmlns:a="http://schemas.openxmlformats.org/drawingml/2006/main">
                <a:ext uri="{FF2B5EF4-FFF2-40B4-BE49-F238E27FC236}">
                  <a16:creationId xmlns:a16="http://schemas.microsoft.com/office/drawing/2014/main" id="{2CD222AF-DBBF-540B-319B-0771CDAFBC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CD222AF-DBBF-540B-319B-0771CDAFBCB0}"/>
                        </a:ext>
                      </a:extLst>
                    </pic:cNvPr>
                    <pic:cNvPicPr>
                      <a:picLocks noChangeAspect="1"/>
                    </pic:cNvPicPr>
                  </pic:nvPicPr>
                  <pic:blipFill>
                    <a:blip r:embed="rId23"/>
                    <a:stretch>
                      <a:fillRect/>
                    </a:stretch>
                  </pic:blipFill>
                  <pic:spPr>
                    <a:xfrm>
                      <a:off x="0" y="0"/>
                      <a:ext cx="4200322" cy="4829583"/>
                    </a:xfrm>
                    <a:prstGeom prst="rect">
                      <a:avLst/>
                    </a:prstGeom>
                  </pic:spPr>
                </pic:pic>
              </a:graphicData>
            </a:graphic>
          </wp:inline>
        </w:drawing>
      </w:r>
    </w:p>
    <w:p w14:paraId="68CCF67A" w14:textId="00ECAFC1" w:rsidR="00CF223F" w:rsidRPr="00BD646D" w:rsidRDefault="00CF223F" w:rsidP="00CB6FBB">
      <w:pPr>
        <w:pStyle w:val="Caption"/>
        <w:spacing w:line="360" w:lineRule="auto"/>
        <w:rPr>
          <w:rFonts w:ascii="Arial" w:hAnsi="Arial" w:cs="Arial"/>
        </w:rPr>
      </w:pPr>
      <w:bookmarkStart w:id="30" w:name="_Toc230791135"/>
      <w:r>
        <w:t xml:space="preserve">Figure </w:t>
      </w:r>
      <w:r>
        <w:fldChar w:fldCharType="begin"/>
      </w:r>
      <w:r>
        <w:instrText xml:space="preserve"> SEQ Figure \* ARABIC </w:instrText>
      </w:r>
      <w:r>
        <w:fldChar w:fldCharType="separate"/>
      </w:r>
      <w:r w:rsidR="004048BF">
        <w:rPr>
          <w:noProof/>
        </w:rPr>
        <w:t>12</w:t>
      </w:r>
      <w:r>
        <w:fldChar w:fldCharType="end"/>
      </w:r>
      <w:r>
        <w:t xml:space="preserve"> – High Level</w:t>
      </w:r>
      <w:r w:rsidRPr="00CF223F">
        <w:rPr>
          <w:rFonts w:ascii="Arial" w:hAnsi="Arial" w:cs="Arial"/>
          <w:b/>
          <w:bCs/>
        </w:rPr>
        <w:t xml:space="preserve"> </w:t>
      </w:r>
      <w:r w:rsidRPr="00BD646D">
        <w:rPr>
          <w:rFonts w:ascii="Arial" w:hAnsi="Arial" w:cs="Arial"/>
        </w:rPr>
        <w:t>Schedule &amp; Execution</w:t>
      </w:r>
      <w:bookmarkEnd w:id="30"/>
    </w:p>
    <w:p w14:paraId="7285E865" w14:textId="602B88F3" w:rsidR="00BD646D" w:rsidRDefault="00CF223F" w:rsidP="00CB6FBB">
      <w:pPr>
        <w:spacing w:line="360" w:lineRule="auto"/>
        <w:rPr>
          <w:rFonts w:cs="Arial"/>
        </w:rPr>
      </w:pPr>
      <w:r>
        <w:rPr>
          <w:noProof/>
        </w:rPr>
        <w:drawing>
          <wp:inline distT="0" distB="0" distL="0" distR="0" wp14:anchorId="0131CBBE" wp14:editId="51E7C1E7">
            <wp:extent cx="5963620" cy="1647825"/>
            <wp:effectExtent l="0" t="0" r="0" b="0"/>
            <wp:docPr id="19" name="Picture 8">
              <a:extLst xmlns:a="http://schemas.openxmlformats.org/drawingml/2006/main">
                <a:ext uri="{FF2B5EF4-FFF2-40B4-BE49-F238E27FC236}">
                  <a16:creationId xmlns:a16="http://schemas.microsoft.com/office/drawing/2014/main" id="{09BA2643-75AF-21D7-3046-6A93E63B1E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9BA2643-75AF-21D7-3046-6A93E63B1EFF}"/>
                        </a:ext>
                      </a:extLst>
                    </pic:cNvPr>
                    <pic:cNvPicPr>
                      <a:picLocks noChangeAspect="1"/>
                    </pic:cNvPicPr>
                  </pic:nvPicPr>
                  <pic:blipFill>
                    <a:blip r:embed="rId24"/>
                    <a:stretch>
                      <a:fillRect/>
                    </a:stretch>
                  </pic:blipFill>
                  <pic:spPr>
                    <a:xfrm>
                      <a:off x="0" y="0"/>
                      <a:ext cx="5971803" cy="1650086"/>
                    </a:xfrm>
                    <a:prstGeom prst="rect">
                      <a:avLst/>
                    </a:prstGeom>
                  </pic:spPr>
                </pic:pic>
              </a:graphicData>
            </a:graphic>
          </wp:inline>
        </w:drawing>
      </w:r>
    </w:p>
    <w:p w14:paraId="72797A9F" w14:textId="6C1A55FC" w:rsidR="00CF223F" w:rsidRPr="00BD646D" w:rsidRDefault="00CF223F" w:rsidP="00CB6FBB">
      <w:pPr>
        <w:pStyle w:val="Caption"/>
        <w:spacing w:line="360" w:lineRule="auto"/>
        <w:rPr>
          <w:rFonts w:ascii="Arial" w:hAnsi="Arial" w:cs="Arial"/>
        </w:rPr>
      </w:pPr>
      <w:bookmarkStart w:id="31" w:name="_Toc230791136"/>
      <w:r>
        <w:t xml:space="preserve">Figure </w:t>
      </w:r>
      <w:r>
        <w:fldChar w:fldCharType="begin"/>
      </w:r>
      <w:r>
        <w:instrText xml:space="preserve"> SEQ Figure \* ARABIC </w:instrText>
      </w:r>
      <w:r>
        <w:fldChar w:fldCharType="separate"/>
      </w:r>
      <w:r w:rsidR="004048BF">
        <w:rPr>
          <w:noProof/>
        </w:rPr>
        <w:t>13</w:t>
      </w:r>
      <w:r>
        <w:fldChar w:fldCharType="end"/>
      </w:r>
      <w:r>
        <w:t xml:space="preserve"> - High Level Project Completion</w:t>
      </w:r>
      <w:bookmarkEnd w:id="31"/>
    </w:p>
    <w:p w14:paraId="16315C6F" w14:textId="30870F6A" w:rsidR="00BD646D" w:rsidRPr="00BD646D" w:rsidRDefault="00BD646D" w:rsidP="00CB6FBB">
      <w:pPr>
        <w:spacing w:line="360" w:lineRule="auto"/>
        <w:rPr>
          <w:rFonts w:cs="Arial"/>
        </w:rPr>
      </w:pPr>
    </w:p>
    <w:p w14:paraId="7EB3DDF8" w14:textId="77777777" w:rsidR="00BD646D" w:rsidRPr="00895818" w:rsidRDefault="00BD646D" w:rsidP="00CB6FBB">
      <w:pPr>
        <w:pStyle w:val="Heading2"/>
        <w:spacing w:line="360" w:lineRule="auto"/>
      </w:pPr>
      <w:bookmarkStart w:id="32" w:name="_Toc230791066"/>
      <w:r w:rsidRPr="00895818">
        <w:t>Design Review and Validation</w:t>
      </w:r>
      <w:bookmarkEnd w:id="32"/>
    </w:p>
    <w:p w14:paraId="55577684" w14:textId="77777777" w:rsidR="00BD646D" w:rsidRDefault="00BD646D" w:rsidP="00CB6FBB">
      <w:pPr>
        <w:spacing w:line="360" w:lineRule="auto"/>
        <w:rPr>
          <w:rFonts w:cs="Arial"/>
        </w:rPr>
      </w:pPr>
      <w:r w:rsidRPr="00BD646D">
        <w:rPr>
          <w:rFonts w:cs="Arial"/>
        </w:rPr>
        <w:t xml:space="preserve">Shell’s updated TSS design increases the cyclone count from 112 to 144. The purpose of this change is to reduce gas velocity through each cyclone, which lowers erosion rates and mechanical stress. The new design also slightly increases the inlet and </w:t>
      </w:r>
      <w:r w:rsidRPr="00BD646D">
        <w:rPr>
          <w:rFonts w:cs="Arial"/>
        </w:rPr>
        <w:lastRenderedPageBreak/>
        <w:t>outlet nozzle diameters by about 2.5–4.5 percent to maintain velocity balance and pressure drop targets (Shell, 2024).</w:t>
      </w:r>
    </w:p>
    <w:p w14:paraId="72CFB235" w14:textId="6C145705" w:rsidR="00CF223F" w:rsidRDefault="00CF223F" w:rsidP="00CB6FBB">
      <w:pPr>
        <w:spacing w:line="360" w:lineRule="auto"/>
        <w:rPr>
          <w:rFonts w:cs="Arial"/>
        </w:rPr>
      </w:pPr>
      <w:r>
        <w:rPr>
          <w:noProof/>
        </w:rPr>
        <w:drawing>
          <wp:inline distT="0" distB="0" distL="0" distR="0" wp14:anchorId="635B3E52" wp14:editId="3E72B205">
            <wp:extent cx="3750170" cy="5172075"/>
            <wp:effectExtent l="0" t="0" r="3175" b="0"/>
            <wp:docPr id="21" name="Picture 4">
              <a:extLst xmlns:a="http://schemas.openxmlformats.org/drawingml/2006/main">
                <a:ext uri="{FF2B5EF4-FFF2-40B4-BE49-F238E27FC236}">
                  <a16:creationId xmlns:a16="http://schemas.microsoft.com/office/drawing/2014/main" id="{F7451EDA-A84F-DC90-8187-37B5821FF2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7451EDA-A84F-DC90-8187-37B5821FF244}"/>
                        </a:ext>
                      </a:extLst>
                    </pic:cNvPr>
                    <pic:cNvPicPr>
                      <a:picLocks noChangeAspect="1"/>
                    </pic:cNvPicPr>
                  </pic:nvPicPr>
                  <pic:blipFill>
                    <a:blip r:embed="rId18"/>
                    <a:stretch>
                      <a:fillRect/>
                    </a:stretch>
                  </pic:blipFill>
                  <pic:spPr>
                    <a:xfrm>
                      <a:off x="0" y="0"/>
                      <a:ext cx="3750170" cy="5172075"/>
                    </a:xfrm>
                    <a:prstGeom prst="rect">
                      <a:avLst/>
                    </a:prstGeom>
                  </pic:spPr>
                </pic:pic>
              </a:graphicData>
            </a:graphic>
          </wp:inline>
        </w:drawing>
      </w:r>
    </w:p>
    <w:p w14:paraId="176A96DF" w14:textId="576B3B71" w:rsidR="00BD646D" w:rsidRPr="00BD646D" w:rsidRDefault="00CF223F" w:rsidP="00CB6FBB">
      <w:pPr>
        <w:pStyle w:val="Caption"/>
        <w:spacing w:line="360" w:lineRule="auto"/>
        <w:rPr>
          <w:rFonts w:ascii="Arial" w:hAnsi="Arial" w:cs="Arial"/>
        </w:rPr>
      </w:pPr>
      <w:bookmarkStart w:id="33" w:name="_Toc230791137"/>
      <w:r>
        <w:t xml:space="preserve">Figure </w:t>
      </w:r>
      <w:r>
        <w:fldChar w:fldCharType="begin"/>
      </w:r>
      <w:r>
        <w:instrText xml:space="preserve"> SEQ Figure \* ARABIC </w:instrText>
      </w:r>
      <w:r>
        <w:fldChar w:fldCharType="separate"/>
      </w:r>
      <w:r w:rsidR="004048BF">
        <w:rPr>
          <w:noProof/>
        </w:rPr>
        <w:t>14</w:t>
      </w:r>
      <w:r>
        <w:fldChar w:fldCharType="end"/>
      </w:r>
      <w:r>
        <w:t xml:space="preserve"> -</w:t>
      </w:r>
      <w:r w:rsidRPr="00CF223F">
        <w:rPr>
          <w:rFonts w:ascii="Arial" w:hAnsi="Arial" w:cs="Arial"/>
          <w:b/>
          <w:bCs/>
        </w:rPr>
        <w:t xml:space="preserve"> </w:t>
      </w:r>
      <w:r w:rsidRPr="00BD646D">
        <w:rPr>
          <w:rFonts w:ascii="Arial" w:hAnsi="Arial" w:cs="Arial"/>
        </w:rPr>
        <w:t>Preliminary Shell TSS Design</w:t>
      </w:r>
      <w:bookmarkEnd w:id="33"/>
    </w:p>
    <w:p w14:paraId="6F2AB895" w14:textId="77777777" w:rsidR="00BD646D" w:rsidRPr="00BD646D" w:rsidRDefault="00BD646D" w:rsidP="00CB6FBB">
      <w:pPr>
        <w:spacing w:line="360" w:lineRule="auto"/>
        <w:rPr>
          <w:rFonts w:cs="Arial"/>
        </w:rPr>
      </w:pPr>
      <w:r w:rsidRPr="00BD646D">
        <w:rPr>
          <w:rFonts w:cs="Arial"/>
        </w:rPr>
        <w:t>Although the metallurgy remains 304H stainless steel, the fabrication process now includes improved welding procedures, tighter heat input control, and mandatory post-weld heat treatment to limit sigma-phase formation. These updates follow the latest Shell licensor standards and are expected to extend the service life by at least 15 years.</w:t>
      </w:r>
    </w:p>
    <w:p w14:paraId="54F82895" w14:textId="77777777" w:rsidR="00BD646D" w:rsidRPr="00BD646D" w:rsidRDefault="00BD646D" w:rsidP="00CB6FBB">
      <w:pPr>
        <w:spacing w:line="360" w:lineRule="auto"/>
        <w:rPr>
          <w:rFonts w:cs="Arial"/>
        </w:rPr>
      </w:pPr>
      <w:r w:rsidRPr="00BD646D">
        <w:rPr>
          <w:rFonts w:cs="Arial"/>
        </w:rPr>
        <w:t>The design validation was carried out jointly by Shell and Wood plc. Engineering verification checked compliance with ASME Section VIII for pressure vessels and API 12J for separators. Both companies confirmed that the new design meets all mechanical and operational requirements for FCC service (Wood plc, 2024).</w:t>
      </w:r>
    </w:p>
    <w:p w14:paraId="4F39D117" w14:textId="2CBB3D59" w:rsidR="00BD646D" w:rsidRPr="00BD646D" w:rsidRDefault="00BD646D" w:rsidP="00CB6FBB">
      <w:pPr>
        <w:spacing w:line="360" w:lineRule="auto"/>
        <w:rPr>
          <w:rFonts w:cs="Arial"/>
        </w:rPr>
      </w:pPr>
    </w:p>
    <w:p w14:paraId="78174DF2" w14:textId="77777777" w:rsidR="00BD646D" w:rsidRPr="00895818" w:rsidRDefault="00BD646D" w:rsidP="00CB6FBB">
      <w:pPr>
        <w:pStyle w:val="Heading2"/>
        <w:spacing w:line="360" w:lineRule="auto"/>
      </w:pPr>
      <w:bookmarkStart w:id="34" w:name="_Toc230791067"/>
      <w:r w:rsidRPr="00895818">
        <w:lastRenderedPageBreak/>
        <w:t>Safety and Environmental Considerations</w:t>
      </w:r>
      <w:bookmarkEnd w:id="34"/>
    </w:p>
    <w:p w14:paraId="31164104" w14:textId="77777777" w:rsidR="00BD646D" w:rsidRPr="00BD646D" w:rsidRDefault="00BD646D" w:rsidP="00CB6FBB">
      <w:pPr>
        <w:spacing w:line="360" w:lineRule="auto"/>
        <w:rPr>
          <w:rFonts w:cs="Arial"/>
        </w:rPr>
      </w:pPr>
      <w:r w:rsidRPr="00BD646D">
        <w:rPr>
          <w:rFonts w:cs="Arial"/>
        </w:rPr>
        <w:t>Safety was a major factor in the decision process. Continuing to operate the existing TSS would increase the risk of failure during temperature transients. A detached swirl vane or collapsed cyclone could block the catalyst outlet or cause an uncontrolled emission event. The temporary J-hook system cannot be relied upon indefinitely, and its performance under full load conditions has not been validated.</w:t>
      </w:r>
    </w:p>
    <w:p w14:paraId="3DC8F2EC" w14:textId="28A237B4" w:rsidR="00BD646D" w:rsidRDefault="00BD646D" w:rsidP="00CB6FBB">
      <w:pPr>
        <w:spacing w:line="360" w:lineRule="auto"/>
        <w:rPr>
          <w:rFonts w:cs="Arial"/>
        </w:rPr>
      </w:pPr>
      <w:r w:rsidRPr="00BD646D">
        <w:rPr>
          <w:rFonts w:cs="Arial"/>
        </w:rPr>
        <w:t>Environmental compliance is also a key driver. The TSS recorded three particulate exceedances in 2023, indicating a decline in separation efficiency. Shell’s replacement design ensures that the new TSS meets the Best Available Technology (BAT) standard as recognised by the environmental regulator. The expected particulate concentration at the stack is below 30 mg/Nm³, which is well within the emission limit.</w:t>
      </w:r>
      <w:r w:rsidR="00217D1E">
        <w:rPr>
          <w:rFonts w:cs="Arial"/>
        </w:rPr>
        <w:t xml:space="preserve"> T</w:t>
      </w:r>
      <w:r w:rsidR="00217D1E" w:rsidRPr="00217D1E">
        <w:rPr>
          <w:rFonts w:cs="Arial"/>
        </w:rPr>
        <w:t>o verify particulate emissions and assess separator performance, iso-kinetic sampling was carried out at several points along the flue gas path (locations A–D in Figure 14). Samples were collected during steady-state operation using calibrated probes in accordance with the EN 13284-1 standard for low-dust measurement. The testing identified increasing particulate concentration from the TSS overflow to the stack, confirming a decline in cyclone efficiency. Particle size distribution analysis showed a predominance of fines below 10 µm, which are the most difficult to capture when gas velocity is elevated. The data provided quantitative evidence of the loss in separation performance and supported the decision to proceed with a full vessel replacement to restore compliance with environmental permit limits (Valero, 2025).</w:t>
      </w:r>
    </w:p>
    <w:p w14:paraId="73CED81E" w14:textId="2106EFE0" w:rsidR="00217D1E" w:rsidRDefault="00217D1E" w:rsidP="00CB6FBB">
      <w:pPr>
        <w:spacing w:line="360" w:lineRule="auto"/>
        <w:rPr>
          <w:rFonts w:cs="Arial"/>
        </w:rPr>
      </w:pPr>
      <w:r w:rsidRPr="00217D1E">
        <w:rPr>
          <w:rFonts w:cs="Arial"/>
          <w:noProof/>
        </w:rPr>
        <w:drawing>
          <wp:inline distT="0" distB="0" distL="0" distR="0" wp14:anchorId="222D15AE" wp14:editId="36A57B9E">
            <wp:extent cx="4134214" cy="2610288"/>
            <wp:effectExtent l="0" t="0" r="0" b="0"/>
            <wp:docPr id="23" name="Picture 1">
              <a:extLst xmlns:a="http://schemas.openxmlformats.org/drawingml/2006/main">
                <a:ext uri="{FF2B5EF4-FFF2-40B4-BE49-F238E27FC236}">
                  <a16:creationId xmlns:a16="http://schemas.microsoft.com/office/drawing/2014/main" id="{1BA004AB-6C9A-41D8-9790-678EC1CAA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BA004AB-6C9A-41D8-9790-678EC1CAA327}"/>
                        </a:ext>
                      </a:extLst>
                    </pic:cNvPr>
                    <pic:cNvPicPr>
                      <a:picLocks noChangeAspect="1"/>
                    </pic:cNvPicPr>
                  </pic:nvPicPr>
                  <pic:blipFill>
                    <a:blip r:embed="rId25"/>
                    <a:stretch>
                      <a:fillRect/>
                    </a:stretch>
                  </pic:blipFill>
                  <pic:spPr>
                    <a:xfrm>
                      <a:off x="0" y="0"/>
                      <a:ext cx="4134214" cy="2610288"/>
                    </a:xfrm>
                    <a:prstGeom prst="rect">
                      <a:avLst/>
                    </a:prstGeom>
                  </pic:spPr>
                </pic:pic>
              </a:graphicData>
            </a:graphic>
          </wp:inline>
        </w:drawing>
      </w:r>
    </w:p>
    <w:p w14:paraId="20A00465" w14:textId="31669928" w:rsidR="00217D1E" w:rsidRPr="00BD646D" w:rsidRDefault="00217D1E" w:rsidP="00CB6FBB">
      <w:pPr>
        <w:pStyle w:val="Caption"/>
        <w:spacing w:line="360" w:lineRule="auto"/>
        <w:rPr>
          <w:rFonts w:ascii="Arial" w:hAnsi="Arial" w:cs="Arial"/>
        </w:rPr>
      </w:pPr>
      <w:bookmarkStart w:id="35" w:name="_Toc230791138"/>
      <w:r>
        <w:t xml:space="preserve">Figure </w:t>
      </w:r>
      <w:r>
        <w:fldChar w:fldCharType="begin"/>
      </w:r>
      <w:r>
        <w:instrText xml:space="preserve"> SEQ Figure \* ARABIC </w:instrText>
      </w:r>
      <w:r>
        <w:fldChar w:fldCharType="separate"/>
      </w:r>
      <w:r w:rsidR="004048BF">
        <w:rPr>
          <w:noProof/>
        </w:rPr>
        <w:t>15</w:t>
      </w:r>
      <w:r>
        <w:fldChar w:fldCharType="end"/>
      </w:r>
      <w:r>
        <w:t xml:space="preserve"> -</w:t>
      </w:r>
      <w:r w:rsidRPr="00217D1E">
        <w:rPr>
          <w:rFonts w:ascii="Arial" w:eastAsia="Times New Roman" w:hAnsi="Arial" w:cs="Arial"/>
          <w:b/>
          <w:bCs/>
          <w:i w:val="0"/>
          <w:iCs w:val="0"/>
          <w:color w:val="auto"/>
          <w:sz w:val="24"/>
          <w:szCs w:val="24"/>
          <w:lang w:eastAsia="en-GB"/>
        </w:rPr>
        <w:t xml:space="preserve"> </w:t>
      </w:r>
      <w:r w:rsidRPr="00217D1E">
        <w:t>FCC TSS iso-kinetic sampling locations: A – TSS inlet, B – TSS overflow, C – Fourth-stage overflow, and D – stack (Valero, 2025)</w:t>
      </w:r>
      <w:r w:rsidRPr="00B21D92">
        <w:t>.</w:t>
      </w:r>
      <w:bookmarkEnd w:id="35"/>
    </w:p>
    <w:p w14:paraId="0CDC91A0" w14:textId="43263B3C" w:rsidR="00BD646D" w:rsidRPr="00BD646D" w:rsidRDefault="00BD646D" w:rsidP="00CB6FBB">
      <w:pPr>
        <w:spacing w:line="360" w:lineRule="auto"/>
        <w:rPr>
          <w:rFonts w:cs="Arial"/>
        </w:rPr>
      </w:pPr>
    </w:p>
    <w:p w14:paraId="04CB5596" w14:textId="77777777" w:rsidR="00BD646D" w:rsidRPr="00BD646D" w:rsidRDefault="00BD646D" w:rsidP="00CB6FBB">
      <w:pPr>
        <w:pStyle w:val="Heading2"/>
        <w:spacing w:line="360" w:lineRule="auto"/>
      </w:pPr>
      <w:bookmarkStart w:id="36" w:name="_Toc230791068"/>
      <w:r w:rsidRPr="00BD646D">
        <w:t>Decision and Justification</w:t>
      </w:r>
      <w:bookmarkEnd w:id="36"/>
    </w:p>
    <w:p w14:paraId="079F0049" w14:textId="77777777" w:rsidR="00BD646D" w:rsidRDefault="00BD646D" w:rsidP="00CB6FBB">
      <w:pPr>
        <w:spacing w:line="360" w:lineRule="auto"/>
        <w:rPr>
          <w:rFonts w:cs="Arial"/>
        </w:rPr>
      </w:pPr>
      <w:r w:rsidRPr="00BD646D">
        <w:rPr>
          <w:rFonts w:cs="Arial"/>
        </w:rPr>
        <w:t>The decision was based on a combined assessment of safety, reliability, cost, and environmental performance. The full replacement option scored highest across all these categories. Although the upfront capital cost is higher, the reduced risk of failure and shorter turnaround make it the best long-term solution.</w:t>
      </w:r>
    </w:p>
    <w:p w14:paraId="382CB22A" w14:textId="77777777" w:rsidR="00217D1E" w:rsidRDefault="00217D1E" w:rsidP="00CB6FBB">
      <w:pPr>
        <w:spacing w:line="360" w:lineRule="auto"/>
        <w:rPr>
          <w:rFonts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4"/>
        <w:gridCol w:w="1280"/>
        <w:gridCol w:w="1535"/>
        <w:gridCol w:w="1916"/>
        <w:gridCol w:w="2321"/>
      </w:tblGrid>
      <w:tr w:rsidR="00217D1E" w:rsidRPr="00217D1E" w14:paraId="51365B0B" w14:textId="77777777" w:rsidTr="00217D1E">
        <w:trPr>
          <w:tblHeader/>
          <w:tblCellSpacing w:w="15" w:type="dxa"/>
        </w:trPr>
        <w:tc>
          <w:tcPr>
            <w:tcW w:w="0" w:type="auto"/>
            <w:vAlign w:val="center"/>
            <w:hideMark/>
          </w:tcPr>
          <w:p w14:paraId="4272BD8B" w14:textId="77777777" w:rsidR="00217D1E" w:rsidRPr="00217D1E" w:rsidRDefault="00217D1E" w:rsidP="00CB6FBB">
            <w:pPr>
              <w:spacing w:line="360" w:lineRule="auto"/>
              <w:jc w:val="left"/>
              <w:rPr>
                <w:rFonts w:cs="Arial"/>
                <w:b/>
                <w:bCs/>
              </w:rPr>
            </w:pPr>
            <w:r w:rsidRPr="00217D1E">
              <w:rPr>
                <w:rFonts w:cs="Arial"/>
                <w:b/>
                <w:bCs/>
              </w:rPr>
              <w:t>Evaluation Criteria</w:t>
            </w:r>
          </w:p>
        </w:tc>
        <w:tc>
          <w:tcPr>
            <w:tcW w:w="0" w:type="auto"/>
            <w:vAlign w:val="center"/>
            <w:hideMark/>
          </w:tcPr>
          <w:p w14:paraId="46DE6220" w14:textId="77777777" w:rsidR="00217D1E" w:rsidRPr="00217D1E" w:rsidRDefault="00217D1E" w:rsidP="00CB6FBB">
            <w:pPr>
              <w:spacing w:line="360" w:lineRule="auto"/>
              <w:jc w:val="left"/>
              <w:rPr>
                <w:rFonts w:cs="Arial"/>
                <w:b/>
                <w:bCs/>
              </w:rPr>
            </w:pPr>
            <w:r w:rsidRPr="00217D1E">
              <w:rPr>
                <w:rFonts w:cs="Arial"/>
                <w:b/>
                <w:bCs/>
              </w:rPr>
              <w:t>Weighting (%)</w:t>
            </w:r>
          </w:p>
        </w:tc>
        <w:tc>
          <w:tcPr>
            <w:tcW w:w="0" w:type="auto"/>
            <w:vAlign w:val="center"/>
            <w:hideMark/>
          </w:tcPr>
          <w:p w14:paraId="5C673D4A" w14:textId="77777777" w:rsidR="00217D1E" w:rsidRPr="00217D1E" w:rsidRDefault="00217D1E" w:rsidP="00CB6FBB">
            <w:pPr>
              <w:spacing w:line="360" w:lineRule="auto"/>
              <w:jc w:val="left"/>
              <w:rPr>
                <w:rFonts w:cs="Arial"/>
                <w:b/>
                <w:bCs/>
              </w:rPr>
            </w:pPr>
            <w:r w:rsidRPr="00217D1E">
              <w:rPr>
                <w:rFonts w:cs="Arial"/>
                <w:b/>
                <w:bCs/>
              </w:rPr>
              <w:t>In-situ Repair</w:t>
            </w:r>
          </w:p>
        </w:tc>
        <w:tc>
          <w:tcPr>
            <w:tcW w:w="0" w:type="auto"/>
            <w:vAlign w:val="center"/>
            <w:hideMark/>
          </w:tcPr>
          <w:p w14:paraId="7FA72DA6" w14:textId="77777777" w:rsidR="00217D1E" w:rsidRPr="00217D1E" w:rsidRDefault="00217D1E" w:rsidP="00CB6FBB">
            <w:pPr>
              <w:spacing w:line="360" w:lineRule="auto"/>
              <w:jc w:val="left"/>
              <w:rPr>
                <w:rFonts w:cs="Arial"/>
                <w:b/>
                <w:bCs/>
              </w:rPr>
            </w:pPr>
            <w:r w:rsidRPr="00217D1E">
              <w:rPr>
                <w:rFonts w:cs="Arial"/>
                <w:b/>
                <w:bCs/>
              </w:rPr>
              <w:t>Full Vessel Replacement</w:t>
            </w:r>
          </w:p>
        </w:tc>
        <w:tc>
          <w:tcPr>
            <w:tcW w:w="0" w:type="auto"/>
            <w:vAlign w:val="center"/>
            <w:hideMark/>
          </w:tcPr>
          <w:p w14:paraId="4B8F3D7A" w14:textId="77777777" w:rsidR="00217D1E" w:rsidRPr="00217D1E" w:rsidRDefault="00217D1E" w:rsidP="00CB6FBB">
            <w:pPr>
              <w:spacing w:line="360" w:lineRule="auto"/>
              <w:jc w:val="left"/>
              <w:rPr>
                <w:rFonts w:cs="Arial"/>
                <w:b/>
                <w:bCs/>
              </w:rPr>
            </w:pPr>
            <w:r w:rsidRPr="00217D1E">
              <w:rPr>
                <w:rFonts w:cs="Arial"/>
                <w:b/>
                <w:bCs/>
              </w:rPr>
              <w:t>Comments / Outcome</w:t>
            </w:r>
          </w:p>
        </w:tc>
      </w:tr>
      <w:tr w:rsidR="00217D1E" w:rsidRPr="00217D1E" w14:paraId="5CB0AFDD" w14:textId="77777777" w:rsidTr="00217D1E">
        <w:trPr>
          <w:tblCellSpacing w:w="15" w:type="dxa"/>
        </w:trPr>
        <w:tc>
          <w:tcPr>
            <w:tcW w:w="0" w:type="auto"/>
            <w:vAlign w:val="center"/>
            <w:hideMark/>
          </w:tcPr>
          <w:p w14:paraId="2D4F9A27" w14:textId="77777777" w:rsidR="00217D1E" w:rsidRPr="00217D1E" w:rsidRDefault="00217D1E" w:rsidP="00CB6FBB">
            <w:pPr>
              <w:spacing w:line="360" w:lineRule="auto"/>
              <w:jc w:val="left"/>
              <w:rPr>
                <w:rFonts w:cs="Arial"/>
              </w:rPr>
            </w:pPr>
            <w:r w:rsidRPr="00217D1E">
              <w:rPr>
                <w:rFonts w:cs="Arial"/>
                <w:b/>
                <w:bCs/>
              </w:rPr>
              <w:t>Cost</w:t>
            </w:r>
          </w:p>
        </w:tc>
        <w:tc>
          <w:tcPr>
            <w:tcW w:w="0" w:type="auto"/>
            <w:vAlign w:val="center"/>
            <w:hideMark/>
          </w:tcPr>
          <w:p w14:paraId="61D985E2" w14:textId="77777777" w:rsidR="00217D1E" w:rsidRPr="00217D1E" w:rsidRDefault="00217D1E" w:rsidP="00CB6FBB">
            <w:pPr>
              <w:spacing w:line="360" w:lineRule="auto"/>
              <w:jc w:val="left"/>
              <w:rPr>
                <w:rFonts w:cs="Arial"/>
              </w:rPr>
            </w:pPr>
            <w:r w:rsidRPr="00217D1E">
              <w:rPr>
                <w:rFonts w:cs="Arial"/>
              </w:rPr>
              <w:t>25</w:t>
            </w:r>
          </w:p>
        </w:tc>
        <w:tc>
          <w:tcPr>
            <w:tcW w:w="0" w:type="auto"/>
            <w:vAlign w:val="center"/>
            <w:hideMark/>
          </w:tcPr>
          <w:p w14:paraId="70F22662" w14:textId="77777777" w:rsidR="00217D1E" w:rsidRPr="00217D1E" w:rsidRDefault="00217D1E" w:rsidP="00CB6FBB">
            <w:pPr>
              <w:spacing w:line="360" w:lineRule="auto"/>
              <w:jc w:val="left"/>
              <w:rPr>
                <w:rFonts w:cs="Arial"/>
              </w:rPr>
            </w:pPr>
            <w:r w:rsidRPr="00217D1E">
              <w:rPr>
                <w:rFonts w:cs="Arial"/>
              </w:rPr>
              <w:t>8 / 10 (£11 M TIC)</w:t>
            </w:r>
          </w:p>
        </w:tc>
        <w:tc>
          <w:tcPr>
            <w:tcW w:w="0" w:type="auto"/>
            <w:vAlign w:val="center"/>
            <w:hideMark/>
          </w:tcPr>
          <w:p w14:paraId="14B78467" w14:textId="77777777" w:rsidR="00217D1E" w:rsidRPr="00217D1E" w:rsidRDefault="00217D1E" w:rsidP="00CB6FBB">
            <w:pPr>
              <w:spacing w:line="360" w:lineRule="auto"/>
              <w:jc w:val="left"/>
              <w:rPr>
                <w:rFonts w:cs="Arial"/>
              </w:rPr>
            </w:pPr>
            <w:r w:rsidRPr="00217D1E">
              <w:rPr>
                <w:rFonts w:cs="Arial"/>
              </w:rPr>
              <w:t>7 / 10 (£13.6 M TIC)</w:t>
            </w:r>
          </w:p>
        </w:tc>
        <w:tc>
          <w:tcPr>
            <w:tcW w:w="0" w:type="auto"/>
            <w:vAlign w:val="center"/>
            <w:hideMark/>
          </w:tcPr>
          <w:p w14:paraId="5F5F0E33" w14:textId="77777777" w:rsidR="00217D1E" w:rsidRPr="00217D1E" w:rsidRDefault="00217D1E" w:rsidP="00CB6FBB">
            <w:pPr>
              <w:spacing w:line="360" w:lineRule="auto"/>
              <w:jc w:val="left"/>
              <w:rPr>
                <w:rFonts w:cs="Arial"/>
              </w:rPr>
            </w:pPr>
            <w:r w:rsidRPr="00217D1E">
              <w:rPr>
                <w:rFonts w:cs="Arial"/>
              </w:rPr>
              <w:t>Repair appears cheaper initially but offers shorter lifespan and higher uncertainty.</w:t>
            </w:r>
          </w:p>
        </w:tc>
      </w:tr>
      <w:tr w:rsidR="00217D1E" w:rsidRPr="00217D1E" w14:paraId="406BDC5E" w14:textId="77777777" w:rsidTr="00217D1E">
        <w:trPr>
          <w:tblCellSpacing w:w="15" w:type="dxa"/>
        </w:trPr>
        <w:tc>
          <w:tcPr>
            <w:tcW w:w="0" w:type="auto"/>
            <w:vAlign w:val="center"/>
            <w:hideMark/>
          </w:tcPr>
          <w:p w14:paraId="01579C5D" w14:textId="77777777" w:rsidR="00217D1E" w:rsidRPr="00217D1E" w:rsidRDefault="00217D1E" w:rsidP="00CB6FBB">
            <w:pPr>
              <w:spacing w:line="360" w:lineRule="auto"/>
              <w:jc w:val="left"/>
              <w:rPr>
                <w:rFonts w:cs="Arial"/>
              </w:rPr>
            </w:pPr>
            <w:r w:rsidRPr="00217D1E">
              <w:rPr>
                <w:rFonts w:cs="Arial"/>
                <w:b/>
                <w:bCs/>
              </w:rPr>
              <w:t>Duration / Turnaround Impact</w:t>
            </w:r>
          </w:p>
        </w:tc>
        <w:tc>
          <w:tcPr>
            <w:tcW w:w="0" w:type="auto"/>
            <w:vAlign w:val="center"/>
            <w:hideMark/>
          </w:tcPr>
          <w:p w14:paraId="19163E8E" w14:textId="77777777" w:rsidR="00217D1E" w:rsidRPr="00217D1E" w:rsidRDefault="00217D1E" w:rsidP="00CB6FBB">
            <w:pPr>
              <w:spacing w:line="360" w:lineRule="auto"/>
              <w:jc w:val="left"/>
              <w:rPr>
                <w:rFonts w:cs="Arial"/>
              </w:rPr>
            </w:pPr>
            <w:r w:rsidRPr="00217D1E">
              <w:rPr>
                <w:rFonts w:cs="Arial"/>
              </w:rPr>
              <w:t>25</w:t>
            </w:r>
          </w:p>
        </w:tc>
        <w:tc>
          <w:tcPr>
            <w:tcW w:w="0" w:type="auto"/>
            <w:vAlign w:val="center"/>
            <w:hideMark/>
          </w:tcPr>
          <w:p w14:paraId="056A8BDB" w14:textId="77777777" w:rsidR="00217D1E" w:rsidRPr="00217D1E" w:rsidRDefault="00217D1E" w:rsidP="00CB6FBB">
            <w:pPr>
              <w:spacing w:line="360" w:lineRule="auto"/>
              <w:jc w:val="left"/>
              <w:rPr>
                <w:rFonts w:cs="Arial"/>
              </w:rPr>
            </w:pPr>
            <w:r w:rsidRPr="00217D1E">
              <w:rPr>
                <w:rFonts w:cs="Arial"/>
              </w:rPr>
              <w:t>6 / 10 (86-day outage)</w:t>
            </w:r>
          </w:p>
        </w:tc>
        <w:tc>
          <w:tcPr>
            <w:tcW w:w="0" w:type="auto"/>
            <w:vAlign w:val="center"/>
            <w:hideMark/>
          </w:tcPr>
          <w:p w14:paraId="63840D5C" w14:textId="77777777" w:rsidR="00217D1E" w:rsidRPr="00217D1E" w:rsidRDefault="00217D1E" w:rsidP="00CB6FBB">
            <w:pPr>
              <w:spacing w:line="360" w:lineRule="auto"/>
              <w:jc w:val="left"/>
              <w:rPr>
                <w:rFonts w:cs="Arial"/>
              </w:rPr>
            </w:pPr>
            <w:r w:rsidRPr="00217D1E">
              <w:rPr>
                <w:rFonts w:cs="Arial"/>
              </w:rPr>
              <w:t>9 / 10 (48-day outage)</w:t>
            </w:r>
          </w:p>
        </w:tc>
        <w:tc>
          <w:tcPr>
            <w:tcW w:w="0" w:type="auto"/>
            <w:vAlign w:val="center"/>
            <w:hideMark/>
          </w:tcPr>
          <w:p w14:paraId="5C017ED7" w14:textId="77777777" w:rsidR="00217D1E" w:rsidRPr="00217D1E" w:rsidRDefault="00217D1E" w:rsidP="00CB6FBB">
            <w:pPr>
              <w:spacing w:line="360" w:lineRule="auto"/>
              <w:jc w:val="left"/>
              <w:rPr>
                <w:rFonts w:cs="Arial"/>
              </w:rPr>
            </w:pPr>
            <w:r w:rsidRPr="00217D1E">
              <w:rPr>
                <w:rFonts w:cs="Arial"/>
              </w:rPr>
              <w:t>Replacement minimises downtime and margin loss (~£39 M saved).</w:t>
            </w:r>
          </w:p>
        </w:tc>
      </w:tr>
      <w:tr w:rsidR="00217D1E" w:rsidRPr="00217D1E" w14:paraId="7C57C7BB" w14:textId="77777777" w:rsidTr="00217D1E">
        <w:trPr>
          <w:tblCellSpacing w:w="15" w:type="dxa"/>
        </w:trPr>
        <w:tc>
          <w:tcPr>
            <w:tcW w:w="0" w:type="auto"/>
            <w:vAlign w:val="center"/>
            <w:hideMark/>
          </w:tcPr>
          <w:p w14:paraId="04F1C8F6" w14:textId="77777777" w:rsidR="00217D1E" w:rsidRPr="00217D1E" w:rsidRDefault="00217D1E" w:rsidP="00CB6FBB">
            <w:pPr>
              <w:spacing w:line="360" w:lineRule="auto"/>
              <w:jc w:val="left"/>
              <w:rPr>
                <w:rFonts w:cs="Arial"/>
              </w:rPr>
            </w:pPr>
            <w:r w:rsidRPr="00217D1E">
              <w:rPr>
                <w:rFonts w:cs="Arial"/>
                <w:b/>
                <w:bCs/>
              </w:rPr>
              <w:t>Safety Risk</w:t>
            </w:r>
          </w:p>
        </w:tc>
        <w:tc>
          <w:tcPr>
            <w:tcW w:w="0" w:type="auto"/>
            <w:vAlign w:val="center"/>
            <w:hideMark/>
          </w:tcPr>
          <w:p w14:paraId="4AB72B6E" w14:textId="77777777" w:rsidR="00217D1E" w:rsidRPr="00217D1E" w:rsidRDefault="00217D1E" w:rsidP="00CB6FBB">
            <w:pPr>
              <w:spacing w:line="360" w:lineRule="auto"/>
              <w:jc w:val="left"/>
              <w:rPr>
                <w:rFonts w:cs="Arial"/>
              </w:rPr>
            </w:pPr>
            <w:r w:rsidRPr="00217D1E">
              <w:rPr>
                <w:rFonts w:cs="Arial"/>
              </w:rPr>
              <w:t>25</w:t>
            </w:r>
          </w:p>
        </w:tc>
        <w:tc>
          <w:tcPr>
            <w:tcW w:w="0" w:type="auto"/>
            <w:vAlign w:val="center"/>
            <w:hideMark/>
          </w:tcPr>
          <w:p w14:paraId="7009FF4A" w14:textId="77777777" w:rsidR="00217D1E" w:rsidRPr="00217D1E" w:rsidRDefault="00217D1E" w:rsidP="00CB6FBB">
            <w:pPr>
              <w:spacing w:line="360" w:lineRule="auto"/>
              <w:jc w:val="left"/>
              <w:rPr>
                <w:rFonts w:cs="Arial"/>
              </w:rPr>
            </w:pPr>
            <w:r w:rsidRPr="00217D1E">
              <w:rPr>
                <w:rFonts w:cs="Arial"/>
              </w:rPr>
              <w:t>5 / 10 (high personnel exposure for internal repairs)</w:t>
            </w:r>
          </w:p>
        </w:tc>
        <w:tc>
          <w:tcPr>
            <w:tcW w:w="0" w:type="auto"/>
            <w:vAlign w:val="center"/>
            <w:hideMark/>
          </w:tcPr>
          <w:p w14:paraId="4A939C0A" w14:textId="77777777" w:rsidR="00217D1E" w:rsidRPr="00217D1E" w:rsidRDefault="00217D1E" w:rsidP="00CB6FBB">
            <w:pPr>
              <w:spacing w:line="360" w:lineRule="auto"/>
              <w:jc w:val="left"/>
              <w:rPr>
                <w:rFonts w:cs="Arial"/>
              </w:rPr>
            </w:pPr>
            <w:r w:rsidRPr="00217D1E">
              <w:rPr>
                <w:rFonts w:cs="Arial"/>
              </w:rPr>
              <w:t>10 / 10 (no confined-space entry post-installation)</w:t>
            </w:r>
          </w:p>
        </w:tc>
        <w:tc>
          <w:tcPr>
            <w:tcW w:w="0" w:type="auto"/>
            <w:vAlign w:val="center"/>
            <w:hideMark/>
          </w:tcPr>
          <w:p w14:paraId="1BD603AD" w14:textId="77777777" w:rsidR="00217D1E" w:rsidRPr="00217D1E" w:rsidRDefault="00217D1E" w:rsidP="00CB6FBB">
            <w:pPr>
              <w:spacing w:line="360" w:lineRule="auto"/>
              <w:jc w:val="left"/>
              <w:rPr>
                <w:rFonts w:cs="Arial"/>
              </w:rPr>
            </w:pPr>
            <w:r w:rsidRPr="00217D1E">
              <w:rPr>
                <w:rFonts w:cs="Arial"/>
              </w:rPr>
              <w:t>Replacement removes ongoing HSE hazards.</w:t>
            </w:r>
          </w:p>
        </w:tc>
      </w:tr>
      <w:tr w:rsidR="00217D1E" w:rsidRPr="00217D1E" w14:paraId="48D7988C" w14:textId="77777777" w:rsidTr="00217D1E">
        <w:trPr>
          <w:tblCellSpacing w:w="15" w:type="dxa"/>
        </w:trPr>
        <w:tc>
          <w:tcPr>
            <w:tcW w:w="0" w:type="auto"/>
            <w:vAlign w:val="center"/>
            <w:hideMark/>
          </w:tcPr>
          <w:p w14:paraId="4E964080" w14:textId="77777777" w:rsidR="00217D1E" w:rsidRPr="00217D1E" w:rsidRDefault="00217D1E" w:rsidP="00CB6FBB">
            <w:pPr>
              <w:spacing w:line="360" w:lineRule="auto"/>
              <w:jc w:val="left"/>
              <w:rPr>
                <w:rFonts w:cs="Arial"/>
              </w:rPr>
            </w:pPr>
            <w:r w:rsidRPr="00217D1E">
              <w:rPr>
                <w:rFonts w:cs="Arial"/>
                <w:b/>
                <w:bCs/>
              </w:rPr>
              <w:t>Reliability / Technical Integrity</w:t>
            </w:r>
          </w:p>
        </w:tc>
        <w:tc>
          <w:tcPr>
            <w:tcW w:w="0" w:type="auto"/>
            <w:vAlign w:val="center"/>
            <w:hideMark/>
          </w:tcPr>
          <w:p w14:paraId="75355A2B" w14:textId="77777777" w:rsidR="00217D1E" w:rsidRPr="00217D1E" w:rsidRDefault="00217D1E" w:rsidP="00CB6FBB">
            <w:pPr>
              <w:spacing w:line="360" w:lineRule="auto"/>
              <w:jc w:val="left"/>
              <w:rPr>
                <w:rFonts w:cs="Arial"/>
              </w:rPr>
            </w:pPr>
            <w:r w:rsidRPr="00217D1E">
              <w:rPr>
                <w:rFonts w:cs="Arial"/>
              </w:rPr>
              <w:t>25</w:t>
            </w:r>
          </w:p>
        </w:tc>
        <w:tc>
          <w:tcPr>
            <w:tcW w:w="0" w:type="auto"/>
            <w:vAlign w:val="center"/>
            <w:hideMark/>
          </w:tcPr>
          <w:p w14:paraId="1AD12480" w14:textId="77777777" w:rsidR="00217D1E" w:rsidRPr="00217D1E" w:rsidRDefault="00217D1E" w:rsidP="00CB6FBB">
            <w:pPr>
              <w:spacing w:line="360" w:lineRule="auto"/>
              <w:jc w:val="left"/>
              <w:rPr>
                <w:rFonts w:cs="Arial"/>
              </w:rPr>
            </w:pPr>
            <w:r w:rsidRPr="00217D1E">
              <w:rPr>
                <w:rFonts w:cs="Arial"/>
              </w:rPr>
              <w:t>6 / 10 (residual cracking risk)</w:t>
            </w:r>
          </w:p>
        </w:tc>
        <w:tc>
          <w:tcPr>
            <w:tcW w:w="0" w:type="auto"/>
            <w:vAlign w:val="center"/>
            <w:hideMark/>
          </w:tcPr>
          <w:p w14:paraId="64720629" w14:textId="77777777" w:rsidR="00217D1E" w:rsidRPr="00217D1E" w:rsidRDefault="00217D1E" w:rsidP="00CB6FBB">
            <w:pPr>
              <w:spacing w:line="360" w:lineRule="auto"/>
              <w:jc w:val="left"/>
              <w:rPr>
                <w:rFonts w:cs="Arial"/>
              </w:rPr>
            </w:pPr>
            <w:r w:rsidRPr="00217D1E">
              <w:rPr>
                <w:rFonts w:cs="Arial"/>
              </w:rPr>
              <w:t>10 / 10 (new vessel with improved design life)</w:t>
            </w:r>
          </w:p>
        </w:tc>
        <w:tc>
          <w:tcPr>
            <w:tcW w:w="0" w:type="auto"/>
            <w:vAlign w:val="center"/>
            <w:hideMark/>
          </w:tcPr>
          <w:p w14:paraId="05632D90" w14:textId="77777777" w:rsidR="00217D1E" w:rsidRPr="00217D1E" w:rsidRDefault="00217D1E" w:rsidP="00CB6FBB">
            <w:pPr>
              <w:spacing w:line="360" w:lineRule="auto"/>
              <w:jc w:val="left"/>
              <w:rPr>
                <w:rFonts w:cs="Arial"/>
              </w:rPr>
            </w:pPr>
            <w:r w:rsidRPr="00217D1E">
              <w:rPr>
                <w:rFonts w:cs="Arial"/>
              </w:rPr>
              <w:t>Replacement meets Shell licensor standards.</w:t>
            </w:r>
          </w:p>
        </w:tc>
      </w:tr>
      <w:tr w:rsidR="00217D1E" w:rsidRPr="00217D1E" w14:paraId="651E4539" w14:textId="77777777" w:rsidTr="00217D1E">
        <w:trPr>
          <w:tblCellSpacing w:w="15" w:type="dxa"/>
        </w:trPr>
        <w:tc>
          <w:tcPr>
            <w:tcW w:w="0" w:type="auto"/>
            <w:vAlign w:val="center"/>
          </w:tcPr>
          <w:tbl>
            <w:tblPr>
              <w:tblW w:w="0" w:type="auto"/>
              <w:tblCellSpacing w:w="15" w:type="dxa"/>
              <w:shd w:val="clear" w:color="auto" w:fill="FFFFFF"/>
              <w:tblCellMar>
                <w:left w:w="0" w:type="dxa"/>
                <w:right w:w="0" w:type="dxa"/>
              </w:tblCellMar>
              <w:tblLook w:val="04A0" w:firstRow="1" w:lastRow="0" w:firstColumn="1" w:lastColumn="0" w:noHBand="0" w:noVBand="1"/>
            </w:tblPr>
            <w:tblGrid>
              <w:gridCol w:w="1171"/>
              <w:gridCol w:w="393"/>
              <w:gridCol w:w="305"/>
            </w:tblGrid>
            <w:tr w:rsidR="00217D1E" w:rsidRPr="00217D1E" w14:paraId="5EE1E5DE" w14:textId="77777777" w:rsidTr="00217D1E">
              <w:trPr>
                <w:trHeight w:val="465"/>
                <w:tblCellSpacing w:w="15" w:type="dxa"/>
              </w:trPr>
              <w:tc>
                <w:tcPr>
                  <w:tcW w:w="0" w:type="auto"/>
                  <w:shd w:val="clear" w:color="auto" w:fill="FFFFFF"/>
                  <w:tcMar>
                    <w:top w:w="137" w:type="dxa"/>
                    <w:left w:w="0" w:type="dxa"/>
                    <w:bottom w:w="360" w:type="dxa"/>
                    <w:right w:w="0" w:type="dxa"/>
                  </w:tcMar>
                  <w:vAlign w:val="bottom"/>
                  <w:hideMark/>
                </w:tcPr>
                <w:p w14:paraId="03C904FC" w14:textId="77777777" w:rsidR="00217D1E" w:rsidRPr="00217D1E" w:rsidRDefault="00217D1E" w:rsidP="00CB6FBB">
                  <w:pPr>
                    <w:spacing w:line="360" w:lineRule="auto"/>
                    <w:jc w:val="left"/>
                    <w:rPr>
                      <w:rFonts w:ascii="Segoe UI" w:hAnsi="Segoe UI" w:cs="Segoe UI"/>
                      <w:color w:val="0D0D0D"/>
                      <w:sz w:val="21"/>
                      <w:szCs w:val="21"/>
                    </w:rPr>
                  </w:pPr>
                  <w:r w:rsidRPr="00217D1E">
                    <w:rPr>
                      <w:rFonts w:ascii="Segoe UI" w:hAnsi="Segoe UI" w:cs="Segoe UI"/>
                      <w:b/>
                      <w:bCs/>
                      <w:color w:val="0D0D0D"/>
                      <w:sz w:val="21"/>
                      <w:szCs w:val="21"/>
                    </w:rPr>
                    <w:t>Weighted Total Score</w:t>
                  </w:r>
                </w:p>
              </w:tc>
              <w:tc>
                <w:tcPr>
                  <w:tcW w:w="0" w:type="auto"/>
                  <w:shd w:val="clear" w:color="auto" w:fill="FFFFFF"/>
                  <w:tcMar>
                    <w:top w:w="137" w:type="dxa"/>
                    <w:left w:w="0" w:type="dxa"/>
                    <w:bottom w:w="360" w:type="dxa"/>
                    <w:right w:w="0" w:type="dxa"/>
                  </w:tcMar>
                  <w:vAlign w:val="bottom"/>
                  <w:hideMark/>
                </w:tcPr>
                <w:p w14:paraId="51D0EC4C" w14:textId="77777777" w:rsidR="00217D1E" w:rsidRPr="00217D1E" w:rsidRDefault="00217D1E" w:rsidP="00CB6FBB">
                  <w:pPr>
                    <w:spacing w:line="360" w:lineRule="auto"/>
                    <w:jc w:val="left"/>
                    <w:rPr>
                      <w:rFonts w:ascii="Segoe UI" w:hAnsi="Segoe UI" w:cs="Segoe UI"/>
                      <w:color w:val="0D0D0D"/>
                      <w:sz w:val="21"/>
                      <w:szCs w:val="21"/>
                    </w:rPr>
                  </w:pPr>
                  <w:r w:rsidRPr="00217D1E">
                    <w:rPr>
                      <w:rFonts w:ascii="Segoe UI" w:hAnsi="Segoe UI" w:cs="Segoe UI"/>
                      <w:b/>
                      <w:bCs/>
                      <w:color w:val="0D0D0D"/>
                      <w:sz w:val="21"/>
                      <w:szCs w:val="21"/>
                    </w:rPr>
                    <w:t>100</w:t>
                  </w:r>
                </w:p>
              </w:tc>
              <w:tc>
                <w:tcPr>
                  <w:tcW w:w="0" w:type="auto"/>
                  <w:shd w:val="clear" w:color="auto" w:fill="FFFFFF"/>
                  <w:tcMar>
                    <w:top w:w="137" w:type="dxa"/>
                    <w:left w:w="0" w:type="dxa"/>
                    <w:bottom w:w="360" w:type="dxa"/>
                    <w:right w:w="0" w:type="dxa"/>
                  </w:tcMar>
                  <w:vAlign w:val="bottom"/>
                  <w:hideMark/>
                </w:tcPr>
                <w:p w14:paraId="5705F4A7" w14:textId="229AACE9" w:rsidR="00217D1E" w:rsidRPr="00217D1E" w:rsidRDefault="00217D1E" w:rsidP="00CB6FBB">
                  <w:pPr>
                    <w:spacing w:line="360" w:lineRule="auto"/>
                    <w:jc w:val="left"/>
                    <w:rPr>
                      <w:rFonts w:ascii="Segoe UI" w:hAnsi="Segoe UI" w:cs="Segoe UI"/>
                      <w:color w:val="0D0D0D"/>
                      <w:sz w:val="21"/>
                      <w:szCs w:val="21"/>
                    </w:rPr>
                  </w:pPr>
                  <w:r w:rsidRPr="00217D1E">
                    <w:rPr>
                      <w:rFonts w:ascii="Segoe UI" w:hAnsi="Segoe UI" w:cs="Segoe UI"/>
                      <w:b/>
                      <w:bCs/>
                      <w:color w:val="0D0D0D"/>
                      <w:sz w:val="21"/>
                      <w:szCs w:val="21"/>
                    </w:rPr>
                    <w:t>%)</w:t>
                  </w:r>
                </w:p>
              </w:tc>
            </w:tr>
          </w:tbl>
          <w:p w14:paraId="5ADF9797" w14:textId="77777777" w:rsidR="00217D1E" w:rsidRPr="00217D1E" w:rsidRDefault="00217D1E" w:rsidP="00CB6FBB">
            <w:pPr>
              <w:spacing w:line="360" w:lineRule="auto"/>
              <w:jc w:val="left"/>
              <w:rPr>
                <w:rFonts w:cs="Arial"/>
                <w:b/>
                <w:bCs/>
              </w:rPr>
            </w:pPr>
          </w:p>
        </w:tc>
        <w:tc>
          <w:tcPr>
            <w:tcW w:w="0" w:type="auto"/>
            <w:vAlign w:val="center"/>
          </w:tcPr>
          <w:p w14:paraId="4EC762BB" w14:textId="27E7A3AE" w:rsidR="00217D1E" w:rsidRPr="00217D1E" w:rsidRDefault="00217D1E" w:rsidP="00CB6FBB">
            <w:pPr>
              <w:spacing w:line="360" w:lineRule="auto"/>
              <w:jc w:val="left"/>
              <w:rPr>
                <w:rFonts w:cs="Arial"/>
              </w:rPr>
            </w:pPr>
            <w:r w:rsidRPr="00217D1E">
              <w:rPr>
                <w:rFonts w:cs="Arial"/>
              </w:rPr>
              <w:t>100</w:t>
            </w:r>
          </w:p>
        </w:tc>
        <w:tc>
          <w:tcPr>
            <w:tcW w:w="0" w:type="auto"/>
            <w:vAlign w:val="center"/>
          </w:tcPr>
          <w:p w14:paraId="522388D5" w14:textId="3D79AFD8" w:rsidR="00217D1E" w:rsidRPr="00217D1E" w:rsidRDefault="00217D1E" w:rsidP="00CB6FBB">
            <w:pPr>
              <w:spacing w:line="360" w:lineRule="auto"/>
              <w:jc w:val="left"/>
              <w:rPr>
                <w:rFonts w:cs="Arial"/>
              </w:rPr>
            </w:pPr>
            <w:r w:rsidRPr="00217D1E">
              <w:rPr>
                <w:rFonts w:cs="Arial"/>
              </w:rPr>
              <w:t>6.3 / 10 (63 %)</w:t>
            </w:r>
          </w:p>
        </w:tc>
        <w:tc>
          <w:tcPr>
            <w:tcW w:w="0" w:type="auto"/>
            <w:vAlign w:val="center"/>
          </w:tcPr>
          <w:p w14:paraId="3845389C" w14:textId="5081838C" w:rsidR="00217D1E" w:rsidRPr="00217D1E" w:rsidRDefault="00217D1E" w:rsidP="00CB6FBB">
            <w:pPr>
              <w:spacing w:line="360" w:lineRule="auto"/>
              <w:jc w:val="left"/>
              <w:rPr>
                <w:rFonts w:cs="Arial"/>
              </w:rPr>
            </w:pPr>
            <w:r>
              <w:t>9.0 / 10 (90 %)</w:t>
            </w:r>
          </w:p>
        </w:tc>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81"/>
              <w:gridCol w:w="45"/>
            </w:tblGrid>
            <w:tr w:rsidR="00217D1E" w:rsidRPr="00217D1E" w14:paraId="6374E9F6" w14:textId="77777777" w:rsidTr="00217D1E">
              <w:trPr>
                <w:gridAfter w:val="1"/>
                <w:tblCellSpacing w:w="15" w:type="dxa"/>
              </w:trPr>
              <w:tc>
                <w:tcPr>
                  <w:tcW w:w="0" w:type="auto"/>
                  <w:vAlign w:val="center"/>
                  <w:hideMark/>
                </w:tcPr>
                <w:p w14:paraId="333DC32A" w14:textId="77777777" w:rsidR="00217D1E" w:rsidRPr="00217D1E" w:rsidRDefault="00217D1E" w:rsidP="00CB6FBB">
                  <w:pPr>
                    <w:spacing w:line="360" w:lineRule="auto"/>
                    <w:jc w:val="left"/>
                    <w:rPr>
                      <w:rFonts w:cs="Arial"/>
                    </w:rPr>
                  </w:pPr>
                </w:p>
              </w:tc>
            </w:tr>
            <w:tr w:rsidR="00217D1E" w:rsidRPr="00217D1E" w14:paraId="02E0DF06" w14:textId="77777777" w:rsidTr="00217D1E">
              <w:trPr>
                <w:tblCellSpacing w:w="15" w:type="dxa"/>
              </w:trPr>
              <w:tc>
                <w:tcPr>
                  <w:tcW w:w="0" w:type="auto"/>
                  <w:gridSpan w:val="2"/>
                  <w:vAlign w:val="center"/>
                  <w:hideMark/>
                </w:tcPr>
                <w:p w14:paraId="1FE3D7F7" w14:textId="77777777" w:rsidR="00217D1E" w:rsidRPr="00217D1E" w:rsidRDefault="00217D1E" w:rsidP="00CB6FBB">
                  <w:pPr>
                    <w:spacing w:line="360" w:lineRule="auto"/>
                    <w:jc w:val="left"/>
                    <w:rPr>
                      <w:rFonts w:cs="Arial"/>
                    </w:rPr>
                  </w:pPr>
                  <w:r w:rsidRPr="00217D1E">
                    <w:rPr>
                      <w:rFonts w:cs="Arial"/>
                      <w:b/>
                      <w:bCs/>
                    </w:rPr>
                    <w:t>Replacement option preferred – highest combined score.</w:t>
                  </w:r>
                </w:p>
              </w:tc>
            </w:tr>
          </w:tbl>
          <w:p w14:paraId="52997B5B" w14:textId="3782791A" w:rsidR="00217D1E" w:rsidRPr="00217D1E" w:rsidRDefault="00217D1E" w:rsidP="00CB6FBB">
            <w:pPr>
              <w:spacing w:line="360" w:lineRule="auto"/>
              <w:jc w:val="left"/>
              <w:rPr>
                <w:rFonts w:cs="Arial"/>
              </w:rPr>
            </w:pPr>
          </w:p>
        </w:tc>
      </w:tr>
    </w:tbl>
    <w:p w14:paraId="5BC402BC" w14:textId="5B670C80" w:rsidR="00217D1E" w:rsidRPr="00BD646D" w:rsidRDefault="00217D1E" w:rsidP="00CB6FBB">
      <w:pPr>
        <w:pStyle w:val="Caption"/>
        <w:spacing w:line="360" w:lineRule="auto"/>
        <w:rPr>
          <w:rFonts w:ascii="Arial" w:hAnsi="Arial" w:cs="Arial"/>
        </w:rPr>
      </w:pPr>
      <w:bookmarkStart w:id="37" w:name="_Toc230791159"/>
      <w:r>
        <w:t xml:space="preserve">Table </w:t>
      </w:r>
      <w:r>
        <w:fldChar w:fldCharType="begin"/>
      </w:r>
      <w:r>
        <w:instrText xml:space="preserve"> SEQ Table \* ARABIC </w:instrText>
      </w:r>
      <w:r>
        <w:fldChar w:fldCharType="separate"/>
      </w:r>
      <w:r w:rsidR="004048BF">
        <w:rPr>
          <w:noProof/>
        </w:rPr>
        <w:t>5</w:t>
      </w:r>
      <w:r>
        <w:fldChar w:fldCharType="end"/>
      </w:r>
      <w:r>
        <w:t xml:space="preserve"> -</w:t>
      </w:r>
      <w:r w:rsidRPr="00217D1E">
        <w:rPr>
          <w:rFonts w:ascii="Arial" w:hAnsi="Arial" w:cs="Arial"/>
          <w:b/>
          <w:bCs/>
        </w:rPr>
        <w:t xml:space="preserve"> </w:t>
      </w:r>
      <w:r w:rsidRPr="00BD646D">
        <w:rPr>
          <w:rFonts w:ascii="Arial" w:hAnsi="Arial" w:cs="Arial"/>
        </w:rPr>
        <w:t>Option Evaluation Summary</w:t>
      </w:r>
      <w:bookmarkEnd w:id="37"/>
    </w:p>
    <w:p w14:paraId="54E35306" w14:textId="77777777" w:rsidR="00BD646D" w:rsidRPr="00BD646D" w:rsidRDefault="00BD646D" w:rsidP="00CB6FBB">
      <w:pPr>
        <w:spacing w:line="360" w:lineRule="auto"/>
        <w:rPr>
          <w:rFonts w:cs="Arial"/>
        </w:rPr>
      </w:pPr>
      <w:r w:rsidRPr="00BD646D">
        <w:rPr>
          <w:rFonts w:cs="Arial"/>
        </w:rPr>
        <w:lastRenderedPageBreak/>
        <w:t>The in-situ repair option was ruled out because it would not restore full mechanical integrity and would require another major intervention within five years. Replacement offers a new service life of at least 15–20 years, eliminates current weaknesses, and restores full compliance with licensor design standards.</w:t>
      </w:r>
    </w:p>
    <w:p w14:paraId="2FF4DEC7" w14:textId="77777777" w:rsidR="00BD646D" w:rsidRPr="00BD646D" w:rsidRDefault="00BD646D" w:rsidP="00CB6FBB">
      <w:pPr>
        <w:spacing w:line="360" w:lineRule="auto"/>
        <w:rPr>
          <w:rFonts w:cs="Arial"/>
        </w:rPr>
      </w:pPr>
      <w:r w:rsidRPr="00BD646D">
        <w:rPr>
          <w:rFonts w:cs="Arial"/>
        </w:rPr>
        <w:t>The evaluation confirmed that the existing vessel cannot be relied upon to operate safely through the next run cycle, and that full replacement is the most practical and sustainable solution for the refinery.</w:t>
      </w:r>
    </w:p>
    <w:p w14:paraId="60134AB6" w14:textId="6F8457B9" w:rsidR="00BD646D" w:rsidRPr="00BD646D" w:rsidRDefault="00BD646D" w:rsidP="00CB6FBB">
      <w:pPr>
        <w:spacing w:line="360" w:lineRule="auto"/>
        <w:rPr>
          <w:rFonts w:cs="Arial"/>
        </w:rPr>
      </w:pPr>
    </w:p>
    <w:p w14:paraId="54C63064" w14:textId="77777777" w:rsidR="00BD646D" w:rsidRPr="00BD646D" w:rsidRDefault="00BD646D" w:rsidP="00CB6FBB">
      <w:pPr>
        <w:spacing w:line="360" w:lineRule="auto"/>
        <w:rPr>
          <w:rFonts w:cs="Arial"/>
        </w:rPr>
      </w:pPr>
      <w:r w:rsidRPr="00BD646D">
        <w:rPr>
          <w:rFonts w:cs="Arial"/>
        </w:rPr>
        <w:t>The methodology for this project combined inspection data, metallurgical analysis, engineering design review, and cost evaluation. Each method confirmed the same conclusion — that the existing TSS is beyond repair and that continued operation would pose both safety and environmental risks.</w:t>
      </w:r>
    </w:p>
    <w:p w14:paraId="523B6231" w14:textId="77777777" w:rsidR="00BD646D" w:rsidRPr="00BD646D" w:rsidRDefault="00BD646D" w:rsidP="00CB6FBB">
      <w:pPr>
        <w:spacing w:line="360" w:lineRule="auto"/>
        <w:rPr>
          <w:rFonts w:cs="Arial"/>
        </w:rPr>
      </w:pPr>
      <w:r w:rsidRPr="00BD646D">
        <w:rPr>
          <w:rFonts w:cs="Arial"/>
        </w:rPr>
        <w:t>The new Shell design resolves these problems by reducing internal velocity, improving weld quality, and extending the separator’s service life. The project therefore provides both operational reliability and long-term economic benefit for Pembroke Refinery.</w:t>
      </w:r>
    </w:p>
    <w:p w14:paraId="327AC374" w14:textId="77777777" w:rsidR="005D574E" w:rsidRDefault="005D574E" w:rsidP="00CB6FBB">
      <w:pPr>
        <w:spacing w:line="360" w:lineRule="auto"/>
        <w:rPr>
          <w:rFonts w:cs="Arial"/>
        </w:rPr>
      </w:pPr>
    </w:p>
    <w:p w14:paraId="67CC6035" w14:textId="7F8CF00D" w:rsidR="002C5BE1" w:rsidRPr="002C5BE1" w:rsidRDefault="002C5BE1" w:rsidP="00CB6FBB">
      <w:pPr>
        <w:pStyle w:val="Heading1"/>
        <w:spacing w:line="360" w:lineRule="auto"/>
      </w:pPr>
      <w:bookmarkStart w:id="38" w:name="_Toc230791069"/>
      <w:r w:rsidRPr="002C5BE1">
        <w:t>Results and Discussion</w:t>
      </w:r>
      <w:bookmarkEnd w:id="38"/>
      <w:r w:rsidRPr="002C5BE1">
        <w:t xml:space="preserve"> </w:t>
      </w:r>
    </w:p>
    <w:p w14:paraId="0E89D62E" w14:textId="738EBAB2" w:rsidR="002C5BE1" w:rsidRPr="002C5BE1" w:rsidRDefault="00A2600C" w:rsidP="00CB6FBB">
      <w:pPr>
        <w:spacing w:line="360" w:lineRule="auto"/>
        <w:rPr>
          <w:rFonts w:cs="Arial"/>
        </w:rPr>
      </w:pPr>
      <w:r w:rsidRPr="00A2600C">
        <w:rPr>
          <w:rFonts w:cs="Arial"/>
        </w:rPr>
        <w:t>This section presents and critically evaluates the findings from the inspection, metallurgical analysis, performance assessment, and engineering evaluation of the Third Stage Separator (TSS) at Pembroke Refinery. The results are considered together rather than in isolation, since the failure of the TSS represents an interaction between metallurgical degradation, mechanical fatigue, and declining process performance. Taken collectively, the evidence demonstrates that the vessel has exceeded its safe operating life and that full replacement is the only engineering solution that adequately addresses all three failure mechanisms simultaneously.</w:t>
      </w:r>
    </w:p>
    <w:p w14:paraId="58EA676B" w14:textId="77777777" w:rsidR="002C5BE1" w:rsidRPr="002C5BE1" w:rsidRDefault="002C5BE1" w:rsidP="00CB6FBB">
      <w:pPr>
        <w:pStyle w:val="Heading2"/>
        <w:spacing w:line="360" w:lineRule="auto"/>
      </w:pPr>
      <w:bookmarkStart w:id="39" w:name="_Toc230791070"/>
      <w:r w:rsidRPr="002C5BE1">
        <w:t>Inspection and Damage Assessment</w:t>
      </w:r>
      <w:bookmarkEnd w:id="39"/>
    </w:p>
    <w:p w14:paraId="5BBF3ABC" w14:textId="77777777" w:rsidR="00A2600C" w:rsidRPr="00A2600C" w:rsidRDefault="00A2600C" w:rsidP="00A2600C">
      <w:pPr>
        <w:spacing w:line="360" w:lineRule="auto"/>
        <w:rPr>
          <w:rFonts w:cs="Arial"/>
        </w:rPr>
      </w:pPr>
      <w:r w:rsidRPr="00A2600C">
        <w:rPr>
          <w:rFonts w:cs="Arial"/>
        </w:rPr>
        <w:t>The 2014 and 2021 turnaround inspections provided the most comprehensive condition data available for the TSS since its original installation in 1982. Comparison between the two inspections is particularly informative: it is not simply that damage was found, but that damage had progressed substantially despite repair attempts, indicating that the degradation mechanism was irreversible rather than manageable.</w:t>
      </w:r>
    </w:p>
    <w:p w14:paraId="0FB5AA3B" w14:textId="75C8E085" w:rsidR="00B32B0A" w:rsidRDefault="00A2600C" w:rsidP="00A2600C">
      <w:pPr>
        <w:spacing w:line="360" w:lineRule="auto"/>
        <w:rPr>
          <w:rFonts w:cs="Arial"/>
        </w:rPr>
      </w:pPr>
      <w:r w:rsidRPr="00A2600C">
        <w:rPr>
          <w:rFonts w:cs="Arial"/>
        </w:rPr>
        <w:lastRenderedPageBreak/>
        <w:t xml:space="preserve">In 2021, 74 of the 112 swirl vane welds were found cracked, and over 70 percent of the alignment can welds showed partial or full circumferential cracking (Valero, 2021). Many cracks extended beyond 180° of the weld </w:t>
      </w:r>
      <w:r w:rsidRPr="00A2600C">
        <w:rPr>
          <w:rFonts w:cs="Arial"/>
        </w:rPr>
        <w:t>circumferences</w:t>
      </w:r>
      <w:r w:rsidRPr="00A2600C">
        <w:rPr>
          <w:rFonts w:cs="Arial"/>
        </w:rPr>
        <w:t xml:space="preserve">, and through-wall cracking was detected in several lower-chamber welds. Critically, a number of welds that had been repaired during the 2014 turnaround had re-cracked, confirming that weld repair was not a viable long-term intervention. This is consistent with the findings of </w:t>
      </w:r>
      <w:proofErr w:type="spellStart"/>
      <w:r w:rsidRPr="00A2600C">
        <w:rPr>
          <w:rFonts w:cs="Arial"/>
        </w:rPr>
        <w:t>Kotecki</w:t>
      </w:r>
      <w:proofErr w:type="spellEnd"/>
      <w:r w:rsidRPr="00A2600C">
        <w:rPr>
          <w:rFonts w:cs="Arial"/>
        </w:rPr>
        <w:t xml:space="preserve"> and </w:t>
      </w:r>
      <w:proofErr w:type="spellStart"/>
      <w:r w:rsidRPr="00A2600C">
        <w:rPr>
          <w:rFonts w:cs="Arial"/>
        </w:rPr>
        <w:t>Lippold</w:t>
      </w:r>
      <w:proofErr w:type="spellEnd"/>
      <w:r w:rsidRPr="00A2600C">
        <w:rPr>
          <w:rFonts w:cs="Arial"/>
        </w:rPr>
        <w:t xml:space="preserve"> (2015), who note that heat input from repair welding accelerates sigma-phase formation in already-embrittled austenitic stainless steels, creating a self-defeating cycle where each repair worsens the underlying metallurgical condition.</w:t>
      </w:r>
      <w:r w:rsidR="00B32B0A" w:rsidRPr="00B32B0A">
        <w:rPr>
          <w:rFonts w:cs="Arial"/>
          <w:noProof/>
        </w:rPr>
        <w:drawing>
          <wp:inline distT="0" distB="0" distL="0" distR="0" wp14:anchorId="4C913DDB" wp14:editId="5EE74FE8">
            <wp:extent cx="4834393" cy="3901774"/>
            <wp:effectExtent l="0" t="0" r="4445" b="3810"/>
            <wp:docPr id="12" name="Picture 7">
              <a:extLst xmlns:a="http://schemas.openxmlformats.org/drawingml/2006/main">
                <a:ext uri="{FF2B5EF4-FFF2-40B4-BE49-F238E27FC236}">
                  <a16:creationId xmlns:a16="http://schemas.microsoft.com/office/drawing/2014/main" id="{A5AD992B-2424-4917-9A35-E065F8CBD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5AD992B-2424-4917-9A35-E065F8CBDA34}"/>
                        </a:ext>
                      </a:extLst>
                    </pic:cNvPr>
                    <pic:cNvPicPr>
                      <a:picLocks noChangeAspect="1"/>
                    </pic:cNvPicPr>
                  </pic:nvPicPr>
                  <pic:blipFill>
                    <a:blip r:embed="rId20"/>
                    <a:stretch>
                      <a:fillRect/>
                    </a:stretch>
                  </pic:blipFill>
                  <pic:spPr>
                    <a:xfrm>
                      <a:off x="0" y="0"/>
                      <a:ext cx="4860480" cy="3922829"/>
                    </a:xfrm>
                    <a:prstGeom prst="rect">
                      <a:avLst/>
                    </a:prstGeom>
                  </pic:spPr>
                </pic:pic>
              </a:graphicData>
            </a:graphic>
          </wp:inline>
        </w:drawing>
      </w:r>
    </w:p>
    <w:p w14:paraId="49EC7F77" w14:textId="2744BFBB" w:rsidR="00B32B0A" w:rsidRPr="002C5BE1" w:rsidRDefault="00B32B0A" w:rsidP="00CB6FBB">
      <w:pPr>
        <w:pStyle w:val="Caption"/>
        <w:spacing w:line="360" w:lineRule="auto"/>
        <w:rPr>
          <w:rFonts w:ascii="Arial" w:hAnsi="Arial" w:cs="Arial"/>
        </w:rPr>
      </w:pPr>
      <w:bookmarkStart w:id="40" w:name="_Toc230791139"/>
      <w:r>
        <w:t xml:space="preserve">Figure </w:t>
      </w:r>
      <w:r>
        <w:fldChar w:fldCharType="begin"/>
      </w:r>
      <w:r>
        <w:instrText xml:space="preserve"> SEQ Figure \* ARABIC </w:instrText>
      </w:r>
      <w:r>
        <w:fldChar w:fldCharType="separate"/>
      </w:r>
      <w:r w:rsidR="004048BF">
        <w:rPr>
          <w:noProof/>
        </w:rPr>
        <w:t>16</w:t>
      </w:r>
      <w:r>
        <w:fldChar w:fldCharType="end"/>
      </w:r>
      <w:r>
        <w:t xml:space="preserve"> -</w:t>
      </w:r>
      <w:r w:rsidRPr="00B32B0A">
        <w:rPr>
          <w:rFonts w:ascii="Arial" w:hAnsi="Arial" w:cs="Arial"/>
          <w:b/>
          <w:bCs/>
        </w:rPr>
        <w:t xml:space="preserve"> </w:t>
      </w:r>
      <w:r w:rsidRPr="00B32B0A">
        <w:rPr>
          <w:rFonts w:ascii="Arial" w:hAnsi="Arial" w:cs="Arial"/>
        </w:rPr>
        <w:t>Cracking at Swirl Tube and Alignment Can Welds</w:t>
      </w:r>
      <w:bookmarkEnd w:id="40"/>
    </w:p>
    <w:p w14:paraId="138755EA" w14:textId="77777777" w:rsidR="00A2600C" w:rsidRPr="00A2600C" w:rsidRDefault="00A2600C" w:rsidP="00A2600C">
      <w:pPr>
        <w:spacing w:line="360" w:lineRule="auto"/>
        <w:rPr>
          <w:rFonts w:cs="Arial"/>
          <w:lang w:val="en-US"/>
        </w:rPr>
      </w:pPr>
      <w:r w:rsidRPr="00A2600C">
        <w:rPr>
          <w:rFonts w:cs="Arial"/>
          <w:lang w:val="en-US"/>
        </w:rPr>
        <w:t xml:space="preserve">Finite Element Analysis (FEA) simulations modelled the mechanical stress distribution under thermal load, finding that differential expansion between the </w:t>
      </w:r>
      <w:proofErr w:type="spellStart"/>
      <w:r w:rsidRPr="00A2600C">
        <w:rPr>
          <w:rFonts w:cs="Arial"/>
          <w:lang w:val="en-US"/>
        </w:rPr>
        <w:t>tubesheet</w:t>
      </w:r>
      <w:proofErr w:type="spellEnd"/>
      <w:r w:rsidRPr="00A2600C">
        <w:rPr>
          <w:rFonts w:cs="Arial"/>
          <w:lang w:val="en-US"/>
        </w:rPr>
        <w:t xml:space="preserve"> and cyclone internals produced local stress intensities reaching approximately 85–90 percent of the 304H yield strength at 600°C. This is significant: materials operating at such a high proportion of their yield strength have very little fatigue reserve, meaning that even modest cyclic loading — such as normal start-up and shutdown temperature swings — is sufficient to initiate and propagate cracks. The correlation between FEA stress peaks and the observed crack locations provides strong validation that thermal </w:t>
      </w:r>
      <w:r w:rsidRPr="00A2600C">
        <w:rPr>
          <w:rFonts w:cs="Arial"/>
          <w:lang w:val="en-US"/>
        </w:rPr>
        <w:lastRenderedPageBreak/>
        <w:t>cycling stress was the primary driver of crack initiation, rather than overload or external impact.</w:t>
      </w:r>
    </w:p>
    <w:p w14:paraId="49F7C015" w14:textId="77777777" w:rsidR="00A2600C" w:rsidRPr="00A2600C" w:rsidRDefault="00A2600C" w:rsidP="00A2600C">
      <w:pPr>
        <w:spacing w:line="360" w:lineRule="auto"/>
        <w:rPr>
          <w:rFonts w:cs="Arial"/>
          <w:lang w:val="en-US"/>
        </w:rPr>
      </w:pPr>
      <w:r w:rsidRPr="00A2600C">
        <w:rPr>
          <w:rFonts w:cs="Arial"/>
          <w:lang w:val="en-US"/>
        </w:rPr>
        <w:t>It should be noted that the FEA model relied on assumed temperature boundary conditions and material properties derived from literature rather than direct in-service measurement. This introduces some uncertainty into the absolute stress values, though the qualitative conclusion — that the welds were operating near their stress limits — is well supported by the physical inspection findings.</w:t>
      </w:r>
    </w:p>
    <w:p w14:paraId="498B9CDA" w14:textId="6E8432BA" w:rsidR="002C5BE1" w:rsidRPr="00A2600C" w:rsidRDefault="002C5BE1" w:rsidP="00CB6FBB">
      <w:pPr>
        <w:spacing w:line="360" w:lineRule="auto"/>
        <w:rPr>
          <w:rFonts w:cs="Arial"/>
          <w:lang w:val="en-US"/>
        </w:rPr>
      </w:pPr>
    </w:p>
    <w:p w14:paraId="0C0D2546" w14:textId="77777777" w:rsidR="002C5BE1" w:rsidRPr="002C5BE1" w:rsidRDefault="002C5BE1" w:rsidP="00CB6FBB">
      <w:pPr>
        <w:pStyle w:val="Heading2"/>
        <w:spacing w:line="360" w:lineRule="auto"/>
      </w:pPr>
      <w:bookmarkStart w:id="41" w:name="_Toc230791071"/>
      <w:r w:rsidRPr="002C5BE1">
        <w:t>Metallurgical Analysis Results</w:t>
      </w:r>
      <w:bookmarkEnd w:id="41"/>
    </w:p>
    <w:p w14:paraId="29D1C4FE" w14:textId="77777777" w:rsidR="00A2600C" w:rsidRPr="00A2600C" w:rsidRDefault="00A2600C" w:rsidP="00A2600C">
      <w:pPr>
        <w:spacing w:line="360" w:lineRule="auto"/>
        <w:rPr>
          <w:rFonts w:cs="Arial"/>
        </w:rPr>
      </w:pPr>
      <w:r w:rsidRPr="00A2600C">
        <w:rPr>
          <w:rFonts w:cs="Arial"/>
        </w:rPr>
        <w:t>Metallurgical samples taken in 2021 were examined using optical and scanning electron microscopy. The analysis confirmed extensive sigma-phase precipitation within the weld metal and heat-affected zones, with hardness values ranging from 320 HV to 350 HV against a baseline of approximately 180 HV for unaffected 304H base metal. Chromium and molybdenum depletion were detected along grain boundaries, consistent with prolonged exposure above 560°C (Davis, 2018).</w:t>
      </w:r>
    </w:p>
    <w:p w14:paraId="6F7EFC78" w14:textId="77777777" w:rsidR="00A2600C" w:rsidRPr="00A2600C" w:rsidRDefault="00A2600C" w:rsidP="00A2600C">
      <w:pPr>
        <w:spacing w:line="360" w:lineRule="auto"/>
        <w:rPr>
          <w:rFonts w:cs="Arial"/>
        </w:rPr>
      </w:pPr>
      <w:r w:rsidRPr="00A2600C">
        <w:rPr>
          <w:rFonts w:cs="Arial"/>
        </w:rPr>
        <w:t xml:space="preserve">The hardness increase is significant not merely as a number but in terms of its mechanical consequences. A near-doubling of hardness in austenitic stainless steel is associated with a sharp reduction in fracture toughness and Charpy impact energy. Hau and </w:t>
      </w:r>
      <w:proofErr w:type="spellStart"/>
      <w:r w:rsidRPr="00A2600C">
        <w:rPr>
          <w:rFonts w:cs="Arial"/>
        </w:rPr>
        <w:t>Seijas</w:t>
      </w:r>
      <w:proofErr w:type="spellEnd"/>
      <w:r w:rsidRPr="00A2600C">
        <w:rPr>
          <w:rFonts w:cs="Arial"/>
        </w:rPr>
        <w:t xml:space="preserve"> (2006) demonstrated in comparable FCC service steels that sigma-phase contents above 10–12% could reduce absorbed impact energy to below 20 J, compared with values typically exceeding 150 J for unaffected 304H. While impact testing was not possible at Pembroke due to limited sample geometry, the hardness data and micrographic evidence of coarse sigma-phase networks are sufficient to infer a similarly severe reduction in toughness.</w:t>
      </w:r>
    </w:p>
    <w:p w14:paraId="75A86A45" w14:textId="77777777" w:rsidR="00A2600C" w:rsidRPr="00A2600C" w:rsidRDefault="00A2600C" w:rsidP="00A2600C">
      <w:pPr>
        <w:spacing w:line="360" w:lineRule="auto"/>
        <w:rPr>
          <w:rFonts w:cs="Arial"/>
        </w:rPr>
      </w:pPr>
      <w:r w:rsidRPr="00A2600C">
        <w:rPr>
          <w:rFonts w:cs="Arial"/>
        </w:rPr>
        <w:t>The irreversibility of sigma-phase embrittlement is a critical finding. Unlike fatigue cracking, which can sometimes be arrested by weld repair, sigma-phase formation cannot be reversed without full solution annealing above 1,050°C (</w:t>
      </w:r>
      <w:proofErr w:type="spellStart"/>
      <w:r w:rsidRPr="00A2600C">
        <w:rPr>
          <w:rFonts w:cs="Arial"/>
        </w:rPr>
        <w:t>Kotecki</w:t>
      </w:r>
      <w:proofErr w:type="spellEnd"/>
      <w:r w:rsidRPr="00A2600C">
        <w:rPr>
          <w:rFonts w:cs="Arial"/>
        </w:rPr>
        <w:t xml:space="preserve"> and </w:t>
      </w:r>
      <w:proofErr w:type="spellStart"/>
      <w:r w:rsidRPr="00A2600C">
        <w:rPr>
          <w:rFonts w:cs="Arial"/>
        </w:rPr>
        <w:t>Lippold</w:t>
      </w:r>
      <w:proofErr w:type="spellEnd"/>
      <w:r w:rsidRPr="00A2600C">
        <w:rPr>
          <w:rFonts w:cs="Arial"/>
        </w:rPr>
        <w:t>, 2015). For an in-service vessel, this treatment is entirely impractical. This finding alone disqualifies the in-situ repair option from consideration as a credible long-term solution, regardless of cost or schedule arguments.</w:t>
      </w:r>
    </w:p>
    <w:p w14:paraId="3AE749E0" w14:textId="5901E1CF" w:rsidR="002C5BE1" w:rsidRPr="002C5BE1" w:rsidRDefault="00A2600C" w:rsidP="00A2600C">
      <w:pPr>
        <w:spacing w:line="360" w:lineRule="auto"/>
        <w:rPr>
          <w:rFonts w:cs="Arial"/>
        </w:rPr>
      </w:pPr>
      <w:r w:rsidRPr="00A2600C">
        <w:rPr>
          <w:rFonts w:cs="Arial"/>
        </w:rPr>
        <w:t xml:space="preserve">The comparison between base metal (Sample 4, 175–190 HV, no sigma-phase detected) and the repaired weld region (Sample 5, 340–360 HV, severe sigma-phase exceeding 20%) is particularly telling. It demonstrates that not only were the original </w:t>
      </w:r>
      <w:r w:rsidRPr="00A2600C">
        <w:rPr>
          <w:rFonts w:cs="Arial"/>
        </w:rPr>
        <w:lastRenderedPageBreak/>
        <w:t>welds embrittled, but that previous repair attempts had accelerated the degradation process, producing the most severely affected material at precisely the locations most critical to structural integrity.</w:t>
      </w:r>
    </w:p>
    <w:p w14:paraId="5609ED37" w14:textId="77777777" w:rsidR="002C5BE1" w:rsidRPr="002C5BE1" w:rsidRDefault="002C5BE1" w:rsidP="00CB6FBB">
      <w:pPr>
        <w:pStyle w:val="Heading2"/>
        <w:spacing w:line="360" w:lineRule="auto"/>
      </w:pPr>
      <w:bookmarkStart w:id="42" w:name="_Toc230791072"/>
      <w:r w:rsidRPr="002C5BE1">
        <w:t>Thermal and Mechanical Fatigue Behaviour</w:t>
      </w:r>
      <w:bookmarkEnd w:id="42"/>
    </w:p>
    <w:p w14:paraId="53191BCD" w14:textId="77777777" w:rsidR="00A2600C" w:rsidRPr="00A2600C" w:rsidRDefault="00A2600C" w:rsidP="00A2600C">
      <w:pPr>
        <w:spacing w:line="360" w:lineRule="auto"/>
        <w:rPr>
          <w:rFonts w:cs="Arial"/>
        </w:rPr>
      </w:pPr>
      <w:r w:rsidRPr="00A2600C">
        <w:rPr>
          <w:rFonts w:cs="Arial"/>
        </w:rPr>
        <w:t>Thermal fatigue operated in parallel with metallurgical degradation throughout the TSS service life, and the interaction between the two mechanisms is what makes the failure mode so difficult to arrest. The vessel operates under repeated temperature cycles during start-up, shutdown, and load transitions. The temperature difference between the inlet gas (up to 680°C) and the shell wall (approximately 500°C) generates differential thermal expansion of 4–6 mm across the internal span, producing alternating tensile and compressive stresses at every weld interface.</w:t>
      </w:r>
    </w:p>
    <w:p w14:paraId="054C6882" w14:textId="77777777" w:rsidR="00A2600C" w:rsidRPr="00A2600C" w:rsidRDefault="00A2600C" w:rsidP="00A2600C">
      <w:pPr>
        <w:spacing w:line="360" w:lineRule="auto"/>
        <w:rPr>
          <w:rFonts w:cs="Arial"/>
        </w:rPr>
      </w:pPr>
      <w:r w:rsidRPr="00A2600C">
        <w:rPr>
          <w:rFonts w:cs="Arial"/>
        </w:rPr>
        <w:t>Lee and Anderson (2012) describe this as low-cycle thermal fatigue, in which the number of cycles to failure is determined by the strain range rather than the stress amplitude. In embrittled material, the strain range that can be tolerated before crack initiation is dramatically reduced. The combination of high thermal strain amplitude and severely reduced fracture toughness therefore produces a failure condition that is qualitatively different from either factor alone: neither thermal cycling nor sigma-phase embrittlement in isolation would necessarily have caused failure within 40 years of service, but their interaction created a failure condition that progressed rapidly between 2014 and 2021.</w:t>
      </w:r>
    </w:p>
    <w:p w14:paraId="0B4D2771" w14:textId="5F51FF51" w:rsidR="002C5BE1" w:rsidRDefault="00A2600C" w:rsidP="00A2600C">
      <w:pPr>
        <w:spacing w:line="360" w:lineRule="auto"/>
        <w:rPr>
          <w:rFonts w:cs="Arial"/>
        </w:rPr>
      </w:pPr>
      <w:r w:rsidRPr="00A2600C">
        <w:rPr>
          <w:rFonts w:cs="Arial"/>
        </w:rPr>
        <w:t>Mechanical vibration from gas flow, estimated at 20–25 m/s through the cyclone assemblies, provided an additional cyclic loading component. Once cracks had formed at weld interfaces, vibration significantly accelerated propagation, particularly in the lower-chamber alignment can welds where gas velocity is highest.</w:t>
      </w:r>
    </w:p>
    <w:p w14:paraId="3421E8B8" w14:textId="77777777" w:rsidR="00852146" w:rsidRPr="00852146" w:rsidRDefault="00852146" w:rsidP="00CB6FBB">
      <w:pPr>
        <w:pStyle w:val="Heading2"/>
        <w:spacing w:line="360" w:lineRule="auto"/>
      </w:pPr>
      <w:bookmarkStart w:id="43" w:name="_Toc230791073"/>
      <w:r w:rsidRPr="00852146">
        <w:rPr>
          <w:rFonts w:eastAsia="Times New Roman"/>
        </w:rPr>
        <w:t>Thermal Gradient Analysis and Stress Distribution</w:t>
      </w:r>
      <w:bookmarkEnd w:id="43"/>
    </w:p>
    <w:p w14:paraId="63906AD7" w14:textId="77777777" w:rsidR="00A2600C" w:rsidRPr="00A2600C" w:rsidRDefault="00A2600C" w:rsidP="00A2600C">
      <w:pPr>
        <w:spacing w:line="360" w:lineRule="auto"/>
        <w:rPr>
          <w:rFonts w:cs="Arial"/>
        </w:rPr>
      </w:pPr>
      <w:r w:rsidRPr="00A2600C">
        <w:rPr>
          <w:rFonts w:cs="Arial"/>
        </w:rPr>
        <w:t>Quantitative assessment of the thermal stress environment provides further insight into why the TSS degraded as rapidly as it did between the 2014 and 2021 turnarounds. During start-up, the internal cyclone assemblies reach operating temperature significantly faster than the outer shell, creating a transient thermal gradient. Using the linear thermal strain relationship:</w:t>
      </w:r>
    </w:p>
    <w:p w14:paraId="365F990A" w14:textId="77777777" w:rsidR="00A2600C" w:rsidRPr="00A2600C" w:rsidRDefault="00A2600C" w:rsidP="00A2600C">
      <w:pPr>
        <w:spacing w:line="360" w:lineRule="auto"/>
        <w:rPr>
          <w:rFonts w:cs="Arial"/>
        </w:rPr>
      </w:pPr>
      <w:proofErr w:type="spellStart"/>
      <w:r w:rsidRPr="00A2600C">
        <w:rPr>
          <w:rFonts w:cs="Arial"/>
        </w:rPr>
        <w:t>εt</w:t>
      </w:r>
      <w:proofErr w:type="spellEnd"/>
      <w:r w:rsidRPr="00A2600C">
        <w:rPr>
          <w:rFonts w:cs="Arial"/>
        </w:rPr>
        <w:t xml:space="preserve"> = α · ΔT</w:t>
      </w:r>
    </w:p>
    <w:p w14:paraId="0C7EF3CC" w14:textId="77777777" w:rsidR="00A2600C" w:rsidRPr="00A2600C" w:rsidRDefault="00A2600C" w:rsidP="00A2600C">
      <w:pPr>
        <w:spacing w:line="360" w:lineRule="auto"/>
        <w:rPr>
          <w:rFonts w:cs="Arial"/>
        </w:rPr>
      </w:pPr>
      <w:r w:rsidRPr="00A2600C">
        <w:rPr>
          <w:rFonts w:cs="Arial"/>
        </w:rPr>
        <w:lastRenderedPageBreak/>
        <w:t>where α is the coefficient of thermal expansion for 304H stainless steel (approximately 18 × 10</w:t>
      </w:r>
      <w:r w:rsidRPr="00A2600C">
        <w:rPr>
          <w:rFonts w:ascii="Cambria Math" w:hAnsi="Cambria Math" w:cs="Cambria Math"/>
        </w:rPr>
        <w:t>⁻</w:t>
      </w:r>
      <w:r w:rsidRPr="00A2600C">
        <w:rPr>
          <w:rFonts w:cs="Arial"/>
        </w:rPr>
        <w:t>⁶ /°C) and ΔT is the measured shell-to-internal temperature differential of approximately 180°C, the resulting thermal strain is:</w:t>
      </w:r>
    </w:p>
    <w:p w14:paraId="7D5B8071" w14:textId="77777777" w:rsidR="00A2600C" w:rsidRPr="00A2600C" w:rsidRDefault="00A2600C" w:rsidP="00A2600C">
      <w:pPr>
        <w:spacing w:line="360" w:lineRule="auto"/>
        <w:rPr>
          <w:rFonts w:cs="Arial"/>
        </w:rPr>
      </w:pPr>
      <w:proofErr w:type="spellStart"/>
      <w:r w:rsidRPr="00A2600C">
        <w:rPr>
          <w:rFonts w:cs="Arial"/>
        </w:rPr>
        <w:t>εt</w:t>
      </w:r>
      <w:proofErr w:type="spellEnd"/>
      <w:r w:rsidRPr="00A2600C">
        <w:rPr>
          <w:rFonts w:cs="Arial"/>
        </w:rPr>
        <w:t xml:space="preserve"> ≈ 18 × 10</w:t>
      </w:r>
      <w:r w:rsidRPr="00A2600C">
        <w:rPr>
          <w:rFonts w:ascii="Cambria Math" w:hAnsi="Cambria Math" w:cs="Cambria Math"/>
        </w:rPr>
        <w:t>⁻</w:t>
      </w:r>
      <w:r w:rsidRPr="00A2600C">
        <w:rPr>
          <w:rFonts w:cs="Arial"/>
        </w:rPr>
        <w:t>⁶ × 180 = 0.00324 (0.324%)</w:t>
      </w:r>
    </w:p>
    <w:p w14:paraId="3A5B7D1E" w14:textId="77777777" w:rsidR="00A2600C" w:rsidRPr="00A2600C" w:rsidRDefault="00A2600C" w:rsidP="00A2600C">
      <w:pPr>
        <w:spacing w:line="360" w:lineRule="auto"/>
        <w:rPr>
          <w:rFonts w:cs="Arial"/>
        </w:rPr>
      </w:pPr>
      <w:r w:rsidRPr="00A2600C">
        <w:rPr>
          <w:rFonts w:cs="Arial"/>
        </w:rPr>
        <w:t xml:space="preserve">Multiplying by the elastic modulus of 304H at 600°C (approximately 150 </w:t>
      </w:r>
      <w:proofErr w:type="spellStart"/>
      <w:r w:rsidRPr="00A2600C">
        <w:rPr>
          <w:rFonts w:cs="Arial"/>
        </w:rPr>
        <w:t>GPa</w:t>
      </w:r>
      <w:proofErr w:type="spellEnd"/>
      <w:r w:rsidRPr="00A2600C">
        <w:rPr>
          <w:rFonts w:cs="Arial"/>
        </w:rPr>
        <w:t xml:space="preserve">, noting the report's original value of 50 </w:t>
      </w:r>
      <w:proofErr w:type="spellStart"/>
      <w:r w:rsidRPr="00A2600C">
        <w:rPr>
          <w:rFonts w:cs="Arial"/>
        </w:rPr>
        <w:t>GPa</w:t>
      </w:r>
      <w:proofErr w:type="spellEnd"/>
      <w:r w:rsidRPr="00A2600C">
        <w:rPr>
          <w:rFonts w:cs="Arial"/>
        </w:rPr>
        <w:t xml:space="preserve"> is atypically low and likely reflects a different material condition) gives a stress range of approximately 486 MPa per thermal cycle. The yield strength of 304H at 600°C is approximately 140–170 MPa. This confirms that the thermal stresses generated during start-up were well in excess of the material's yield strength, placing the vessel firmly in the low-cycle fatigue regime where crack initiation can be expected within tens to hundreds of cycles rather than thousands.</w:t>
      </w:r>
    </w:p>
    <w:p w14:paraId="62DBAA5C" w14:textId="77777777" w:rsidR="00A2600C" w:rsidRPr="00A2600C" w:rsidRDefault="00A2600C" w:rsidP="00A2600C">
      <w:pPr>
        <w:spacing w:line="360" w:lineRule="auto"/>
        <w:rPr>
          <w:rFonts w:cs="Arial"/>
        </w:rPr>
      </w:pPr>
      <w:r w:rsidRPr="00A2600C">
        <w:rPr>
          <w:rFonts w:cs="Arial"/>
        </w:rPr>
        <w:t>It is important to acknowledge the assumptions embedded in this calculation. The ΔT of 180°C is based on representative operational data rather than direct thermocouple measurement at the precise weld locations of interest. Localised temperature gradients at stress concentration points such as weld toes may be higher or lower depending on insulation condition and flow distribution. Nevertheless, the calculation demonstrates that even under conservative assumptions, the stress environment was severe, and this is consistent with the observed rate of crack propagation between turnarounds.</w:t>
      </w:r>
    </w:p>
    <w:p w14:paraId="341BBC30" w14:textId="202369AF" w:rsidR="00852146" w:rsidRPr="002C5BE1" w:rsidRDefault="00A2600C" w:rsidP="00A2600C">
      <w:pPr>
        <w:spacing w:line="360" w:lineRule="auto"/>
        <w:rPr>
          <w:rFonts w:cs="Arial"/>
        </w:rPr>
      </w:pPr>
      <w:r w:rsidRPr="00A2600C">
        <w:rPr>
          <w:rFonts w:cs="Arial"/>
        </w:rPr>
        <w:t>The new design addresses this directly by incorporating thicker insulation around the inlet riser to reduce the shell-to-internal temperature lag, and by designing the cyclone mounting geometry to allow greater thermal movement without imposing stress on the welds.</w:t>
      </w:r>
    </w:p>
    <w:p w14:paraId="29EED5FF" w14:textId="77777777" w:rsidR="002C5BE1" w:rsidRPr="002C5BE1" w:rsidRDefault="002C5BE1" w:rsidP="00CB6FBB">
      <w:pPr>
        <w:pStyle w:val="Heading2"/>
        <w:spacing w:line="360" w:lineRule="auto"/>
      </w:pPr>
      <w:bookmarkStart w:id="44" w:name="_Toc230791074"/>
      <w:r w:rsidRPr="002C5BE1">
        <w:t>Cyclone Performance and Efficiency</w:t>
      </w:r>
      <w:bookmarkEnd w:id="44"/>
    </w:p>
    <w:p w14:paraId="3B975B8D" w14:textId="77777777" w:rsidR="00A2600C" w:rsidRPr="00A2600C" w:rsidRDefault="00A2600C" w:rsidP="00A2600C">
      <w:pPr>
        <w:spacing w:line="360" w:lineRule="auto"/>
        <w:rPr>
          <w:rFonts w:cs="Arial"/>
        </w:rPr>
      </w:pPr>
      <w:r w:rsidRPr="00A2600C">
        <w:rPr>
          <w:rFonts w:cs="Arial"/>
        </w:rPr>
        <w:t>The mechanical degradation of the TSS had a direct and measurable impact on separation efficiency, creating a feedback loop between structural failure and environmental non-compliance. As weld failures caused cyclone components to shift from their designed positions, the effective flow area through individual cyclones changed. Some cyclones experienced reduced flow due to partial blockage from displaced components; others carried excess flow as a consequence, increasing local gas velocity beyond design intent.</w:t>
      </w:r>
    </w:p>
    <w:p w14:paraId="38A01467" w14:textId="77777777" w:rsidR="00A2600C" w:rsidRPr="00A2600C" w:rsidRDefault="00A2600C" w:rsidP="00A2600C">
      <w:pPr>
        <w:spacing w:line="360" w:lineRule="auto"/>
        <w:rPr>
          <w:rFonts w:cs="Arial"/>
        </w:rPr>
      </w:pPr>
      <w:r w:rsidRPr="00A2600C">
        <w:rPr>
          <w:rFonts w:cs="Arial"/>
        </w:rPr>
        <w:lastRenderedPageBreak/>
        <w:t>This velocity increase is critical to separation performance. Using Barth's (1956) classical cyclone separation model, the cut size d</w:t>
      </w:r>
      <w:r w:rsidRPr="00A2600C">
        <w:rPr>
          <w:rFonts w:ascii="Cambria Math" w:hAnsi="Cambria Math" w:cs="Cambria Math"/>
        </w:rPr>
        <w:t>₅₀</w:t>
      </w:r>
      <w:r w:rsidRPr="00A2600C">
        <w:rPr>
          <w:rFonts w:cs="Arial"/>
        </w:rPr>
        <w:t xml:space="preserve"> — the particle diameter at which 50% collection efficiency is achieved — is proportional to the square root of gas velocity. An increase in velocity of 20% therefore raises the cut size by approximately 10%, meaning smaller particles escape capture and pass to the stack. The iso-kinetic sampling campaign conducted in early 2025 confirmed this prediction: outlet particulate loading had increased by approximately 20% compared to historical baseline averages, and the particle size distribution showed a shift toward finer particles, consistent with reduced cyclone collection efficiency at smaller diameters.</w:t>
      </w:r>
    </w:p>
    <w:p w14:paraId="7C44E769" w14:textId="703B87A2" w:rsidR="002C5BE1" w:rsidRDefault="00A2600C" w:rsidP="00A2600C">
      <w:pPr>
        <w:spacing w:line="360" w:lineRule="auto"/>
        <w:rPr>
          <w:rFonts w:cs="Arial"/>
        </w:rPr>
      </w:pPr>
      <w:r w:rsidRPr="00A2600C">
        <w:rPr>
          <w:rFonts w:cs="Arial"/>
        </w:rPr>
        <w:t>Three permit exceedances recorded in 2023, with peak concentrations above 70 mg/Nm³ against a limit of 50 mg/Nm³, confirm that the efficiency decline had crossed from an operational concern into a regulatory compliance failure. The increasing frequency of walnut-shell washing cycles required to control expander vibration from catalyst fines accumulation provides corroborating operational evidence that fines carry-over had increased substantially from pre-2014 levels.</w:t>
      </w:r>
    </w:p>
    <w:p w14:paraId="5B4419A1" w14:textId="04E1378D" w:rsidR="00ED0F80" w:rsidRDefault="00ED0F80" w:rsidP="00CB6FBB">
      <w:pPr>
        <w:spacing w:line="360" w:lineRule="auto"/>
        <w:rPr>
          <w:rFonts w:cs="Arial"/>
        </w:rPr>
      </w:pPr>
      <w:r w:rsidRPr="00ED0F80">
        <w:rPr>
          <w:rFonts w:cs="Arial"/>
          <w:noProof/>
        </w:rPr>
        <w:drawing>
          <wp:inline distT="0" distB="0" distL="0" distR="0" wp14:anchorId="4F1CD8B0" wp14:editId="20B1C82F">
            <wp:extent cx="4134214" cy="2610288"/>
            <wp:effectExtent l="0" t="0" r="0" b="0"/>
            <wp:docPr id="13" name="Picture 1">
              <a:extLst xmlns:a="http://schemas.openxmlformats.org/drawingml/2006/main">
                <a:ext uri="{FF2B5EF4-FFF2-40B4-BE49-F238E27FC236}">
                  <a16:creationId xmlns:a16="http://schemas.microsoft.com/office/drawing/2014/main" id="{1BA004AB-6C9A-41D8-9790-678EC1CAA3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BA004AB-6C9A-41D8-9790-678EC1CAA327}"/>
                        </a:ext>
                      </a:extLst>
                    </pic:cNvPr>
                    <pic:cNvPicPr>
                      <a:picLocks noChangeAspect="1"/>
                    </pic:cNvPicPr>
                  </pic:nvPicPr>
                  <pic:blipFill>
                    <a:blip r:embed="rId25"/>
                    <a:stretch>
                      <a:fillRect/>
                    </a:stretch>
                  </pic:blipFill>
                  <pic:spPr>
                    <a:xfrm>
                      <a:off x="0" y="0"/>
                      <a:ext cx="4134214" cy="2610288"/>
                    </a:xfrm>
                    <a:prstGeom prst="rect">
                      <a:avLst/>
                    </a:prstGeom>
                  </pic:spPr>
                </pic:pic>
              </a:graphicData>
            </a:graphic>
          </wp:inline>
        </w:drawing>
      </w:r>
    </w:p>
    <w:p w14:paraId="6B4A5D50" w14:textId="1CAD72E3" w:rsidR="00ED0F80" w:rsidRPr="00ED0F80" w:rsidRDefault="00ED0F80" w:rsidP="00CB6FBB">
      <w:pPr>
        <w:pStyle w:val="Caption"/>
        <w:spacing w:line="360" w:lineRule="auto"/>
        <w:rPr>
          <w:rFonts w:ascii="Arial" w:hAnsi="Arial" w:cs="Arial"/>
        </w:rPr>
      </w:pPr>
      <w:bookmarkStart w:id="45" w:name="_Toc230791140"/>
      <w:r>
        <w:t xml:space="preserve">Figure </w:t>
      </w:r>
      <w:r w:rsidRPr="00ED0F80">
        <w:fldChar w:fldCharType="begin"/>
      </w:r>
      <w:r w:rsidRPr="00ED0F80">
        <w:instrText xml:space="preserve"> SEQ Figure \* ARABIC </w:instrText>
      </w:r>
      <w:r w:rsidRPr="00ED0F80">
        <w:fldChar w:fldCharType="separate"/>
      </w:r>
      <w:r w:rsidR="004048BF">
        <w:rPr>
          <w:noProof/>
        </w:rPr>
        <w:t>17</w:t>
      </w:r>
      <w:r w:rsidRPr="00ED0F80">
        <w:fldChar w:fldCharType="end"/>
      </w:r>
      <w:r w:rsidRPr="00ED0F80">
        <w:t xml:space="preserve"> - </w:t>
      </w:r>
      <w:r w:rsidRPr="00ED0F80">
        <w:rPr>
          <w:rFonts w:ascii="Arial" w:hAnsi="Arial" w:cs="Arial"/>
        </w:rPr>
        <w:t>Iso-Kinetic Sampling Locations</w:t>
      </w:r>
      <w:bookmarkEnd w:id="45"/>
      <w:r>
        <w:rPr>
          <w:rFonts w:ascii="Arial" w:hAnsi="Arial" w:cs="Arial"/>
        </w:rPr>
        <w:t xml:space="preserve"> </w:t>
      </w:r>
    </w:p>
    <w:p w14:paraId="0061E6BE" w14:textId="475DCD34" w:rsidR="002C5BE1" w:rsidRDefault="00ED0F80" w:rsidP="00CB6FBB">
      <w:pPr>
        <w:spacing w:line="360" w:lineRule="auto"/>
        <w:rPr>
          <w:rFonts w:cs="Arial"/>
        </w:rPr>
      </w:pPr>
      <w:r w:rsidRPr="00ED0F80">
        <w:rPr>
          <w:rFonts w:cs="Arial"/>
        </w:rPr>
        <w:t>Locations</w:t>
      </w:r>
      <w:r>
        <w:rPr>
          <w:rFonts w:cs="Arial"/>
        </w:rPr>
        <w:t xml:space="preserve"> for sampling</w:t>
      </w:r>
      <w:r w:rsidRPr="00ED0F80">
        <w:rPr>
          <w:rFonts w:cs="Arial"/>
        </w:rPr>
        <w:t xml:space="preserve"> are A - TSS inlet, B - TSS Overflow, C - 4</w:t>
      </w:r>
      <w:r w:rsidRPr="00ED0F80">
        <w:rPr>
          <w:rFonts w:cs="Arial"/>
          <w:vertAlign w:val="superscript"/>
        </w:rPr>
        <w:t>th</w:t>
      </w:r>
      <w:r w:rsidRPr="00ED0F80">
        <w:rPr>
          <w:rFonts w:cs="Arial"/>
        </w:rPr>
        <w:t xml:space="preserve"> Stage Overflow &amp; D – Stack.</w:t>
      </w:r>
      <w:r>
        <w:rPr>
          <w:rFonts w:cs="Arial"/>
          <w:lang w:val="en-US"/>
        </w:rPr>
        <w:t xml:space="preserve"> </w:t>
      </w:r>
      <w:r w:rsidRPr="00ED0F80">
        <w:rPr>
          <w:rFonts w:cs="Arial"/>
        </w:rPr>
        <w:t>Primary data is particulate concentration, total mass loading and Particle Size Distribution</w:t>
      </w:r>
      <w:r w:rsidRPr="00ED0F80">
        <w:rPr>
          <w:rFonts w:cs="Arial"/>
          <w:b/>
          <w:bCs/>
        </w:rPr>
        <w:t xml:space="preserve"> </w:t>
      </w:r>
      <w:r w:rsidR="002C5BE1" w:rsidRPr="002C5BE1">
        <w:rPr>
          <w:rFonts w:cs="Arial"/>
        </w:rPr>
        <w:t>The data also revealed that fines generation within the TSS increased over time, indicating ongoing degradation. The measured outlet particulate concentration exceeded environmental permit limits three times in 2023.</w:t>
      </w:r>
    </w:p>
    <w:p w14:paraId="1B17C457" w14:textId="7D949A42" w:rsidR="004048BF" w:rsidRDefault="004048BF" w:rsidP="00CB6FBB">
      <w:pPr>
        <w:spacing w:line="360" w:lineRule="auto"/>
        <w:rPr>
          <w:rFonts w:cs="Arial"/>
          <w:lang w:val="en-US"/>
        </w:rPr>
      </w:pPr>
      <w:r w:rsidRPr="004048BF">
        <w:rPr>
          <w:rFonts w:cs="Arial"/>
          <w:noProof/>
        </w:rPr>
        <w:lastRenderedPageBreak/>
        <w:drawing>
          <wp:inline distT="0" distB="0" distL="0" distR="0" wp14:anchorId="48EED0B5" wp14:editId="44A281C0">
            <wp:extent cx="5731510" cy="2355215"/>
            <wp:effectExtent l="0" t="0" r="2540" b="6985"/>
            <wp:docPr id="25" name="Picture 3">
              <a:extLst xmlns:a="http://schemas.openxmlformats.org/drawingml/2006/main">
                <a:ext uri="{FF2B5EF4-FFF2-40B4-BE49-F238E27FC236}">
                  <a16:creationId xmlns:a16="http://schemas.microsoft.com/office/drawing/2014/main" id="{1C5D10B1-D416-4179-A735-73D55B4BB4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C5D10B1-D416-4179-A735-73D55B4BB4FF}"/>
                        </a:ext>
                      </a:extLst>
                    </pic:cNvPr>
                    <pic:cNvPicPr>
                      <a:picLocks noChangeAspect="1"/>
                    </pic:cNvPicPr>
                  </pic:nvPicPr>
                  <pic:blipFill>
                    <a:blip r:embed="rId26"/>
                    <a:stretch>
                      <a:fillRect/>
                    </a:stretch>
                  </pic:blipFill>
                  <pic:spPr>
                    <a:xfrm>
                      <a:off x="0" y="0"/>
                      <a:ext cx="5731510" cy="2355215"/>
                    </a:xfrm>
                    <a:prstGeom prst="rect">
                      <a:avLst/>
                    </a:prstGeom>
                  </pic:spPr>
                </pic:pic>
              </a:graphicData>
            </a:graphic>
          </wp:inline>
        </w:drawing>
      </w:r>
    </w:p>
    <w:p w14:paraId="35C71FB9" w14:textId="4639A477" w:rsidR="004048BF" w:rsidRPr="00ED0F80" w:rsidRDefault="004048BF" w:rsidP="00CB6FBB">
      <w:pPr>
        <w:pStyle w:val="Caption"/>
        <w:spacing w:line="360" w:lineRule="auto"/>
        <w:rPr>
          <w:rFonts w:ascii="Arial" w:hAnsi="Arial" w:cs="Arial"/>
          <w:lang w:val="en-US"/>
        </w:rPr>
      </w:pPr>
      <w:bookmarkStart w:id="46" w:name="_Toc230791141"/>
      <w:r>
        <w:t xml:space="preserve">Figure </w:t>
      </w:r>
      <w:r>
        <w:fldChar w:fldCharType="begin"/>
      </w:r>
      <w:r>
        <w:instrText xml:space="preserve"> SEQ Figure \* ARABIC </w:instrText>
      </w:r>
      <w:r>
        <w:fldChar w:fldCharType="separate"/>
      </w:r>
      <w:r>
        <w:rPr>
          <w:noProof/>
        </w:rPr>
        <w:t>18</w:t>
      </w:r>
      <w:r>
        <w:fldChar w:fldCharType="end"/>
      </w:r>
      <w:r>
        <w:t xml:space="preserve"> - </w:t>
      </w:r>
      <w:r w:rsidRPr="004048BF">
        <w:t>Frequency of walnut washing per quarter since 2019 to mitigate increased PRT expander vibrations as a result of catalyst accumulation.</w:t>
      </w:r>
      <w:bookmarkEnd w:id="46"/>
      <w:r w:rsidRPr="004048BF">
        <w:t xml:space="preserve"> </w:t>
      </w:r>
    </w:p>
    <w:p w14:paraId="4068B348" w14:textId="77777777" w:rsidR="002C5BE1" w:rsidRPr="002C5BE1" w:rsidRDefault="002C5BE1" w:rsidP="00CB6FBB">
      <w:pPr>
        <w:spacing w:line="360" w:lineRule="auto"/>
        <w:rPr>
          <w:rFonts w:cs="Arial"/>
        </w:rPr>
      </w:pPr>
      <w:r w:rsidRPr="002C5BE1">
        <w:rPr>
          <w:rFonts w:cs="Arial"/>
        </w:rPr>
        <w:t>These results demonstrate that mechanical deterioration directly impacted cyclone efficiency and increased downstream maintenance requirements.</w:t>
      </w:r>
    </w:p>
    <w:p w14:paraId="13627088" w14:textId="7053F227" w:rsidR="00852146" w:rsidRPr="00852146" w:rsidRDefault="00852146" w:rsidP="00CB6FBB">
      <w:pPr>
        <w:pStyle w:val="Heading2"/>
        <w:spacing w:line="360" w:lineRule="auto"/>
      </w:pPr>
      <w:bookmarkStart w:id="47" w:name="_Toc230791075"/>
      <w:r w:rsidRPr="00852146">
        <w:rPr>
          <w:rFonts w:eastAsia="Times New Roman"/>
        </w:rPr>
        <w:t>Comparison of Existing and New TSS Design Parameters</w:t>
      </w:r>
      <w:bookmarkEnd w:id="47"/>
    </w:p>
    <w:p w14:paraId="52F9F139" w14:textId="397508B6" w:rsidR="00852146" w:rsidRPr="00852146" w:rsidRDefault="00A2600C" w:rsidP="00CB6FBB">
      <w:pPr>
        <w:spacing w:line="360" w:lineRule="auto"/>
        <w:rPr>
          <w:rFonts w:cs="Arial"/>
        </w:rPr>
      </w:pPr>
      <w:r w:rsidRPr="00A2600C">
        <w:rPr>
          <w:rFonts w:cs="Arial"/>
        </w:rPr>
        <w:t>The performance improvement achievable through full vessel replacement can be assessed quantitatively through comparison of key design parameters, as shown in Table 6.</w:t>
      </w:r>
    </w:p>
    <w:tbl>
      <w:tblPr>
        <w:tblW w:w="869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3"/>
        <w:gridCol w:w="1749"/>
        <w:gridCol w:w="2162"/>
        <w:gridCol w:w="1438"/>
      </w:tblGrid>
      <w:tr w:rsidR="00852146" w:rsidRPr="00852146" w14:paraId="1BA4D268" w14:textId="77777777" w:rsidTr="00852146">
        <w:trPr>
          <w:trHeight w:val="448"/>
          <w:tblHeader/>
          <w:tblCellSpacing w:w="15" w:type="dxa"/>
        </w:trPr>
        <w:tc>
          <w:tcPr>
            <w:tcW w:w="0" w:type="auto"/>
            <w:vAlign w:val="center"/>
            <w:hideMark/>
          </w:tcPr>
          <w:p w14:paraId="59A7F7B0" w14:textId="77777777" w:rsidR="00852146" w:rsidRPr="00852146" w:rsidRDefault="00852146" w:rsidP="00CB6FBB">
            <w:pPr>
              <w:spacing w:line="360" w:lineRule="auto"/>
              <w:jc w:val="left"/>
              <w:rPr>
                <w:rFonts w:cs="Arial"/>
                <w:b/>
                <w:bCs/>
              </w:rPr>
            </w:pPr>
            <w:r w:rsidRPr="00852146">
              <w:rPr>
                <w:rFonts w:cs="Arial"/>
                <w:b/>
                <w:bCs/>
              </w:rPr>
              <w:t>Parameter</w:t>
            </w:r>
          </w:p>
        </w:tc>
        <w:tc>
          <w:tcPr>
            <w:tcW w:w="0" w:type="auto"/>
            <w:vAlign w:val="center"/>
            <w:hideMark/>
          </w:tcPr>
          <w:p w14:paraId="1BD60EEE" w14:textId="77777777" w:rsidR="00852146" w:rsidRPr="00852146" w:rsidRDefault="00852146" w:rsidP="00CB6FBB">
            <w:pPr>
              <w:spacing w:line="360" w:lineRule="auto"/>
              <w:jc w:val="left"/>
              <w:rPr>
                <w:rFonts w:cs="Arial"/>
                <w:b/>
                <w:bCs/>
              </w:rPr>
            </w:pPr>
            <w:r w:rsidRPr="00852146">
              <w:rPr>
                <w:rFonts w:cs="Arial"/>
                <w:b/>
                <w:bCs/>
              </w:rPr>
              <w:t>Existing TSS</w:t>
            </w:r>
          </w:p>
        </w:tc>
        <w:tc>
          <w:tcPr>
            <w:tcW w:w="0" w:type="auto"/>
            <w:vAlign w:val="center"/>
            <w:hideMark/>
          </w:tcPr>
          <w:p w14:paraId="7E077AD4" w14:textId="77777777" w:rsidR="00852146" w:rsidRPr="00852146" w:rsidRDefault="00852146" w:rsidP="00CB6FBB">
            <w:pPr>
              <w:spacing w:line="360" w:lineRule="auto"/>
              <w:jc w:val="left"/>
              <w:rPr>
                <w:rFonts w:cs="Arial"/>
                <w:b/>
                <w:bCs/>
              </w:rPr>
            </w:pPr>
            <w:r w:rsidRPr="00852146">
              <w:rPr>
                <w:rFonts w:cs="Arial"/>
                <w:b/>
                <w:bCs/>
              </w:rPr>
              <w:t>New TSS Design</w:t>
            </w:r>
          </w:p>
        </w:tc>
        <w:tc>
          <w:tcPr>
            <w:tcW w:w="0" w:type="auto"/>
            <w:vAlign w:val="center"/>
            <w:hideMark/>
          </w:tcPr>
          <w:p w14:paraId="000003F7" w14:textId="77777777" w:rsidR="00852146" w:rsidRPr="00852146" w:rsidRDefault="00852146" w:rsidP="00CB6FBB">
            <w:pPr>
              <w:spacing w:line="360" w:lineRule="auto"/>
              <w:jc w:val="left"/>
              <w:rPr>
                <w:rFonts w:cs="Arial"/>
                <w:b/>
                <w:bCs/>
              </w:rPr>
            </w:pPr>
            <w:r w:rsidRPr="00852146">
              <w:rPr>
                <w:rFonts w:cs="Arial"/>
                <w:b/>
                <w:bCs/>
              </w:rPr>
              <w:t>Change</w:t>
            </w:r>
          </w:p>
        </w:tc>
      </w:tr>
      <w:tr w:rsidR="00852146" w:rsidRPr="00852146" w14:paraId="4E9C1024" w14:textId="77777777" w:rsidTr="00852146">
        <w:trPr>
          <w:trHeight w:val="432"/>
          <w:tblCellSpacing w:w="15" w:type="dxa"/>
        </w:trPr>
        <w:tc>
          <w:tcPr>
            <w:tcW w:w="0" w:type="auto"/>
            <w:vAlign w:val="center"/>
            <w:hideMark/>
          </w:tcPr>
          <w:p w14:paraId="1D2891B0" w14:textId="77777777" w:rsidR="00852146" w:rsidRPr="00852146" w:rsidRDefault="00852146" w:rsidP="00CB6FBB">
            <w:pPr>
              <w:spacing w:line="360" w:lineRule="auto"/>
              <w:jc w:val="left"/>
              <w:rPr>
                <w:rFonts w:cs="Arial"/>
              </w:rPr>
            </w:pPr>
            <w:r w:rsidRPr="00852146">
              <w:rPr>
                <w:rFonts w:cs="Arial"/>
              </w:rPr>
              <w:t>Number of Cyclones</w:t>
            </w:r>
          </w:p>
        </w:tc>
        <w:tc>
          <w:tcPr>
            <w:tcW w:w="0" w:type="auto"/>
            <w:vAlign w:val="center"/>
            <w:hideMark/>
          </w:tcPr>
          <w:p w14:paraId="3869CD27" w14:textId="77777777" w:rsidR="00852146" w:rsidRPr="00852146" w:rsidRDefault="00852146" w:rsidP="00CB6FBB">
            <w:pPr>
              <w:spacing w:line="360" w:lineRule="auto"/>
              <w:jc w:val="left"/>
              <w:rPr>
                <w:rFonts w:cs="Arial"/>
              </w:rPr>
            </w:pPr>
            <w:r w:rsidRPr="00852146">
              <w:rPr>
                <w:rFonts w:cs="Arial"/>
              </w:rPr>
              <w:t>112</w:t>
            </w:r>
          </w:p>
        </w:tc>
        <w:tc>
          <w:tcPr>
            <w:tcW w:w="0" w:type="auto"/>
            <w:vAlign w:val="center"/>
            <w:hideMark/>
          </w:tcPr>
          <w:p w14:paraId="4DF01E32" w14:textId="77777777" w:rsidR="00852146" w:rsidRPr="00852146" w:rsidRDefault="00852146" w:rsidP="00CB6FBB">
            <w:pPr>
              <w:spacing w:line="360" w:lineRule="auto"/>
              <w:jc w:val="left"/>
              <w:rPr>
                <w:rFonts w:cs="Arial"/>
              </w:rPr>
            </w:pPr>
            <w:r w:rsidRPr="00852146">
              <w:rPr>
                <w:rFonts w:cs="Arial"/>
              </w:rPr>
              <w:t>144</w:t>
            </w:r>
          </w:p>
        </w:tc>
        <w:tc>
          <w:tcPr>
            <w:tcW w:w="0" w:type="auto"/>
            <w:vAlign w:val="center"/>
            <w:hideMark/>
          </w:tcPr>
          <w:p w14:paraId="0FC33384" w14:textId="77777777" w:rsidR="00852146" w:rsidRPr="00852146" w:rsidRDefault="00852146" w:rsidP="00CB6FBB">
            <w:pPr>
              <w:spacing w:line="360" w:lineRule="auto"/>
              <w:jc w:val="left"/>
              <w:rPr>
                <w:rFonts w:cs="Arial"/>
              </w:rPr>
            </w:pPr>
            <w:r w:rsidRPr="00852146">
              <w:rPr>
                <w:rFonts w:cs="Arial"/>
              </w:rPr>
              <w:t>+28%</w:t>
            </w:r>
          </w:p>
        </w:tc>
      </w:tr>
      <w:tr w:rsidR="00852146" w:rsidRPr="00852146" w14:paraId="0B70D0B9" w14:textId="77777777" w:rsidTr="00852146">
        <w:trPr>
          <w:trHeight w:val="416"/>
          <w:tblCellSpacing w:w="15" w:type="dxa"/>
        </w:trPr>
        <w:tc>
          <w:tcPr>
            <w:tcW w:w="0" w:type="auto"/>
            <w:vAlign w:val="center"/>
            <w:hideMark/>
          </w:tcPr>
          <w:p w14:paraId="54240FF7" w14:textId="77777777" w:rsidR="00852146" w:rsidRPr="00852146" w:rsidRDefault="00852146" w:rsidP="00CB6FBB">
            <w:pPr>
              <w:spacing w:line="360" w:lineRule="auto"/>
              <w:jc w:val="left"/>
              <w:rPr>
                <w:rFonts w:cs="Arial"/>
              </w:rPr>
            </w:pPr>
            <w:r w:rsidRPr="00852146">
              <w:rPr>
                <w:rFonts w:cs="Arial"/>
              </w:rPr>
              <w:t>Gas Velocity (m/s)</w:t>
            </w:r>
          </w:p>
        </w:tc>
        <w:tc>
          <w:tcPr>
            <w:tcW w:w="0" w:type="auto"/>
            <w:vAlign w:val="center"/>
            <w:hideMark/>
          </w:tcPr>
          <w:p w14:paraId="06855D3C" w14:textId="77777777" w:rsidR="00852146" w:rsidRPr="00852146" w:rsidRDefault="00852146" w:rsidP="00CB6FBB">
            <w:pPr>
              <w:spacing w:line="360" w:lineRule="auto"/>
              <w:jc w:val="left"/>
              <w:rPr>
                <w:rFonts w:cs="Arial"/>
              </w:rPr>
            </w:pPr>
            <w:r w:rsidRPr="00852146">
              <w:rPr>
                <w:rFonts w:cs="Arial"/>
              </w:rPr>
              <w:t>25</w:t>
            </w:r>
          </w:p>
        </w:tc>
        <w:tc>
          <w:tcPr>
            <w:tcW w:w="0" w:type="auto"/>
            <w:vAlign w:val="center"/>
            <w:hideMark/>
          </w:tcPr>
          <w:p w14:paraId="45568CDB" w14:textId="77777777" w:rsidR="00852146" w:rsidRPr="00852146" w:rsidRDefault="00852146" w:rsidP="00CB6FBB">
            <w:pPr>
              <w:spacing w:line="360" w:lineRule="auto"/>
              <w:jc w:val="left"/>
              <w:rPr>
                <w:rFonts w:cs="Arial"/>
              </w:rPr>
            </w:pPr>
            <w:r w:rsidRPr="00852146">
              <w:rPr>
                <w:rFonts w:cs="Arial"/>
              </w:rPr>
              <w:t>20</w:t>
            </w:r>
          </w:p>
        </w:tc>
        <w:tc>
          <w:tcPr>
            <w:tcW w:w="0" w:type="auto"/>
            <w:vAlign w:val="center"/>
            <w:hideMark/>
          </w:tcPr>
          <w:p w14:paraId="24668108" w14:textId="77777777" w:rsidR="00852146" w:rsidRPr="00852146" w:rsidRDefault="00852146" w:rsidP="00CB6FBB">
            <w:pPr>
              <w:spacing w:line="360" w:lineRule="auto"/>
              <w:jc w:val="left"/>
              <w:rPr>
                <w:rFonts w:cs="Arial"/>
              </w:rPr>
            </w:pPr>
            <w:r w:rsidRPr="00852146">
              <w:rPr>
                <w:rFonts w:cs="Arial"/>
              </w:rPr>
              <w:t>−20%</w:t>
            </w:r>
          </w:p>
        </w:tc>
      </w:tr>
      <w:tr w:rsidR="00852146" w:rsidRPr="00852146" w14:paraId="4D68AC3F" w14:textId="77777777" w:rsidTr="00852146">
        <w:trPr>
          <w:trHeight w:val="432"/>
          <w:tblCellSpacing w:w="15" w:type="dxa"/>
        </w:trPr>
        <w:tc>
          <w:tcPr>
            <w:tcW w:w="0" w:type="auto"/>
            <w:vAlign w:val="center"/>
            <w:hideMark/>
          </w:tcPr>
          <w:p w14:paraId="02040142" w14:textId="52799477" w:rsidR="00852146" w:rsidRPr="00852146" w:rsidRDefault="00852146" w:rsidP="00CB6FBB">
            <w:pPr>
              <w:spacing w:line="360" w:lineRule="auto"/>
              <w:jc w:val="left"/>
              <w:rPr>
                <w:rFonts w:cs="Arial"/>
              </w:rPr>
            </w:pPr>
            <w:r w:rsidRPr="00852146">
              <w:rPr>
                <w:rFonts w:cs="Arial"/>
              </w:rPr>
              <w:t>Cut-size d50 ​ (µm)</w:t>
            </w:r>
          </w:p>
        </w:tc>
        <w:tc>
          <w:tcPr>
            <w:tcW w:w="0" w:type="auto"/>
            <w:vAlign w:val="center"/>
            <w:hideMark/>
          </w:tcPr>
          <w:p w14:paraId="6EB0EF5B" w14:textId="77777777" w:rsidR="00852146" w:rsidRPr="00852146" w:rsidRDefault="00852146" w:rsidP="00CB6FBB">
            <w:pPr>
              <w:spacing w:line="360" w:lineRule="auto"/>
              <w:jc w:val="left"/>
              <w:rPr>
                <w:rFonts w:cs="Arial"/>
              </w:rPr>
            </w:pPr>
            <w:r w:rsidRPr="00852146">
              <w:rPr>
                <w:rFonts w:cs="Arial"/>
              </w:rPr>
              <w:t>8.5</w:t>
            </w:r>
          </w:p>
        </w:tc>
        <w:tc>
          <w:tcPr>
            <w:tcW w:w="0" w:type="auto"/>
            <w:vAlign w:val="center"/>
            <w:hideMark/>
          </w:tcPr>
          <w:p w14:paraId="14DB609D" w14:textId="77777777" w:rsidR="00852146" w:rsidRPr="00852146" w:rsidRDefault="00852146" w:rsidP="00CB6FBB">
            <w:pPr>
              <w:spacing w:line="360" w:lineRule="auto"/>
              <w:jc w:val="left"/>
              <w:rPr>
                <w:rFonts w:cs="Arial"/>
              </w:rPr>
            </w:pPr>
            <w:r w:rsidRPr="00852146">
              <w:rPr>
                <w:rFonts w:cs="Arial"/>
              </w:rPr>
              <w:t>6.8</w:t>
            </w:r>
          </w:p>
        </w:tc>
        <w:tc>
          <w:tcPr>
            <w:tcW w:w="0" w:type="auto"/>
            <w:vAlign w:val="center"/>
            <w:hideMark/>
          </w:tcPr>
          <w:p w14:paraId="3F161677" w14:textId="77777777" w:rsidR="00852146" w:rsidRPr="00852146" w:rsidRDefault="00852146" w:rsidP="00CB6FBB">
            <w:pPr>
              <w:spacing w:line="360" w:lineRule="auto"/>
              <w:jc w:val="left"/>
              <w:rPr>
                <w:rFonts w:cs="Arial"/>
              </w:rPr>
            </w:pPr>
            <w:r w:rsidRPr="00852146">
              <w:rPr>
                <w:rFonts w:cs="Arial"/>
              </w:rPr>
              <w:t>−20%</w:t>
            </w:r>
          </w:p>
        </w:tc>
      </w:tr>
      <w:tr w:rsidR="00852146" w:rsidRPr="00852146" w14:paraId="7E3486B2" w14:textId="77777777" w:rsidTr="00852146">
        <w:trPr>
          <w:trHeight w:val="432"/>
          <w:tblCellSpacing w:w="15" w:type="dxa"/>
        </w:trPr>
        <w:tc>
          <w:tcPr>
            <w:tcW w:w="0" w:type="auto"/>
            <w:vAlign w:val="center"/>
            <w:hideMark/>
          </w:tcPr>
          <w:p w14:paraId="43A4BEA2" w14:textId="77777777" w:rsidR="00852146" w:rsidRPr="00852146" w:rsidRDefault="00852146" w:rsidP="00CB6FBB">
            <w:pPr>
              <w:spacing w:line="360" w:lineRule="auto"/>
              <w:jc w:val="left"/>
              <w:rPr>
                <w:rFonts w:cs="Arial"/>
              </w:rPr>
            </w:pPr>
            <w:r w:rsidRPr="00852146">
              <w:rPr>
                <w:rFonts w:cs="Arial"/>
              </w:rPr>
              <w:t>Estimated Efficiency (%)</w:t>
            </w:r>
          </w:p>
        </w:tc>
        <w:tc>
          <w:tcPr>
            <w:tcW w:w="0" w:type="auto"/>
            <w:vAlign w:val="center"/>
            <w:hideMark/>
          </w:tcPr>
          <w:p w14:paraId="22322D36" w14:textId="77777777" w:rsidR="00852146" w:rsidRPr="00852146" w:rsidRDefault="00852146" w:rsidP="00CB6FBB">
            <w:pPr>
              <w:spacing w:line="360" w:lineRule="auto"/>
              <w:jc w:val="left"/>
              <w:rPr>
                <w:rFonts w:cs="Arial"/>
              </w:rPr>
            </w:pPr>
            <w:r w:rsidRPr="00852146">
              <w:rPr>
                <w:rFonts w:cs="Arial"/>
              </w:rPr>
              <w:t>99.5</w:t>
            </w:r>
          </w:p>
        </w:tc>
        <w:tc>
          <w:tcPr>
            <w:tcW w:w="0" w:type="auto"/>
            <w:vAlign w:val="center"/>
            <w:hideMark/>
          </w:tcPr>
          <w:p w14:paraId="79FD3AB8" w14:textId="77777777" w:rsidR="00852146" w:rsidRPr="00852146" w:rsidRDefault="00852146" w:rsidP="00CB6FBB">
            <w:pPr>
              <w:spacing w:line="360" w:lineRule="auto"/>
              <w:jc w:val="left"/>
              <w:rPr>
                <w:rFonts w:cs="Arial"/>
              </w:rPr>
            </w:pPr>
            <w:r w:rsidRPr="00852146">
              <w:rPr>
                <w:rFonts w:cs="Arial"/>
              </w:rPr>
              <w:t>99.8</w:t>
            </w:r>
          </w:p>
        </w:tc>
        <w:tc>
          <w:tcPr>
            <w:tcW w:w="0" w:type="auto"/>
            <w:vAlign w:val="center"/>
            <w:hideMark/>
          </w:tcPr>
          <w:p w14:paraId="02C29757" w14:textId="77777777" w:rsidR="00852146" w:rsidRPr="00852146" w:rsidRDefault="00852146" w:rsidP="00CB6FBB">
            <w:pPr>
              <w:spacing w:line="360" w:lineRule="auto"/>
              <w:jc w:val="left"/>
              <w:rPr>
                <w:rFonts w:cs="Arial"/>
              </w:rPr>
            </w:pPr>
            <w:r w:rsidRPr="00852146">
              <w:rPr>
                <w:rFonts w:cs="Arial"/>
              </w:rPr>
              <w:t>+0.3%</w:t>
            </w:r>
          </w:p>
        </w:tc>
      </w:tr>
      <w:tr w:rsidR="00852146" w:rsidRPr="00852146" w14:paraId="6226089A" w14:textId="77777777" w:rsidTr="00852146">
        <w:trPr>
          <w:trHeight w:val="432"/>
          <w:tblCellSpacing w:w="15" w:type="dxa"/>
        </w:trPr>
        <w:tc>
          <w:tcPr>
            <w:tcW w:w="0" w:type="auto"/>
            <w:vAlign w:val="center"/>
            <w:hideMark/>
          </w:tcPr>
          <w:p w14:paraId="40204D4F" w14:textId="77777777" w:rsidR="00852146" w:rsidRPr="00852146" w:rsidRDefault="00852146" w:rsidP="00CB6FBB">
            <w:pPr>
              <w:spacing w:line="360" w:lineRule="auto"/>
              <w:jc w:val="left"/>
              <w:rPr>
                <w:rFonts w:cs="Arial"/>
              </w:rPr>
            </w:pPr>
            <w:r w:rsidRPr="00852146">
              <w:rPr>
                <w:rFonts w:cs="Arial"/>
              </w:rPr>
              <w:t>Outlet Particulates (mg/Nm³)</w:t>
            </w:r>
          </w:p>
        </w:tc>
        <w:tc>
          <w:tcPr>
            <w:tcW w:w="0" w:type="auto"/>
            <w:vAlign w:val="center"/>
            <w:hideMark/>
          </w:tcPr>
          <w:p w14:paraId="324296CF" w14:textId="77777777" w:rsidR="00852146" w:rsidRPr="00852146" w:rsidRDefault="00852146" w:rsidP="00CB6FBB">
            <w:pPr>
              <w:spacing w:line="360" w:lineRule="auto"/>
              <w:jc w:val="left"/>
              <w:rPr>
                <w:rFonts w:cs="Arial"/>
              </w:rPr>
            </w:pPr>
            <w:r w:rsidRPr="00852146">
              <w:rPr>
                <w:rFonts w:cs="Arial"/>
              </w:rPr>
              <w:t>70</w:t>
            </w:r>
          </w:p>
        </w:tc>
        <w:tc>
          <w:tcPr>
            <w:tcW w:w="0" w:type="auto"/>
            <w:vAlign w:val="center"/>
            <w:hideMark/>
          </w:tcPr>
          <w:p w14:paraId="3FA04523" w14:textId="77777777" w:rsidR="00852146" w:rsidRPr="00852146" w:rsidRDefault="00852146" w:rsidP="00CB6FBB">
            <w:pPr>
              <w:spacing w:line="360" w:lineRule="auto"/>
              <w:jc w:val="left"/>
              <w:rPr>
                <w:rFonts w:cs="Arial"/>
              </w:rPr>
            </w:pPr>
            <w:r w:rsidRPr="00852146">
              <w:rPr>
                <w:rFonts w:cs="Arial"/>
              </w:rPr>
              <w:t>&lt;30</w:t>
            </w:r>
          </w:p>
        </w:tc>
        <w:tc>
          <w:tcPr>
            <w:tcW w:w="0" w:type="auto"/>
            <w:vAlign w:val="center"/>
            <w:hideMark/>
          </w:tcPr>
          <w:p w14:paraId="02892390" w14:textId="77777777" w:rsidR="00852146" w:rsidRPr="00852146" w:rsidRDefault="00852146" w:rsidP="00CB6FBB">
            <w:pPr>
              <w:spacing w:line="360" w:lineRule="auto"/>
              <w:jc w:val="left"/>
              <w:rPr>
                <w:rFonts w:cs="Arial"/>
              </w:rPr>
            </w:pPr>
            <w:r w:rsidRPr="00852146">
              <w:rPr>
                <w:rFonts w:cs="Arial"/>
              </w:rPr>
              <w:t>−57%</w:t>
            </w:r>
          </w:p>
        </w:tc>
      </w:tr>
      <w:tr w:rsidR="00852146" w:rsidRPr="00852146" w14:paraId="19CF58C0" w14:textId="77777777" w:rsidTr="00852146">
        <w:trPr>
          <w:trHeight w:val="448"/>
          <w:tblCellSpacing w:w="15" w:type="dxa"/>
        </w:trPr>
        <w:tc>
          <w:tcPr>
            <w:tcW w:w="0" w:type="auto"/>
            <w:vAlign w:val="center"/>
            <w:hideMark/>
          </w:tcPr>
          <w:p w14:paraId="6824EC1D" w14:textId="77777777" w:rsidR="00852146" w:rsidRPr="00852146" w:rsidRDefault="00852146" w:rsidP="00CB6FBB">
            <w:pPr>
              <w:spacing w:line="360" w:lineRule="auto"/>
              <w:jc w:val="left"/>
              <w:rPr>
                <w:rFonts w:cs="Arial"/>
              </w:rPr>
            </w:pPr>
            <w:r w:rsidRPr="00852146">
              <w:rPr>
                <w:rFonts w:cs="Arial"/>
              </w:rPr>
              <w:t>Design Life (years)</w:t>
            </w:r>
          </w:p>
        </w:tc>
        <w:tc>
          <w:tcPr>
            <w:tcW w:w="0" w:type="auto"/>
            <w:vAlign w:val="center"/>
            <w:hideMark/>
          </w:tcPr>
          <w:p w14:paraId="6B830227" w14:textId="77777777" w:rsidR="00852146" w:rsidRPr="00852146" w:rsidRDefault="00852146" w:rsidP="00CB6FBB">
            <w:pPr>
              <w:spacing w:line="360" w:lineRule="auto"/>
              <w:jc w:val="left"/>
              <w:rPr>
                <w:rFonts w:cs="Arial"/>
              </w:rPr>
            </w:pPr>
            <w:r w:rsidRPr="00852146">
              <w:rPr>
                <w:rFonts w:cs="Arial"/>
              </w:rPr>
              <w:t>40 (end-of-life)</w:t>
            </w:r>
          </w:p>
        </w:tc>
        <w:tc>
          <w:tcPr>
            <w:tcW w:w="0" w:type="auto"/>
            <w:vAlign w:val="center"/>
            <w:hideMark/>
          </w:tcPr>
          <w:p w14:paraId="1BF68868" w14:textId="77777777" w:rsidR="00852146" w:rsidRPr="00852146" w:rsidRDefault="00852146" w:rsidP="00CB6FBB">
            <w:pPr>
              <w:spacing w:line="360" w:lineRule="auto"/>
              <w:jc w:val="left"/>
              <w:rPr>
                <w:rFonts w:cs="Arial"/>
              </w:rPr>
            </w:pPr>
            <w:r w:rsidRPr="00852146">
              <w:rPr>
                <w:rFonts w:cs="Arial"/>
              </w:rPr>
              <w:t>15–20 (new cycle)</w:t>
            </w:r>
          </w:p>
        </w:tc>
        <w:tc>
          <w:tcPr>
            <w:tcW w:w="0" w:type="auto"/>
            <w:vAlign w:val="center"/>
            <w:hideMark/>
          </w:tcPr>
          <w:p w14:paraId="5BDBC988" w14:textId="77777777" w:rsidR="00852146" w:rsidRPr="00852146" w:rsidRDefault="00852146" w:rsidP="00CB6FBB">
            <w:pPr>
              <w:spacing w:line="360" w:lineRule="auto"/>
              <w:jc w:val="left"/>
              <w:rPr>
                <w:rFonts w:cs="Arial"/>
              </w:rPr>
            </w:pPr>
            <w:r w:rsidRPr="00852146">
              <w:rPr>
                <w:rFonts w:cs="Arial"/>
              </w:rPr>
              <w:t>New design</w:t>
            </w:r>
          </w:p>
        </w:tc>
      </w:tr>
    </w:tbl>
    <w:p w14:paraId="428C7845" w14:textId="77551926" w:rsidR="00852146" w:rsidRPr="00852146" w:rsidRDefault="004C15C7" w:rsidP="00CB6FBB">
      <w:pPr>
        <w:pStyle w:val="Caption"/>
        <w:spacing w:line="360" w:lineRule="auto"/>
        <w:rPr>
          <w:rFonts w:ascii="Arial" w:hAnsi="Arial" w:cs="Arial"/>
          <w:b/>
          <w:bCs/>
        </w:rPr>
      </w:pPr>
      <w:bookmarkStart w:id="48" w:name="_Toc230791160"/>
      <w:r>
        <w:t xml:space="preserve">Table </w:t>
      </w:r>
      <w:r>
        <w:fldChar w:fldCharType="begin"/>
      </w:r>
      <w:r>
        <w:instrText xml:space="preserve"> SEQ Table \* ARABIC </w:instrText>
      </w:r>
      <w:r>
        <w:fldChar w:fldCharType="separate"/>
      </w:r>
      <w:r w:rsidR="004048BF">
        <w:rPr>
          <w:noProof/>
        </w:rPr>
        <w:t>6</w:t>
      </w:r>
      <w:r>
        <w:fldChar w:fldCharType="end"/>
      </w:r>
      <w:r>
        <w:t xml:space="preserve"> -</w:t>
      </w:r>
      <w:r w:rsidRPr="004C15C7">
        <w:rPr>
          <w:rFonts w:ascii="Arial" w:hAnsi="Arial" w:cs="Arial"/>
        </w:rPr>
        <w:t xml:space="preserve"> </w:t>
      </w:r>
      <w:r w:rsidRPr="00852146">
        <w:rPr>
          <w:rFonts w:ascii="Arial" w:hAnsi="Arial" w:cs="Arial"/>
        </w:rPr>
        <w:t>gas velocity through each cyclone</w:t>
      </w:r>
      <w:r>
        <w:rPr>
          <w:rFonts w:ascii="Arial" w:hAnsi="Arial" w:cs="Arial"/>
        </w:rPr>
        <w:t xml:space="preserve"> comparison</w:t>
      </w:r>
      <w:bookmarkEnd w:id="48"/>
    </w:p>
    <w:p w14:paraId="6EB3F36C" w14:textId="77777777" w:rsidR="00A2600C" w:rsidRPr="00A2600C" w:rsidRDefault="00A2600C" w:rsidP="00A2600C">
      <w:pPr>
        <w:spacing w:line="360" w:lineRule="auto"/>
        <w:rPr>
          <w:rFonts w:cs="Arial"/>
        </w:rPr>
      </w:pPr>
      <w:r w:rsidRPr="00A2600C">
        <w:rPr>
          <w:rFonts w:cs="Arial"/>
        </w:rPr>
        <w:t xml:space="preserve">The 20% reduction in gas velocity achieved by increasing the cyclone count from 112 to 144 is the primary performance driver. According to the empirical erosion correlations of Guo et al. (2025), erosion rate scales approximately with the cube of impact velocity, meaning a 20% reduction in velocity corresponds to a reduction in erosion rate of approximately 49% — considerably greater than the 30% figure cited </w:t>
      </w:r>
      <w:r w:rsidRPr="00A2600C">
        <w:rPr>
          <w:rFonts w:cs="Arial"/>
        </w:rPr>
        <w:lastRenderedPageBreak/>
        <w:t>in the body of the report. This distinction matters because it changes the expected maintenance interval for the new vessel's internal surfaces.</w:t>
      </w:r>
    </w:p>
    <w:p w14:paraId="088E5792" w14:textId="77777777" w:rsidR="00A2600C" w:rsidRPr="00A2600C" w:rsidRDefault="00A2600C" w:rsidP="00A2600C">
      <w:pPr>
        <w:spacing w:line="360" w:lineRule="auto"/>
        <w:rPr>
          <w:rFonts w:cs="Arial"/>
        </w:rPr>
      </w:pPr>
      <w:r w:rsidRPr="00A2600C">
        <w:rPr>
          <w:rFonts w:cs="Arial"/>
        </w:rPr>
        <w:t>The reduction in outlet particulate concentration from 70 mg/Nm³ to below 30 mg/Nm³ represents a 57% improvement and reflects the combined effects of lower velocity, reduced cut size, and elimination of damaged cyclones that were bypassing gas. It should be noted that the target value of 30 mg/Nm³ is a design prediction based on the Shell licensor model; actual performance will need to be verified through post-commissioning iso-kinetic sampling before it can be confirmed as achieved. Post-installation testing should therefore be treated as a mandatory verification step rather than an optional follow-up.</w:t>
      </w:r>
    </w:p>
    <w:p w14:paraId="7840FB3B" w14:textId="57C22DB7" w:rsidR="00852146" w:rsidRPr="002C5BE1" w:rsidRDefault="00A2600C" w:rsidP="00A2600C">
      <w:pPr>
        <w:spacing w:line="360" w:lineRule="auto"/>
        <w:rPr>
          <w:rFonts w:cs="Arial"/>
        </w:rPr>
      </w:pPr>
      <w:r w:rsidRPr="00A2600C">
        <w:rPr>
          <w:rFonts w:cs="Arial"/>
        </w:rPr>
        <w:t>The apparent modesty of the efficiency improvement from 99.5% to 99.8% deserves specific comment. Because particulate emission is determined by the fraction that escapes rather than the fraction captured, a halving of the uncaptured fraction (from 0.5% to 0.2%) produces a proportionally much greater reduction in absolute emissions. This counterintuitive relationship should be clearly communicated when presenting the environmental case for the project.</w:t>
      </w:r>
    </w:p>
    <w:p w14:paraId="5F8D935C" w14:textId="77777777" w:rsidR="002C5BE1" w:rsidRPr="002C5BE1" w:rsidRDefault="002C5BE1" w:rsidP="00CB6FBB">
      <w:pPr>
        <w:pStyle w:val="Heading2"/>
        <w:spacing w:line="360" w:lineRule="auto"/>
      </w:pPr>
      <w:bookmarkStart w:id="49" w:name="_Toc230791076"/>
      <w:r w:rsidRPr="002C5BE1">
        <w:t>Environmental Performance</w:t>
      </w:r>
      <w:bookmarkEnd w:id="49"/>
    </w:p>
    <w:p w14:paraId="5745E259" w14:textId="77777777" w:rsidR="00A2600C" w:rsidRPr="00A2600C" w:rsidRDefault="00A2600C" w:rsidP="00A2600C">
      <w:pPr>
        <w:spacing w:line="360" w:lineRule="auto"/>
        <w:rPr>
          <w:rFonts w:cs="Arial"/>
        </w:rPr>
      </w:pPr>
      <w:r w:rsidRPr="00A2600C">
        <w:rPr>
          <w:rFonts w:cs="Arial"/>
        </w:rPr>
        <w:t>The environmental consequences of the TSS degradation extend beyond the three recorded permit exceedances. Under Pembroke's Environmental Permit and the Industrial Emissions Directive (IED), repeated exceedances carry the risk of regulatory enforcement action, including permit review and potential production restriction. Each exceedance also requires formal notification to the Environment Agency and a root cause analysis report, creating regulatory overhead that diverts engineering resource from proactive maintenance.</w:t>
      </w:r>
    </w:p>
    <w:p w14:paraId="13B33BA2" w14:textId="2F0960E0" w:rsidR="002C5BE1" w:rsidRPr="002C5BE1" w:rsidRDefault="00A2600C" w:rsidP="00A2600C">
      <w:pPr>
        <w:spacing w:line="360" w:lineRule="auto"/>
        <w:rPr>
          <w:rFonts w:cs="Arial"/>
        </w:rPr>
      </w:pPr>
      <w:r w:rsidRPr="00A2600C">
        <w:rPr>
          <w:rFonts w:cs="Arial"/>
        </w:rPr>
        <w:t xml:space="preserve">The replacement TSS's predicted outlet concentration of below 30 mg/Nm³ provides a substantial compliance margin below the 50 mg/Nm³ permit limit and aligns the FCC complex with Best Available Technology (BAT) standards as defined in the EU Refining BREF. This margin is important not only for day-to-day compliance but also as protection against future regulatory tightening. DEFRA (2022) has signalled a trend toward stricter particulate emission limits for refinery installations, and a TSS performing well below current limits will have greater longevity before further capital investment is </w:t>
      </w:r>
      <w:proofErr w:type="gramStart"/>
      <w:r w:rsidRPr="00A2600C">
        <w:rPr>
          <w:rFonts w:cs="Arial"/>
        </w:rPr>
        <w:t>required.</w:t>
      </w:r>
      <w:r w:rsidR="002C5BE1" w:rsidRPr="002C5BE1">
        <w:rPr>
          <w:rFonts w:cs="Arial"/>
        </w:rPr>
        <w:t>.</w:t>
      </w:r>
      <w:proofErr w:type="gramEnd"/>
    </w:p>
    <w:p w14:paraId="33EFA0F3" w14:textId="77777777" w:rsidR="002C5BE1" w:rsidRPr="002C5BE1" w:rsidRDefault="002C5BE1" w:rsidP="00CB6FBB">
      <w:pPr>
        <w:pStyle w:val="Heading2"/>
        <w:spacing w:line="360" w:lineRule="auto"/>
      </w:pPr>
      <w:bookmarkStart w:id="50" w:name="_Toc230791077"/>
      <w:r w:rsidRPr="002C5BE1">
        <w:lastRenderedPageBreak/>
        <w:t>Evaluation of Repair and Replacement Options</w:t>
      </w:r>
      <w:bookmarkEnd w:id="50"/>
    </w:p>
    <w:p w14:paraId="0AFE51EA" w14:textId="19D3FA41" w:rsidR="002C5BE1" w:rsidRDefault="002C5BE1" w:rsidP="00CB6FBB">
      <w:pPr>
        <w:spacing w:line="360" w:lineRule="auto"/>
        <w:rPr>
          <w:rFonts w:cs="Arial"/>
        </w:rPr>
      </w:pPr>
      <w:r w:rsidRPr="002C5BE1">
        <w:rPr>
          <w:rFonts w:cs="Arial"/>
        </w:rPr>
        <w:t xml:space="preserve">The two repair options were compared based on duration, cost, and risk. The in-situ repair required sequential removal and replacement of cyclones, taking </w:t>
      </w:r>
      <w:r w:rsidR="004048BF">
        <w:rPr>
          <w:rFonts w:cs="Arial"/>
        </w:rPr>
        <w:t>102</w:t>
      </w:r>
      <w:r w:rsidRPr="002C5BE1">
        <w:rPr>
          <w:rFonts w:cs="Arial"/>
        </w:rPr>
        <w:t xml:space="preserve"> days oil-to-oil compared with </w:t>
      </w:r>
      <w:r w:rsidR="004048BF">
        <w:rPr>
          <w:rFonts w:cs="Arial"/>
        </w:rPr>
        <w:t>62</w:t>
      </w:r>
      <w:r w:rsidRPr="002C5BE1">
        <w:rPr>
          <w:rFonts w:cs="Arial"/>
        </w:rPr>
        <w:t xml:space="preserve"> days for full replacement.</w:t>
      </w:r>
    </w:p>
    <w:p w14:paraId="15087972" w14:textId="2831A244" w:rsidR="004048BF" w:rsidRDefault="004048BF" w:rsidP="00CB6FBB">
      <w:pPr>
        <w:spacing w:line="360" w:lineRule="auto"/>
        <w:rPr>
          <w:rFonts w:cs="Arial"/>
        </w:rPr>
      </w:pPr>
      <w:r w:rsidRPr="004048BF">
        <w:rPr>
          <w:rFonts w:cs="Arial"/>
          <w:noProof/>
        </w:rPr>
        <w:drawing>
          <wp:inline distT="0" distB="0" distL="0" distR="0" wp14:anchorId="132AD303" wp14:editId="6CEDD86E">
            <wp:extent cx="4457929" cy="86364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57929" cy="863644"/>
                    </a:xfrm>
                    <a:prstGeom prst="rect">
                      <a:avLst/>
                    </a:prstGeom>
                  </pic:spPr>
                </pic:pic>
              </a:graphicData>
            </a:graphic>
          </wp:inline>
        </w:drawing>
      </w:r>
    </w:p>
    <w:p w14:paraId="178820A9" w14:textId="0D5A12A4" w:rsidR="004048BF" w:rsidRPr="002C5BE1" w:rsidRDefault="004048BF" w:rsidP="00CB6FBB">
      <w:pPr>
        <w:pStyle w:val="Caption"/>
        <w:spacing w:line="360" w:lineRule="auto"/>
        <w:rPr>
          <w:rFonts w:ascii="Arial" w:hAnsi="Arial" w:cs="Arial"/>
        </w:rPr>
      </w:pPr>
      <w:bookmarkStart w:id="51" w:name="_Toc230791161"/>
      <w:r>
        <w:t xml:space="preserve">Table </w:t>
      </w:r>
      <w:r>
        <w:fldChar w:fldCharType="begin"/>
      </w:r>
      <w:r>
        <w:instrText xml:space="preserve"> SEQ Table \* ARABIC </w:instrText>
      </w:r>
      <w:r>
        <w:fldChar w:fldCharType="separate"/>
      </w:r>
      <w:r>
        <w:rPr>
          <w:noProof/>
        </w:rPr>
        <w:t>7</w:t>
      </w:r>
      <w:r>
        <w:fldChar w:fldCharType="end"/>
      </w:r>
      <w:r>
        <w:t xml:space="preserve"> - </w:t>
      </w:r>
      <w:r w:rsidRPr="004048BF">
        <w:rPr>
          <w:rFonts w:ascii="Arial" w:hAnsi="Arial" w:cs="Arial"/>
        </w:rPr>
        <w:t>Duration Comparison Between In-situ Repair and Vessel Replacement</w:t>
      </w:r>
      <w:bookmarkEnd w:id="51"/>
    </w:p>
    <w:p w14:paraId="6306CAFF" w14:textId="77777777" w:rsidR="002C5BE1" w:rsidRPr="002C5BE1" w:rsidRDefault="002C5BE1" w:rsidP="00CB6FBB">
      <w:pPr>
        <w:spacing w:line="360" w:lineRule="auto"/>
        <w:rPr>
          <w:rFonts w:cs="Arial"/>
        </w:rPr>
      </w:pPr>
      <w:r w:rsidRPr="002C5BE1">
        <w:rPr>
          <w:rFonts w:cs="Arial"/>
        </w:rPr>
        <w:t>The repair also involved welding onto embrittled material, which is not recommended under Shell’s design standards (Shell, 2024). This would likely result in early re-cracking. The full vessel replacement, by contrast, offers complete removal of degraded metal and allows implementation of the updated Shell licensor design.</w:t>
      </w:r>
    </w:p>
    <w:p w14:paraId="16A67EEB" w14:textId="191B08F8" w:rsidR="002C5BE1" w:rsidRDefault="002C5BE1" w:rsidP="00CB6FBB">
      <w:pPr>
        <w:spacing w:line="360" w:lineRule="auto"/>
        <w:rPr>
          <w:rFonts w:cs="Arial"/>
        </w:rPr>
      </w:pPr>
      <w:r w:rsidRPr="002C5BE1">
        <w:rPr>
          <w:rFonts w:cs="Arial"/>
        </w:rPr>
        <w:t>Cost comparison showed the in-situ repair at £11.0 million and replacement at £13.6 million. Although slightly higher, the replacement eliminates future rework and reduces downtime losses estimated at £39 million if the FCC unit remained offline for the longer duration.</w:t>
      </w:r>
    </w:p>
    <w:p w14:paraId="043CB355" w14:textId="63E17A87" w:rsidR="004048BF" w:rsidRDefault="004048BF" w:rsidP="00CB6FBB">
      <w:pPr>
        <w:spacing w:line="360" w:lineRule="auto"/>
        <w:rPr>
          <w:rFonts w:cs="Arial"/>
        </w:rPr>
      </w:pPr>
      <w:r w:rsidRPr="004048BF">
        <w:rPr>
          <w:rFonts w:cs="Arial"/>
          <w:noProof/>
        </w:rPr>
        <w:drawing>
          <wp:inline distT="0" distB="0" distL="0" distR="0" wp14:anchorId="5C266695" wp14:editId="3816A03E">
            <wp:extent cx="5366692" cy="1756372"/>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83439" cy="1761853"/>
                    </a:xfrm>
                    <a:prstGeom prst="rect">
                      <a:avLst/>
                    </a:prstGeom>
                  </pic:spPr>
                </pic:pic>
              </a:graphicData>
            </a:graphic>
          </wp:inline>
        </w:drawing>
      </w:r>
    </w:p>
    <w:p w14:paraId="0C5FAE87" w14:textId="029587F0" w:rsidR="002C5BE1" w:rsidRPr="002C5BE1" w:rsidRDefault="004048BF" w:rsidP="00CB6FBB">
      <w:pPr>
        <w:pStyle w:val="Caption"/>
        <w:spacing w:line="360" w:lineRule="auto"/>
        <w:rPr>
          <w:rFonts w:ascii="Arial" w:hAnsi="Arial" w:cs="Arial"/>
        </w:rPr>
      </w:pPr>
      <w:bookmarkStart w:id="52" w:name="_Toc230791162"/>
      <w:r>
        <w:t xml:space="preserve">Table </w:t>
      </w:r>
      <w:r>
        <w:fldChar w:fldCharType="begin"/>
      </w:r>
      <w:r>
        <w:instrText xml:space="preserve"> SEQ Table \* ARABIC </w:instrText>
      </w:r>
      <w:r>
        <w:fldChar w:fldCharType="separate"/>
      </w:r>
      <w:r>
        <w:rPr>
          <w:noProof/>
        </w:rPr>
        <w:t>8</w:t>
      </w:r>
      <w:r>
        <w:fldChar w:fldCharType="end"/>
      </w:r>
      <w:r>
        <w:t xml:space="preserve"> - </w:t>
      </w:r>
      <w:r w:rsidRPr="004048BF">
        <w:rPr>
          <w:rFonts w:ascii="Arial" w:hAnsi="Arial" w:cs="Arial"/>
        </w:rPr>
        <w:t>Cost Estimate Comparison</w:t>
      </w:r>
      <w:bookmarkEnd w:id="52"/>
    </w:p>
    <w:p w14:paraId="4DB72A83" w14:textId="77777777" w:rsidR="002C5BE1" w:rsidRPr="002C5BE1" w:rsidRDefault="002C5BE1" w:rsidP="00CB6FBB">
      <w:pPr>
        <w:spacing w:line="360" w:lineRule="auto"/>
        <w:rPr>
          <w:rFonts w:cs="Arial"/>
        </w:rPr>
      </w:pPr>
      <w:r w:rsidRPr="002C5BE1">
        <w:rPr>
          <w:rFonts w:cs="Arial"/>
        </w:rPr>
        <w:t>Phase 3 refined the replacement cost to £21.0 million, accounting for additional internals, inflation, and expanded engineering scope. A further £2.8 million was approved for early procurement of the long-lead cyclone components (Valero, 2025).</w:t>
      </w:r>
    </w:p>
    <w:p w14:paraId="1FEDEFCD" w14:textId="580D9A4A" w:rsidR="002C5BE1" w:rsidRPr="002C5BE1" w:rsidRDefault="002C5BE1" w:rsidP="00CB6FBB">
      <w:pPr>
        <w:spacing w:line="360" w:lineRule="auto"/>
        <w:rPr>
          <w:rFonts w:cs="Arial"/>
        </w:rPr>
      </w:pPr>
      <w:r w:rsidRPr="002C5BE1">
        <w:rPr>
          <w:rFonts w:cs="Arial"/>
        </w:rPr>
        <w:t>The new schedule confirms that vessel fabrication and delivery will be complete by May 2027, with installation in the 3Q27 turnaround. The mechanical execution duration of 3</w:t>
      </w:r>
      <w:r w:rsidR="00A2600C">
        <w:rPr>
          <w:rFonts w:cs="Arial"/>
        </w:rPr>
        <w:t>3</w:t>
      </w:r>
      <w:r w:rsidRPr="002C5BE1">
        <w:rPr>
          <w:rFonts w:cs="Arial"/>
        </w:rPr>
        <w:t xml:space="preserve"> days will not impact the critical path.</w:t>
      </w:r>
    </w:p>
    <w:p w14:paraId="061558A7" w14:textId="77777777" w:rsidR="002C5BE1" w:rsidRPr="002C5BE1" w:rsidRDefault="002C5BE1" w:rsidP="00CB6FBB">
      <w:pPr>
        <w:pStyle w:val="Heading1"/>
        <w:spacing w:line="360" w:lineRule="auto"/>
      </w:pPr>
      <w:bookmarkStart w:id="53" w:name="_Toc230791078"/>
      <w:r w:rsidRPr="002C5BE1">
        <w:lastRenderedPageBreak/>
        <w:t>Design and Reliability Improvements</w:t>
      </w:r>
      <w:bookmarkEnd w:id="53"/>
    </w:p>
    <w:p w14:paraId="7BF6B596" w14:textId="77777777" w:rsidR="002C5BE1" w:rsidRDefault="002C5BE1" w:rsidP="00CB6FBB">
      <w:pPr>
        <w:spacing w:line="360" w:lineRule="auto"/>
        <w:rPr>
          <w:rFonts w:cs="Arial"/>
        </w:rPr>
      </w:pPr>
      <w:r w:rsidRPr="002C5BE1">
        <w:rPr>
          <w:rFonts w:cs="Arial"/>
        </w:rPr>
        <w:t>The replacement vessel incorporates 144 axial-flow cyclones instead of 112. This design change reduces gas velocity through each cyclone by approximately 18 percent, lowering erosion and turbulence. The inlet and outlet nozzles are also slightly enlarged to maintain balanced flow.</w:t>
      </w:r>
    </w:p>
    <w:p w14:paraId="117FBEF1" w14:textId="6B051CF8" w:rsidR="004048BF" w:rsidRDefault="004048BF" w:rsidP="00CB6FBB">
      <w:pPr>
        <w:spacing w:line="360" w:lineRule="auto"/>
        <w:rPr>
          <w:rFonts w:cs="Arial"/>
        </w:rPr>
      </w:pPr>
      <w:r w:rsidRPr="004048BF">
        <w:rPr>
          <w:rFonts w:cs="Arial"/>
          <w:noProof/>
        </w:rPr>
        <w:drawing>
          <wp:inline distT="0" distB="0" distL="0" distR="0" wp14:anchorId="615633FD" wp14:editId="302563F9">
            <wp:extent cx="3485584" cy="4413168"/>
            <wp:effectExtent l="0" t="0" r="63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495530" cy="4425761"/>
                    </a:xfrm>
                    <a:prstGeom prst="rect">
                      <a:avLst/>
                    </a:prstGeom>
                    <a:noFill/>
                    <a:ln>
                      <a:noFill/>
                    </a:ln>
                  </pic:spPr>
                </pic:pic>
              </a:graphicData>
            </a:graphic>
          </wp:inline>
        </w:drawing>
      </w:r>
    </w:p>
    <w:p w14:paraId="42A1412A" w14:textId="3153697F" w:rsidR="002C5BE1" w:rsidRPr="002C5BE1" w:rsidRDefault="004048BF" w:rsidP="00CB6FBB">
      <w:pPr>
        <w:pStyle w:val="Caption"/>
        <w:spacing w:line="360" w:lineRule="auto"/>
        <w:rPr>
          <w:rFonts w:ascii="Arial" w:hAnsi="Arial" w:cs="Arial"/>
        </w:rPr>
      </w:pPr>
      <w:bookmarkStart w:id="54" w:name="_Toc230791142"/>
      <w:r>
        <w:t xml:space="preserve">Figure </w:t>
      </w:r>
      <w:r>
        <w:fldChar w:fldCharType="begin"/>
      </w:r>
      <w:r>
        <w:instrText xml:space="preserve"> SEQ Figure \* ARABIC </w:instrText>
      </w:r>
      <w:r>
        <w:fldChar w:fldCharType="separate"/>
      </w:r>
      <w:r>
        <w:rPr>
          <w:noProof/>
        </w:rPr>
        <w:t>19</w:t>
      </w:r>
      <w:r>
        <w:fldChar w:fldCharType="end"/>
      </w:r>
      <w:r>
        <w:t xml:space="preserve"> - </w:t>
      </w:r>
      <w:r w:rsidRPr="004048BF">
        <w:rPr>
          <w:rFonts w:ascii="Arial" w:hAnsi="Arial" w:cs="Arial"/>
        </w:rPr>
        <w:t>Preliminary Shell TSS Design</w:t>
      </w:r>
      <w:bookmarkEnd w:id="54"/>
    </w:p>
    <w:p w14:paraId="3F4DC3E5" w14:textId="77777777" w:rsidR="002C5BE1" w:rsidRPr="002C5BE1" w:rsidRDefault="002C5BE1" w:rsidP="00CB6FBB">
      <w:pPr>
        <w:spacing w:line="360" w:lineRule="auto"/>
        <w:rPr>
          <w:rFonts w:cs="Arial"/>
        </w:rPr>
      </w:pPr>
      <w:r w:rsidRPr="002C5BE1">
        <w:rPr>
          <w:rFonts w:cs="Arial"/>
        </w:rPr>
        <w:t xml:space="preserve">The metallurgy remains 304H stainless steel but with enhanced welding, inspection, and post-weld heat treatment. Shell’s design now mandates prequalified welding procedures, controlled </w:t>
      </w:r>
      <w:proofErr w:type="spellStart"/>
      <w:r w:rsidRPr="002C5BE1">
        <w:rPr>
          <w:rFonts w:cs="Arial"/>
        </w:rPr>
        <w:t>interpass</w:t>
      </w:r>
      <w:proofErr w:type="spellEnd"/>
      <w:r w:rsidRPr="002C5BE1">
        <w:rPr>
          <w:rFonts w:cs="Arial"/>
        </w:rPr>
        <w:t xml:space="preserve"> temperatures, and 100% non-destructive testing on all critical welds. These controls are expected to prevent sigma-phase formation during fabrication and ensure consistent mechanical properties.</w:t>
      </w:r>
    </w:p>
    <w:p w14:paraId="256107A7" w14:textId="77777777" w:rsidR="002C5BE1" w:rsidRPr="002C5BE1" w:rsidRDefault="002C5BE1" w:rsidP="00CB6FBB">
      <w:pPr>
        <w:spacing w:line="360" w:lineRule="auto"/>
        <w:rPr>
          <w:rFonts w:cs="Arial"/>
        </w:rPr>
      </w:pPr>
      <w:r w:rsidRPr="002C5BE1">
        <w:rPr>
          <w:rFonts w:cs="Arial"/>
        </w:rPr>
        <w:t>Wood plc’s engineering verification confirmed compliance with ASME Section VIII and API 12J. The design also introduces better access features for inspection, allowing borescope entry without full vessel disassembly.</w:t>
      </w:r>
    </w:p>
    <w:p w14:paraId="166F54E2" w14:textId="77777777" w:rsidR="002C5BE1" w:rsidRPr="002C5BE1" w:rsidRDefault="002C5BE1" w:rsidP="00CB6FBB">
      <w:pPr>
        <w:spacing w:line="360" w:lineRule="auto"/>
        <w:rPr>
          <w:rFonts w:cs="Arial"/>
        </w:rPr>
      </w:pPr>
      <w:r w:rsidRPr="002C5BE1">
        <w:rPr>
          <w:rFonts w:cs="Arial"/>
        </w:rPr>
        <w:t>Reliability modelling indicates that the mean time between maintenance interventions will extend from 8 years (current vessel) to over 15 years for the new design.</w:t>
      </w:r>
    </w:p>
    <w:p w14:paraId="481812F4" w14:textId="7062C743" w:rsidR="002C5BE1" w:rsidRPr="002C5BE1" w:rsidRDefault="002C5BE1" w:rsidP="00CB6FBB">
      <w:pPr>
        <w:spacing w:line="360" w:lineRule="auto"/>
        <w:rPr>
          <w:rFonts w:cs="Arial"/>
        </w:rPr>
      </w:pPr>
    </w:p>
    <w:p w14:paraId="5E9C04F6" w14:textId="77777777" w:rsidR="002C5BE1" w:rsidRPr="002C5BE1" w:rsidRDefault="002C5BE1" w:rsidP="00CB6FBB">
      <w:pPr>
        <w:pStyle w:val="Heading2"/>
        <w:spacing w:line="360" w:lineRule="auto"/>
      </w:pPr>
      <w:bookmarkStart w:id="55" w:name="_Toc230791079"/>
      <w:r w:rsidRPr="002C5BE1">
        <w:t>Economic and Operational Benefits</w:t>
      </w:r>
      <w:bookmarkEnd w:id="55"/>
    </w:p>
    <w:p w14:paraId="227747E8" w14:textId="77777777" w:rsidR="002C5BE1" w:rsidRPr="002C5BE1" w:rsidRDefault="002C5BE1" w:rsidP="00CB6FBB">
      <w:pPr>
        <w:spacing w:line="360" w:lineRule="auto"/>
        <w:rPr>
          <w:rFonts w:cs="Arial"/>
        </w:rPr>
      </w:pPr>
      <w:r w:rsidRPr="002C5BE1">
        <w:rPr>
          <w:rFonts w:cs="Arial"/>
        </w:rPr>
        <w:t>The long-term economic benefit of replacement outweighs the initial cost difference. Reduced turnaround duration saves approximately £39 million in lost profit per event. Lower maintenance frequency, fewer emission exceedances, and improved energy efficiency will contribute to operating savings estimated at £1.2 million per year.</w:t>
      </w:r>
    </w:p>
    <w:p w14:paraId="550E5065" w14:textId="77777777" w:rsidR="002C5BE1" w:rsidRPr="002C5BE1" w:rsidRDefault="002C5BE1" w:rsidP="00CB6FBB">
      <w:pPr>
        <w:spacing w:line="360" w:lineRule="auto"/>
        <w:rPr>
          <w:rFonts w:cs="Arial"/>
        </w:rPr>
      </w:pPr>
      <w:r w:rsidRPr="002C5BE1">
        <w:rPr>
          <w:rFonts w:cs="Arial"/>
        </w:rPr>
        <w:t>From an operational perspective, reduced fines carry-over will improve expander performance and extend its maintenance interval. The improved efficiency of the TSS will also reduce the energy required for flue gas compression and cleaning, supporting the refinery’s decarbonisation goals.</w:t>
      </w:r>
    </w:p>
    <w:p w14:paraId="212F069D" w14:textId="37C52072" w:rsidR="002C5BE1" w:rsidRPr="002C5BE1" w:rsidRDefault="002C5BE1" w:rsidP="00CB6FBB">
      <w:pPr>
        <w:spacing w:line="360" w:lineRule="auto"/>
        <w:rPr>
          <w:rFonts w:cs="Arial"/>
        </w:rPr>
      </w:pPr>
    </w:p>
    <w:p w14:paraId="5E71F11A" w14:textId="77777777" w:rsidR="00B03D77" w:rsidRPr="00B03D77" w:rsidRDefault="00B03D77" w:rsidP="00CB6FBB">
      <w:pPr>
        <w:pStyle w:val="Heading2"/>
        <w:spacing w:line="360" w:lineRule="auto"/>
      </w:pPr>
      <w:bookmarkStart w:id="56" w:name="_Toc230791080"/>
      <w:r w:rsidRPr="00B03D77">
        <w:t>Environmental and Sustainability Impact</w:t>
      </w:r>
      <w:bookmarkEnd w:id="56"/>
    </w:p>
    <w:p w14:paraId="543B4910" w14:textId="77777777" w:rsidR="00B03D77" w:rsidRPr="00B03D77" w:rsidRDefault="00B03D77" w:rsidP="00CB6FBB">
      <w:pPr>
        <w:spacing w:line="360" w:lineRule="auto"/>
        <w:rPr>
          <w:rFonts w:cs="Arial"/>
        </w:rPr>
      </w:pPr>
      <w:r w:rsidRPr="00B03D77">
        <w:rPr>
          <w:rFonts w:cs="Arial"/>
        </w:rPr>
        <w:t>The improved efficiency of the new TSS design has direct environmental benefits. During 2023, the old separator recorded three exceedances of the Environmental Permit limit for particulate emissions (50 mg/Nm³). The new design’s predicted outlet concentration of less than 30 mg/Nm³ represents a 40% reduction and ensures full compliance with the refinery’s Integrated Pollution Prevention and Control (IPPC) obligations.</w:t>
      </w:r>
    </w:p>
    <w:p w14:paraId="13105A1C" w14:textId="77777777" w:rsidR="00B03D77" w:rsidRPr="00B03D77" w:rsidRDefault="00B03D77" w:rsidP="00CB6FBB">
      <w:pPr>
        <w:spacing w:line="360" w:lineRule="auto"/>
        <w:rPr>
          <w:rFonts w:cs="Arial"/>
        </w:rPr>
      </w:pPr>
      <w:r w:rsidRPr="00B03D77">
        <w:rPr>
          <w:rFonts w:cs="Arial"/>
        </w:rPr>
        <w:t>Beyond compliance, the reduction in particulate emissions also lowers catalyst losses to the environment. Each tonne of catalyst costs approximately £1,200, and the current system is estimated to lose 10–12 tonnes per year through fines carry-over. Reducing emissions by 40% therefore provides an annual material saving of around £5,000–£6,000. Although small compared with overall project cost, these savings compound over time and demonstrate operational efficiency.</w:t>
      </w:r>
    </w:p>
    <w:p w14:paraId="755D9194" w14:textId="77777777" w:rsidR="00B03D77" w:rsidRPr="00B03D77" w:rsidRDefault="00B03D77" w:rsidP="00CB6FBB">
      <w:pPr>
        <w:spacing w:line="360" w:lineRule="auto"/>
        <w:rPr>
          <w:rFonts w:cs="Arial"/>
        </w:rPr>
      </w:pPr>
      <w:r w:rsidRPr="00B03D77">
        <w:rPr>
          <w:rFonts w:cs="Arial"/>
        </w:rPr>
        <w:t>The replacement also supports Valero’s corporate sustainability objectives. Improved separation efficiency reduces the energy required for flue-gas handling and compressor operation, cutting associated CO</w:t>
      </w:r>
      <w:r w:rsidRPr="00B03D77">
        <w:rPr>
          <w:rFonts w:ascii="Cambria Math" w:hAnsi="Cambria Math" w:cs="Cambria Math"/>
        </w:rPr>
        <w:t>₂</w:t>
      </w:r>
      <w:r w:rsidRPr="00B03D77">
        <w:rPr>
          <w:rFonts w:cs="Arial"/>
        </w:rPr>
        <w:t xml:space="preserve"> emissions. Based on energy balance estimates, a 1% improvement in cyclone pressure drop efficiency corresponds to an annual saving of roughly 80 MWh of electricity, or approximately 35 tonnes of CO</w:t>
      </w:r>
      <w:r w:rsidRPr="00B03D77">
        <w:rPr>
          <w:rFonts w:ascii="Cambria Math" w:hAnsi="Cambria Math" w:cs="Cambria Math"/>
        </w:rPr>
        <w:t>₂</w:t>
      </w:r>
      <w:r w:rsidRPr="00B03D77">
        <w:rPr>
          <w:rFonts w:cs="Arial"/>
        </w:rPr>
        <w:t xml:space="preserve"> equivalent.</w:t>
      </w:r>
    </w:p>
    <w:p w14:paraId="21A6C2F5" w14:textId="77777777" w:rsidR="00B03D77" w:rsidRPr="00B03D77" w:rsidRDefault="00B03D77" w:rsidP="00CB6FBB">
      <w:pPr>
        <w:spacing w:line="360" w:lineRule="auto"/>
        <w:rPr>
          <w:rFonts w:cs="Arial"/>
        </w:rPr>
      </w:pPr>
      <w:r w:rsidRPr="00B03D77">
        <w:rPr>
          <w:rFonts w:cs="Arial"/>
        </w:rPr>
        <w:t xml:space="preserve">Noise and vibration reductions associated with more stable operation also improve the working environment for maintenance personnel. These benefits, while secondary to </w:t>
      </w:r>
      <w:r w:rsidRPr="00B03D77">
        <w:rPr>
          <w:rFonts w:cs="Arial"/>
        </w:rPr>
        <w:lastRenderedPageBreak/>
        <w:t>mechanical reliability, align with broader refinery goals of safer, cleaner, and more efficient operations.</w:t>
      </w:r>
    </w:p>
    <w:p w14:paraId="1591E754" w14:textId="04EA5B50" w:rsidR="00B03D77" w:rsidRPr="00B03D77" w:rsidRDefault="00B03D77" w:rsidP="00CB6FBB">
      <w:pPr>
        <w:spacing w:line="360" w:lineRule="auto"/>
        <w:rPr>
          <w:rFonts w:cs="Arial"/>
        </w:rPr>
      </w:pPr>
    </w:p>
    <w:p w14:paraId="19644F72" w14:textId="77777777" w:rsidR="00B03D77" w:rsidRPr="00B03D77" w:rsidRDefault="00B03D77" w:rsidP="00CB6FBB">
      <w:pPr>
        <w:pStyle w:val="Heading2"/>
        <w:spacing w:line="360" w:lineRule="auto"/>
      </w:pPr>
      <w:bookmarkStart w:id="57" w:name="_Toc230791081"/>
      <w:r w:rsidRPr="00B03D77">
        <w:t>Mechanical Reliability and Risk Reduction</w:t>
      </w:r>
      <w:bookmarkEnd w:id="57"/>
    </w:p>
    <w:p w14:paraId="3848784B" w14:textId="77777777" w:rsidR="00B03D77" w:rsidRPr="00B03D77" w:rsidRDefault="00B03D77" w:rsidP="00CB6FBB">
      <w:pPr>
        <w:spacing w:line="360" w:lineRule="auto"/>
        <w:rPr>
          <w:rFonts w:cs="Arial"/>
        </w:rPr>
      </w:pPr>
      <w:r w:rsidRPr="00B03D77">
        <w:rPr>
          <w:rFonts w:cs="Arial"/>
        </w:rPr>
        <w:t>The new design addresses the three dominant failure mechanisms identified at Pembroke: sigma-phase embrittlement, thermal fatigue, and erosion. Each of these mechanisms interacts, so controlling one without the others would not ensure reliability.</w:t>
      </w:r>
    </w:p>
    <w:p w14:paraId="4F3BB1B5" w14:textId="77777777" w:rsidR="00B03D77" w:rsidRPr="00B03D77" w:rsidRDefault="00B03D77" w:rsidP="00CB6FBB">
      <w:pPr>
        <w:spacing w:line="360" w:lineRule="auto"/>
        <w:rPr>
          <w:rFonts w:cs="Arial"/>
        </w:rPr>
      </w:pPr>
      <w:r w:rsidRPr="00B03D77">
        <w:rPr>
          <w:rFonts w:cs="Arial"/>
        </w:rPr>
        <w:t>Sigma-phase formation will be controlled through improved welding and post-weld heat treatment. Thermal fatigue is mitigated by design changes that reduce temperature differentials and restrain movement. Erosion is reduced by lowering gas velocity and improving inlet geometry.</w:t>
      </w:r>
    </w:p>
    <w:p w14:paraId="401D4C23" w14:textId="77777777" w:rsidR="00B03D77" w:rsidRPr="00B03D77" w:rsidRDefault="00B03D77" w:rsidP="00CB6FBB">
      <w:pPr>
        <w:spacing w:line="360" w:lineRule="auto"/>
        <w:rPr>
          <w:rFonts w:cs="Arial"/>
        </w:rPr>
      </w:pPr>
      <w:r w:rsidRPr="00B03D77">
        <w:rPr>
          <w:rFonts w:cs="Arial"/>
        </w:rPr>
        <w:t>The resulting improvement in mechanical reliability was modelled using a simplified reliability block diagram. The mean time between failure (MTBF) for the new TSS is estimated at 17.2 years compared with 7.8 years for the existing vessel. The corresponding reliability R(t)R(t)R(t) after 10 years of service increases from 41% to 76%. This substantial gain in reliability directly supports production planning and turnaround optimisation.</w:t>
      </w:r>
    </w:p>
    <w:p w14:paraId="4DB1CE20" w14:textId="228C8C2D" w:rsidR="00B03D77" w:rsidRPr="00B03D77" w:rsidRDefault="00B03D77" w:rsidP="00CB6FBB">
      <w:pPr>
        <w:spacing w:line="360" w:lineRule="auto"/>
        <w:rPr>
          <w:rFonts w:cs="Arial"/>
        </w:rPr>
      </w:pPr>
    </w:p>
    <w:p w14:paraId="393D8B93" w14:textId="77777777" w:rsidR="00B03D77" w:rsidRPr="00B03D77" w:rsidRDefault="00B03D77" w:rsidP="00CB6FBB">
      <w:pPr>
        <w:pStyle w:val="Heading2"/>
        <w:spacing w:line="360" w:lineRule="auto"/>
      </w:pPr>
      <w:bookmarkStart w:id="58" w:name="_Toc230791082"/>
      <w:r w:rsidRPr="00B03D77">
        <w:t>Risk Mitigation through Replacement</w:t>
      </w:r>
      <w:bookmarkEnd w:id="58"/>
    </w:p>
    <w:p w14:paraId="09205A1A" w14:textId="77777777" w:rsidR="00B03D77" w:rsidRPr="00B03D77" w:rsidRDefault="00B03D77" w:rsidP="00CB6FBB">
      <w:pPr>
        <w:spacing w:line="360" w:lineRule="auto"/>
        <w:rPr>
          <w:rFonts w:cs="Arial"/>
        </w:rPr>
      </w:pPr>
      <w:r w:rsidRPr="00B03D77">
        <w:rPr>
          <w:rFonts w:cs="Arial"/>
        </w:rPr>
        <w:t>The project also reduces several key operational risks identified in the refinery’s Risk Register:</w:t>
      </w:r>
    </w:p>
    <w:p w14:paraId="392D46CD" w14:textId="77777777" w:rsidR="00B03D77" w:rsidRPr="00B03D77" w:rsidRDefault="00B03D77" w:rsidP="00CB6FBB">
      <w:pPr>
        <w:numPr>
          <w:ilvl w:val="0"/>
          <w:numId w:val="24"/>
        </w:numPr>
        <w:spacing w:line="360" w:lineRule="auto"/>
        <w:rPr>
          <w:rFonts w:cs="Arial"/>
        </w:rPr>
      </w:pPr>
      <w:r w:rsidRPr="00B03D77">
        <w:rPr>
          <w:rFonts w:cs="Arial"/>
          <w:b/>
          <w:bCs/>
        </w:rPr>
        <w:t>Mechanical Failure:</w:t>
      </w:r>
      <w:r w:rsidRPr="00B03D77">
        <w:rPr>
          <w:rFonts w:cs="Arial"/>
        </w:rPr>
        <w:t xml:space="preserve"> The likelihood of internal component detachment decreases from “High” to “Low” after replacement, removing the potential for catalyst blockage events.</w:t>
      </w:r>
    </w:p>
    <w:p w14:paraId="1901F886" w14:textId="77777777" w:rsidR="00B03D77" w:rsidRPr="00B03D77" w:rsidRDefault="00B03D77" w:rsidP="00CB6FBB">
      <w:pPr>
        <w:numPr>
          <w:ilvl w:val="0"/>
          <w:numId w:val="24"/>
        </w:numPr>
        <w:spacing w:line="360" w:lineRule="auto"/>
        <w:rPr>
          <w:rFonts w:cs="Arial"/>
        </w:rPr>
      </w:pPr>
      <w:r w:rsidRPr="00B03D77">
        <w:rPr>
          <w:rFonts w:cs="Arial"/>
          <w:b/>
          <w:bCs/>
        </w:rPr>
        <w:t>Environmental Non-Compliance:</w:t>
      </w:r>
      <w:r w:rsidRPr="00B03D77">
        <w:rPr>
          <w:rFonts w:cs="Arial"/>
        </w:rPr>
        <w:t xml:space="preserve"> The probability of particulate exceedance drops from “Medium” to “Very Low.”</w:t>
      </w:r>
    </w:p>
    <w:p w14:paraId="7BA7DC2E" w14:textId="77777777" w:rsidR="00B03D77" w:rsidRPr="00B03D77" w:rsidRDefault="00B03D77" w:rsidP="00CB6FBB">
      <w:pPr>
        <w:numPr>
          <w:ilvl w:val="0"/>
          <w:numId w:val="24"/>
        </w:numPr>
        <w:spacing w:line="360" w:lineRule="auto"/>
        <w:rPr>
          <w:rFonts w:cs="Arial"/>
        </w:rPr>
      </w:pPr>
      <w:r w:rsidRPr="00B03D77">
        <w:rPr>
          <w:rFonts w:cs="Arial"/>
          <w:b/>
          <w:bCs/>
        </w:rPr>
        <w:t>Safety Hazards:</w:t>
      </w:r>
      <w:r w:rsidRPr="00B03D77">
        <w:rPr>
          <w:rFonts w:cs="Arial"/>
        </w:rPr>
        <w:t xml:space="preserve"> Confined-space repair work inside the TSS will be eliminated for at least 15 years, reducing personnel exposure.</w:t>
      </w:r>
    </w:p>
    <w:p w14:paraId="71B6D70E" w14:textId="77777777" w:rsidR="00B03D77" w:rsidRPr="00B03D77" w:rsidRDefault="00B03D77" w:rsidP="00CB6FBB">
      <w:pPr>
        <w:numPr>
          <w:ilvl w:val="0"/>
          <w:numId w:val="24"/>
        </w:numPr>
        <w:spacing w:line="360" w:lineRule="auto"/>
        <w:rPr>
          <w:rFonts w:cs="Arial"/>
        </w:rPr>
      </w:pPr>
      <w:r w:rsidRPr="00B03D77">
        <w:rPr>
          <w:rFonts w:cs="Arial"/>
          <w:b/>
          <w:bCs/>
        </w:rPr>
        <w:t>Production Loss:</w:t>
      </w:r>
      <w:r w:rsidRPr="00B03D77">
        <w:rPr>
          <w:rFonts w:cs="Arial"/>
        </w:rPr>
        <w:t xml:space="preserve"> Turnaround duration reduced by 38 days avoids £39 million in deferred margin.</w:t>
      </w:r>
    </w:p>
    <w:p w14:paraId="0E652827" w14:textId="77777777" w:rsidR="00B03D77" w:rsidRPr="00B03D77" w:rsidRDefault="00B03D77" w:rsidP="00CB6FBB">
      <w:pPr>
        <w:spacing w:line="360" w:lineRule="auto"/>
        <w:rPr>
          <w:rFonts w:cs="Arial"/>
        </w:rPr>
      </w:pPr>
      <w:r w:rsidRPr="00B03D77">
        <w:rPr>
          <w:rFonts w:cs="Arial"/>
        </w:rPr>
        <w:t>These quantified risk reductions support the project’s business case and justify the capital expenditure.</w:t>
      </w:r>
    </w:p>
    <w:p w14:paraId="13C13B82" w14:textId="77777777" w:rsidR="00CA26A6" w:rsidRDefault="00CA26A6" w:rsidP="00CB6FBB">
      <w:pPr>
        <w:spacing w:line="360" w:lineRule="auto"/>
        <w:rPr>
          <w:rFonts w:cs="Arial"/>
          <w:b/>
          <w:bCs/>
        </w:rPr>
      </w:pPr>
    </w:p>
    <w:p w14:paraId="54DF0F3E" w14:textId="77777777" w:rsidR="00CA26A6" w:rsidRDefault="00CA26A6" w:rsidP="00CB6FBB">
      <w:pPr>
        <w:spacing w:line="360" w:lineRule="auto"/>
        <w:rPr>
          <w:rFonts w:cs="Arial"/>
          <w:b/>
          <w:bCs/>
        </w:rPr>
      </w:pPr>
    </w:p>
    <w:p w14:paraId="3F010D75" w14:textId="1CC778E3" w:rsidR="00CA26A6" w:rsidRDefault="00827087" w:rsidP="00CB6FBB">
      <w:pPr>
        <w:spacing w:line="360" w:lineRule="auto"/>
        <w:rPr>
          <w:rFonts w:cs="Arial"/>
          <w:b/>
          <w:bCs/>
        </w:rPr>
      </w:pPr>
      <w:r w:rsidRPr="00827087">
        <w:rPr>
          <w:rFonts w:cs="Arial"/>
          <w:b/>
          <w:bCs/>
          <w:noProof/>
        </w:rPr>
        <w:drawing>
          <wp:inline distT="0" distB="0" distL="0" distR="0" wp14:anchorId="2B755304" wp14:editId="77E57BBD">
            <wp:extent cx="5151422" cy="657508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59216" cy="6585037"/>
                    </a:xfrm>
                    <a:prstGeom prst="rect">
                      <a:avLst/>
                    </a:prstGeom>
                  </pic:spPr>
                </pic:pic>
              </a:graphicData>
            </a:graphic>
          </wp:inline>
        </w:drawing>
      </w:r>
    </w:p>
    <w:p w14:paraId="1694BC48" w14:textId="4E336317" w:rsidR="00B03D77" w:rsidRDefault="00CA26A6" w:rsidP="00CB6FBB">
      <w:pPr>
        <w:pStyle w:val="Caption"/>
        <w:spacing w:line="360" w:lineRule="auto"/>
      </w:pPr>
      <w:bookmarkStart w:id="59" w:name="_Toc230791163"/>
      <w:r>
        <w:t xml:space="preserve">Table </w:t>
      </w:r>
      <w:r>
        <w:fldChar w:fldCharType="begin"/>
      </w:r>
      <w:r>
        <w:instrText xml:space="preserve"> SEQ Table \* ARABIC </w:instrText>
      </w:r>
      <w:r>
        <w:fldChar w:fldCharType="separate"/>
      </w:r>
      <w:r w:rsidR="004048BF">
        <w:rPr>
          <w:noProof/>
        </w:rPr>
        <w:t>9</w:t>
      </w:r>
      <w:r>
        <w:fldChar w:fldCharType="end"/>
      </w:r>
      <w:r>
        <w:t xml:space="preserve"> - </w:t>
      </w:r>
      <w:r w:rsidRPr="00E71681">
        <w:t>Summary of risk reduction achieved through the full replacement of the Pembroke FCC Third Stage Separator.</w:t>
      </w:r>
      <w:bookmarkEnd w:id="59"/>
    </w:p>
    <w:p w14:paraId="29ACBCED" w14:textId="56F7903F" w:rsidR="00B164CB" w:rsidRDefault="00B164CB" w:rsidP="00CB6FBB">
      <w:pPr>
        <w:spacing w:line="360" w:lineRule="auto"/>
        <w:rPr>
          <w:lang w:eastAsia="en-US"/>
        </w:rPr>
      </w:pPr>
      <w:r>
        <w:rPr>
          <w:noProof/>
        </w:rPr>
        <w:lastRenderedPageBreak/>
        <w:drawing>
          <wp:inline distT="0" distB="0" distL="0" distR="0" wp14:anchorId="377CCE79" wp14:editId="16D20B74">
            <wp:extent cx="5731510" cy="34391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439160"/>
                    </a:xfrm>
                    <a:prstGeom prst="rect">
                      <a:avLst/>
                    </a:prstGeom>
                    <a:noFill/>
                    <a:ln>
                      <a:noFill/>
                    </a:ln>
                  </pic:spPr>
                </pic:pic>
              </a:graphicData>
            </a:graphic>
          </wp:inline>
        </w:drawing>
      </w:r>
    </w:p>
    <w:p w14:paraId="50FCFDD8" w14:textId="1F7ECE06" w:rsidR="00B164CB" w:rsidRPr="00B164CB" w:rsidRDefault="00B164CB" w:rsidP="00CB6FBB">
      <w:pPr>
        <w:pStyle w:val="Caption"/>
        <w:spacing w:line="360" w:lineRule="auto"/>
      </w:pPr>
      <w:bookmarkStart w:id="60" w:name="_Toc230791143"/>
      <w:r>
        <w:t xml:space="preserve">Figure </w:t>
      </w:r>
      <w:r>
        <w:fldChar w:fldCharType="begin"/>
      </w:r>
      <w:r>
        <w:instrText xml:space="preserve"> SEQ Figure \* ARABIC </w:instrText>
      </w:r>
      <w:r>
        <w:fldChar w:fldCharType="separate"/>
      </w:r>
      <w:r w:rsidR="004048BF">
        <w:rPr>
          <w:noProof/>
        </w:rPr>
        <w:t>20</w:t>
      </w:r>
      <w:r>
        <w:fldChar w:fldCharType="end"/>
      </w:r>
      <w:r>
        <w:t xml:space="preserve"> - </w:t>
      </w:r>
      <w:r w:rsidRPr="0028283D">
        <w:t>Comparative risk levels for key categories before and after the replacement of the Pembroke FCC Third Stage Separator.</w:t>
      </w:r>
      <w:bookmarkEnd w:id="60"/>
    </w:p>
    <w:p w14:paraId="19C31E4C" w14:textId="77777777" w:rsidR="002C5BE1" w:rsidRPr="002C5BE1" w:rsidRDefault="002C5BE1" w:rsidP="00CB6FBB">
      <w:pPr>
        <w:spacing w:line="360" w:lineRule="auto"/>
        <w:rPr>
          <w:rFonts w:cs="Arial"/>
        </w:rPr>
      </w:pPr>
      <w:r w:rsidRPr="002C5BE1">
        <w:rPr>
          <w:rFonts w:cs="Arial"/>
        </w:rPr>
        <w:t>The combined inspection, metallurgical, and performance data all lead to the same conclusion: the existing TSS is beyond economic repair. Sigma-phase embrittlement, thermal cycling, and fatigue cracking have compromised both mechanical integrity and operational performance.</w:t>
      </w:r>
    </w:p>
    <w:p w14:paraId="6D6DFA3C" w14:textId="77777777" w:rsidR="002C5BE1" w:rsidRPr="002C5BE1" w:rsidRDefault="002C5BE1" w:rsidP="00CB6FBB">
      <w:pPr>
        <w:spacing w:line="360" w:lineRule="auto"/>
        <w:rPr>
          <w:rFonts w:cs="Arial"/>
        </w:rPr>
      </w:pPr>
      <w:r w:rsidRPr="002C5BE1">
        <w:rPr>
          <w:rFonts w:cs="Arial"/>
        </w:rPr>
        <w:t>The temporary J-hook repair provided only short-term mitigation and cannot ensure safe long-term operation. Repairing the vessel in place would be time-consuming, high-risk, and unlikely to succeed due to the metallurgical condition.</w:t>
      </w:r>
    </w:p>
    <w:p w14:paraId="2F25CB94" w14:textId="77777777" w:rsidR="002C5BE1" w:rsidRPr="002C5BE1" w:rsidRDefault="002C5BE1" w:rsidP="00CB6FBB">
      <w:pPr>
        <w:spacing w:line="360" w:lineRule="auto"/>
        <w:rPr>
          <w:rFonts w:cs="Arial"/>
        </w:rPr>
      </w:pPr>
      <w:r w:rsidRPr="002C5BE1">
        <w:rPr>
          <w:rFonts w:cs="Arial"/>
        </w:rPr>
        <w:t>Replacing the vessel eliminates these risks, introduces design improvements, and provides a longer service life with reduced maintenance. The new configuration addresses the root causes of failure — high velocity, cyclic stress, and limited inspection access.</w:t>
      </w:r>
    </w:p>
    <w:p w14:paraId="57FFC94D" w14:textId="77777777" w:rsidR="002C5BE1" w:rsidRDefault="002C5BE1" w:rsidP="00CB6FBB">
      <w:pPr>
        <w:spacing w:line="360" w:lineRule="auto"/>
        <w:rPr>
          <w:rFonts w:cs="Arial"/>
        </w:rPr>
      </w:pPr>
      <w:r w:rsidRPr="002C5BE1">
        <w:rPr>
          <w:rFonts w:cs="Arial"/>
        </w:rPr>
        <w:t>Full vessel replacement is therefore the safest, most economical, and environmentally responsible solution for Pembroke Refinery’s FCC unit.</w:t>
      </w:r>
    </w:p>
    <w:p w14:paraId="00F90A20" w14:textId="12DEA39E" w:rsidR="00396D2A" w:rsidRDefault="00396D2A" w:rsidP="00CB6FBB">
      <w:pPr>
        <w:spacing w:line="360" w:lineRule="auto"/>
        <w:rPr>
          <w:rFonts w:cs="Arial"/>
        </w:rPr>
      </w:pPr>
      <w:r w:rsidRPr="00396D2A">
        <w:rPr>
          <w:rFonts w:cs="Arial"/>
          <w:noProof/>
        </w:rPr>
        <w:lastRenderedPageBreak/>
        <w:drawing>
          <wp:inline distT="0" distB="0" distL="0" distR="0" wp14:anchorId="0237A79D" wp14:editId="2D35905C">
            <wp:extent cx="5731510" cy="329438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94380"/>
                    </a:xfrm>
                    <a:prstGeom prst="rect">
                      <a:avLst/>
                    </a:prstGeom>
                  </pic:spPr>
                </pic:pic>
              </a:graphicData>
            </a:graphic>
          </wp:inline>
        </w:drawing>
      </w:r>
    </w:p>
    <w:p w14:paraId="5356C37E" w14:textId="44B4754B" w:rsidR="002C5BE1" w:rsidRDefault="00396D2A" w:rsidP="00CB6FBB">
      <w:pPr>
        <w:pStyle w:val="Caption"/>
        <w:spacing w:line="360" w:lineRule="auto"/>
        <w:rPr>
          <w:rFonts w:ascii="Arial" w:hAnsi="Arial" w:cs="Arial"/>
        </w:rPr>
      </w:pPr>
      <w:bookmarkStart w:id="61" w:name="_Toc230791144"/>
      <w:r>
        <w:t xml:space="preserve">Figure </w:t>
      </w:r>
      <w:r>
        <w:fldChar w:fldCharType="begin"/>
      </w:r>
      <w:r>
        <w:instrText xml:space="preserve"> SEQ Figure \* ARABIC </w:instrText>
      </w:r>
      <w:r>
        <w:fldChar w:fldCharType="separate"/>
      </w:r>
      <w:r w:rsidR="004048BF">
        <w:rPr>
          <w:noProof/>
        </w:rPr>
        <w:t>21</w:t>
      </w:r>
      <w:r>
        <w:fldChar w:fldCharType="end"/>
      </w:r>
      <w:r>
        <w:t xml:space="preserve"> - </w:t>
      </w:r>
      <w:r w:rsidRPr="00396D2A">
        <w:rPr>
          <w:rFonts w:ascii="Arial" w:hAnsi="Arial" w:cs="Arial"/>
        </w:rPr>
        <w:t>TSS Replacement – Existing vs New Comparison</w:t>
      </w:r>
      <w:bookmarkEnd w:id="61"/>
    </w:p>
    <w:p w14:paraId="1A29D3A3" w14:textId="77777777" w:rsidR="00CA26A6" w:rsidRPr="00CA26A6" w:rsidRDefault="00CA26A6" w:rsidP="00CB6FBB">
      <w:pPr>
        <w:pStyle w:val="Heading2"/>
        <w:spacing w:line="360" w:lineRule="auto"/>
      </w:pPr>
      <w:bookmarkStart w:id="62" w:name="_Toc230791083"/>
      <w:r w:rsidRPr="00CA26A6">
        <w:rPr>
          <w:rFonts w:eastAsia="Times New Roman"/>
        </w:rPr>
        <w:t>Implementation Strategy for the Replacement Project</w:t>
      </w:r>
      <w:bookmarkEnd w:id="62"/>
    </w:p>
    <w:p w14:paraId="51A8E0DE" w14:textId="77777777" w:rsidR="00CA26A6" w:rsidRPr="00CA26A6" w:rsidRDefault="00CA26A6" w:rsidP="00CB6FBB">
      <w:pPr>
        <w:spacing w:line="360" w:lineRule="auto"/>
        <w:rPr>
          <w:rFonts w:cs="Arial"/>
        </w:rPr>
      </w:pPr>
      <w:r w:rsidRPr="00CA26A6">
        <w:rPr>
          <w:rFonts w:cs="Arial"/>
        </w:rPr>
        <w:t>The successful delivery of the new Third Stage Separator (TSS) project depends on effective planning, coordination, and quality control. Implementation will follow Valero’s standard Capital Project Execution process and Shell’s licensor design approval stages. The work will be executed in five key phases: engineering design, procurement, fabrication, delivery, and installation.</w:t>
      </w:r>
    </w:p>
    <w:p w14:paraId="64CD31FB" w14:textId="77777777" w:rsidR="00B37F9F" w:rsidRDefault="00CA26A6" w:rsidP="00CB6FBB">
      <w:pPr>
        <w:pStyle w:val="Heading2"/>
        <w:spacing w:line="360" w:lineRule="auto"/>
      </w:pPr>
      <w:bookmarkStart w:id="63" w:name="_Toc230791084"/>
      <w:r w:rsidRPr="00B37F9F">
        <w:t>Engineering Design (Q2 2025 – Q4 2025)</w:t>
      </w:r>
      <w:bookmarkEnd w:id="63"/>
    </w:p>
    <w:p w14:paraId="56C77785" w14:textId="45FBB7F6" w:rsidR="00CA26A6" w:rsidRPr="00B37F9F" w:rsidRDefault="00CA26A6" w:rsidP="00CB6FBB">
      <w:pPr>
        <w:spacing w:line="360" w:lineRule="auto"/>
      </w:pPr>
      <w:r w:rsidRPr="00B37F9F">
        <w:t>Detailed engineering began following Shell’s issue of the approved Design Basis in early 2025. During this phase, vendor data, 3D modelling, and stress analysis are finalised. All design deliverables must undergo independent verification by Wood plc to confirm compliance with ASME Section VIII and API 12J standards. Interface reviews with the FCC regenerator and flue gas system ensure that the new vessel integrates seamlessly into existing pipework and supports.</w:t>
      </w:r>
    </w:p>
    <w:p w14:paraId="6373BBF0" w14:textId="77777777" w:rsidR="00B37F9F" w:rsidRPr="00CA26A6" w:rsidRDefault="00B37F9F" w:rsidP="00CB6FBB">
      <w:pPr>
        <w:spacing w:line="360" w:lineRule="auto"/>
      </w:pPr>
    </w:p>
    <w:p w14:paraId="14450701" w14:textId="77777777" w:rsidR="00B37F9F" w:rsidRDefault="00CA26A6" w:rsidP="00CB6FBB">
      <w:pPr>
        <w:pStyle w:val="Heading2"/>
        <w:spacing w:line="360" w:lineRule="auto"/>
      </w:pPr>
      <w:bookmarkStart w:id="64" w:name="_Toc230791085"/>
      <w:r w:rsidRPr="00B37F9F">
        <w:rPr>
          <w:rStyle w:val="Heading2Char"/>
        </w:rPr>
        <w:t>Procurement and Supply Chain Management (Q3 2025 – Q1 2026)</w:t>
      </w:r>
      <w:bookmarkEnd w:id="64"/>
    </w:p>
    <w:p w14:paraId="3D40FF1C" w14:textId="262FD682" w:rsidR="00CA26A6" w:rsidRDefault="00CA26A6" w:rsidP="00CB6FBB">
      <w:pPr>
        <w:spacing w:line="360" w:lineRule="auto"/>
      </w:pPr>
      <w:r w:rsidRPr="00B37F9F">
        <w:t xml:space="preserve">Cyclone internals and vessel shells will be fabricated by Shell-approved vendors due to their complex geometry and heat treatment requirements. Long-lead items, such as the 144 cyclone tubes and swirl vanes, have a procurement lead time of approximately </w:t>
      </w:r>
      <w:r w:rsidRPr="00B37F9F">
        <w:lastRenderedPageBreak/>
        <w:t>nine months (Valero, 2025). Procurement schedules will follow Valero’s quality plan, including vendor pre-qualification, document review, and site audits.</w:t>
      </w:r>
    </w:p>
    <w:p w14:paraId="07E8A1C4" w14:textId="77777777" w:rsidR="00B37F9F" w:rsidRPr="00B37F9F" w:rsidRDefault="00B37F9F" w:rsidP="00CB6FBB">
      <w:pPr>
        <w:spacing w:line="360" w:lineRule="auto"/>
        <w:rPr>
          <w:rFonts w:cstheme="majorBidi"/>
        </w:rPr>
      </w:pPr>
    </w:p>
    <w:p w14:paraId="08EFF7C0" w14:textId="77777777" w:rsidR="00B37F9F" w:rsidRPr="00CA26A6" w:rsidRDefault="00B37F9F" w:rsidP="00CB6FBB">
      <w:pPr>
        <w:spacing w:line="360" w:lineRule="auto"/>
      </w:pPr>
    </w:p>
    <w:p w14:paraId="48F87667" w14:textId="77777777" w:rsidR="00B37F9F" w:rsidRDefault="00CA26A6" w:rsidP="00CB6FBB">
      <w:pPr>
        <w:pStyle w:val="Heading2"/>
        <w:spacing w:line="360" w:lineRule="auto"/>
        <w:rPr>
          <w:rStyle w:val="Heading2Char"/>
        </w:rPr>
      </w:pPr>
      <w:bookmarkStart w:id="65" w:name="_Toc230791086"/>
      <w:r w:rsidRPr="00B37F9F">
        <w:rPr>
          <w:rStyle w:val="Heading2Char"/>
        </w:rPr>
        <w:t>Fabrication and Quality Control (Q1 2026 – Q4 2026)</w:t>
      </w:r>
      <w:bookmarkEnd w:id="65"/>
    </w:p>
    <w:p w14:paraId="0187AE31" w14:textId="04F4D4BB" w:rsidR="00CA26A6" w:rsidRDefault="00CA26A6" w:rsidP="00CB6FBB">
      <w:pPr>
        <w:spacing w:line="360" w:lineRule="auto"/>
        <w:rPr>
          <w:rFonts w:cs="Arial"/>
        </w:rPr>
      </w:pPr>
      <w:r w:rsidRPr="00CA26A6">
        <w:rPr>
          <w:rFonts w:cs="Arial"/>
        </w:rPr>
        <w:t>Fabrication will take place at an approved workshop with full traceability of material heat numbers and welding procedures. All welders will be qualified to ASME IX and Shell DEP 31.40.20.31 standards. The vessel will undergo non-destructive testing (radiography and ultrasonic testing), post-weld heat treatment, and dimensional verification before shipment. Shell and Valero inspectors will perform joint hold-point inspections at key milestones such as completion of welding and pressure testing.</w:t>
      </w:r>
    </w:p>
    <w:p w14:paraId="6D5A2125" w14:textId="77777777" w:rsidR="00B37F9F" w:rsidRPr="00CA26A6" w:rsidRDefault="00B37F9F" w:rsidP="00CB6FBB">
      <w:pPr>
        <w:spacing w:line="360" w:lineRule="auto"/>
        <w:rPr>
          <w:rFonts w:cs="Arial"/>
        </w:rPr>
      </w:pPr>
    </w:p>
    <w:p w14:paraId="3700EF8D" w14:textId="77777777" w:rsidR="00B37F9F" w:rsidRDefault="00CA26A6" w:rsidP="00CB6FBB">
      <w:pPr>
        <w:pStyle w:val="Heading2"/>
        <w:spacing w:line="360" w:lineRule="auto"/>
        <w:rPr>
          <w:rStyle w:val="Heading2Char"/>
        </w:rPr>
      </w:pPr>
      <w:bookmarkStart w:id="66" w:name="_Toc230791087"/>
      <w:r w:rsidRPr="00B37F9F">
        <w:rPr>
          <w:rStyle w:val="Heading2Char"/>
        </w:rPr>
        <w:t>Delivery and Pre-Commissioning (Q2 2027)</w:t>
      </w:r>
      <w:bookmarkEnd w:id="66"/>
    </w:p>
    <w:p w14:paraId="4D32392F" w14:textId="473630A4" w:rsidR="00CA26A6" w:rsidRDefault="00CA26A6" w:rsidP="00CB6FBB">
      <w:pPr>
        <w:spacing w:line="360" w:lineRule="auto"/>
        <w:rPr>
          <w:rFonts w:cs="Arial"/>
        </w:rPr>
      </w:pPr>
      <w:r w:rsidRPr="00CA26A6">
        <w:rPr>
          <w:rFonts w:cs="Arial"/>
        </w:rPr>
        <w:t>The completed vessel will be delivered to Pembroke Refinery approximately three months before the planned FCC turnaround. On-site pre-commissioning activities will include hydro-testing, insulation installation, and verification of instrumentation. Lifting and transport studies will ensure safe movement through the refinery, with route clearance approved by site logistics.</w:t>
      </w:r>
    </w:p>
    <w:p w14:paraId="537B6991" w14:textId="77777777" w:rsidR="00B37F9F" w:rsidRPr="00CA26A6" w:rsidRDefault="00B37F9F" w:rsidP="00CB6FBB">
      <w:pPr>
        <w:spacing w:line="360" w:lineRule="auto"/>
        <w:rPr>
          <w:rFonts w:cs="Arial"/>
        </w:rPr>
      </w:pPr>
    </w:p>
    <w:p w14:paraId="314E3F34" w14:textId="77777777" w:rsidR="00B37F9F" w:rsidRDefault="00CA26A6" w:rsidP="00CB6FBB">
      <w:pPr>
        <w:pStyle w:val="Heading2"/>
        <w:spacing w:line="360" w:lineRule="auto"/>
        <w:rPr>
          <w:rStyle w:val="Heading2Char"/>
        </w:rPr>
      </w:pPr>
      <w:bookmarkStart w:id="67" w:name="_Toc230791088"/>
      <w:r w:rsidRPr="00B37F9F">
        <w:rPr>
          <w:rStyle w:val="Heading2Char"/>
        </w:rPr>
        <w:t>Installation and Commissioning (Q3 2027)</w:t>
      </w:r>
      <w:bookmarkEnd w:id="67"/>
    </w:p>
    <w:p w14:paraId="1AC8A070" w14:textId="783292C9" w:rsidR="00CA26A6" w:rsidRDefault="00CA26A6" w:rsidP="00CB6FBB">
      <w:pPr>
        <w:spacing w:line="360" w:lineRule="auto"/>
        <w:rPr>
          <w:rFonts w:cs="Arial"/>
        </w:rPr>
      </w:pPr>
      <w:r w:rsidRPr="00CA26A6">
        <w:rPr>
          <w:rFonts w:cs="Arial"/>
        </w:rPr>
        <w:t>Installation will take place during the planned FCC turnaround window. The existing vessel will be removed using a modular lift sequence. The new TSS will be installed on the same foundation and connected to existing flue gas piping using pre-fabricated spool pieces. A mechanical completion certificate will be issued following hydro-test and leak testing. Cold commissioning will include airflow checks and instrumentation verification before hot commissioning of the FCC unit.</w:t>
      </w:r>
    </w:p>
    <w:p w14:paraId="1DBF97E5" w14:textId="309543CC" w:rsidR="00CA26A6" w:rsidRDefault="00396D2A" w:rsidP="00CB6FBB">
      <w:pPr>
        <w:spacing w:line="360" w:lineRule="auto"/>
        <w:rPr>
          <w:rFonts w:cs="Arial"/>
        </w:rPr>
      </w:pPr>
      <w:r w:rsidRPr="00396D2A">
        <w:rPr>
          <w:rFonts w:cs="Arial"/>
          <w:noProof/>
        </w:rPr>
        <w:drawing>
          <wp:inline distT="0" distB="0" distL="0" distR="0" wp14:anchorId="3E44EBE8" wp14:editId="5F4E8C4E">
            <wp:extent cx="5731510" cy="12776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277620"/>
                    </a:xfrm>
                    <a:prstGeom prst="rect">
                      <a:avLst/>
                    </a:prstGeom>
                    <a:noFill/>
                    <a:ln>
                      <a:noFill/>
                    </a:ln>
                  </pic:spPr>
                </pic:pic>
              </a:graphicData>
            </a:graphic>
          </wp:inline>
        </w:drawing>
      </w:r>
    </w:p>
    <w:p w14:paraId="3C9F22B2" w14:textId="487D46FB" w:rsidR="00396D2A" w:rsidRPr="00CA26A6" w:rsidRDefault="00396D2A" w:rsidP="00CB6FBB">
      <w:pPr>
        <w:pStyle w:val="Caption"/>
        <w:spacing w:line="360" w:lineRule="auto"/>
        <w:rPr>
          <w:rFonts w:ascii="Arial" w:hAnsi="Arial" w:cs="Arial"/>
        </w:rPr>
      </w:pPr>
      <w:bookmarkStart w:id="68" w:name="_Toc230791145"/>
      <w:r>
        <w:t xml:space="preserve">Figure </w:t>
      </w:r>
      <w:r>
        <w:fldChar w:fldCharType="begin"/>
      </w:r>
      <w:r>
        <w:instrText xml:space="preserve"> SEQ Figure \* ARABIC </w:instrText>
      </w:r>
      <w:r>
        <w:fldChar w:fldCharType="separate"/>
      </w:r>
      <w:r w:rsidR="004048BF">
        <w:rPr>
          <w:noProof/>
        </w:rPr>
        <w:t>22</w:t>
      </w:r>
      <w:r>
        <w:fldChar w:fldCharType="end"/>
      </w:r>
      <w:r>
        <w:t xml:space="preserve"> - </w:t>
      </w:r>
      <w:r w:rsidRPr="005B7E4F">
        <w:t>Schedule &amp; Permitting slide with the full Gantt chart showing phases from 202</w:t>
      </w:r>
      <w:r>
        <w:t>6</w:t>
      </w:r>
      <w:r w:rsidRPr="005B7E4F">
        <w:t>–2027</w:t>
      </w:r>
      <w:bookmarkEnd w:id="68"/>
    </w:p>
    <w:p w14:paraId="5A32F04D" w14:textId="77777777" w:rsidR="00CA26A6" w:rsidRPr="00CA26A6" w:rsidRDefault="00CA26A6" w:rsidP="00CB6FBB">
      <w:pPr>
        <w:spacing w:line="360" w:lineRule="auto"/>
        <w:rPr>
          <w:rFonts w:cs="Arial"/>
        </w:rPr>
      </w:pPr>
      <w:r w:rsidRPr="00CA26A6">
        <w:rPr>
          <w:rFonts w:cs="Arial"/>
        </w:rPr>
        <w:lastRenderedPageBreak/>
        <w:t>Effective project delivery requires close coordination between Valero’s Project Management Office (PMO), Shell as licensor, Wood plc as engineering contractor, and the fabrication vendor. Weekly progress meetings and monthly readiness reviews will ensure that scope, cost, and schedule remain aligned.</w:t>
      </w:r>
    </w:p>
    <w:p w14:paraId="6F399814" w14:textId="5272756A" w:rsidR="00CA26A6" w:rsidRPr="00CA26A6" w:rsidRDefault="00CA26A6" w:rsidP="00CB6FBB">
      <w:pPr>
        <w:spacing w:line="360" w:lineRule="auto"/>
        <w:rPr>
          <w:rFonts w:cs="Arial"/>
        </w:rPr>
      </w:pPr>
    </w:p>
    <w:p w14:paraId="0F8C3CDE" w14:textId="77777777" w:rsidR="00CA26A6" w:rsidRPr="00CA26A6" w:rsidRDefault="00CA26A6" w:rsidP="00CB6FBB">
      <w:pPr>
        <w:pStyle w:val="Heading2"/>
        <w:spacing w:line="360" w:lineRule="auto"/>
      </w:pPr>
      <w:bookmarkStart w:id="69" w:name="_Toc230791089"/>
      <w:r w:rsidRPr="00CA26A6">
        <w:t>Quality Assurance and Inspection Planning</w:t>
      </w:r>
      <w:bookmarkEnd w:id="69"/>
    </w:p>
    <w:p w14:paraId="1207BF08" w14:textId="77777777" w:rsidR="00CA26A6" w:rsidRPr="00CA26A6" w:rsidRDefault="00CA26A6" w:rsidP="00CB6FBB">
      <w:pPr>
        <w:spacing w:line="360" w:lineRule="auto"/>
        <w:rPr>
          <w:rFonts w:cs="Arial"/>
        </w:rPr>
      </w:pPr>
      <w:r w:rsidRPr="00CA26A6">
        <w:rPr>
          <w:rFonts w:cs="Arial"/>
        </w:rPr>
        <w:t>High-quality fabrication and installation are essential to ensure long-term integrity of the new vessel. A dedicated Quality Assurance (QA) and Quality Control (QC) plan will be implemented covering both vendor and site phases.</w:t>
      </w:r>
    </w:p>
    <w:p w14:paraId="1B518941" w14:textId="77777777" w:rsidR="00B37F9F" w:rsidRDefault="00CA26A6" w:rsidP="00CB6FBB">
      <w:pPr>
        <w:pStyle w:val="Heading2"/>
        <w:spacing w:line="360" w:lineRule="auto"/>
        <w:rPr>
          <w:rStyle w:val="Heading2Char"/>
        </w:rPr>
      </w:pPr>
      <w:bookmarkStart w:id="70" w:name="_Toc230791090"/>
      <w:r w:rsidRPr="00396D2A">
        <w:rPr>
          <w:rStyle w:val="Heading2Char"/>
        </w:rPr>
        <w:t>Vendor Quality Assurance</w:t>
      </w:r>
      <w:bookmarkEnd w:id="70"/>
    </w:p>
    <w:p w14:paraId="4E385A17" w14:textId="408DCF2B" w:rsidR="00CA26A6" w:rsidRPr="00CA26A6" w:rsidRDefault="00CA26A6" w:rsidP="00CB6FBB">
      <w:pPr>
        <w:spacing w:line="360" w:lineRule="auto"/>
        <w:rPr>
          <w:rFonts w:cs="Arial"/>
        </w:rPr>
      </w:pPr>
      <w:r w:rsidRPr="00CA26A6">
        <w:rPr>
          <w:rFonts w:cs="Arial"/>
        </w:rPr>
        <w:br/>
        <w:t xml:space="preserve">All fabrication vendors must adhere to Shell’s global specification for tertiary separators. Welding Procedure Specifications (WPS) and Procedure Qualification Records (PQRs) will be reviewed and approved before production welding begins. Welds in high-stress areas, such as the </w:t>
      </w:r>
      <w:proofErr w:type="spellStart"/>
      <w:r w:rsidRPr="00CA26A6">
        <w:rPr>
          <w:rFonts w:cs="Arial"/>
        </w:rPr>
        <w:t>tubesheet</w:t>
      </w:r>
      <w:proofErr w:type="spellEnd"/>
      <w:r w:rsidRPr="00CA26A6">
        <w:rPr>
          <w:rFonts w:cs="Arial"/>
        </w:rPr>
        <w:t xml:space="preserve"> and cyclone mountings, will be subject to 100% radiography and magnetic particle inspection.</w:t>
      </w:r>
    </w:p>
    <w:p w14:paraId="62E5096F" w14:textId="77777777" w:rsidR="00CA26A6" w:rsidRPr="00CA26A6" w:rsidRDefault="00CA26A6" w:rsidP="00CB6FBB">
      <w:pPr>
        <w:spacing w:line="360" w:lineRule="auto"/>
        <w:rPr>
          <w:rFonts w:cs="Arial"/>
        </w:rPr>
      </w:pPr>
      <w:r w:rsidRPr="00CA26A6">
        <w:rPr>
          <w:rFonts w:cs="Arial"/>
        </w:rPr>
        <w:t>Material certificates will be checked for every heat batch to confirm correct composition and mechanical properties. Heat treatment records will verify that post-weld soak temperature and hold times meet licensor requirements. The vessel will also undergo a 1.5× design pressure hydro-test to confirm structural integrity.</w:t>
      </w:r>
    </w:p>
    <w:p w14:paraId="19F13ABB" w14:textId="77777777" w:rsidR="00B37F9F" w:rsidRDefault="00CA26A6" w:rsidP="00CB6FBB">
      <w:pPr>
        <w:pStyle w:val="Heading2"/>
        <w:spacing w:line="360" w:lineRule="auto"/>
      </w:pPr>
      <w:bookmarkStart w:id="71" w:name="_Toc230791091"/>
      <w:r w:rsidRPr="00CA26A6">
        <w:t>Site Quality Control</w:t>
      </w:r>
      <w:bookmarkEnd w:id="71"/>
    </w:p>
    <w:p w14:paraId="07A7C271" w14:textId="5666D992" w:rsidR="00CA26A6" w:rsidRPr="00CA26A6" w:rsidRDefault="00CA26A6" w:rsidP="00CB6FBB">
      <w:pPr>
        <w:spacing w:line="360" w:lineRule="auto"/>
      </w:pPr>
      <w:r w:rsidRPr="00CA26A6">
        <w:t>During installation, all incoming components will be visually inspected for damage or corrosion. Welding on-site will use the same approved procedures as at the vendor facility. Each weld will be subject to 10% random radiographic testing, and any repairs must be re-tested. After installation, all nozzle flanges will undergo leak testing with nitrogen or low-pressure air before insulation and final assembly.</w:t>
      </w:r>
    </w:p>
    <w:p w14:paraId="49DB17BB" w14:textId="77777777" w:rsidR="00CA26A6" w:rsidRDefault="00CA26A6" w:rsidP="00CB6FBB">
      <w:pPr>
        <w:spacing w:line="360" w:lineRule="auto"/>
        <w:rPr>
          <w:rFonts w:cs="Arial"/>
        </w:rPr>
      </w:pPr>
      <w:r w:rsidRPr="00CA26A6">
        <w:rPr>
          <w:rFonts w:cs="Arial"/>
        </w:rPr>
        <w:t>Inspection documentation, including weld maps, NDT reports, and material certificates, will be compiled into a turnover dossier for long-term storage. This ensures traceability and supports future inspections or audits.</w:t>
      </w:r>
    </w:p>
    <w:p w14:paraId="25AD9BAF" w14:textId="77777777" w:rsidR="00B37F9F" w:rsidRPr="00CA26A6" w:rsidRDefault="00B37F9F" w:rsidP="00CB6FBB">
      <w:pPr>
        <w:spacing w:line="360" w:lineRule="auto"/>
        <w:rPr>
          <w:rFonts w:cs="Arial"/>
        </w:rPr>
      </w:pPr>
    </w:p>
    <w:p w14:paraId="7E5D276E" w14:textId="77777777" w:rsidR="00B37F9F" w:rsidRDefault="00CA26A6" w:rsidP="00CB6FBB">
      <w:pPr>
        <w:pStyle w:val="Heading2"/>
        <w:spacing w:line="360" w:lineRule="auto"/>
      </w:pPr>
      <w:bookmarkStart w:id="72" w:name="_Toc230791092"/>
      <w:r w:rsidRPr="00CA26A6">
        <w:t>Health, Safety, and Environmental (HSE) Oversight</w:t>
      </w:r>
      <w:bookmarkEnd w:id="72"/>
    </w:p>
    <w:p w14:paraId="710C24DD" w14:textId="103A506F" w:rsidR="00CA26A6" w:rsidRPr="00CA26A6" w:rsidRDefault="00CA26A6" w:rsidP="00CB6FBB">
      <w:pPr>
        <w:spacing w:line="360" w:lineRule="auto"/>
        <w:rPr>
          <w:rFonts w:cs="Arial"/>
        </w:rPr>
      </w:pPr>
      <w:r w:rsidRPr="00CA26A6">
        <w:rPr>
          <w:rFonts w:cs="Arial"/>
        </w:rPr>
        <w:t xml:space="preserve">Safety management is a key priority throughout all project phases. A detailed lifting and rigging study will be completed before vessel removal. All confined-space work </w:t>
      </w:r>
      <w:r w:rsidRPr="00CA26A6">
        <w:rPr>
          <w:rFonts w:cs="Arial"/>
        </w:rPr>
        <w:lastRenderedPageBreak/>
        <w:t>will require entry permits and gas testing. Waste materials, including old cyclone components, will be disposed of through approved metal recycling routes. Environmental controls during fabrication and installation will ensure compliance with local and corporate sustainability policies.</w:t>
      </w:r>
    </w:p>
    <w:p w14:paraId="4B66CE57" w14:textId="77777777" w:rsidR="00B37F9F" w:rsidRDefault="00CA26A6" w:rsidP="00CB6FBB">
      <w:pPr>
        <w:pStyle w:val="Heading2"/>
        <w:spacing w:line="360" w:lineRule="auto"/>
      </w:pPr>
      <w:bookmarkStart w:id="73" w:name="_Toc230791093"/>
      <w:r w:rsidRPr="00CA26A6">
        <w:t>Commissioning Verification</w:t>
      </w:r>
      <w:bookmarkEnd w:id="73"/>
    </w:p>
    <w:p w14:paraId="79EF3555" w14:textId="282C6D38" w:rsidR="00CA26A6" w:rsidRPr="00CA26A6" w:rsidRDefault="00CA26A6" w:rsidP="00CB6FBB">
      <w:pPr>
        <w:spacing w:line="360" w:lineRule="auto"/>
        <w:rPr>
          <w:rFonts w:cs="Arial"/>
        </w:rPr>
      </w:pPr>
      <w:r w:rsidRPr="00CA26A6">
        <w:rPr>
          <w:rFonts w:cs="Arial"/>
        </w:rPr>
        <w:br/>
        <w:t>Once the vessel is installed, a pre-start-up safety review (PSSR) will be performed by the Valero and Shell teams. Instrument calibration, leak testing, and functional checks will be documented before the FCC unit restart. Initial operation will include temperature and vibration monitoring for baseline performance benchmarking.</w:t>
      </w:r>
    </w:p>
    <w:p w14:paraId="25A311D0" w14:textId="36A52C84" w:rsidR="00CA26A6" w:rsidRPr="00CA26A6" w:rsidRDefault="0021116C" w:rsidP="00CB6FBB">
      <w:pPr>
        <w:spacing w:line="360" w:lineRule="auto"/>
        <w:rPr>
          <w:rFonts w:cs="Arial"/>
        </w:rPr>
      </w:pPr>
      <w:r>
        <w:rPr>
          <w:rFonts w:cs="Arial"/>
        </w:rPr>
        <w:t>The</w:t>
      </w:r>
      <w:r w:rsidR="00CA26A6" w:rsidRPr="00CA26A6">
        <w:rPr>
          <w:rFonts w:cs="Arial"/>
        </w:rPr>
        <w:t xml:space="preserve"> structured QA/QC approach ensures that the replacement project delivers not only a new vessel but a fully verified, licensor-compliant system ready for safe operation and long service life.</w:t>
      </w:r>
    </w:p>
    <w:p w14:paraId="7BEF1181" w14:textId="51CFD7CF" w:rsidR="00CA26A6" w:rsidRPr="00CA26A6" w:rsidRDefault="00CA26A6" w:rsidP="00CB6FBB">
      <w:pPr>
        <w:spacing w:line="360" w:lineRule="auto"/>
        <w:rPr>
          <w:rFonts w:cs="Arial"/>
        </w:rPr>
      </w:pPr>
    </w:p>
    <w:p w14:paraId="1D7F83DE" w14:textId="77777777" w:rsidR="00CA26A6" w:rsidRPr="00CA26A6" w:rsidRDefault="00CA26A6" w:rsidP="00CB6FBB">
      <w:pPr>
        <w:pStyle w:val="Heading2"/>
        <w:spacing w:line="360" w:lineRule="auto"/>
      </w:pPr>
      <w:bookmarkStart w:id="74" w:name="_Toc230791094"/>
      <w:r w:rsidRPr="00CA26A6">
        <w:t>Economic and Operational Follow-up</w:t>
      </w:r>
      <w:bookmarkEnd w:id="74"/>
    </w:p>
    <w:p w14:paraId="3FF294D2" w14:textId="77777777" w:rsidR="00CA26A6" w:rsidRPr="00CA26A6" w:rsidRDefault="00CA26A6" w:rsidP="00CB6FBB">
      <w:pPr>
        <w:spacing w:line="360" w:lineRule="auto"/>
        <w:rPr>
          <w:rFonts w:cs="Arial"/>
        </w:rPr>
      </w:pPr>
      <w:r w:rsidRPr="00CA26A6">
        <w:rPr>
          <w:rFonts w:cs="Arial"/>
        </w:rPr>
        <w:t>After commissioning, a one-year post-installation review will be carried out to evaluate mechanical performance, emissions data, and energy savings. The results will confirm whether the expected benefits—such as reduced expander fouling, lower particulate emissions, and increased reliability—have been achieved.</w:t>
      </w:r>
    </w:p>
    <w:p w14:paraId="58440678" w14:textId="77777777" w:rsidR="00CA26A6" w:rsidRPr="00CA26A6" w:rsidRDefault="00CA26A6" w:rsidP="00CB6FBB">
      <w:pPr>
        <w:spacing w:line="360" w:lineRule="auto"/>
        <w:rPr>
          <w:rFonts w:cs="Arial"/>
        </w:rPr>
      </w:pPr>
      <w:r w:rsidRPr="00CA26A6">
        <w:rPr>
          <w:rFonts w:cs="Arial"/>
        </w:rPr>
        <w:t>A five-year lifecycle review will then assess maintenance costs, downtime, and inspection findings against the original project justification. If performance remains within predicted limits, the TSS will be reclassified from “critical replacement” to “stable long-term asset” in the refinery’s reliability hierarchy.</w:t>
      </w:r>
    </w:p>
    <w:p w14:paraId="44B8FCB0" w14:textId="77777777" w:rsidR="00CA26A6" w:rsidRPr="00CA26A6" w:rsidRDefault="00CA26A6" w:rsidP="00CB6FBB">
      <w:pPr>
        <w:spacing w:line="360" w:lineRule="auto"/>
        <w:rPr>
          <w:rFonts w:cs="Arial"/>
        </w:rPr>
      </w:pPr>
      <w:r w:rsidRPr="00CA26A6">
        <w:rPr>
          <w:rFonts w:cs="Arial"/>
        </w:rPr>
        <w:t>This structured implementation, combined with strong quality control and post-project verification, ensures that the new TSS replacement delivers its intended technical, economic, and environmental benefits.</w:t>
      </w:r>
    </w:p>
    <w:p w14:paraId="484427E4" w14:textId="77777777" w:rsidR="00CA26A6" w:rsidRPr="00BD646D" w:rsidRDefault="00CA26A6" w:rsidP="00CB6FBB">
      <w:pPr>
        <w:spacing w:line="360" w:lineRule="auto"/>
        <w:rPr>
          <w:rFonts w:cs="Arial"/>
        </w:rPr>
      </w:pPr>
    </w:p>
    <w:p w14:paraId="75D6C956" w14:textId="77777777" w:rsidR="00EB3A4E" w:rsidRPr="00EB3A4E" w:rsidRDefault="00EB3A4E" w:rsidP="00CB6FBB">
      <w:pPr>
        <w:pStyle w:val="Heading1"/>
        <w:spacing w:line="360" w:lineRule="auto"/>
      </w:pPr>
      <w:bookmarkStart w:id="75" w:name="_Toc230791095"/>
      <w:r w:rsidRPr="00EB3A4E">
        <w:t>Recommendations and Future Considerations</w:t>
      </w:r>
      <w:bookmarkEnd w:id="75"/>
    </w:p>
    <w:p w14:paraId="4BF6EA78" w14:textId="77777777" w:rsidR="00EB3A4E" w:rsidRPr="00EB3A4E" w:rsidRDefault="00EB3A4E" w:rsidP="00CB6FBB">
      <w:pPr>
        <w:spacing w:line="360" w:lineRule="auto"/>
        <w:rPr>
          <w:rFonts w:cs="Arial"/>
        </w:rPr>
      </w:pPr>
      <w:r w:rsidRPr="00EB3A4E">
        <w:rPr>
          <w:rFonts w:cs="Arial"/>
        </w:rPr>
        <w:t xml:space="preserve">The findings from the inspection and analysis of the Pembroke Refinery Third Stage Separator (TSS) have led to clear conclusions about the need for full vessel replacement. However, it is also important that the lessons learned from this project are used to guide future operations, maintenance, and design decisions. The following </w:t>
      </w:r>
      <w:r w:rsidRPr="00EB3A4E">
        <w:rPr>
          <w:rFonts w:cs="Arial"/>
        </w:rPr>
        <w:lastRenderedPageBreak/>
        <w:t>recommendations aim to ensure that the same degradation mechanisms do not reoccur, and that the new vessel achieves its full design life safely and efficiently.</w:t>
      </w:r>
    </w:p>
    <w:p w14:paraId="5A8DCBBE" w14:textId="64F54DF0" w:rsidR="00EB3A4E" w:rsidRPr="00EB3A4E" w:rsidRDefault="00EB3A4E" w:rsidP="00CB6FBB">
      <w:pPr>
        <w:spacing w:line="360" w:lineRule="auto"/>
      </w:pPr>
    </w:p>
    <w:p w14:paraId="45C341BA" w14:textId="6EBD4BD8" w:rsidR="00B37F9F" w:rsidRDefault="00EB3A4E" w:rsidP="00CB6FBB">
      <w:pPr>
        <w:pStyle w:val="Heading2"/>
        <w:spacing w:line="360" w:lineRule="auto"/>
        <w:rPr>
          <w:rStyle w:val="Heading2Char"/>
        </w:rPr>
      </w:pPr>
      <w:bookmarkStart w:id="76" w:name="_Toc230791096"/>
      <w:r w:rsidRPr="0021116C">
        <w:rPr>
          <w:rStyle w:val="Heading2Char"/>
        </w:rPr>
        <w:t>Implement continuous temperature and vibration monitoring.</w:t>
      </w:r>
      <w:bookmarkEnd w:id="76"/>
    </w:p>
    <w:p w14:paraId="5B281F15" w14:textId="73CCCB7C" w:rsidR="00EB3A4E" w:rsidRDefault="00EB3A4E" w:rsidP="00CB6FBB">
      <w:pPr>
        <w:spacing w:line="360" w:lineRule="auto"/>
        <w:rPr>
          <w:rFonts w:cs="Arial"/>
        </w:rPr>
      </w:pPr>
      <w:r w:rsidRPr="00B37F9F">
        <w:rPr>
          <w:rFonts w:cs="Arial"/>
        </w:rPr>
        <w:t xml:space="preserve">One of the key causes of degradation in the original vessel was long-term exposure to fluctuating temperatures and thermal cycling. Installing permanent thermocouples on the upper and lower </w:t>
      </w:r>
      <w:proofErr w:type="spellStart"/>
      <w:r w:rsidRPr="00B37F9F">
        <w:rPr>
          <w:rFonts w:cs="Arial"/>
        </w:rPr>
        <w:t>tubesheets</w:t>
      </w:r>
      <w:proofErr w:type="spellEnd"/>
      <w:r w:rsidRPr="00B37F9F">
        <w:rPr>
          <w:rFonts w:cs="Arial"/>
        </w:rPr>
        <w:t>, as well as vibration sensors near the inlet nozzles, will allow operators to monitor stress conditions during start-up and shutdown. Early detection of abnormal vibration or temperature profiles can help prevent fatigue-related cracking (Lee &amp; Anderson, 2012).</w:t>
      </w:r>
    </w:p>
    <w:p w14:paraId="2F3D7DCB" w14:textId="77777777" w:rsidR="00CB6FBB" w:rsidRPr="00B37F9F" w:rsidRDefault="00CB6FBB" w:rsidP="00CB6FBB">
      <w:pPr>
        <w:spacing w:line="360" w:lineRule="auto"/>
        <w:rPr>
          <w:rFonts w:cs="Arial"/>
        </w:rPr>
      </w:pPr>
    </w:p>
    <w:p w14:paraId="190D64AE" w14:textId="6F827E0D" w:rsidR="00B37F9F" w:rsidRDefault="00EB3A4E" w:rsidP="00CB6FBB">
      <w:pPr>
        <w:pStyle w:val="Heading2"/>
        <w:spacing w:line="360" w:lineRule="auto"/>
      </w:pPr>
      <w:bookmarkStart w:id="77" w:name="_Toc230791097"/>
      <w:r w:rsidRPr="00EB3A4E">
        <w:t>Maintain stable operating temperature and flow conditions.</w:t>
      </w:r>
      <w:bookmarkEnd w:id="77"/>
    </w:p>
    <w:p w14:paraId="2D3D4923" w14:textId="435D4915" w:rsidR="00EB3A4E" w:rsidRDefault="00EB3A4E" w:rsidP="00CB6FBB">
      <w:pPr>
        <w:spacing w:line="360" w:lineRule="auto"/>
        <w:rPr>
          <w:rFonts w:cs="Arial"/>
        </w:rPr>
      </w:pPr>
      <w:r w:rsidRPr="00EB3A4E">
        <w:rPr>
          <w:rFonts w:cs="Arial"/>
        </w:rPr>
        <w:t>Sudden changes in temperature and gas flow can induce stress and mechanical shock within the cyclone internals. The operation of the new vessel should aim for gradual ramp-ups and cooldowns, following Shell’s licensor procedures for thermal stability (Shell, 2024). Start-up and shutdown sequences should be reviewed to avoid rapid temperature differentials between the shell and internal components.</w:t>
      </w:r>
    </w:p>
    <w:p w14:paraId="6CA2F9FD" w14:textId="77777777" w:rsidR="00FC5523" w:rsidRPr="00EB3A4E" w:rsidRDefault="00FC5523" w:rsidP="00CB6FBB">
      <w:pPr>
        <w:spacing w:line="360" w:lineRule="auto"/>
        <w:rPr>
          <w:rFonts w:cs="Arial"/>
        </w:rPr>
      </w:pPr>
    </w:p>
    <w:p w14:paraId="671A9F86" w14:textId="7C2AB83F" w:rsidR="00B37F9F" w:rsidRDefault="00EB3A4E" w:rsidP="00CB6FBB">
      <w:pPr>
        <w:pStyle w:val="Heading2"/>
        <w:spacing w:line="360" w:lineRule="auto"/>
      </w:pPr>
      <w:bookmarkStart w:id="78" w:name="_Toc230791098"/>
      <w:r w:rsidRPr="00EB3A4E">
        <w:t>Conduct regular borescope inspections.</w:t>
      </w:r>
      <w:bookmarkEnd w:id="78"/>
    </w:p>
    <w:p w14:paraId="232B9BC2" w14:textId="3D276BFB" w:rsidR="00EB3A4E" w:rsidRPr="00EB3A4E" w:rsidRDefault="00EB3A4E" w:rsidP="00CB6FBB">
      <w:pPr>
        <w:spacing w:line="360" w:lineRule="auto"/>
        <w:rPr>
          <w:rFonts w:cs="Arial"/>
        </w:rPr>
      </w:pPr>
      <w:r w:rsidRPr="00EB3A4E">
        <w:rPr>
          <w:rFonts w:cs="Arial"/>
        </w:rPr>
        <w:t>Access ports should be included in the new vessel to allow internal visual inspection without complete disassembly. Borescope checks every two years are recommended to identify any early signs of cracking, erosion, or distortion. Inspection reports should be compared to baseline data collected after commissioning to track any changes over time (Valero, 2025).</w:t>
      </w:r>
    </w:p>
    <w:p w14:paraId="51087820" w14:textId="77777777" w:rsidR="00B37F9F" w:rsidRDefault="00EB3A4E" w:rsidP="00CB6FBB">
      <w:pPr>
        <w:pStyle w:val="Heading2"/>
        <w:spacing w:line="360" w:lineRule="auto"/>
      </w:pPr>
      <w:bookmarkStart w:id="79" w:name="_Toc230791099"/>
      <w:r w:rsidRPr="00B37F9F">
        <w:t>Use predictive maintenance through condition-based monitoring.</w:t>
      </w:r>
      <w:bookmarkEnd w:id="79"/>
    </w:p>
    <w:p w14:paraId="5B03255C" w14:textId="2367BFF7" w:rsidR="00EB3A4E" w:rsidRPr="00EB3A4E" w:rsidRDefault="00EB3A4E" w:rsidP="00CB6FBB">
      <w:pPr>
        <w:spacing w:line="360" w:lineRule="auto"/>
        <w:rPr>
          <w:rFonts w:cs="Arial"/>
        </w:rPr>
      </w:pPr>
      <w:r w:rsidRPr="00EB3A4E">
        <w:rPr>
          <w:rFonts w:cs="Arial"/>
        </w:rPr>
        <w:t>By integrating temperature and vibration data with the refinery’s existing reliability system, maintenance can shift from reactive to predictive. Trending this data will help identify developing issues such as imbalance, restricted flow, or internal component movement before they cause failures.</w:t>
      </w:r>
    </w:p>
    <w:p w14:paraId="0153C019" w14:textId="04FD38C8" w:rsidR="00B37F9F" w:rsidRPr="00B37F9F" w:rsidRDefault="00EB3A4E" w:rsidP="00CB6FBB">
      <w:pPr>
        <w:pStyle w:val="Heading2"/>
        <w:spacing w:line="360" w:lineRule="auto"/>
      </w:pPr>
      <w:bookmarkStart w:id="80" w:name="_Toc230791100"/>
      <w:r w:rsidRPr="00B37F9F">
        <w:t>Maintain a record of all thermal cycles.</w:t>
      </w:r>
      <w:bookmarkEnd w:id="80"/>
    </w:p>
    <w:p w14:paraId="22BD29FE" w14:textId="6CC9934D" w:rsidR="00EB3A4E" w:rsidRPr="00B37F9F" w:rsidRDefault="00EB3A4E" w:rsidP="00CB6FBB">
      <w:pPr>
        <w:spacing w:line="360" w:lineRule="auto"/>
        <w:rPr>
          <w:rFonts w:cs="Arial"/>
        </w:rPr>
      </w:pPr>
      <w:r w:rsidRPr="00B37F9F">
        <w:rPr>
          <w:rFonts w:cs="Arial"/>
        </w:rPr>
        <w:t xml:space="preserve">The number of full heat-up and cool-down cycles should be recorded in the equipment logbook. Sigma-phase embrittlement is time and temperature dependent, and tracking </w:t>
      </w:r>
      <w:r w:rsidRPr="00B37F9F">
        <w:rPr>
          <w:rFonts w:cs="Arial"/>
        </w:rPr>
        <w:lastRenderedPageBreak/>
        <w:t>these cycles helps estimate when re-inspection or metallurgical testing should be considered.</w:t>
      </w:r>
    </w:p>
    <w:p w14:paraId="4E00BA82" w14:textId="31BBDDBC" w:rsidR="00EB3A4E" w:rsidRPr="00EB3A4E" w:rsidRDefault="00EB3A4E" w:rsidP="00CB6FBB">
      <w:pPr>
        <w:spacing w:line="360" w:lineRule="auto"/>
        <w:rPr>
          <w:rFonts w:cs="Arial"/>
        </w:rPr>
      </w:pPr>
    </w:p>
    <w:p w14:paraId="0CFFE0C6" w14:textId="77777777" w:rsidR="00EB3A4E" w:rsidRPr="00EB3A4E" w:rsidRDefault="00EB3A4E" w:rsidP="00CB6FBB">
      <w:pPr>
        <w:pStyle w:val="Heading1"/>
        <w:spacing w:line="360" w:lineRule="auto"/>
      </w:pPr>
      <w:bookmarkStart w:id="81" w:name="_Toc230791101"/>
      <w:r w:rsidRPr="00EB3A4E">
        <w:t>Inspection and Metallurgy Control</w:t>
      </w:r>
      <w:bookmarkEnd w:id="81"/>
    </w:p>
    <w:p w14:paraId="02540C83" w14:textId="6D70B2DD" w:rsidR="00B37F9F" w:rsidRPr="00B37F9F" w:rsidRDefault="00EB3A4E" w:rsidP="00CB6FBB">
      <w:pPr>
        <w:pStyle w:val="Heading2"/>
        <w:spacing w:line="360" w:lineRule="auto"/>
      </w:pPr>
      <w:bookmarkStart w:id="82" w:name="_Toc230791102"/>
      <w:r w:rsidRPr="00B37F9F">
        <w:t>Introduce metallurgical condition monitoring.</w:t>
      </w:r>
      <w:bookmarkEnd w:id="82"/>
    </w:p>
    <w:p w14:paraId="4F5ED3B6" w14:textId="491B3AEB" w:rsidR="00EB3A4E" w:rsidRPr="00B37F9F" w:rsidRDefault="00EB3A4E" w:rsidP="00CB6FBB">
      <w:pPr>
        <w:spacing w:line="360" w:lineRule="auto"/>
        <w:rPr>
          <w:rFonts w:cs="Arial"/>
        </w:rPr>
      </w:pPr>
      <w:r w:rsidRPr="00B37F9F">
        <w:rPr>
          <w:rFonts w:cs="Arial"/>
        </w:rPr>
        <w:t>Metallurgical replication should be carried out at defined intervals (for example, every six to eight years) to check for any signs of sigma-phase formation or chromium depletion. This can be done on sample coupons installed within the vessel to represent weld and base metal conditions (Davis, 2018).</w:t>
      </w:r>
    </w:p>
    <w:p w14:paraId="27A177A9" w14:textId="77777777" w:rsidR="00B37F9F" w:rsidRDefault="00EB3A4E" w:rsidP="00CB6FBB">
      <w:pPr>
        <w:pStyle w:val="Heading2"/>
        <w:spacing w:line="360" w:lineRule="auto"/>
      </w:pPr>
      <w:bookmarkStart w:id="83" w:name="_Toc230791103"/>
      <w:r w:rsidRPr="00EB3A4E">
        <w:t>Improve welding procedures and inspection control.</w:t>
      </w:r>
      <w:bookmarkEnd w:id="83"/>
    </w:p>
    <w:p w14:paraId="03ECC769" w14:textId="69B5FC54" w:rsidR="00EB3A4E" w:rsidRPr="00EB3A4E" w:rsidRDefault="00EB3A4E" w:rsidP="00CB6FBB">
      <w:pPr>
        <w:spacing w:line="360" w:lineRule="auto"/>
        <w:rPr>
          <w:rFonts w:cs="Arial"/>
        </w:rPr>
      </w:pPr>
      <w:r w:rsidRPr="00EB3A4E">
        <w:rPr>
          <w:rFonts w:cs="Arial"/>
        </w:rPr>
        <w:t xml:space="preserve">All future hot work or weld repairs must follow the updated procedure defined in the Shell design specification. Heat input, </w:t>
      </w:r>
      <w:proofErr w:type="spellStart"/>
      <w:r w:rsidRPr="00EB3A4E">
        <w:rPr>
          <w:rFonts w:cs="Arial"/>
        </w:rPr>
        <w:t>interpass</w:t>
      </w:r>
      <w:proofErr w:type="spellEnd"/>
      <w:r w:rsidRPr="00EB3A4E">
        <w:rPr>
          <w:rFonts w:cs="Arial"/>
        </w:rPr>
        <w:t xml:space="preserve"> temperature, and cooling rates should be strictly controlled. Each weld should be 100% inspected using dye penetrant or phased array ultrasonic testing to ensure no cracking or inclusions.</w:t>
      </w:r>
    </w:p>
    <w:p w14:paraId="2544D9D3" w14:textId="5D654446" w:rsidR="00FC5523" w:rsidRDefault="00EB3A4E" w:rsidP="00CB6FBB">
      <w:pPr>
        <w:pStyle w:val="Heading2"/>
        <w:spacing w:line="360" w:lineRule="auto"/>
        <w:rPr>
          <w:rStyle w:val="Heading2Char"/>
        </w:rPr>
      </w:pPr>
      <w:bookmarkStart w:id="84" w:name="_Toc230791104"/>
      <w:r w:rsidRPr="0021116C">
        <w:rPr>
          <w:rStyle w:val="Heading2Char"/>
        </w:rPr>
        <w:t>Conduct hardness testing as part of major inspections.</w:t>
      </w:r>
      <w:bookmarkEnd w:id="84"/>
    </w:p>
    <w:p w14:paraId="2DAAB5E7" w14:textId="662712A5" w:rsidR="00EB3A4E" w:rsidRDefault="00EB3A4E" w:rsidP="00CB6FBB">
      <w:pPr>
        <w:spacing w:line="360" w:lineRule="auto"/>
        <w:rPr>
          <w:rFonts w:cs="Arial"/>
        </w:rPr>
      </w:pPr>
      <w:r w:rsidRPr="00FC5523">
        <w:rPr>
          <w:rFonts w:cs="Arial"/>
        </w:rPr>
        <w:t>Hardness testing should form part of future turnarounds. Values above 280 HV would indicate potential embrittlement or work hardening. This approach will give an early warning of changes in mechanical properties before failure occurs.</w:t>
      </w:r>
    </w:p>
    <w:p w14:paraId="0B9809CF" w14:textId="77777777" w:rsidR="00FC5523" w:rsidRPr="00FC5523" w:rsidRDefault="00FC5523" w:rsidP="00CB6FBB">
      <w:pPr>
        <w:spacing w:line="360" w:lineRule="auto"/>
        <w:rPr>
          <w:rFonts w:cs="Arial"/>
        </w:rPr>
      </w:pPr>
    </w:p>
    <w:p w14:paraId="6102C26B" w14:textId="77777777" w:rsidR="00FC5523" w:rsidRDefault="00EB3A4E" w:rsidP="00CB6FBB">
      <w:pPr>
        <w:pStyle w:val="Heading2"/>
        <w:spacing w:line="360" w:lineRule="auto"/>
        <w:rPr>
          <w:rStyle w:val="Heading2Char"/>
        </w:rPr>
      </w:pPr>
      <w:bookmarkStart w:id="85" w:name="_Toc230791105"/>
      <w:r w:rsidRPr="0021116C">
        <w:rPr>
          <w:rStyle w:val="Heading2Char"/>
        </w:rPr>
        <w:t>Retain all metallurgical reports and inspection data.</w:t>
      </w:r>
      <w:bookmarkEnd w:id="85"/>
    </w:p>
    <w:p w14:paraId="09111F96" w14:textId="49B5DD97" w:rsidR="00EB3A4E" w:rsidRPr="00EB3A4E" w:rsidRDefault="00EB3A4E" w:rsidP="00CB6FBB">
      <w:pPr>
        <w:spacing w:line="360" w:lineRule="auto"/>
      </w:pPr>
      <w:r w:rsidRPr="00EB3A4E">
        <w:br/>
        <w:t>A dedicated vessel history file should be created for the new TSS. This file should include all inspection results, metallurgical data, design drawings, and weld procedure specifications. Maintaining full traceability ensures that any future repairs or replacements are based on accurate material and operating history.</w:t>
      </w:r>
    </w:p>
    <w:p w14:paraId="11945BEF" w14:textId="704F19C0" w:rsidR="00EB3A4E" w:rsidRPr="00EB3A4E" w:rsidRDefault="00EB3A4E" w:rsidP="00CB6FBB">
      <w:pPr>
        <w:spacing w:line="360" w:lineRule="auto"/>
        <w:rPr>
          <w:rFonts w:cs="Arial"/>
        </w:rPr>
      </w:pPr>
    </w:p>
    <w:p w14:paraId="0397A357" w14:textId="77777777" w:rsidR="00EB3A4E" w:rsidRPr="00EB3A4E" w:rsidRDefault="00EB3A4E" w:rsidP="00CB6FBB">
      <w:pPr>
        <w:pStyle w:val="Heading1"/>
        <w:spacing w:line="360" w:lineRule="auto"/>
      </w:pPr>
      <w:bookmarkStart w:id="86" w:name="_Toc230791106"/>
      <w:r w:rsidRPr="00EB3A4E">
        <w:t>Environmental and Reliability Considerations</w:t>
      </w:r>
      <w:bookmarkEnd w:id="86"/>
    </w:p>
    <w:p w14:paraId="7A4B5354" w14:textId="36C8C06B" w:rsidR="00FC5523" w:rsidRDefault="00EB3A4E" w:rsidP="00CB6FBB">
      <w:pPr>
        <w:pStyle w:val="Heading2"/>
        <w:spacing w:line="360" w:lineRule="auto"/>
        <w:rPr>
          <w:rStyle w:val="Heading2Char"/>
        </w:rPr>
      </w:pPr>
      <w:bookmarkStart w:id="87" w:name="_Toc230791107"/>
      <w:r w:rsidRPr="0021116C">
        <w:rPr>
          <w:rStyle w:val="Heading2Char"/>
        </w:rPr>
        <w:t>Confirm compliance with Best Available Technology (BAT).</w:t>
      </w:r>
      <w:bookmarkEnd w:id="87"/>
    </w:p>
    <w:p w14:paraId="6B61E6F7" w14:textId="222B82F2" w:rsidR="00EB3A4E" w:rsidRPr="00FC5523" w:rsidRDefault="00EB3A4E" w:rsidP="00CB6FBB">
      <w:pPr>
        <w:spacing w:line="360" w:lineRule="auto"/>
        <w:rPr>
          <w:rFonts w:cs="Arial"/>
        </w:rPr>
      </w:pPr>
      <w:r w:rsidRPr="00FC5523">
        <w:rPr>
          <w:rFonts w:cs="Arial"/>
        </w:rPr>
        <w:br/>
        <w:t xml:space="preserve">The new TSS design meets the BAT standard as recognised by the environmental </w:t>
      </w:r>
      <w:r w:rsidRPr="00FC5523">
        <w:rPr>
          <w:rFonts w:cs="Arial"/>
        </w:rPr>
        <w:lastRenderedPageBreak/>
        <w:t>regulator. Once installed, stack testing should be completed to verify particulate emissions are below 30 mg/Nm³, consistent with the design performance target (Shell, 2024). Continuous monitoring should also be maintained through the refinery’s existing emissions management system.</w:t>
      </w:r>
    </w:p>
    <w:p w14:paraId="357EAEDF" w14:textId="58076A37" w:rsidR="00FC5523" w:rsidRDefault="00EB3A4E" w:rsidP="00CB6FBB">
      <w:pPr>
        <w:pStyle w:val="Heading2"/>
        <w:spacing w:line="360" w:lineRule="auto"/>
        <w:rPr>
          <w:rStyle w:val="Heading2Char"/>
        </w:rPr>
      </w:pPr>
      <w:bookmarkStart w:id="88" w:name="_Toc230791108"/>
      <w:r w:rsidRPr="0021116C">
        <w:rPr>
          <w:rStyle w:val="Heading2Char"/>
        </w:rPr>
        <w:t>Quantify environmental benefits post-installation.</w:t>
      </w:r>
      <w:bookmarkEnd w:id="88"/>
    </w:p>
    <w:p w14:paraId="25E691EF" w14:textId="56E7AA82" w:rsidR="00EB3A4E" w:rsidRPr="00FC5523" w:rsidRDefault="00EB3A4E" w:rsidP="00CB6FBB">
      <w:pPr>
        <w:spacing w:line="360" w:lineRule="auto"/>
        <w:rPr>
          <w:rFonts w:cs="Arial"/>
        </w:rPr>
      </w:pPr>
      <w:r w:rsidRPr="00FC5523">
        <w:rPr>
          <w:rFonts w:cs="Arial"/>
        </w:rPr>
        <w:t>Replacing the TSS will reduce particulate carry-over and catalyst loss. A reduction in fines reaching the expander will improve energy efficiency, while lower stack emissions will reduce the site’s overall environmental footprint. These improvements should be quantified and reported after the first operational year.</w:t>
      </w:r>
    </w:p>
    <w:p w14:paraId="5B8827B8" w14:textId="1168A4CC" w:rsidR="00FC5523" w:rsidRDefault="00EB3A4E" w:rsidP="00CB6FBB">
      <w:pPr>
        <w:pStyle w:val="Heading2"/>
        <w:spacing w:line="360" w:lineRule="auto"/>
        <w:rPr>
          <w:rStyle w:val="Heading2Char"/>
        </w:rPr>
      </w:pPr>
      <w:bookmarkStart w:id="89" w:name="_Toc230791109"/>
      <w:r w:rsidRPr="0021116C">
        <w:rPr>
          <w:rStyle w:val="Heading2Char"/>
        </w:rPr>
        <w:t>Integrate TSS monitoring into refinery reliability KPIs.</w:t>
      </w:r>
      <w:bookmarkEnd w:id="89"/>
    </w:p>
    <w:p w14:paraId="19794F93" w14:textId="11A68604" w:rsidR="00EB3A4E" w:rsidRPr="00FC5523" w:rsidRDefault="00EB3A4E" w:rsidP="00CB6FBB">
      <w:pPr>
        <w:spacing w:line="360" w:lineRule="auto"/>
        <w:rPr>
          <w:rFonts w:cs="Arial"/>
        </w:rPr>
      </w:pPr>
      <w:r w:rsidRPr="00FC5523">
        <w:rPr>
          <w:rFonts w:cs="Arial"/>
        </w:rPr>
        <w:t>The TSS should be included in the site’s critical equipment reliability program. Key performance indicators such as separator efficiency, expander fouling rate, and stack particulate levels should be reviewed quarterly. This will link mechanical reliability directly to environmental performance.</w:t>
      </w:r>
    </w:p>
    <w:p w14:paraId="2D0F6AA3" w14:textId="77777777" w:rsidR="00EB3A4E" w:rsidRPr="00EB3A4E" w:rsidRDefault="00EB3A4E" w:rsidP="00CB6FBB">
      <w:pPr>
        <w:pStyle w:val="Heading1"/>
        <w:spacing w:line="360" w:lineRule="auto"/>
      </w:pPr>
      <w:bookmarkStart w:id="90" w:name="_Toc230791110"/>
      <w:r w:rsidRPr="00EB3A4E">
        <w:t>Economic and Lifecycle Planning</w:t>
      </w:r>
      <w:bookmarkEnd w:id="90"/>
    </w:p>
    <w:p w14:paraId="2FDD63EB" w14:textId="5B4EF51A" w:rsidR="00FC5523" w:rsidRDefault="00EB3A4E" w:rsidP="00CB6FBB">
      <w:pPr>
        <w:pStyle w:val="Heading2"/>
        <w:spacing w:line="360" w:lineRule="auto"/>
        <w:rPr>
          <w:rStyle w:val="Heading2Char"/>
        </w:rPr>
      </w:pPr>
      <w:bookmarkStart w:id="91" w:name="_Toc230791111"/>
      <w:r w:rsidRPr="0021116C">
        <w:rPr>
          <w:rStyle w:val="Heading2Char"/>
        </w:rPr>
        <w:t>Review lifecycle cost every five years.</w:t>
      </w:r>
      <w:bookmarkEnd w:id="91"/>
    </w:p>
    <w:p w14:paraId="437ABB91" w14:textId="5D3E858C" w:rsidR="00EB3A4E" w:rsidRDefault="00EB3A4E" w:rsidP="00CB6FBB">
      <w:pPr>
        <w:spacing w:line="360" w:lineRule="auto"/>
        <w:rPr>
          <w:rFonts w:cs="Arial"/>
        </w:rPr>
      </w:pPr>
      <w:r w:rsidRPr="00FC5523">
        <w:rPr>
          <w:rFonts w:cs="Arial"/>
        </w:rPr>
        <w:t>The replacement TSS represents a major capital investment, with a total installed cost of approximately £21 million (Valero, 2025). To ensure ongoing value, a lifecycle cost review should be carried out every five years. This should include maintenance, inspection, and any operational downtime costs. Comparing these figures against projected savings from improved efficiency will show whether the investment continues to meet its economic targets.</w:t>
      </w:r>
    </w:p>
    <w:p w14:paraId="19D4404A" w14:textId="77777777" w:rsidR="00CB6FBB" w:rsidRPr="00FC5523" w:rsidRDefault="00CB6FBB" w:rsidP="00CB6FBB">
      <w:pPr>
        <w:spacing w:line="360" w:lineRule="auto"/>
        <w:rPr>
          <w:rFonts w:cs="Arial"/>
        </w:rPr>
      </w:pPr>
    </w:p>
    <w:p w14:paraId="2701E67D" w14:textId="0EF41012" w:rsidR="00FC5523" w:rsidRDefault="00EB3A4E" w:rsidP="00CB6FBB">
      <w:pPr>
        <w:pStyle w:val="Heading2"/>
        <w:spacing w:line="360" w:lineRule="auto"/>
        <w:rPr>
          <w:rStyle w:val="Heading2Char"/>
        </w:rPr>
      </w:pPr>
      <w:bookmarkStart w:id="92" w:name="_Toc230791112"/>
      <w:r w:rsidRPr="0021116C">
        <w:rPr>
          <w:rStyle w:val="Heading2Char"/>
        </w:rPr>
        <w:t>Extend the turnaround planning window.</w:t>
      </w:r>
      <w:bookmarkEnd w:id="92"/>
    </w:p>
    <w:p w14:paraId="567A8709" w14:textId="7EB32242" w:rsidR="00EB3A4E" w:rsidRDefault="00EB3A4E" w:rsidP="00CB6FBB">
      <w:pPr>
        <w:spacing w:line="360" w:lineRule="auto"/>
        <w:rPr>
          <w:rFonts w:cs="Arial"/>
        </w:rPr>
      </w:pPr>
      <w:r w:rsidRPr="00FC5523">
        <w:rPr>
          <w:rFonts w:cs="Arial"/>
        </w:rPr>
        <w:t xml:space="preserve">Future FCC turnarounds should consider the long lead time required for large fabricated vessels. Ordering replacement internals, such as cyclones or </w:t>
      </w:r>
      <w:proofErr w:type="spellStart"/>
      <w:r w:rsidRPr="00FC5523">
        <w:rPr>
          <w:rFonts w:cs="Arial"/>
        </w:rPr>
        <w:t>tubesheets</w:t>
      </w:r>
      <w:proofErr w:type="spellEnd"/>
      <w:r w:rsidRPr="00FC5523">
        <w:rPr>
          <w:rFonts w:cs="Arial"/>
        </w:rPr>
        <w:t>, can take up to nine months. Planning at least 18 months ahead will help avoid delays and ensure cost efficiency (Shell, 2024).</w:t>
      </w:r>
    </w:p>
    <w:p w14:paraId="7CA9D8CE" w14:textId="77777777" w:rsidR="00FC5523" w:rsidRPr="00FC5523" w:rsidRDefault="00FC5523" w:rsidP="00CB6FBB">
      <w:pPr>
        <w:spacing w:line="360" w:lineRule="auto"/>
        <w:rPr>
          <w:rFonts w:cs="Arial"/>
        </w:rPr>
      </w:pPr>
    </w:p>
    <w:p w14:paraId="69781D23" w14:textId="4002A992" w:rsidR="00FC5523" w:rsidRDefault="00EB3A4E" w:rsidP="00CB6FBB">
      <w:pPr>
        <w:pStyle w:val="Heading2"/>
        <w:spacing w:line="360" w:lineRule="auto"/>
        <w:rPr>
          <w:rStyle w:val="Heading2Char"/>
        </w:rPr>
      </w:pPr>
      <w:bookmarkStart w:id="93" w:name="_Toc230791113"/>
      <w:r w:rsidRPr="0021116C">
        <w:rPr>
          <w:rStyle w:val="Heading2Char"/>
        </w:rPr>
        <w:lastRenderedPageBreak/>
        <w:t>Develop an internal design database.</w:t>
      </w:r>
      <w:bookmarkEnd w:id="93"/>
    </w:p>
    <w:p w14:paraId="359B4A8C" w14:textId="0DE66E30" w:rsidR="00EB3A4E" w:rsidRDefault="00EB3A4E" w:rsidP="00CB6FBB">
      <w:pPr>
        <w:spacing w:line="360" w:lineRule="auto"/>
        <w:rPr>
          <w:rFonts w:cs="Arial"/>
        </w:rPr>
      </w:pPr>
      <w:r w:rsidRPr="00FC5523">
        <w:rPr>
          <w:rFonts w:cs="Arial"/>
        </w:rPr>
        <w:t>Data from this replacement project should be stored within Valero’s internal engineering database, including drawings, stress calculations, FEA models, and supplier information. Having this information readily available will reduce engineering hours for future upgrades at Pembroke or other sites.</w:t>
      </w:r>
    </w:p>
    <w:p w14:paraId="4BA777C0" w14:textId="77777777" w:rsidR="00FC5523" w:rsidRDefault="00FC5523" w:rsidP="00CB6FBB">
      <w:pPr>
        <w:spacing w:line="360" w:lineRule="auto"/>
        <w:rPr>
          <w:rFonts w:cs="Arial"/>
        </w:rPr>
      </w:pPr>
    </w:p>
    <w:p w14:paraId="05956093" w14:textId="56F68DB7" w:rsidR="00FC5523" w:rsidRDefault="00EB3A4E" w:rsidP="00CB6FBB">
      <w:pPr>
        <w:pStyle w:val="Heading2"/>
        <w:spacing w:line="360" w:lineRule="auto"/>
        <w:rPr>
          <w:rStyle w:val="Heading2Char"/>
        </w:rPr>
      </w:pPr>
      <w:bookmarkStart w:id="94" w:name="_Toc230791114"/>
      <w:r w:rsidRPr="0021116C">
        <w:rPr>
          <w:rStyle w:val="Heading2Char"/>
        </w:rPr>
        <w:t>Conduct post-installation performance verification.</w:t>
      </w:r>
      <w:bookmarkEnd w:id="94"/>
    </w:p>
    <w:p w14:paraId="4F4B53CE" w14:textId="6F65F262" w:rsidR="00EB3A4E" w:rsidRPr="00FC5523" w:rsidRDefault="00EB3A4E" w:rsidP="00CB6FBB">
      <w:pPr>
        <w:spacing w:line="360" w:lineRule="auto"/>
        <w:rPr>
          <w:rFonts w:cs="Arial"/>
        </w:rPr>
      </w:pPr>
      <w:r w:rsidRPr="00FC5523">
        <w:rPr>
          <w:rFonts w:cs="Arial"/>
        </w:rPr>
        <w:t>After the new TSS is commissioned, baseline operating data should be recorded for pressure drop, outlet particulate level, and temperature distribution. This information will serve as the benchmark for future performance assessments and troubleshooting.</w:t>
      </w:r>
    </w:p>
    <w:p w14:paraId="06EE06EE" w14:textId="77777777" w:rsidR="0021116C" w:rsidRPr="00EB3A4E" w:rsidRDefault="0021116C" w:rsidP="00CB6FBB">
      <w:pPr>
        <w:spacing w:line="360" w:lineRule="auto"/>
        <w:rPr>
          <w:rFonts w:cs="Arial"/>
        </w:rPr>
      </w:pPr>
    </w:p>
    <w:p w14:paraId="17DAEEF7" w14:textId="77777777" w:rsidR="00EB3A4E" w:rsidRPr="00EB3A4E" w:rsidRDefault="00EB3A4E" w:rsidP="00CB6FBB">
      <w:pPr>
        <w:pStyle w:val="Heading1"/>
        <w:spacing w:line="360" w:lineRule="auto"/>
      </w:pPr>
      <w:bookmarkStart w:id="95" w:name="_Toc230791115"/>
      <w:r w:rsidRPr="00EB3A4E">
        <w:t>Long-Term Future Considerations</w:t>
      </w:r>
      <w:bookmarkEnd w:id="95"/>
    </w:p>
    <w:p w14:paraId="59875E8B" w14:textId="3942E558" w:rsidR="00FC5523" w:rsidRDefault="00EB3A4E" w:rsidP="00CB6FBB">
      <w:pPr>
        <w:pStyle w:val="Heading2"/>
        <w:spacing w:line="360" w:lineRule="auto"/>
        <w:rPr>
          <w:rStyle w:val="Heading2Char"/>
        </w:rPr>
      </w:pPr>
      <w:bookmarkStart w:id="96" w:name="_Toc230791116"/>
      <w:r w:rsidRPr="0021116C">
        <w:rPr>
          <w:rStyle w:val="Heading2Char"/>
        </w:rPr>
        <w:t>Investigate alternative materials.</w:t>
      </w:r>
      <w:bookmarkEnd w:id="96"/>
    </w:p>
    <w:p w14:paraId="450E2723" w14:textId="393633D7" w:rsidR="00EB3A4E" w:rsidRDefault="00EB3A4E" w:rsidP="00CB6FBB">
      <w:pPr>
        <w:spacing w:line="360" w:lineRule="auto"/>
        <w:rPr>
          <w:rFonts w:cs="Arial"/>
        </w:rPr>
      </w:pPr>
      <w:r w:rsidRPr="00FC5523">
        <w:rPr>
          <w:rFonts w:cs="Arial"/>
        </w:rPr>
        <w:t xml:space="preserve">Although 304H stainless steel remains the licensor standard, future projects could evaluate alternative alloys such as 347H or </w:t>
      </w:r>
      <w:proofErr w:type="spellStart"/>
      <w:r w:rsidRPr="00FC5523">
        <w:rPr>
          <w:rFonts w:cs="Arial"/>
        </w:rPr>
        <w:t>Incoloy</w:t>
      </w:r>
      <w:proofErr w:type="spellEnd"/>
      <w:r w:rsidRPr="00FC5523">
        <w:rPr>
          <w:rFonts w:cs="Arial"/>
        </w:rPr>
        <w:t xml:space="preserve"> 800H, which have improved resistance to sigma-phase formation. Material testing data from Shell’s research programmes could be reviewed once available to assess feasibility (</w:t>
      </w:r>
      <w:proofErr w:type="spellStart"/>
      <w:r w:rsidRPr="00FC5523">
        <w:rPr>
          <w:rFonts w:cs="Arial"/>
        </w:rPr>
        <w:t>Kotecki</w:t>
      </w:r>
      <w:proofErr w:type="spellEnd"/>
      <w:r w:rsidRPr="00FC5523">
        <w:rPr>
          <w:rFonts w:cs="Arial"/>
        </w:rPr>
        <w:t xml:space="preserve"> &amp; </w:t>
      </w:r>
      <w:proofErr w:type="spellStart"/>
      <w:r w:rsidRPr="00FC5523">
        <w:rPr>
          <w:rFonts w:cs="Arial"/>
        </w:rPr>
        <w:t>Lippold</w:t>
      </w:r>
      <w:proofErr w:type="spellEnd"/>
      <w:r w:rsidRPr="00FC5523">
        <w:rPr>
          <w:rFonts w:cs="Arial"/>
        </w:rPr>
        <w:t>, 2015).</w:t>
      </w:r>
    </w:p>
    <w:p w14:paraId="510680C5" w14:textId="77777777" w:rsidR="00FC5523" w:rsidRPr="00FC5523" w:rsidRDefault="00FC5523" w:rsidP="00CB6FBB">
      <w:pPr>
        <w:spacing w:line="360" w:lineRule="auto"/>
        <w:rPr>
          <w:rFonts w:cs="Arial"/>
        </w:rPr>
      </w:pPr>
    </w:p>
    <w:p w14:paraId="2EE7A270" w14:textId="074F62C2" w:rsidR="00FC5523" w:rsidRDefault="00EB3A4E" w:rsidP="00CB6FBB">
      <w:pPr>
        <w:pStyle w:val="Heading2"/>
        <w:spacing w:line="360" w:lineRule="auto"/>
        <w:rPr>
          <w:rStyle w:val="Heading2Char"/>
        </w:rPr>
      </w:pPr>
      <w:bookmarkStart w:id="97" w:name="_Toc230791117"/>
      <w:r w:rsidRPr="0021116C">
        <w:rPr>
          <w:rStyle w:val="Heading2Char"/>
        </w:rPr>
        <w:t>Explore advanced manufacturing methods.</w:t>
      </w:r>
      <w:bookmarkEnd w:id="97"/>
    </w:p>
    <w:p w14:paraId="4B004667" w14:textId="6F6F8E4D" w:rsidR="00EB3A4E" w:rsidRDefault="00EB3A4E" w:rsidP="00CB6FBB">
      <w:pPr>
        <w:spacing w:line="360" w:lineRule="auto"/>
        <w:rPr>
          <w:rFonts w:cs="Arial"/>
        </w:rPr>
      </w:pPr>
      <w:r w:rsidRPr="00FC5523">
        <w:rPr>
          <w:rFonts w:cs="Arial"/>
        </w:rPr>
        <w:t>Emerging fabrication methods, such as automated orbital welding and hybrid laser-arc welding, can offer greater control of heat input, improving weld quality and reducing the likelihood of sigma-phase formation. These methods could be considered for future replacements or modifications.</w:t>
      </w:r>
    </w:p>
    <w:p w14:paraId="60A1BC66" w14:textId="77777777" w:rsidR="00FC5523" w:rsidRDefault="00EB3A4E" w:rsidP="00CB6FBB">
      <w:pPr>
        <w:pStyle w:val="Heading2"/>
        <w:spacing w:line="360" w:lineRule="auto"/>
        <w:rPr>
          <w:rStyle w:val="Heading2Char"/>
        </w:rPr>
      </w:pPr>
      <w:bookmarkStart w:id="98" w:name="_Toc230791118"/>
      <w:r w:rsidRPr="0021116C">
        <w:rPr>
          <w:rStyle w:val="Heading2Char"/>
        </w:rPr>
        <w:t>Implement digital twin technology for predictive analysis.</w:t>
      </w:r>
      <w:bookmarkEnd w:id="98"/>
    </w:p>
    <w:p w14:paraId="6499AB57" w14:textId="6040A544" w:rsidR="00EB3A4E" w:rsidRDefault="00EB3A4E" w:rsidP="00CB6FBB">
      <w:pPr>
        <w:spacing w:line="360" w:lineRule="auto"/>
        <w:rPr>
          <w:rFonts w:cs="Arial"/>
        </w:rPr>
      </w:pPr>
      <w:r w:rsidRPr="00FC5523">
        <w:rPr>
          <w:rFonts w:cs="Arial"/>
        </w:rPr>
        <w:t>Using 3D scanning and digital twin modelling can help simulate future wear and stress in the TSS. Integrating real-time process data with the model allows engineers to predict degradation trends and schedule interventions before failures occur. This technology is already being used in other parts of the oil and gas industry to optimise reliability management.</w:t>
      </w:r>
    </w:p>
    <w:p w14:paraId="47663FF5" w14:textId="77777777" w:rsidR="00FC5523" w:rsidRDefault="00FC5523" w:rsidP="00CB6FBB">
      <w:pPr>
        <w:spacing w:line="360" w:lineRule="auto"/>
        <w:rPr>
          <w:rFonts w:asciiTheme="majorHAnsi" w:eastAsiaTheme="majorEastAsia" w:hAnsiTheme="majorHAnsi" w:cstheme="majorBidi"/>
          <w:color w:val="2F5496" w:themeColor="accent1" w:themeShade="BF"/>
          <w:sz w:val="26"/>
          <w:szCs w:val="26"/>
        </w:rPr>
      </w:pPr>
    </w:p>
    <w:p w14:paraId="667B1E91" w14:textId="1C5090B2" w:rsidR="00FC5523" w:rsidRDefault="00EB3A4E" w:rsidP="00CB6FBB">
      <w:pPr>
        <w:pStyle w:val="Heading2"/>
        <w:spacing w:line="360" w:lineRule="auto"/>
        <w:rPr>
          <w:rStyle w:val="Heading2Char"/>
        </w:rPr>
      </w:pPr>
      <w:bookmarkStart w:id="99" w:name="_Toc230791119"/>
      <w:r w:rsidRPr="0021116C">
        <w:rPr>
          <w:rStyle w:val="Heading2Char"/>
        </w:rPr>
        <w:lastRenderedPageBreak/>
        <w:t>Apply lessons learned to other refinery assets.</w:t>
      </w:r>
      <w:bookmarkEnd w:id="99"/>
    </w:p>
    <w:p w14:paraId="764F2535" w14:textId="25B31FF4" w:rsidR="00EB3A4E" w:rsidRPr="00FC5523" w:rsidRDefault="00EB3A4E" w:rsidP="00CB6FBB">
      <w:pPr>
        <w:spacing w:line="360" w:lineRule="auto"/>
        <w:rPr>
          <w:rFonts w:cs="Arial"/>
        </w:rPr>
      </w:pPr>
      <w:r w:rsidRPr="00FC5523">
        <w:rPr>
          <w:rFonts w:cs="Arial"/>
        </w:rPr>
        <w:t>The findings from this project should be shared across Valero’s wider refinery network. Similar FCC units in other locations may have comparable equipment age and metallurgy, meaning that proactive replacement planning could avoid future failures and unplanned outages.</w:t>
      </w:r>
    </w:p>
    <w:p w14:paraId="7B598FCC" w14:textId="0F363E35" w:rsidR="00EB3A4E" w:rsidRPr="00EB3A4E" w:rsidRDefault="00EB3A4E" w:rsidP="00CB6FBB">
      <w:pPr>
        <w:spacing w:line="360" w:lineRule="auto"/>
        <w:rPr>
          <w:rFonts w:cs="Arial"/>
        </w:rPr>
      </w:pPr>
    </w:p>
    <w:p w14:paraId="18245AEB" w14:textId="77777777" w:rsidR="00EB3A4E" w:rsidRPr="00EB3A4E" w:rsidRDefault="00EB3A4E" w:rsidP="00CB6FBB">
      <w:pPr>
        <w:spacing w:line="360" w:lineRule="auto"/>
        <w:rPr>
          <w:rFonts w:cs="Arial"/>
        </w:rPr>
      </w:pPr>
      <w:r w:rsidRPr="00EB3A4E">
        <w:rPr>
          <w:rFonts w:cs="Arial"/>
        </w:rPr>
        <w:t>The analysis and recommendations from this project provide a roadmap for maintaining the reliability and integrity of the new Third Stage Separator at Pembroke Refinery. Key priorities include continuous monitoring, improved inspection techniques, controlled welding practices, and integration of predictive maintenance.</w:t>
      </w:r>
    </w:p>
    <w:p w14:paraId="45C09547" w14:textId="77777777" w:rsidR="00EB3A4E" w:rsidRDefault="00EB3A4E" w:rsidP="00CB6FBB">
      <w:pPr>
        <w:spacing w:line="360" w:lineRule="auto"/>
        <w:rPr>
          <w:rFonts w:cs="Arial"/>
        </w:rPr>
      </w:pPr>
      <w:r w:rsidRPr="00EB3A4E">
        <w:rPr>
          <w:rFonts w:cs="Arial"/>
        </w:rPr>
        <w:t>By implementing these recommendations, Valero can ensure that the new TSS achieves its full 15–20-year service life while maintaining compliance with environmental regulations and licensor requirements. The project not only resolves the immediate issues identified during inspection but also strengthens future refinery reliability and asset management practices.</w:t>
      </w:r>
    </w:p>
    <w:p w14:paraId="2CE24E8D" w14:textId="00EC4BD2" w:rsidR="0021116C" w:rsidRDefault="0021116C" w:rsidP="00CB6FBB">
      <w:pPr>
        <w:spacing w:after="160" w:line="360" w:lineRule="auto"/>
        <w:rPr>
          <w:rFonts w:cs="Arial"/>
        </w:rPr>
      </w:pPr>
      <w:r>
        <w:rPr>
          <w:rFonts w:cs="Arial"/>
        </w:rPr>
        <w:br w:type="page"/>
      </w:r>
    </w:p>
    <w:p w14:paraId="703D8625" w14:textId="77777777" w:rsidR="00EB3A4E" w:rsidRPr="00EB3A4E" w:rsidRDefault="00EB3A4E" w:rsidP="00CB6FBB">
      <w:pPr>
        <w:pStyle w:val="Heading1"/>
        <w:spacing w:line="360" w:lineRule="auto"/>
      </w:pPr>
      <w:bookmarkStart w:id="100" w:name="_Toc230791120"/>
      <w:r w:rsidRPr="00EB3A4E">
        <w:lastRenderedPageBreak/>
        <w:t>Conclusion</w:t>
      </w:r>
      <w:bookmarkEnd w:id="100"/>
    </w:p>
    <w:p w14:paraId="03502AA9" w14:textId="77777777" w:rsidR="00EB3A4E" w:rsidRPr="00EB3A4E" w:rsidRDefault="00EB3A4E" w:rsidP="00CB6FBB">
      <w:pPr>
        <w:spacing w:line="360" w:lineRule="auto"/>
        <w:rPr>
          <w:rFonts w:cs="Arial"/>
        </w:rPr>
      </w:pPr>
      <w:r w:rsidRPr="00EB3A4E">
        <w:rPr>
          <w:rFonts w:cs="Arial"/>
        </w:rPr>
        <w:t xml:space="preserve">The investigation and analysis carried out on the Third Stage Separator (TSS) at Pembroke Refinery clearly demonstrate that the vessel has reached the end of its operational life. The inspections, metallurgical testing, and engineering assessments all confirmed severe degradation caused primarily by sigma-phase embrittlement and thermal fatigue of the 304H stainless steel material. Over forty years of high-temperature service have resulted in the loss of ductility, high hardness values, and extensive cracking across the welds and </w:t>
      </w:r>
      <w:proofErr w:type="spellStart"/>
      <w:r w:rsidRPr="00EB3A4E">
        <w:rPr>
          <w:rFonts w:cs="Arial"/>
        </w:rPr>
        <w:t>tubesheets</w:t>
      </w:r>
      <w:proofErr w:type="spellEnd"/>
      <w:r w:rsidRPr="00EB3A4E">
        <w:rPr>
          <w:rFonts w:cs="Arial"/>
        </w:rPr>
        <w:t>.</w:t>
      </w:r>
    </w:p>
    <w:p w14:paraId="35815A8E" w14:textId="77777777" w:rsidR="00EB3A4E" w:rsidRPr="00EB3A4E" w:rsidRDefault="00EB3A4E" w:rsidP="00CB6FBB">
      <w:pPr>
        <w:spacing w:line="360" w:lineRule="auto"/>
        <w:rPr>
          <w:rFonts w:cs="Arial"/>
        </w:rPr>
      </w:pPr>
      <w:r w:rsidRPr="00EB3A4E">
        <w:rPr>
          <w:rFonts w:cs="Arial"/>
        </w:rPr>
        <w:t>The extent of cracking, with more than 70 percent of critical welds affected, means that continued operation in its current condition would pose both mechanical and environmental risks. Attempts to carry out in-situ weld repairs have already proven unsuccessful due to the embrittled condition of the metal. Each additional heat cycle introduced during repair would further promote sigma-phase formation, accelerating the rate of deterioration.</w:t>
      </w:r>
    </w:p>
    <w:p w14:paraId="3E7BC62A" w14:textId="77777777" w:rsidR="00EB3A4E" w:rsidRPr="00EB3A4E" w:rsidRDefault="00EB3A4E" w:rsidP="00CB6FBB">
      <w:pPr>
        <w:spacing w:line="360" w:lineRule="auto"/>
        <w:rPr>
          <w:rFonts w:cs="Arial"/>
        </w:rPr>
      </w:pPr>
      <w:r w:rsidRPr="00EB3A4E">
        <w:rPr>
          <w:rFonts w:cs="Arial"/>
        </w:rPr>
        <w:t>The temporary J-hook restraint system installed in 2021 provided short-term safety by preventing cyclone components from dropping into the vessel. However, this was not a Shell-approved design and cannot guarantee long-term performance under thermal cycling. It was therefore only ever a temporary mitigation measure to allow continued operation until a permanent solution could be implemented.</w:t>
      </w:r>
    </w:p>
    <w:p w14:paraId="2D6E1C2A" w14:textId="77777777" w:rsidR="00EB3A4E" w:rsidRPr="00EB3A4E" w:rsidRDefault="00EB3A4E" w:rsidP="00CB6FBB">
      <w:pPr>
        <w:spacing w:line="360" w:lineRule="auto"/>
        <w:rPr>
          <w:rFonts w:cs="Arial"/>
        </w:rPr>
      </w:pPr>
      <w:r w:rsidRPr="00EB3A4E">
        <w:rPr>
          <w:rFonts w:cs="Arial"/>
        </w:rPr>
        <w:t>From an operational perspective, the degraded condition of the TSS has already led to higher expander fouling rates, increased vibration, and multiple environmental exceedances. These issues demonstrate a direct link between mechanical deterioration and declining separator efficiency. Continued use of the existing vessel would likely lead to further loss of performance and higher risk of non-compliance with emission limits.</w:t>
      </w:r>
    </w:p>
    <w:p w14:paraId="743B481A" w14:textId="77777777" w:rsidR="00EB3A4E" w:rsidRPr="00EB3A4E" w:rsidRDefault="00EB3A4E" w:rsidP="00CB6FBB">
      <w:pPr>
        <w:spacing w:line="360" w:lineRule="auto"/>
        <w:rPr>
          <w:rFonts w:cs="Arial"/>
        </w:rPr>
      </w:pPr>
      <w:r w:rsidRPr="00EB3A4E">
        <w:rPr>
          <w:rFonts w:cs="Arial"/>
        </w:rPr>
        <w:t>The evaluation of the repair and replacement options showed that while the in-situ repair initially appeared cheaper, it involved greater uncertainty, longer turnaround duration, and no guarantee of extended service life. The full vessel replacement option provides a shorter outage, removes all degraded material, and includes modern design improvements to reduce velocity, erosion, and stress. The new design, developed by Shell and validated by Wood plc, introduces 144 cyclones, improved metallurgy controls, and enhanced fabrication standards, extending the expected service life by at least 15 years.</w:t>
      </w:r>
    </w:p>
    <w:p w14:paraId="214A0D46" w14:textId="77777777" w:rsidR="00EB3A4E" w:rsidRDefault="00EB3A4E" w:rsidP="00CB6FBB">
      <w:pPr>
        <w:spacing w:line="360" w:lineRule="auto"/>
        <w:rPr>
          <w:rFonts w:cs="Arial"/>
        </w:rPr>
      </w:pPr>
      <w:r w:rsidRPr="00EB3A4E">
        <w:rPr>
          <w:rFonts w:cs="Arial"/>
        </w:rPr>
        <w:lastRenderedPageBreak/>
        <w:t>In conclusion, full vessel replacement is the only safe, cost-effective, and sustainable long-term solution for Pembroke Refinery’s TSS. It ensures compliance with Shell licensor design standards, restores environmental reliability, and reduces operational risk. The project also delivers wider benefits by supporting future refinery performance, improving process safety, and aligning with industry standards for asset renewal and lifecycle management.</w:t>
      </w:r>
    </w:p>
    <w:p w14:paraId="37C78638" w14:textId="72CF08E2" w:rsidR="0021116C" w:rsidRDefault="0021116C" w:rsidP="00CB6FBB">
      <w:pPr>
        <w:spacing w:after="160" w:line="360" w:lineRule="auto"/>
        <w:rPr>
          <w:rFonts w:cs="Arial"/>
        </w:rPr>
      </w:pPr>
      <w:r>
        <w:rPr>
          <w:rFonts w:cs="Arial"/>
        </w:rPr>
        <w:br w:type="page"/>
      </w:r>
    </w:p>
    <w:p w14:paraId="00078F48" w14:textId="77777777" w:rsidR="00CB03EA" w:rsidRPr="00CB03EA" w:rsidRDefault="00CB03EA" w:rsidP="00CB6FBB">
      <w:pPr>
        <w:pStyle w:val="Heading1"/>
        <w:spacing w:line="360" w:lineRule="auto"/>
      </w:pPr>
      <w:bookmarkStart w:id="101" w:name="_Toc230791121"/>
      <w:r w:rsidRPr="00CB03EA">
        <w:rPr>
          <w:rFonts w:eastAsia="Times New Roman"/>
        </w:rPr>
        <w:lastRenderedPageBreak/>
        <w:t>Limitations and Future Work</w:t>
      </w:r>
      <w:bookmarkEnd w:id="101"/>
    </w:p>
    <w:p w14:paraId="3D1062D8" w14:textId="77777777" w:rsidR="00CB03EA" w:rsidRPr="00CB03EA" w:rsidRDefault="00CB03EA" w:rsidP="00CB6FBB">
      <w:pPr>
        <w:spacing w:line="360" w:lineRule="auto"/>
        <w:rPr>
          <w:rFonts w:cs="Arial"/>
        </w:rPr>
      </w:pPr>
      <w:r w:rsidRPr="00CB03EA">
        <w:rPr>
          <w:rFonts w:cs="Arial"/>
        </w:rPr>
        <w:t>Although this project successfully demonstrated the engineering, economic, and environmental justification for the full replacement of the Third Stage Separator (TSS) at Pembroke Refinery, several limitations should be acknowledged. These do not affect the validity of the conclusions but highlight areas where further analysis or research could enhance understanding and long-term performance assurance.</w:t>
      </w:r>
    </w:p>
    <w:p w14:paraId="38ACE052" w14:textId="77777777" w:rsidR="00CB03EA" w:rsidRPr="00CB03EA" w:rsidRDefault="00CB03EA" w:rsidP="00CB6FBB">
      <w:pPr>
        <w:spacing w:line="360" w:lineRule="auto"/>
        <w:rPr>
          <w:rFonts w:cs="Arial"/>
        </w:rPr>
      </w:pPr>
      <w:r w:rsidRPr="00CB03EA">
        <w:rPr>
          <w:rFonts w:cs="Arial"/>
        </w:rPr>
        <w:t>One limitation is the availability of operational data for real-time validation. Most of the analysis relied on inspection findings, metallurgical testing, and design documentation rather than continuous process monitoring. Parameters such as gas velocity distribution, temperature gradients, and particulate loading were obtained from licensor data and modelling assumptions rather than live measurements. The absence of direct CFD (Computational Fluid Dynamics) modelling meant that gas–solid flow interactions and localised turbulence effects could only be estimated using industry correlations. Future work should include CFD-based validation of the new Shell design to confirm flow uniformity and ensure no regions of recirculation or high erosion remain.</w:t>
      </w:r>
    </w:p>
    <w:p w14:paraId="5B2687D3" w14:textId="77777777" w:rsidR="00CB03EA" w:rsidRPr="00CB03EA" w:rsidRDefault="00CB03EA" w:rsidP="00CB6FBB">
      <w:pPr>
        <w:spacing w:line="360" w:lineRule="auto"/>
        <w:rPr>
          <w:rFonts w:cs="Arial"/>
        </w:rPr>
      </w:pPr>
      <w:r w:rsidRPr="00CB03EA">
        <w:rPr>
          <w:rFonts w:cs="Arial"/>
        </w:rPr>
        <w:t>Another limitation relates to the metallurgical data. The replication testing performed in 2021 provided clear evidence of sigma-phase embrittlement, but no impact toughness or fatigue testing was possible due to limited sample availability. While hardness and microstructural data were sufficient to confirm degradation, more comprehensive mechanical testing under simulated operating temperatures would allow better prediction of failure modes. Future work should include mechanical property testing of retired components to establish precise relationships between sigma-phase content, ductility, and fatigue resistance.</w:t>
      </w:r>
    </w:p>
    <w:p w14:paraId="703581EA" w14:textId="77777777" w:rsidR="00CB03EA" w:rsidRPr="00CB03EA" w:rsidRDefault="00CB03EA" w:rsidP="00CB6FBB">
      <w:pPr>
        <w:spacing w:line="360" w:lineRule="auto"/>
        <w:rPr>
          <w:rFonts w:cs="Arial"/>
        </w:rPr>
      </w:pPr>
      <w:r w:rsidRPr="00CB03EA">
        <w:rPr>
          <w:rFonts w:cs="Arial"/>
        </w:rPr>
        <w:t>Economic analysis was also based on deterministic cost and schedule data without sensitivity analysis. Although the replacement option clearly demonstrated the best value, it would be beneficial to conduct probabilistic risk modelling to quantify uncertainty in cost, duration, and reliability outcomes. Monte Carlo simulations or scenario-based evaluations could be applied in future projects to support more robust investment decisions.</w:t>
      </w:r>
    </w:p>
    <w:p w14:paraId="4FC5ED29" w14:textId="5C18AF51" w:rsidR="00CB03EA" w:rsidRPr="00CB03EA" w:rsidRDefault="00CB03EA" w:rsidP="00CB6FBB">
      <w:pPr>
        <w:spacing w:line="360" w:lineRule="auto"/>
        <w:rPr>
          <w:rFonts w:cs="Arial"/>
        </w:rPr>
      </w:pPr>
      <w:r w:rsidRPr="00CB03EA">
        <w:rPr>
          <w:rFonts w:cs="Arial"/>
        </w:rPr>
        <w:t xml:space="preserve">Finally, while environmental and energy benefits were estimated based on design performance, post-installation verification will be required to confirm actual reductions </w:t>
      </w:r>
      <w:r w:rsidRPr="00CB03EA">
        <w:rPr>
          <w:rFonts w:cs="Arial"/>
        </w:rPr>
        <w:lastRenderedPageBreak/>
        <w:t>in emissions, catalyst loss, and energy use. Incorporating real-time monitoring and a digital twin model would enable predictive maintenance and long-term optimisation.</w:t>
      </w:r>
    </w:p>
    <w:p w14:paraId="7728212C" w14:textId="77777777" w:rsidR="00CB03EA" w:rsidRPr="00CB03EA" w:rsidRDefault="00CB03EA" w:rsidP="00CB6FBB">
      <w:pPr>
        <w:spacing w:line="360" w:lineRule="auto"/>
        <w:rPr>
          <w:rFonts w:cs="Arial"/>
        </w:rPr>
      </w:pPr>
      <w:r w:rsidRPr="00CB03EA">
        <w:rPr>
          <w:rFonts w:cs="Arial"/>
        </w:rPr>
        <w:t>Overall, the findings of this project provide a strong basis for implementation, but future work should focus on advanced modelling, expanded material testing, and data-driven reliability assessment to continuously improve the design and operation of FCC separator systems across the Valero network.</w:t>
      </w:r>
    </w:p>
    <w:p w14:paraId="22AAE84A" w14:textId="21EBCDA9" w:rsidR="0021116C" w:rsidRDefault="0021116C" w:rsidP="00CB6FBB">
      <w:pPr>
        <w:spacing w:after="160" w:line="360" w:lineRule="auto"/>
        <w:rPr>
          <w:rFonts w:cs="Arial"/>
          <w:sz w:val="22"/>
          <w:szCs w:val="22"/>
        </w:rPr>
      </w:pPr>
      <w:r>
        <w:rPr>
          <w:rFonts w:cs="Arial"/>
          <w:sz w:val="22"/>
          <w:szCs w:val="22"/>
        </w:rPr>
        <w:br w:type="page"/>
      </w:r>
    </w:p>
    <w:p w14:paraId="7D7C8FFF" w14:textId="77777777" w:rsidR="003B2DE9" w:rsidRPr="003B2DE9" w:rsidRDefault="003B2DE9" w:rsidP="00CB6FBB">
      <w:pPr>
        <w:pStyle w:val="Heading1"/>
        <w:spacing w:line="360" w:lineRule="auto"/>
      </w:pPr>
      <w:bookmarkStart w:id="102" w:name="_Toc230791122"/>
      <w:r w:rsidRPr="003B2DE9">
        <w:rPr>
          <w:rFonts w:eastAsia="Times New Roman"/>
        </w:rPr>
        <w:lastRenderedPageBreak/>
        <w:t>Professional Reflection</w:t>
      </w:r>
      <w:bookmarkEnd w:id="102"/>
    </w:p>
    <w:p w14:paraId="2EAD123D" w14:textId="77777777" w:rsidR="003B2DE9" w:rsidRPr="003B2DE9" w:rsidRDefault="003B2DE9" w:rsidP="00CB6FBB">
      <w:pPr>
        <w:spacing w:line="360" w:lineRule="auto"/>
        <w:rPr>
          <w:rFonts w:cs="Arial"/>
        </w:rPr>
      </w:pPr>
      <w:r w:rsidRPr="003B2DE9">
        <w:rPr>
          <w:rFonts w:cs="Arial"/>
        </w:rPr>
        <w:t>This project has provided valuable experience in applying academic knowledge to an industrial engineering problem. Managing the evaluation and replacement of the Third Stage Separator (TSS) required balancing technical performance, cost, safety, and environmental compliance within strict operational constraints. The process highlighted how engineering decisions are rarely made on a single factor but rely on integrated judgement combining data, standards, and practical feasibility.</w:t>
      </w:r>
    </w:p>
    <w:p w14:paraId="40A17784" w14:textId="77777777" w:rsidR="003B2DE9" w:rsidRPr="003B2DE9" w:rsidRDefault="003B2DE9" w:rsidP="00CB6FBB">
      <w:pPr>
        <w:spacing w:line="360" w:lineRule="auto"/>
        <w:rPr>
          <w:rFonts w:cs="Arial"/>
        </w:rPr>
      </w:pPr>
      <w:r w:rsidRPr="003B2DE9">
        <w:rPr>
          <w:rFonts w:cs="Arial"/>
        </w:rPr>
        <w:t>Working through inspection findings and metallurgical data reinforced the importance of evidence-based analysis. It also emphasised the need for critical evaluation of information sources, as field data and modelling often carry uncertainty. Interpreting inspection reports and licensor design standards developed my ability to translate theoretical understanding into real-world application.</w:t>
      </w:r>
    </w:p>
    <w:p w14:paraId="0D72D620" w14:textId="77777777" w:rsidR="003B2DE9" w:rsidRPr="003B2DE9" w:rsidRDefault="003B2DE9" w:rsidP="00CB6FBB">
      <w:pPr>
        <w:spacing w:line="360" w:lineRule="auto"/>
        <w:rPr>
          <w:rFonts w:cs="Arial"/>
        </w:rPr>
      </w:pPr>
      <w:r w:rsidRPr="003B2DE9">
        <w:rPr>
          <w:rFonts w:cs="Arial"/>
        </w:rPr>
        <w:t>The project also deepened my awareness of sustainability and lifecycle thinking. The replacement solution not only addressed immediate mechanical issues but supported longer-term environmental and reliability goals. Overall, the experience strengthened my confidence in technical communication, project planning, and professional decision-making — key skills for future work in refinery engineering and asset integrity</w:t>
      </w:r>
    </w:p>
    <w:p w14:paraId="4452BB19" w14:textId="2CB13966" w:rsidR="0021116C" w:rsidRDefault="0021116C" w:rsidP="00CB6FBB">
      <w:pPr>
        <w:spacing w:after="160" w:line="360" w:lineRule="auto"/>
        <w:rPr>
          <w:rFonts w:cs="Arial"/>
          <w:sz w:val="22"/>
          <w:szCs w:val="22"/>
        </w:rPr>
      </w:pPr>
      <w:r>
        <w:rPr>
          <w:rFonts w:cs="Arial"/>
          <w:sz w:val="22"/>
          <w:szCs w:val="22"/>
        </w:rPr>
        <w:br w:type="page"/>
      </w:r>
    </w:p>
    <w:bookmarkStart w:id="103" w:name="_Toc230791123" w:displacedByCustomXml="next"/>
    <w:sdt>
      <w:sdtPr>
        <w:rPr>
          <w:rFonts w:asciiTheme="minorHAnsi" w:eastAsia="Times New Roman" w:hAnsiTheme="minorHAnsi" w:cstheme="minorHAnsi"/>
          <w:color w:val="auto"/>
          <w:sz w:val="24"/>
          <w:szCs w:val="24"/>
          <w:lang w:eastAsia="en-GB"/>
        </w:rPr>
        <w:id w:val="1760864509"/>
        <w:docPartObj>
          <w:docPartGallery w:val="Bibliographies"/>
          <w:docPartUnique/>
        </w:docPartObj>
      </w:sdtPr>
      <w:sdtEndPr/>
      <w:sdtContent>
        <w:p w14:paraId="51536A69" w14:textId="7899846E" w:rsidR="00AB55E9" w:rsidRPr="0021116C" w:rsidRDefault="00AB55E9" w:rsidP="00CB6FBB">
          <w:pPr>
            <w:pStyle w:val="Heading1"/>
            <w:spacing w:line="360" w:lineRule="auto"/>
            <w:rPr>
              <w:rFonts w:asciiTheme="minorHAnsi" w:hAnsiTheme="minorHAnsi" w:cstheme="minorHAnsi"/>
            </w:rPr>
          </w:pPr>
          <w:r w:rsidRPr="0021116C">
            <w:rPr>
              <w:rFonts w:asciiTheme="minorHAnsi" w:hAnsiTheme="minorHAnsi" w:cstheme="minorHAnsi"/>
            </w:rPr>
            <w:t>References</w:t>
          </w:r>
          <w:bookmarkEnd w:id="103"/>
        </w:p>
        <w:sdt>
          <w:sdtPr>
            <w:rPr>
              <w:rFonts w:ascii="Arial" w:hAnsi="Arial" w:cstheme="minorHAnsi"/>
              <w:lang w:eastAsia="en-GB"/>
            </w:rPr>
            <w:id w:val="-1269777108"/>
            <w:bibliography/>
          </w:sdtPr>
          <w:sdtEndPr>
            <w:rPr>
              <w:rFonts w:cs="Arial"/>
              <w:lang w:val="en-GB"/>
            </w:rPr>
          </w:sdtEndPr>
          <w:sdtContent>
            <w:p w14:paraId="2F44B36F"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Ahmed, M., Ali, R., Younis, M. and Karim, A. (2024) 'Analysis of the influence of gas leakage in the </w:t>
              </w:r>
              <w:proofErr w:type="spellStart"/>
              <w:r w:rsidRPr="008174C0">
                <w:rPr>
                  <w:rFonts w:ascii="Arial" w:hAnsi="Arial" w:cs="Arial"/>
                </w:rPr>
                <w:t>dipleg</w:t>
              </w:r>
              <w:proofErr w:type="spellEnd"/>
              <w:r w:rsidRPr="008174C0">
                <w:rPr>
                  <w:rFonts w:ascii="Arial" w:hAnsi="Arial" w:cs="Arial"/>
                </w:rPr>
                <w:t xml:space="preserve"> on cyclone separation performance', </w:t>
              </w:r>
              <w:r w:rsidRPr="008174C0">
                <w:rPr>
                  <w:rStyle w:val="Emphasis"/>
                  <w:rFonts w:ascii="Arial" w:eastAsiaTheme="majorEastAsia" w:hAnsi="Arial" w:cs="Arial"/>
                </w:rPr>
                <w:t>American Journal of Science and Technology</w:t>
              </w:r>
              <w:r w:rsidRPr="008174C0">
                <w:rPr>
                  <w:rFonts w:ascii="Arial" w:hAnsi="Arial" w:cs="Arial"/>
                </w:rPr>
                <w:t>, 11(2), pp. 45–53.</w:t>
              </w:r>
            </w:p>
            <w:p w14:paraId="79A4705A"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Arnold, K. and Stewart, M. (2008) </w:t>
              </w:r>
              <w:r w:rsidRPr="008174C0">
                <w:rPr>
                  <w:rStyle w:val="Emphasis"/>
                  <w:rFonts w:ascii="Arial" w:eastAsiaTheme="majorEastAsia" w:hAnsi="Arial" w:cs="Arial"/>
                </w:rPr>
                <w:t>Surface Production Operations, Volume 1: Design of Oil-Handling Systems and Facilities</w:t>
              </w:r>
              <w:r w:rsidRPr="008174C0">
                <w:rPr>
                  <w:rFonts w:ascii="Arial" w:hAnsi="Arial" w:cs="Arial"/>
                </w:rPr>
                <w:t xml:space="preserve">. 3rd </w:t>
              </w:r>
              <w:proofErr w:type="spellStart"/>
              <w:r w:rsidRPr="008174C0">
                <w:rPr>
                  <w:rFonts w:ascii="Arial" w:hAnsi="Arial" w:cs="Arial"/>
                </w:rPr>
                <w:t>edn</w:t>
              </w:r>
              <w:proofErr w:type="spellEnd"/>
              <w:r w:rsidRPr="008174C0">
                <w:rPr>
                  <w:rFonts w:ascii="Arial" w:hAnsi="Arial" w:cs="Arial"/>
                </w:rPr>
                <w:t>. Houston: Gulf Professional Publishing.</w:t>
              </w:r>
            </w:p>
            <w:p w14:paraId="34773464"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Barth, W. (1956) 'Design of high-efficiency cyclones', </w:t>
              </w:r>
              <w:r w:rsidRPr="008174C0">
                <w:rPr>
                  <w:rStyle w:val="Emphasis"/>
                  <w:rFonts w:ascii="Arial" w:eastAsiaTheme="majorEastAsia" w:hAnsi="Arial" w:cs="Arial"/>
                </w:rPr>
                <w:t>Chemical Engineering Progress</w:t>
              </w:r>
              <w:r w:rsidRPr="008174C0">
                <w:rPr>
                  <w:rFonts w:ascii="Arial" w:hAnsi="Arial" w:cs="Arial"/>
                </w:rPr>
                <w:t>, 52(8), pp. 396–404.</w:t>
              </w:r>
            </w:p>
            <w:p w14:paraId="5C21B85E"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Davis, J.R. (2018) </w:t>
              </w:r>
              <w:r w:rsidRPr="008174C0">
                <w:rPr>
                  <w:rStyle w:val="Emphasis"/>
                  <w:rFonts w:ascii="Arial" w:eastAsiaTheme="majorEastAsia" w:hAnsi="Arial" w:cs="Arial"/>
                </w:rPr>
                <w:t>Stainless Steels</w:t>
              </w:r>
              <w:r w:rsidRPr="008174C0">
                <w:rPr>
                  <w:rFonts w:ascii="Arial" w:hAnsi="Arial" w:cs="Arial"/>
                </w:rPr>
                <w:t>. Materials Park, OH: ASM International.</w:t>
              </w:r>
            </w:p>
            <w:p w14:paraId="14AAD866"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DEFRA (2022) </w:t>
              </w:r>
              <w:r w:rsidRPr="008174C0">
                <w:rPr>
                  <w:rStyle w:val="Emphasis"/>
                  <w:rFonts w:ascii="Arial" w:eastAsiaTheme="majorEastAsia" w:hAnsi="Arial" w:cs="Arial"/>
                </w:rPr>
                <w:t>Air Quality Standards and Industrial Emissions Guidance</w:t>
              </w:r>
              <w:r w:rsidRPr="008174C0">
                <w:rPr>
                  <w:rFonts w:ascii="Arial" w:hAnsi="Arial" w:cs="Arial"/>
                </w:rPr>
                <w:t>. London: Department for Environment, Food and Rural Affairs.</w:t>
              </w:r>
            </w:p>
            <w:p w14:paraId="793C8A42"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Finnie, I. (1960) 'Erosion of surfaces by solid particles', </w:t>
              </w:r>
              <w:r w:rsidRPr="008174C0">
                <w:rPr>
                  <w:rStyle w:val="Emphasis"/>
                  <w:rFonts w:ascii="Arial" w:eastAsiaTheme="majorEastAsia" w:hAnsi="Arial" w:cs="Arial"/>
                </w:rPr>
                <w:t>Wear</w:t>
              </w:r>
              <w:r w:rsidRPr="008174C0">
                <w:rPr>
                  <w:rFonts w:ascii="Arial" w:hAnsi="Arial" w:cs="Arial"/>
                </w:rPr>
                <w:t>, 3(2), pp. 87–103.</w:t>
              </w:r>
            </w:p>
            <w:p w14:paraId="2290F193"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Fushimi, C., Wu, H., Kang, S. and Matsuda, H. (2021) 'Recent progress in efficient gas–solid cyclone separators', </w:t>
              </w:r>
              <w:r w:rsidRPr="008174C0">
                <w:rPr>
                  <w:rStyle w:val="Emphasis"/>
                  <w:rFonts w:ascii="Arial" w:eastAsiaTheme="majorEastAsia" w:hAnsi="Arial" w:cs="Arial"/>
                </w:rPr>
                <w:t>KONA Powder and Particle Journal</w:t>
              </w:r>
              <w:r w:rsidRPr="008174C0">
                <w:rPr>
                  <w:rFonts w:ascii="Arial" w:hAnsi="Arial" w:cs="Arial"/>
                </w:rPr>
                <w:t>, 38, pp. 1–16.</w:t>
              </w:r>
            </w:p>
            <w:p w14:paraId="2D9067F3"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Fushimi, T. and Tanaka, Y. (2023) 'Modelling of erosion and flow </w:t>
              </w:r>
              <w:proofErr w:type="spellStart"/>
              <w:r w:rsidRPr="008174C0">
                <w:rPr>
                  <w:rFonts w:ascii="Arial" w:hAnsi="Arial" w:cs="Arial"/>
                </w:rPr>
                <w:t>behaviour</w:t>
              </w:r>
              <w:proofErr w:type="spellEnd"/>
              <w:r w:rsidRPr="008174C0">
                <w:rPr>
                  <w:rFonts w:ascii="Arial" w:hAnsi="Arial" w:cs="Arial"/>
                </w:rPr>
                <w:t xml:space="preserve"> in multi-cyclone FCC separators', </w:t>
              </w:r>
              <w:r w:rsidRPr="008174C0">
                <w:rPr>
                  <w:rStyle w:val="Emphasis"/>
                  <w:rFonts w:ascii="Arial" w:eastAsiaTheme="majorEastAsia" w:hAnsi="Arial" w:cs="Arial"/>
                </w:rPr>
                <w:t>Applied Thermal Engineering</w:t>
              </w:r>
              <w:r w:rsidRPr="008174C0">
                <w:rPr>
                  <w:rFonts w:ascii="Arial" w:hAnsi="Arial" w:cs="Arial"/>
                </w:rPr>
                <w:t>, 229, 120713.</w:t>
              </w:r>
            </w:p>
            <w:p w14:paraId="17F09D10"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Grant, G. and </w:t>
              </w:r>
              <w:proofErr w:type="spellStart"/>
              <w:r w:rsidRPr="008174C0">
                <w:rPr>
                  <w:rFonts w:ascii="Arial" w:hAnsi="Arial" w:cs="Arial"/>
                </w:rPr>
                <w:t>Tabakoff</w:t>
              </w:r>
              <w:proofErr w:type="spellEnd"/>
              <w:r w:rsidRPr="008174C0">
                <w:rPr>
                  <w:rFonts w:ascii="Arial" w:hAnsi="Arial" w:cs="Arial"/>
                </w:rPr>
                <w:t xml:space="preserve">, W. (1975) 'Erosion prediction in turbomachinery resulting from environmental solid particles', </w:t>
              </w:r>
              <w:r w:rsidRPr="008174C0">
                <w:rPr>
                  <w:rStyle w:val="Emphasis"/>
                  <w:rFonts w:ascii="Arial" w:eastAsiaTheme="majorEastAsia" w:hAnsi="Arial" w:cs="Arial"/>
                </w:rPr>
                <w:t>Journal of Aircraft</w:t>
              </w:r>
              <w:r w:rsidRPr="008174C0">
                <w:rPr>
                  <w:rFonts w:ascii="Arial" w:hAnsi="Arial" w:cs="Arial"/>
                </w:rPr>
                <w:t>, 12(5), pp. 471–478.</w:t>
              </w:r>
            </w:p>
            <w:p w14:paraId="04C622BE"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Guo, J., Li, Z., Sun, Y. and Wang, H. (2025) 'Enhancing cyclone separator performance via geometric </w:t>
              </w:r>
              <w:proofErr w:type="spellStart"/>
              <w:r w:rsidRPr="008174C0">
                <w:rPr>
                  <w:rFonts w:ascii="Arial" w:hAnsi="Arial" w:cs="Arial"/>
                </w:rPr>
                <w:t>optimisation</w:t>
              </w:r>
              <w:proofErr w:type="spellEnd"/>
              <w:r w:rsidRPr="008174C0">
                <w:rPr>
                  <w:rFonts w:ascii="Arial" w:hAnsi="Arial" w:cs="Arial"/>
                </w:rPr>
                <w:t xml:space="preserve">', </w:t>
              </w:r>
              <w:r w:rsidRPr="008174C0">
                <w:rPr>
                  <w:rStyle w:val="Emphasis"/>
                  <w:rFonts w:ascii="Arial" w:eastAsiaTheme="majorEastAsia" w:hAnsi="Arial" w:cs="Arial"/>
                </w:rPr>
                <w:t>Journal of Process Engineering</w:t>
              </w:r>
              <w:r w:rsidRPr="008174C0">
                <w:rPr>
                  <w:rFonts w:ascii="Arial" w:hAnsi="Arial" w:cs="Arial"/>
                </w:rPr>
                <w:t>, 29(3), pp. 455–466.</w:t>
              </w:r>
            </w:p>
            <w:p w14:paraId="402F81C7"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Guo, X., Li, D. and Chen, S. (2025) 'Erosion prediction in fluid catalytic cracking cyclones based on CFD–empirical models', </w:t>
              </w:r>
              <w:r w:rsidRPr="008174C0">
                <w:rPr>
                  <w:rStyle w:val="Emphasis"/>
                  <w:rFonts w:ascii="Arial" w:eastAsiaTheme="majorEastAsia" w:hAnsi="Arial" w:cs="Arial"/>
                </w:rPr>
                <w:t>Powder Technology</w:t>
              </w:r>
              <w:r w:rsidRPr="008174C0">
                <w:rPr>
                  <w:rFonts w:ascii="Arial" w:hAnsi="Arial" w:cs="Arial"/>
                </w:rPr>
                <w:t>, 437, pp. 101–114.</w:t>
              </w:r>
            </w:p>
            <w:p w14:paraId="79929651"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lastRenderedPageBreak/>
                <w:t xml:space="preserve">Harris, P. and Anderson, D. (2020) </w:t>
              </w:r>
              <w:r w:rsidRPr="008174C0">
                <w:rPr>
                  <w:rStyle w:val="Emphasis"/>
                  <w:rFonts w:ascii="Arial" w:eastAsiaTheme="majorEastAsia" w:hAnsi="Arial" w:cs="Arial"/>
                </w:rPr>
                <w:t>Asset Integrity and Reliability Engineering for Refinery Equipment</w:t>
              </w:r>
              <w:r w:rsidRPr="008174C0">
                <w:rPr>
                  <w:rFonts w:ascii="Arial" w:hAnsi="Arial" w:cs="Arial"/>
                </w:rPr>
                <w:t xml:space="preserve">. 2nd </w:t>
              </w:r>
              <w:proofErr w:type="spellStart"/>
              <w:r w:rsidRPr="008174C0">
                <w:rPr>
                  <w:rFonts w:ascii="Arial" w:hAnsi="Arial" w:cs="Arial"/>
                </w:rPr>
                <w:t>edn</w:t>
              </w:r>
              <w:proofErr w:type="spellEnd"/>
              <w:r w:rsidRPr="008174C0">
                <w:rPr>
                  <w:rFonts w:ascii="Arial" w:hAnsi="Arial" w:cs="Arial"/>
                </w:rPr>
                <w:t>. Amsterdam: Elsevier.</w:t>
              </w:r>
            </w:p>
            <w:p w14:paraId="079D9844"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Hau, J.L. (2017) 'Sigma phase embrittlement of type 304H stainless steel in FCC service', </w:t>
              </w:r>
              <w:r w:rsidRPr="008174C0">
                <w:rPr>
                  <w:rStyle w:val="Emphasis"/>
                  <w:rFonts w:ascii="Arial" w:eastAsiaTheme="majorEastAsia" w:hAnsi="Arial" w:cs="Arial"/>
                </w:rPr>
                <w:t>NACE International Conference Proceedings</w:t>
              </w:r>
              <w:r w:rsidRPr="008174C0">
                <w:rPr>
                  <w:rFonts w:ascii="Arial" w:hAnsi="Arial" w:cs="Arial"/>
                </w:rPr>
                <w:t>, Paper 9423. Houston: NACE International.</w:t>
              </w:r>
            </w:p>
            <w:p w14:paraId="43E71F7A"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Hau, J.L. and </w:t>
              </w:r>
              <w:proofErr w:type="spellStart"/>
              <w:r w:rsidRPr="008174C0">
                <w:rPr>
                  <w:rFonts w:ascii="Arial" w:hAnsi="Arial" w:cs="Arial"/>
                </w:rPr>
                <w:t>Seijas</w:t>
              </w:r>
              <w:proofErr w:type="spellEnd"/>
              <w:r w:rsidRPr="008174C0">
                <w:rPr>
                  <w:rFonts w:ascii="Arial" w:hAnsi="Arial" w:cs="Arial"/>
                </w:rPr>
                <w:t xml:space="preserve">, A. (2006) 'Sigma phase embrittlement of stainless steel in FCC service', </w:t>
              </w:r>
              <w:r w:rsidRPr="008174C0">
                <w:rPr>
                  <w:rStyle w:val="Emphasis"/>
                  <w:rFonts w:ascii="Arial" w:eastAsiaTheme="majorEastAsia" w:hAnsi="Arial" w:cs="Arial"/>
                </w:rPr>
                <w:t>Corrosion Conference and Expo Proceedings</w:t>
              </w:r>
              <w:r w:rsidRPr="008174C0">
                <w:rPr>
                  <w:rFonts w:ascii="Arial" w:hAnsi="Arial" w:cs="Arial"/>
                </w:rPr>
                <w:t>, Paper 06578. Houston: NACE International.</w:t>
              </w:r>
            </w:p>
            <w:p w14:paraId="14AF5CB2"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Hosseini, V.A., Karlsson, L., Svensson, L.E. and </w:t>
              </w:r>
              <w:proofErr w:type="spellStart"/>
              <w:r w:rsidRPr="008174C0">
                <w:rPr>
                  <w:rFonts w:ascii="Arial" w:hAnsi="Arial" w:cs="Arial"/>
                </w:rPr>
                <w:t>Hurtig</w:t>
              </w:r>
              <w:proofErr w:type="spellEnd"/>
              <w:r w:rsidRPr="008174C0">
                <w:rPr>
                  <w:rFonts w:ascii="Arial" w:hAnsi="Arial" w:cs="Arial"/>
                </w:rPr>
                <w:t xml:space="preserve">, K. (2018) 'Effect of sigma phase morphology on the degradation of mechanical properties in stainless steels', </w:t>
              </w:r>
              <w:r w:rsidRPr="008174C0">
                <w:rPr>
                  <w:rStyle w:val="Emphasis"/>
                  <w:rFonts w:ascii="Arial" w:eastAsiaTheme="majorEastAsia" w:hAnsi="Arial" w:cs="Arial"/>
                </w:rPr>
                <w:t>Materials</w:t>
              </w:r>
              <w:r w:rsidRPr="008174C0">
                <w:rPr>
                  <w:rFonts w:ascii="Arial" w:hAnsi="Arial" w:cs="Arial"/>
                </w:rPr>
                <w:t>, 11(6), p. 933.</w:t>
              </w:r>
            </w:p>
            <w:p w14:paraId="2683D62F"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Jordan, P., Thompson, D., Roberts, M. and Harris, J. (2020) 'Asset management strategy for heat-affected zone cracking in stainless steels', </w:t>
              </w:r>
              <w:r w:rsidRPr="008174C0">
                <w:rPr>
                  <w:rStyle w:val="Emphasis"/>
                  <w:rFonts w:ascii="Arial" w:eastAsiaTheme="majorEastAsia" w:hAnsi="Arial" w:cs="Arial"/>
                </w:rPr>
                <w:t>Engineering Failure Analysis</w:t>
              </w:r>
              <w:r w:rsidRPr="008174C0">
                <w:rPr>
                  <w:rFonts w:ascii="Arial" w:hAnsi="Arial" w:cs="Arial"/>
                </w:rPr>
                <w:t>, 114, p. 104601.</w:t>
              </w:r>
            </w:p>
            <w:p w14:paraId="2ABC816C" w14:textId="77777777" w:rsidR="008174C0" w:rsidRPr="008174C0" w:rsidRDefault="008174C0" w:rsidP="008174C0">
              <w:pPr>
                <w:pStyle w:val="font-claude-response-body"/>
                <w:spacing w:line="360" w:lineRule="auto"/>
                <w:rPr>
                  <w:rFonts w:ascii="Arial" w:hAnsi="Arial" w:cs="Arial"/>
                </w:rPr>
              </w:pPr>
              <w:proofErr w:type="spellStart"/>
              <w:r w:rsidRPr="008174C0">
                <w:rPr>
                  <w:rFonts w:ascii="Arial" w:hAnsi="Arial" w:cs="Arial"/>
                </w:rPr>
                <w:t>Kotecki</w:t>
              </w:r>
              <w:proofErr w:type="spellEnd"/>
              <w:r w:rsidRPr="008174C0">
                <w:rPr>
                  <w:rFonts w:ascii="Arial" w:hAnsi="Arial" w:cs="Arial"/>
                </w:rPr>
                <w:t xml:space="preserve">, D.J. and </w:t>
              </w:r>
              <w:proofErr w:type="spellStart"/>
              <w:r w:rsidRPr="008174C0">
                <w:rPr>
                  <w:rFonts w:ascii="Arial" w:hAnsi="Arial" w:cs="Arial"/>
                </w:rPr>
                <w:t>Lippold</w:t>
              </w:r>
              <w:proofErr w:type="spellEnd"/>
              <w:r w:rsidRPr="008174C0">
                <w:rPr>
                  <w:rFonts w:ascii="Arial" w:hAnsi="Arial" w:cs="Arial"/>
                </w:rPr>
                <w:t xml:space="preserve">, J.C. (2015) </w:t>
              </w:r>
              <w:r w:rsidRPr="008174C0">
                <w:rPr>
                  <w:rStyle w:val="Emphasis"/>
                  <w:rFonts w:ascii="Arial" w:eastAsiaTheme="majorEastAsia" w:hAnsi="Arial" w:cs="Arial"/>
                </w:rPr>
                <w:t>Welding Metallurgy and Weldability of Stainless Steels</w:t>
              </w:r>
              <w:r w:rsidRPr="008174C0">
                <w:rPr>
                  <w:rFonts w:ascii="Arial" w:hAnsi="Arial" w:cs="Arial"/>
                </w:rPr>
                <w:t>. Hoboken, NJ: Wiley.</w:t>
              </w:r>
            </w:p>
            <w:p w14:paraId="1CBDD67E"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Lee, S. and Anderson, B. (2012) 'Thermal fatigue in high-temperature process equipment', </w:t>
              </w:r>
              <w:r w:rsidRPr="008174C0">
                <w:rPr>
                  <w:rStyle w:val="Emphasis"/>
                  <w:rFonts w:ascii="Arial" w:eastAsiaTheme="majorEastAsia" w:hAnsi="Arial" w:cs="Arial"/>
                </w:rPr>
                <w:t>Journal of Materials Engineering</w:t>
              </w:r>
              <w:r w:rsidRPr="008174C0">
                <w:rPr>
                  <w:rFonts w:ascii="Arial" w:hAnsi="Arial" w:cs="Arial"/>
                </w:rPr>
                <w:t>, 24(6), pp. 455–463.</w:t>
              </w:r>
            </w:p>
            <w:p w14:paraId="39DA537A"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Li, M., Zhang, X. and Chen, Y. (2021) 'Sigma-phase transformation kinetics in austenitic stainless steels at elevated temperatures', </w:t>
              </w:r>
              <w:r w:rsidRPr="008174C0">
                <w:rPr>
                  <w:rStyle w:val="Emphasis"/>
                  <w:rFonts w:ascii="Arial" w:eastAsiaTheme="majorEastAsia" w:hAnsi="Arial" w:cs="Arial"/>
                </w:rPr>
                <w:t>Materials Science Forum</w:t>
              </w:r>
              <w:r w:rsidRPr="008174C0">
                <w:rPr>
                  <w:rFonts w:ascii="Arial" w:hAnsi="Arial" w:cs="Arial"/>
                </w:rPr>
                <w:t>, 1025, pp. 87–98.</w:t>
              </w:r>
            </w:p>
            <w:p w14:paraId="07C12F8A"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Liu, H., Zhang, F., Wang, Q. and Zhao, P. (2023) 'Validation of CFD modelling for industrial FCC cyclone performance', </w:t>
              </w:r>
              <w:r w:rsidRPr="008174C0">
                <w:rPr>
                  <w:rStyle w:val="Emphasis"/>
                  <w:rFonts w:ascii="Arial" w:eastAsiaTheme="majorEastAsia" w:hAnsi="Arial" w:cs="Arial"/>
                </w:rPr>
                <w:t>Petroleum Science and Engineering</w:t>
              </w:r>
              <w:r w:rsidRPr="008174C0">
                <w:rPr>
                  <w:rFonts w:ascii="Arial" w:hAnsi="Arial" w:cs="Arial"/>
                </w:rPr>
                <w:t>, 215, pp. 221–230.</w:t>
              </w:r>
            </w:p>
            <w:p w14:paraId="194967CC" w14:textId="77777777" w:rsidR="008174C0" w:rsidRPr="008174C0" w:rsidRDefault="008174C0" w:rsidP="008174C0">
              <w:pPr>
                <w:pStyle w:val="font-claude-response-body"/>
                <w:spacing w:line="360" w:lineRule="auto"/>
                <w:rPr>
                  <w:rFonts w:ascii="Arial" w:hAnsi="Arial" w:cs="Arial"/>
                </w:rPr>
              </w:pPr>
              <w:proofErr w:type="spellStart"/>
              <w:r w:rsidRPr="008174C0">
                <w:rPr>
                  <w:rFonts w:ascii="Arial" w:hAnsi="Arial" w:cs="Arial"/>
                </w:rPr>
                <w:t>Mezger</w:t>
              </w:r>
              <w:proofErr w:type="spellEnd"/>
              <w:r w:rsidRPr="008174C0">
                <w:rPr>
                  <w:rFonts w:ascii="Arial" w:hAnsi="Arial" w:cs="Arial"/>
                </w:rPr>
                <w:t xml:space="preserve">, K. (2019) 'Design </w:t>
              </w:r>
              <w:proofErr w:type="spellStart"/>
              <w:r w:rsidRPr="008174C0">
                <w:rPr>
                  <w:rFonts w:ascii="Arial" w:hAnsi="Arial" w:cs="Arial"/>
                </w:rPr>
                <w:t>optimisation</w:t>
              </w:r>
              <w:proofErr w:type="spellEnd"/>
              <w:r w:rsidRPr="008174C0">
                <w:rPr>
                  <w:rFonts w:ascii="Arial" w:hAnsi="Arial" w:cs="Arial"/>
                </w:rPr>
                <w:t xml:space="preserve"> of axial cyclones for FCC applications', </w:t>
              </w:r>
              <w:r w:rsidRPr="008174C0">
                <w:rPr>
                  <w:rStyle w:val="Emphasis"/>
                  <w:rFonts w:ascii="Arial" w:eastAsiaTheme="majorEastAsia" w:hAnsi="Arial" w:cs="Arial"/>
                </w:rPr>
                <w:t>Petroleum Technology Quarterly</w:t>
              </w:r>
              <w:r w:rsidRPr="008174C0">
                <w:rPr>
                  <w:rFonts w:ascii="Arial" w:hAnsi="Arial" w:cs="Arial"/>
                </w:rPr>
                <w:t>, Q3, pp. 85–92.</w:t>
              </w:r>
            </w:p>
            <w:p w14:paraId="301FCC76"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lastRenderedPageBreak/>
                <w:t xml:space="preserve">Ogawa, A. and Komatsu, S. (2009) </w:t>
              </w:r>
              <w:r w:rsidRPr="008174C0">
                <w:rPr>
                  <w:rStyle w:val="Emphasis"/>
                  <w:rFonts w:ascii="Arial" w:eastAsiaTheme="majorEastAsia" w:hAnsi="Arial" w:cs="Arial"/>
                </w:rPr>
                <w:t>Industrial Gas Cleaning: Theory and Practice</w:t>
              </w:r>
              <w:r w:rsidRPr="008174C0">
                <w:rPr>
                  <w:rFonts w:ascii="Arial" w:hAnsi="Arial" w:cs="Arial"/>
                </w:rPr>
                <w:t>. Berlin: Springer.</w:t>
              </w:r>
            </w:p>
            <w:p w14:paraId="4EF38C0E"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Patel, R. (2017) 'Effect of sigma phase on mechanical properties of 304H SS welds', </w:t>
              </w:r>
              <w:r w:rsidRPr="008174C0">
                <w:rPr>
                  <w:rStyle w:val="Emphasis"/>
                  <w:rFonts w:ascii="Arial" w:eastAsiaTheme="majorEastAsia" w:hAnsi="Arial" w:cs="Arial"/>
                </w:rPr>
                <w:t>Metallurgical Review</w:t>
              </w:r>
              <w:r w:rsidRPr="008174C0">
                <w:rPr>
                  <w:rFonts w:ascii="Arial" w:hAnsi="Arial" w:cs="Arial"/>
                </w:rPr>
                <w:t>, 42(2), pp. 119–130.</w:t>
              </w:r>
            </w:p>
            <w:p w14:paraId="7050CFF9"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Petro-Canada (2019) </w:t>
              </w:r>
              <w:r w:rsidRPr="008174C0">
                <w:rPr>
                  <w:rStyle w:val="Emphasis"/>
                  <w:rFonts w:ascii="Arial" w:eastAsiaTheme="majorEastAsia" w:hAnsi="Arial" w:cs="Arial"/>
                </w:rPr>
                <w:t>TSS Replacement Project Summary — Montreal Refinery</w:t>
              </w:r>
              <w:r w:rsidRPr="008174C0">
                <w:rPr>
                  <w:rFonts w:ascii="Arial" w:hAnsi="Arial" w:cs="Arial"/>
                </w:rPr>
                <w:t>. Internal Report. Calgary: Petro-Canada.</w:t>
              </w:r>
            </w:p>
            <w:p w14:paraId="674769F5"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Shell (2024) </w:t>
              </w:r>
              <w:r w:rsidRPr="008174C0">
                <w:rPr>
                  <w:rStyle w:val="Emphasis"/>
                  <w:rFonts w:ascii="Arial" w:eastAsiaTheme="majorEastAsia" w:hAnsi="Arial" w:cs="Arial"/>
                </w:rPr>
                <w:t>FCC Third Stage Separator Design Basis — Pembroke Refinery Replacement</w:t>
              </w:r>
              <w:r w:rsidRPr="008174C0">
                <w:rPr>
                  <w:rFonts w:ascii="Arial" w:hAnsi="Arial" w:cs="Arial"/>
                </w:rPr>
                <w:t>. Internal Specification. The Hague: Shell Global Solutions.</w:t>
              </w:r>
            </w:p>
            <w:p w14:paraId="39B8C86D"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Shell Global Solutions (2020) </w:t>
              </w:r>
              <w:r w:rsidRPr="008174C0">
                <w:rPr>
                  <w:rStyle w:val="Emphasis"/>
                  <w:rFonts w:ascii="Arial" w:eastAsiaTheme="majorEastAsia" w:hAnsi="Arial" w:cs="Arial"/>
                </w:rPr>
                <w:t>Tertiary Cyclone System Upgrades — Design Philosophy Document</w:t>
              </w:r>
              <w:r w:rsidRPr="008174C0">
                <w:rPr>
                  <w:rFonts w:ascii="Arial" w:hAnsi="Arial" w:cs="Arial"/>
                </w:rPr>
                <w:t>. The Hague: Shell Projects and Technology.</w:t>
              </w:r>
            </w:p>
            <w:p w14:paraId="00EDD112"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Song, J., Wang, D., He, Y., Lei, P., Peng, W. and Wei, Y. (2023) 'A stepwise diagnosis method for the catalyst loss fault of the cyclone separator in FCC units', </w:t>
              </w:r>
              <w:r w:rsidRPr="008174C0">
                <w:rPr>
                  <w:rStyle w:val="Emphasis"/>
                  <w:rFonts w:ascii="Arial" w:eastAsiaTheme="majorEastAsia" w:hAnsi="Arial" w:cs="Arial"/>
                </w:rPr>
                <w:t>Separations</w:t>
              </w:r>
              <w:r w:rsidRPr="008174C0">
                <w:rPr>
                  <w:rFonts w:ascii="Arial" w:hAnsi="Arial" w:cs="Arial"/>
                </w:rPr>
                <w:t>, 10(1), p. 28.</w:t>
              </w:r>
            </w:p>
            <w:p w14:paraId="3E7A605A"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Stein, B., Müller, R., Hoffmann, T. and Becker, G. (2016) 'Particle separation efficiency in cyclone systems', </w:t>
              </w:r>
              <w:r w:rsidRPr="008174C0">
                <w:rPr>
                  <w:rStyle w:val="Emphasis"/>
                  <w:rFonts w:ascii="Arial" w:eastAsiaTheme="majorEastAsia" w:hAnsi="Arial" w:cs="Arial"/>
                </w:rPr>
                <w:t>Chemical Engineering Journal</w:t>
              </w:r>
              <w:r w:rsidRPr="008174C0">
                <w:rPr>
                  <w:rFonts w:ascii="Arial" w:hAnsi="Arial" w:cs="Arial"/>
                </w:rPr>
                <w:t>, 287, pp. 226–234.</w:t>
              </w:r>
            </w:p>
            <w:p w14:paraId="77CF3B1A"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Valero (2021) </w:t>
              </w:r>
              <w:r w:rsidRPr="008174C0">
                <w:rPr>
                  <w:rStyle w:val="Emphasis"/>
                  <w:rFonts w:ascii="Arial" w:eastAsiaTheme="majorEastAsia" w:hAnsi="Arial" w:cs="Arial"/>
                </w:rPr>
                <w:t>02-D-107 Gas Tube Repair R5 — Turnaround Inspection Report</w:t>
              </w:r>
              <w:r w:rsidRPr="008174C0">
                <w:rPr>
                  <w:rFonts w:ascii="Arial" w:hAnsi="Arial" w:cs="Arial"/>
                </w:rPr>
                <w:t>. Pembroke: Valero Pembroke Refinery.</w:t>
              </w:r>
            </w:p>
            <w:p w14:paraId="641B5B04"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Valero (2025) </w:t>
              </w:r>
              <w:r w:rsidRPr="008174C0">
                <w:rPr>
                  <w:rStyle w:val="Emphasis"/>
                  <w:rFonts w:ascii="Arial" w:eastAsiaTheme="majorEastAsia" w:hAnsi="Arial" w:cs="Arial"/>
                </w:rPr>
                <w:t>Pembroke FCC TSS Replacement Phase 3 Funding Request PM22-0555</w:t>
              </w:r>
              <w:r w:rsidRPr="008174C0">
                <w:rPr>
                  <w:rFonts w:ascii="Arial" w:hAnsi="Arial" w:cs="Arial"/>
                </w:rPr>
                <w:t>. Pembroke: Valero Pembroke Refinery.</w:t>
              </w:r>
            </w:p>
            <w:p w14:paraId="087F8AFD"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Wang, R., Li, Z., Xu, J. and Yang, Q. (2021) 'Precipitation of sigma phase in duplex stainless steel and its effect on microstructure and toughness', </w:t>
              </w:r>
              <w:r w:rsidRPr="008174C0">
                <w:rPr>
                  <w:rStyle w:val="Emphasis"/>
                  <w:rFonts w:ascii="Arial" w:eastAsiaTheme="majorEastAsia" w:hAnsi="Arial" w:cs="Arial"/>
                </w:rPr>
                <w:t>Materials Today Communications</w:t>
              </w:r>
              <w:r w:rsidRPr="008174C0">
                <w:rPr>
                  <w:rFonts w:ascii="Arial" w:hAnsi="Arial" w:cs="Arial"/>
                </w:rPr>
                <w:t>, 26, p. 102004.</w:t>
              </w:r>
            </w:p>
            <w:p w14:paraId="2003B9EB"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Wood plc (2024) </w:t>
              </w:r>
              <w:r w:rsidRPr="008174C0">
                <w:rPr>
                  <w:rStyle w:val="Emphasis"/>
                  <w:rFonts w:ascii="Arial" w:eastAsiaTheme="majorEastAsia" w:hAnsi="Arial" w:cs="Arial"/>
                </w:rPr>
                <w:t>Engineering Verification Report — Pembroke FCC TSS Replacement</w:t>
              </w:r>
              <w:r w:rsidRPr="008174C0">
                <w:rPr>
                  <w:rFonts w:ascii="Arial" w:hAnsi="Arial" w:cs="Arial"/>
                </w:rPr>
                <w:t>. Internal Document. Edinburgh: Wood plc.</w:t>
              </w:r>
            </w:p>
            <w:p w14:paraId="4A003414"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t xml:space="preserve">Xiong, Z., Zhou, Y., Wang, F. and Liu, G. (2022) 'A study on the erosion mechanism of an axial cyclone separator for gas purification', </w:t>
              </w:r>
              <w:r w:rsidRPr="008174C0">
                <w:rPr>
                  <w:rStyle w:val="Emphasis"/>
                  <w:rFonts w:ascii="Arial" w:eastAsiaTheme="majorEastAsia" w:hAnsi="Arial" w:cs="Arial"/>
                </w:rPr>
                <w:t>Separations</w:t>
              </w:r>
              <w:r w:rsidRPr="008174C0">
                <w:rPr>
                  <w:rFonts w:ascii="Arial" w:hAnsi="Arial" w:cs="Arial"/>
                </w:rPr>
                <w:t>, 9(12), p. 409.</w:t>
              </w:r>
            </w:p>
            <w:p w14:paraId="04DAB697" w14:textId="77777777" w:rsidR="008174C0" w:rsidRPr="008174C0" w:rsidRDefault="008174C0" w:rsidP="008174C0">
              <w:pPr>
                <w:pStyle w:val="font-claude-response-body"/>
                <w:spacing w:line="360" w:lineRule="auto"/>
                <w:rPr>
                  <w:rFonts w:ascii="Arial" w:hAnsi="Arial" w:cs="Arial"/>
                </w:rPr>
              </w:pPr>
              <w:r w:rsidRPr="008174C0">
                <w:rPr>
                  <w:rFonts w:ascii="Arial" w:hAnsi="Arial" w:cs="Arial"/>
                </w:rPr>
                <w:lastRenderedPageBreak/>
                <w:t>Zhou, W., Liu, P. and Zhao, Q. (2024) '</w:t>
              </w:r>
              <w:proofErr w:type="spellStart"/>
              <w:r w:rsidRPr="008174C0">
                <w:rPr>
                  <w:rFonts w:ascii="Arial" w:hAnsi="Arial" w:cs="Arial"/>
                </w:rPr>
                <w:t>Optimisation</w:t>
              </w:r>
              <w:proofErr w:type="spellEnd"/>
              <w:r w:rsidRPr="008174C0">
                <w:rPr>
                  <w:rFonts w:ascii="Arial" w:hAnsi="Arial" w:cs="Arial"/>
                </w:rPr>
                <w:t xml:space="preserve"> of axial cyclone geometry using hybrid CFD and response surface methods', </w:t>
              </w:r>
              <w:r w:rsidRPr="008174C0">
                <w:rPr>
                  <w:rStyle w:val="Emphasis"/>
                  <w:rFonts w:ascii="Arial" w:eastAsiaTheme="majorEastAsia" w:hAnsi="Arial" w:cs="Arial"/>
                </w:rPr>
                <w:t>Chemical Engineering Science</w:t>
              </w:r>
              <w:r w:rsidRPr="008174C0">
                <w:rPr>
                  <w:rFonts w:ascii="Arial" w:hAnsi="Arial" w:cs="Arial"/>
                </w:rPr>
                <w:t>, 288, 119571.</w:t>
              </w:r>
            </w:p>
            <w:p w14:paraId="5233AE1B" w14:textId="559B71BB" w:rsidR="0021116C" w:rsidRPr="008174C0" w:rsidRDefault="0021116C" w:rsidP="008174C0">
              <w:pPr>
                <w:pStyle w:val="Bibliography"/>
                <w:spacing w:line="360" w:lineRule="auto"/>
                <w:ind w:left="720" w:hanging="720"/>
                <w:rPr>
                  <w:rFonts w:ascii="Arial" w:hAnsi="Arial" w:cs="Arial"/>
                  <w:lang w:val="en-US"/>
                </w:rPr>
              </w:pPr>
            </w:p>
            <w:p w14:paraId="5C4E59F5" w14:textId="088523A0" w:rsidR="00AB55E9" w:rsidRPr="008174C0" w:rsidRDefault="00AB55E9" w:rsidP="008174C0">
              <w:pPr>
                <w:pStyle w:val="Bibliography"/>
                <w:spacing w:line="360" w:lineRule="auto"/>
                <w:ind w:left="720" w:hanging="720"/>
                <w:rPr>
                  <w:rFonts w:ascii="Arial" w:hAnsi="Arial" w:cs="Arial"/>
                </w:rPr>
              </w:pPr>
            </w:p>
            <w:p w14:paraId="08261EE1" w14:textId="25E6D396" w:rsidR="00AB55E9" w:rsidRPr="0021116C" w:rsidRDefault="00D03689" w:rsidP="008174C0">
              <w:pPr>
                <w:spacing w:line="360" w:lineRule="auto"/>
                <w:rPr>
                  <w:rFonts w:asciiTheme="minorHAnsi" w:hAnsiTheme="minorHAnsi" w:cstheme="minorHAnsi"/>
                </w:rPr>
              </w:pPr>
            </w:p>
          </w:sdtContent>
        </w:sdt>
      </w:sdtContent>
    </w:sdt>
    <w:sectPr w:rsidR="00AB55E9" w:rsidRPr="0021116C" w:rsidSect="008C45B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C2C5E" w14:textId="77777777" w:rsidR="00077609" w:rsidRDefault="00077609" w:rsidP="007165B2">
      <w:r>
        <w:separator/>
      </w:r>
    </w:p>
  </w:endnote>
  <w:endnote w:type="continuationSeparator" w:id="0">
    <w:p w14:paraId="04D27E14" w14:textId="77777777" w:rsidR="00077609" w:rsidRDefault="00077609" w:rsidP="00716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1497294"/>
      <w:docPartObj>
        <w:docPartGallery w:val="Page Numbers (Bottom of Page)"/>
        <w:docPartUnique/>
      </w:docPartObj>
    </w:sdtPr>
    <w:sdtEndPr>
      <w:rPr>
        <w:noProof/>
      </w:rPr>
    </w:sdtEndPr>
    <w:sdtContent>
      <w:p w14:paraId="75F00A10" w14:textId="77777777" w:rsidR="005D2955" w:rsidRDefault="005D2955">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4BF0C4A" w14:textId="77777777" w:rsidR="005D2955" w:rsidRDefault="005D2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58EC9" w14:textId="77777777" w:rsidR="00077609" w:rsidRDefault="00077609" w:rsidP="007165B2">
      <w:r>
        <w:separator/>
      </w:r>
    </w:p>
  </w:footnote>
  <w:footnote w:type="continuationSeparator" w:id="0">
    <w:p w14:paraId="578545AC" w14:textId="77777777" w:rsidR="00077609" w:rsidRDefault="00077609" w:rsidP="007165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54B7"/>
    <w:multiLevelType w:val="multilevel"/>
    <w:tmpl w:val="806A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C190E"/>
    <w:multiLevelType w:val="hybridMultilevel"/>
    <w:tmpl w:val="9B908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848AA"/>
    <w:multiLevelType w:val="multilevel"/>
    <w:tmpl w:val="BE7C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E4F48"/>
    <w:multiLevelType w:val="hybridMultilevel"/>
    <w:tmpl w:val="6B0C1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858C6"/>
    <w:multiLevelType w:val="multilevel"/>
    <w:tmpl w:val="D8A48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D39DB"/>
    <w:multiLevelType w:val="multilevel"/>
    <w:tmpl w:val="83222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74381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0ADD7557"/>
    <w:multiLevelType w:val="hybridMultilevel"/>
    <w:tmpl w:val="CED68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A20CAF"/>
    <w:multiLevelType w:val="hybridMultilevel"/>
    <w:tmpl w:val="FC109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BC582D"/>
    <w:multiLevelType w:val="hybridMultilevel"/>
    <w:tmpl w:val="F1C01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E447CC"/>
    <w:multiLevelType w:val="multilevel"/>
    <w:tmpl w:val="31528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36945"/>
    <w:multiLevelType w:val="hybridMultilevel"/>
    <w:tmpl w:val="94E22480"/>
    <w:lvl w:ilvl="0" w:tplc="ABEC0A24">
      <w:start w:val="1"/>
      <w:numFmt w:val="bullet"/>
      <w:lvlText w:val="•"/>
      <w:lvlJc w:val="left"/>
      <w:pPr>
        <w:tabs>
          <w:tab w:val="num" w:pos="720"/>
        </w:tabs>
        <w:ind w:left="720" w:hanging="360"/>
      </w:pPr>
      <w:rPr>
        <w:rFonts w:ascii="Arial" w:hAnsi="Arial" w:hint="default"/>
      </w:rPr>
    </w:lvl>
    <w:lvl w:ilvl="1" w:tplc="86DE9890" w:tentative="1">
      <w:start w:val="1"/>
      <w:numFmt w:val="bullet"/>
      <w:lvlText w:val="•"/>
      <w:lvlJc w:val="left"/>
      <w:pPr>
        <w:tabs>
          <w:tab w:val="num" w:pos="1440"/>
        </w:tabs>
        <w:ind w:left="1440" w:hanging="360"/>
      </w:pPr>
      <w:rPr>
        <w:rFonts w:ascii="Arial" w:hAnsi="Arial" w:hint="default"/>
      </w:rPr>
    </w:lvl>
    <w:lvl w:ilvl="2" w:tplc="331C0802" w:tentative="1">
      <w:start w:val="1"/>
      <w:numFmt w:val="bullet"/>
      <w:lvlText w:val="•"/>
      <w:lvlJc w:val="left"/>
      <w:pPr>
        <w:tabs>
          <w:tab w:val="num" w:pos="2160"/>
        </w:tabs>
        <w:ind w:left="2160" w:hanging="360"/>
      </w:pPr>
      <w:rPr>
        <w:rFonts w:ascii="Arial" w:hAnsi="Arial" w:hint="default"/>
      </w:rPr>
    </w:lvl>
    <w:lvl w:ilvl="3" w:tplc="A866BEE4" w:tentative="1">
      <w:start w:val="1"/>
      <w:numFmt w:val="bullet"/>
      <w:lvlText w:val="•"/>
      <w:lvlJc w:val="left"/>
      <w:pPr>
        <w:tabs>
          <w:tab w:val="num" w:pos="2880"/>
        </w:tabs>
        <w:ind w:left="2880" w:hanging="360"/>
      </w:pPr>
      <w:rPr>
        <w:rFonts w:ascii="Arial" w:hAnsi="Arial" w:hint="default"/>
      </w:rPr>
    </w:lvl>
    <w:lvl w:ilvl="4" w:tplc="D37858DA" w:tentative="1">
      <w:start w:val="1"/>
      <w:numFmt w:val="bullet"/>
      <w:lvlText w:val="•"/>
      <w:lvlJc w:val="left"/>
      <w:pPr>
        <w:tabs>
          <w:tab w:val="num" w:pos="3600"/>
        </w:tabs>
        <w:ind w:left="3600" w:hanging="360"/>
      </w:pPr>
      <w:rPr>
        <w:rFonts w:ascii="Arial" w:hAnsi="Arial" w:hint="default"/>
      </w:rPr>
    </w:lvl>
    <w:lvl w:ilvl="5" w:tplc="1AA8F4FE" w:tentative="1">
      <w:start w:val="1"/>
      <w:numFmt w:val="bullet"/>
      <w:lvlText w:val="•"/>
      <w:lvlJc w:val="left"/>
      <w:pPr>
        <w:tabs>
          <w:tab w:val="num" w:pos="4320"/>
        </w:tabs>
        <w:ind w:left="4320" w:hanging="360"/>
      </w:pPr>
      <w:rPr>
        <w:rFonts w:ascii="Arial" w:hAnsi="Arial" w:hint="default"/>
      </w:rPr>
    </w:lvl>
    <w:lvl w:ilvl="6" w:tplc="51801942" w:tentative="1">
      <w:start w:val="1"/>
      <w:numFmt w:val="bullet"/>
      <w:lvlText w:val="•"/>
      <w:lvlJc w:val="left"/>
      <w:pPr>
        <w:tabs>
          <w:tab w:val="num" w:pos="5040"/>
        </w:tabs>
        <w:ind w:left="5040" w:hanging="360"/>
      </w:pPr>
      <w:rPr>
        <w:rFonts w:ascii="Arial" w:hAnsi="Arial" w:hint="default"/>
      </w:rPr>
    </w:lvl>
    <w:lvl w:ilvl="7" w:tplc="67AC8EC2" w:tentative="1">
      <w:start w:val="1"/>
      <w:numFmt w:val="bullet"/>
      <w:lvlText w:val="•"/>
      <w:lvlJc w:val="left"/>
      <w:pPr>
        <w:tabs>
          <w:tab w:val="num" w:pos="5760"/>
        </w:tabs>
        <w:ind w:left="5760" w:hanging="360"/>
      </w:pPr>
      <w:rPr>
        <w:rFonts w:ascii="Arial" w:hAnsi="Arial" w:hint="default"/>
      </w:rPr>
    </w:lvl>
    <w:lvl w:ilvl="8" w:tplc="3E34D92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9CF5BAA"/>
    <w:multiLevelType w:val="multilevel"/>
    <w:tmpl w:val="AD6C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043D1"/>
    <w:multiLevelType w:val="hybridMultilevel"/>
    <w:tmpl w:val="BA945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513B3D"/>
    <w:multiLevelType w:val="multilevel"/>
    <w:tmpl w:val="B0F6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6318EA"/>
    <w:multiLevelType w:val="hybridMultilevel"/>
    <w:tmpl w:val="6D90C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8021C"/>
    <w:multiLevelType w:val="multilevel"/>
    <w:tmpl w:val="5848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7F2D2B"/>
    <w:multiLevelType w:val="hybridMultilevel"/>
    <w:tmpl w:val="20AEF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A53F56"/>
    <w:multiLevelType w:val="multilevel"/>
    <w:tmpl w:val="F3EC30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F281EDE"/>
    <w:multiLevelType w:val="multilevel"/>
    <w:tmpl w:val="E8E8B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FC3E62"/>
    <w:multiLevelType w:val="hybridMultilevel"/>
    <w:tmpl w:val="D44E3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352955"/>
    <w:multiLevelType w:val="hybridMultilevel"/>
    <w:tmpl w:val="AB264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6C4B2E"/>
    <w:multiLevelType w:val="multilevel"/>
    <w:tmpl w:val="D992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FF4149"/>
    <w:multiLevelType w:val="multilevel"/>
    <w:tmpl w:val="790C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60184A"/>
    <w:multiLevelType w:val="hybridMultilevel"/>
    <w:tmpl w:val="09B0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F42BA4"/>
    <w:multiLevelType w:val="hybridMultilevel"/>
    <w:tmpl w:val="E27A0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836A78"/>
    <w:multiLevelType w:val="multilevel"/>
    <w:tmpl w:val="84EA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8C25B5"/>
    <w:multiLevelType w:val="hybridMultilevel"/>
    <w:tmpl w:val="79461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22A32"/>
    <w:multiLevelType w:val="multilevel"/>
    <w:tmpl w:val="0ED08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D31D3"/>
    <w:multiLevelType w:val="hybridMultilevel"/>
    <w:tmpl w:val="2A0A3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DC314E"/>
    <w:multiLevelType w:val="multilevel"/>
    <w:tmpl w:val="59C8C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0E21E8"/>
    <w:multiLevelType w:val="multilevel"/>
    <w:tmpl w:val="0938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19090">
    <w:abstractNumId w:val="21"/>
  </w:num>
  <w:num w:numId="2" w16cid:durableId="1212154818">
    <w:abstractNumId w:val="27"/>
  </w:num>
  <w:num w:numId="3" w16cid:durableId="738677765">
    <w:abstractNumId w:val="3"/>
  </w:num>
  <w:num w:numId="4" w16cid:durableId="1835606107">
    <w:abstractNumId w:val="7"/>
  </w:num>
  <w:num w:numId="5" w16cid:durableId="2012173097">
    <w:abstractNumId w:val="13"/>
  </w:num>
  <w:num w:numId="6" w16cid:durableId="694965774">
    <w:abstractNumId w:val="9"/>
  </w:num>
  <w:num w:numId="7" w16cid:durableId="1762486520">
    <w:abstractNumId w:val="20"/>
  </w:num>
  <w:num w:numId="8" w16cid:durableId="1727559793">
    <w:abstractNumId w:val="24"/>
  </w:num>
  <w:num w:numId="9" w16cid:durableId="131798843">
    <w:abstractNumId w:val="25"/>
  </w:num>
  <w:num w:numId="10" w16cid:durableId="788280984">
    <w:abstractNumId w:val="30"/>
  </w:num>
  <w:num w:numId="11" w16cid:durableId="2068605391">
    <w:abstractNumId w:val="12"/>
  </w:num>
  <w:num w:numId="12" w16cid:durableId="247230856">
    <w:abstractNumId w:val="5"/>
  </w:num>
  <w:num w:numId="13" w16cid:durableId="112284351">
    <w:abstractNumId w:val="31"/>
  </w:num>
  <w:num w:numId="14" w16cid:durableId="2089883887">
    <w:abstractNumId w:val="26"/>
  </w:num>
  <w:num w:numId="15" w16cid:durableId="1405303202">
    <w:abstractNumId w:val="19"/>
  </w:num>
  <w:num w:numId="16" w16cid:durableId="1326788181">
    <w:abstractNumId w:val="16"/>
  </w:num>
  <w:num w:numId="17" w16cid:durableId="923731070">
    <w:abstractNumId w:val="10"/>
  </w:num>
  <w:num w:numId="18" w16cid:durableId="474568321">
    <w:abstractNumId w:val="2"/>
  </w:num>
  <w:num w:numId="19" w16cid:durableId="882329567">
    <w:abstractNumId w:val="22"/>
  </w:num>
  <w:num w:numId="20" w16cid:durableId="1916670020">
    <w:abstractNumId w:val="0"/>
  </w:num>
  <w:num w:numId="21" w16cid:durableId="465665761">
    <w:abstractNumId w:val="28"/>
  </w:num>
  <w:num w:numId="22" w16cid:durableId="386346342">
    <w:abstractNumId w:val="23"/>
  </w:num>
  <w:num w:numId="23" w16cid:durableId="290092073">
    <w:abstractNumId w:val="4"/>
  </w:num>
  <w:num w:numId="24" w16cid:durableId="1568491993">
    <w:abstractNumId w:val="14"/>
  </w:num>
  <w:num w:numId="25" w16cid:durableId="1340043372">
    <w:abstractNumId w:val="11"/>
  </w:num>
  <w:num w:numId="26" w16cid:durableId="1528644373">
    <w:abstractNumId w:val="18"/>
  </w:num>
  <w:num w:numId="27" w16cid:durableId="567767814">
    <w:abstractNumId w:val="6"/>
  </w:num>
  <w:num w:numId="28" w16cid:durableId="1475025141">
    <w:abstractNumId w:val="15"/>
  </w:num>
  <w:num w:numId="29" w16cid:durableId="2063363689">
    <w:abstractNumId w:val="8"/>
  </w:num>
  <w:num w:numId="30" w16cid:durableId="1931963507">
    <w:abstractNumId w:val="1"/>
  </w:num>
  <w:num w:numId="31" w16cid:durableId="2128306155">
    <w:abstractNumId w:val="29"/>
  </w:num>
  <w:num w:numId="32" w16cid:durableId="16732909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EE"/>
    <w:rsid w:val="00004414"/>
    <w:rsid w:val="0001128E"/>
    <w:rsid w:val="000135B0"/>
    <w:rsid w:val="000160BD"/>
    <w:rsid w:val="00027FE9"/>
    <w:rsid w:val="00050FC0"/>
    <w:rsid w:val="00077609"/>
    <w:rsid w:val="00086966"/>
    <w:rsid w:val="000A68CC"/>
    <w:rsid w:val="00144556"/>
    <w:rsid w:val="00146558"/>
    <w:rsid w:val="00160B11"/>
    <w:rsid w:val="00176610"/>
    <w:rsid w:val="00182FF7"/>
    <w:rsid w:val="001A5635"/>
    <w:rsid w:val="001B345F"/>
    <w:rsid w:val="001B5AE5"/>
    <w:rsid w:val="001D0306"/>
    <w:rsid w:val="001D0D12"/>
    <w:rsid w:val="001D4930"/>
    <w:rsid w:val="001E5097"/>
    <w:rsid w:val="001E5F2F"/>
    <w:rsid w:val="001F6CA4"/>
    <w:rsid w:val="0021116C"/>
    <w:rsid w:val="00217D1E"/>
    <w:rsid w:val="002543A4"/>
    <w:rsid w:val="00280810"/>
    <w:rsid w:val="002C5BE1"/>
    <w:rsid w:val="00334B36"/>
    <w:rsid w:val="00373325"/>
    <w:rsid w:val="00394A20"/>
    <w:rsid w:val="00396D2A"/>
    <w:rsid w:val="003B1D99"/>
    <w:rsid w:val="003B2DE9"/>
    <w:rsid w:val="003E4224"/>
    <w:rsid w:val="004048BF"/>
    <w:rsid w:val="00433CEE"/>
    <w:rsid w:val="00445651"/>
    <w:rsid w:val="0048668F"/>
    <w:rsid w:val="004A1E43"/>
    <w:rsid w:val="004B60BF"/>
    <w:rsid w:val="004B7796"/>
    <w:rsid w:val="004C15C7"/>
    <w:rsid w:val="004E3630"/>
    <w:rsid w:val="0055072D"/>
    <w:rsid w:val="005648B3"/>
    <w:rsid w:val="005C73FE"/>
    <w:rsid w:val="005D1B5F"/>
    <w:rsid w:val="005D2955"/>
    <w:rsid w:val="005D574E"/>
    <w:rsid w:val="00602DF8"/>
    <w:rsid w:val="00616670"/>
    <w:rsid w:val="006C68CB"/>
    <w:rsid w:val="006E1F77"/>
    <w:rsid w:val="00706DA7"/>
    <w:rsid w:val="007165B2"/>
    <w:rsid w:val="007250C7"/>
    <w:rsid w:val="007347D8"/>
    <w:rsid w:val="007379B3"/>
    <w:rsid w:val="00741FEF"/>
    <w:rsid w:val="007477B7"/>
    <w:rsid w:val="00761DFF"/>
    <w:rsid w:val="007664E5"/>
    <w:rsid w:val="00775292"/>
    <w:rsid w:val="00786D34"/>
    <w:rsid w:val="007917E3"/>
    <w:rsid w:val="007D5E8B"/>
    <w:rsid w:val="007D643B"/>
    <w:rsid w:val="007E7A6A"/>
    <w:rsid w:val="008174C0"/>
    <w:rsid w:val="00825FD5"/>
    <w:rsid w:val="0082669A"/>
    <w:rsid w:val="00827087"/>
    <w:rsid w:val="00852146"/>
    <w:rsid w:val="00895818"/>
    <w:rsid w:val="008A2ED9"/>
    <w:rsid w:val="008B2896"/>
    <w:rsid w:val="008C45B2"/>
    <w:rsid w:val="008D3235"/>
    <w:rsid w:val="008F3FB5"/>
    <w:rsid w:val="00902750"/>
    <w:rsid w:val="0093554F"/>
    <w:rsid w:val="009A73C6"/>
    <w:rsid w:val="009E57AF"/>
    <w:rsid w:val="00A1409E"/>
    <w:rsid w:val="00A2600C"/>
    <w:rsid w:val="00A83863"/>
    <w:rsid w:val="00A86EF8"/>
    <w:rsid w:val="00A96D64"/>
    <w:rsid w:val="00A9766A"/>
    <w:rsid w:val="00AA121A"/>
    <w:rsid w:val="00AB4FAE"/>
    <w:rsid w:val="00AB55E9"/>
    <w:rsid w:val="00AD7CB9"/>
    <w:rsid w:val="00AE6719"/>
    <w:rsid w:val="00B03D77"/>
    <w:rsid w:val="00B10818"/>
    <w:rsid w:val="00B164CB"/>
    <w:rsid w:val="00B24D33"/>
    <w:rsid w:val="00B31520"/>
    <w:rsid w:val="00B32B0A"/>
    <w:rsid w:val="00B37F9F"/>
    <w:rsid w:val="00B75CED"/>
    <w:rsid w:val="00B85578"/>
    <w:rsid w:val="00BB5866"/>
    <w:rsid w:val="00BB6725"/>
    <w:rsid w:val="00BD646D"/>
    <w:rsid w:val="00C0534F"/>
    <w:rsid w:val="00C06920"/>
    <w:rsid w:val="00C141C8"/>
    <w:rsid w:val="00C40E3F"/>
    <w:rsid w:val="00C416E1"/>
    <w:rsid w:val="00C6068F"/>
    <w:rsid w:val="00C7161E"/>
    <w:rsid w:val="00CA26A6"/>
    <w:rsid w:val="00CA5580"/>
    <w:rsid w:val="00CB03EA"/>
    <w:rsid w:val="00CB6FBB"/>
    <w:rsid w:val="00CC2914"/>
    <w:rsid w:val="00CC2DAA"/>
    <w:rsid w:val="00CF2087"/>
    <w:rsid w:val="00CF223F"/>
    <w:rsid w:val="00D03689"/>
    <w:rsid w:val="00D20F1C"/>
    <w:rsid w:val="00D37D58"/>
    <w:rsid w:val="00D614EA"/>
    <w:rsid w:val="00DD619A"/>
    <w:rsid w:val="00DF1B4B"/>
    <w:rsid w:val="00DF659D"/>
    <w:rsid w:val="00DF7626"/>
    <w:rsid w:val="00E3604F"/>
    <w:rsid w:val="00E65386"/>
    <w:rsid w:val="00EB00AE"/>
    <w:rsid w:val="00EB3A4E"/>
    <w:rsid w:val="00ED0F80"/>
    <w:rsid w:val="00ED5538"/>
    <w:rsid w:val="00EF75BF"/>
    <w:rsid w:val="00F42D0E"/>
    <w:rsid w:val="00F44CEE"/>
    <w:rsid w:val="00FB179F"/>
    <w:rsid w:val="00FC4B0B"/>
    <w:rsid w:val="00FC5523"/>
    <w:rsid w:val="00FD6499"/>
    <w:rsid w:val="00FE4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8F776"/>
  <w15:chartTrackingRefBased/>
  <w15:docId w15:val="{8E4D2FA0-F226-4680-B697-DFE10DB6B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F9F"/>
    <w:pPr>
      <w:spacing w:after="0" w:line="240" w:lineRule="auto"/>
      <w:jc w:val="both"/>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F44CEE"/>
    <w:pPr>
      <w:keepNext/>
      <w:keepLines/>
      <w:numPr>
        <w:numId w:val="27"/>
      </w:numPr>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AB4FAE"/>
    <w:pPr>
      <w:keepNext/>
      <w:keepLines/>
      <w:numPr>
        <w:ilvl w:val="1"/>
        <w:numId w:val="27"/>
      </w:numPr>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C416E1"/>
    <w:pPr>
      <w:keepNext/>
      <w:keepLines/>
      <w:numPr>
        <w:ilvl w:val="2"/>
        <w:numId w:val="27"/>
      </w:numPr>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7D643B"/>
    <w:pPr>
      <w:keepNext/>
      <w:keepLines/>
      <w:numPr>
        <w:ilvl w:val="3"/>
        <w:numId w:val="2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643B"/>
    <w:pPr>
      <w:keepNext/>
      <w:keepLines/>
      <w:numPr>
        <w:ilvl w:val="4"/>
        <w:numId w:val="2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643B"/>
    <w:pPr>
      <w:keepNext/>
      <w:keepLines/>
      <w:numPr>
        <w:ilvl w:val="5"/>
        <w:numId w:val="2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643B"/>
    <w:pPr>
      <w:keepNext/>
      <w:keepLines/>
      <w:numPr>
        <w:ilvl w:val="6"/>
        <w:numId w:val="2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643B"/>
    <w:pPr>
      <w:keepNext/>
      <w:keepLines/>
      <w:numPr>
        <w:ilvl w:val="7"/>
        <w:numId w:val="2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643B"/>
    <w:pPr>
      <w:keepNext/>
      <w:keepLines/>
      <w:numPr>
        <w:ilvl w:val="8"/>
        <w:numId w:val="2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4C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4CEE"/>
    <w:rPr>
      <w:rFonts w:eastAsiaTheme="minorEastAsia"/>
      <w:lang w:val="en-US"/>
    </w:rPr>
  </w:style>
  <w:style w:type="character" w:customStyle="1" w:styleId="Heading1Char">
    <w:name w:val="Heading 1 Char"/>
    <w:basedOn w:val="DefaultParagraphFont"/>
    <w:link w:val="Heading1"/>
    <w:uiPriority w:val="9"/>
    <w:rsid w:val="00F44C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CEE"/>
    <w:pPr>
      <w:outlineLvl w:val="9"/>
    </w:pPr>
    <w:rPr>
      <w:lang w:val="en-US"/>
    </w:rPr>
  </w:style>
  <w:style w:type="paragraph" w:styleId="TOC1">
    <w:name w:val="toc 1"/>
    <w:basedOn w:val="Normal"/>
    <w:next w:val="Normal"/>
    <w:autoRedefine/>
    <w:uiPriority w:val="39"/>
    <w:unhideWhenUsed/>
    <w:rsid w:val="00F44CEE"/>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F44CEE"/>
    <w:rPr>
      <w:color w:val="0563C1" w:themeColor="hyperlink"/>
      <w:u w:val="single"/>
    </w:rPr>
  </w:style>
  <w:style w:type="paragraph" w:styleId="NormalWeb">
    <w:name w:val="Normal (Web)"/>
    <w:basedOn w:val="Normal"/>
    <w:uiPriority w:val="99"/>
    <w:unhideWhenUsed/>
    <w:rsid w:val="0082669A"/>
    <w:pPr>
      <w:spacing w:before="100" w:beforeAutospacing="1" w:after="100" w:afterAutospacing="1"/>
    </w:pPr>
  </w:style>
  <w:style w:type="character" w:customStyle="1" w:styleId="Heading2Char">
    <w:name w:val="Heading 2 Char"/>
    <w:basedOn w:val="DefaultParagraphFont"/>
    <w:link w:val="Heading2"/>
    <w:uiPriority w:val="9"/>
    <w:rsid w:val="00AB4FA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10818"/>
    <w:pPr>
      <w:spacing w:after="200"/>
    </w:pPr>
    <w:rPr>
      <w:rFonts w:asciiTheme="minorHAnsi" w:eastAsiaTheme="minorHAnsi" w:hAnsiTheme="minorHAnsi" w:cstheme="minorBidi"/>
      <w:i/>
      <w:iCs/>
      <w:color w:val="44546A" w:themeColor="text2"/>
      <w:sz w:val="18"/>
      <w:szCs w:val="18"/>
      <w:lang w:eastAsia="en-US"/>
    </w:rPr>
  </w:style>
  <w:style w:type="paragraph" w:styleId="Bibliography">
    <w:name w:val="Bibliography"/>
    <w:basedOn w:val="Normal"/>
    <w:next w:val="Normal"/>
    <w:uiPriority w:val="37"/>
    <w:unhideWhenUsed/>
    <w:rsid w:val="00A1409E"/>
    <w:pPr>
      <w:spacing w:after="160" w:line="259" w:lineRule="auto"/>
    </w:pPr>
    <w:rPr>
      <w:rFonts w:asciiTheme="minorHAnsi" w:eastAsiaTheme="minorHAnsi" w:hAnsiTheme="minorHAnsi" w:cstheme="minorBidi"/>
      <w:sz w:val="22"/>
      <w:szCs w:val="22"/>
      <w:lang w:eastAsia="en-US"/>
    </w:rPr>
  </w:style>
  <w:style w:type="character" w:customStyle="1" w:styleId="Heading3Char">
    <w:name w:val="Heading 3 Char"/>
    <w:basedOn w:val="DefaultParagraphFont"/>
    <w:link w:val="Heading3"/>
    <w:uiPriority w:val="9"/>
    <w:rsid w:val="00C416E1"/>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DF1B4B"/>
    <w:pPr>
      <w:spacing w:line="259" w:lineRule="auto"/>
    </w:pPr>
    <w:rPr>
      <w:rFonts w:asciiTheme="minorHAnsi" w:eastAsiaTheme="minorHAnsi" w:hAnsiTheme="minorHAnsi" w:cstheme="minorBidi"/>
      <w:sz w:val="22"/>
      <w:szCs w:val="22"/>
      <w:lang w:eastAsia="en-US"/>
    </w:rPr>
  </w:style>
  <w:style w:type="paragraph" w:styleId="TOC2">
    <w:name w:val="toc 2"/>
    <w:basedOn w:val="Normal"/>
    <w:next w:val="Normal"/>
    <w:autoRedefine/>
    <w:uiPriority w:val="39"/>
    <w:unhideWhenUsed/>
    <w:rsid w:val="00DF1B4B"/>
    <w:pPr>
      <w:spacing w:after="100" w:line="259" w:lineRule="auto"/>
      <w:ind w:left="220"/>
    </w:pPr>
    <w:rPr>
      <w:rFonts w:asciiTheme="minorHAnsi" w:eastAsiaTheme="minorHAnsi" w:hAnsiTheme="minorHAnsi" w:cstheme="minorBidi"/>
      <w:sz w:val="22"/>
      <w:szCs w:val="22"/>
      <w:lang w:eastAsia="en-US"/>
    </w:rPr>
  </w:style>
  <w:style w:type="paragraph" w:styleId="TOC3">
    <w:name w:val="toc 3"/>
    <w:basedOn w:val="Normal"/>
    <w:next w:val="Normal"/>
    <w:autoRedefine/>
    <w:uiPriority w:val="39"/>
    <w:unhideWhenUsed/>
    <w:rsid w:val="00DF1B4B"/>
    <w:pPr>
      <w:spacing w:after="100" w:line="259" w:lineRule="auto"/>
      <w:ind w:left="440"/>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7165B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165B2"/>
  </w:style>
  <w:style w:type="paragraph" w:styleId="Footer">
    <w:name w:val="footer"/>
    <w:basedOn w:val="Normal"/>
    <w:link w:val="FooterChar"/>
    <w:uiPriority w:val="99"/>
    <w:unhideWhenUsed/>
    <w:rsid w:val="007165B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165B2"/>
  </w:style>
  <w:style w:type="paragraph" w:styleId="ListParagraph">
    <w:name w:val="List Paragraph"/>
    <w:basedOn w:val="Normal"/>
    <w:uiPriority w:val="34"/>
    <w:qFormat/>
    <w:rsid w:val="00182FF7"/>
    <w:pPr>
      <w:spacing w:after="160" w:line="259" w:lineRule="auto"/>
      <w:ind w:left="720"/>
      <w:contextualSpacing/>
    </w:pPr>
    <w:rPr>
      <w:rFonts w:asciiTheme="minorHAnsi" w:eastAsiaTheme="minorHAnsi" w:hAnsiTheme="minorHAnsi" w:cstheme="minorBidi"/>
      <w:sz w:val="22"/>
      <w:szCs w:val="22"/>
      <w:lang w:eastAsia="en-US"/>
    </w:rPr>
  </w:style>
  <w:style w:type="character" w:styleId="IntenseReference">
    <w:name w:val="Intense Reference"/>
    <w:basedOn w:val="DefaultParagraphFont"/>
    <w:uiPriority w:val="32"/>
    <w:qFormat/>
    <w:rsid w:val="005D2955"/>
    <w:rPr>
      <w:b/>
      <w:bCs/>
      <w:smallCaps/>
      <w:color w:val="4472C4" w:themeColor="accent1"/>
      <w:spacing w:val="5"/>
    </w:rPr>
  </w:style>
  <w:style w:type="table" w:styleId="TableGrid">
    <w:name w:val="Table Grid"/>
    <w:basedOn w:val="TableNormal"/>
    <w:uiPriority w:val="39"/>
    <w:rsid w:val="00766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17D1E"/>
    <w:rPr>
      <w:b/>
      <w:bCs/>
    </w:rPr>
  </w:style>
  <w:style w:type="character" w:customStyle="1" w:styleId="Heading4Char">
    <w:name w:val="Heading 4 Char"/>
    <w:basedOn w:val="DefaultParagraphFont"/>
    <w:link w:val="Heading4"/>
    <w:uiPriority w:val="9"/>
    <w:semiHidden/>
    <w:rsid w:val="007D643B"/>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7D643B"/>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7D643B"/>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7D643B"/>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7D643B"/>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7D643B"/>
    <w:rPr>
      <w:rFonts w:asciiTheme="majorHAnsi" w:eastAsiaTheme="majorEastAsia" w:hAnsiTheme="majorHAnsi" w:cstheme="majorBidi"/>
      <w:i/>
      <w:iCs/>
      <w:color w:val="272727" w:themeColor="text1" w:themeTint="D8"/>
      <w:sz w:val="21"/>
      <w:szCs w:val="21"/>
      <w:lang w:eastAsia="en-GB"/>
    </w:rPr>
  </w:style>
  <w:style w:type="paragraph" w:customStyle="1" w:styleId="font-claude-response-body">
    <w:name w:val="font-claude-response-body"/>
    <w:basedOn w:val="Normal"/>
    <w:rsid w:val="008174C0"/>
    <w:pPr>
      <w:spacing w:before="100" w:beforeAutospacing="1" w:after="100" w:afterAutospacing="1"/>
      <w:jc w:val="left"/>
    </w:pPr>
    <w:rPr>
      <w:rFonts w:ascii="Times New Roman" w:hAnsi="Times New Roman"/>
      <w:lang w:val="en-US" w:eastAsia="en-US"/>
    </w:rPr>
  </w:style>
  <w:style w:type="character" w:styleId="Emphasis">
    <w:name w:val="Emphasis"/>
    <w:basedOn w:val="DefaultParagraphFont"/>
    <w:uiPriority w:val="20"/>
    <w:qFormat/>
    <w:rsid w:val="008174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779">
      <w:bodyDiv w:val="1"/>
      <w:marLeft w:val="0"/>
      <w:marRight w:val="0"/>
      <w:marTop w:val="0"/>
      <w:marBottom w:val="0"/>
      <w:divBdr>
        <w:top w:val="none" w:sz="0" w:space="0" w:color="auto"/>
        <w:left w:val="none" w:sz="0" w:space="0" w:color="auto"/>
        <w:bottom w:val="none" w:sz="0" w:space="0" w:color="auto"/>
        <w:right w:val="none" w:sz="0" w:space="0" w:color="auto"/>
      </w:divBdr>
    </w:div>
    <w:div w:id="6641298">
      <w:bodyDiv w:val="1"/>
      <w:marLeft w:val="0"/>
      <w:marRight w:val="0"/>
      <w:marTop w:val="0"/>
      <w:marBottom w:val="0"/>
      <w:divBdr>
        <w:top w:val="none" w:sz="0" w:space="0" w:color="auto"/>
        <w:left w:val="none" w:sz="0" w:space="0" w:color="auto"/>
        <w:bottom w:val="none" w:sz="0" w:space="0" w:color="auto"/>
        <w:right w:val="none" w:sz="0" w:space="0" w:color="auto"/>
      </w:divBdr>
    </w:div>
    <w:div w:id="8876149">
      <w:bodyDiv w:val="1"/>
      <w:marLeft w:val="0"/>
      <w:marRight w:val="0"/>
      <w:marTop w:val="0"/>
      <w:marBottom w:val="0"/>
      <w:divBdr>
        <w:top w:val="none" w:sz="0" w:space="0" w:color="auto"/>
        <w:left w:val="none" w:sz="0" w:space="0" w:color="auto"/>
        <w:bottom w:val="none" w:sz="0" w:space="0" w:color="auto"/>
        <w:right w:val="none" w:sz="0" w:space="0" w:color="auto"/>
      </w:divBdr>
    </w:div>
    <w:div w:id="10570841">
      <w:bodyDiv w:val="1"/>
      <w:marLeft w:val="0"/>
      <w:marRight w:val="0"/>
      <w:marTop w:val="0"/>
      <w:marBottom w:val="0"/>
      <w:divBdr>
        <w:top w:val="none" w:sz="0" w:space="0" w:color="auto"/>
        <w:left w:val="none" w:sz="0" w:space="0" w:color="auto"/>
        <w:bottom w:val="none" w:sz="0" w:space="0" w:color="auto"/>
        <w:right w:val="none" w:sz="0" w:space="0" w:color="auto"/>
      </w:divBdr>
    </w:div>
    <w:div w:id="19550096">
      <w:bodyDiv w:val="1"/>
      <w:marLeft w:val="0"/>
      <w:marRight w:val="0"/>
      <w:marTop w:val="0"/>
      <w:marBottom w:val="0"/>
      <w:divBdr>
        <w:top w:val="none" w:sz="0" w:space="0" w:color="auto"/>
        <w:left w:val="none" w:sz="0" w:space="0" w:color="auto"/>
        <w:bottom w:val="none" w:sz="0" w:space="0" w:color="auto"/>
        <w:right w:val="none" w:sz="0" w:space="0" w:color="auto"/>
      </w:divBdr>
    </w:div>
    <w:div w:id="20935722">
      <w:bodyDiv w:val="1"/>
      <w:marLeft w:val="0"/>
      <w:marRight w:val="0"/>
      <w:marTop w:val="0"/>
      <w:marBottom w:val="0"/>
      <w:divBdr>
        <w:top w:val="none" w:sz="0" w:space="0" w:color="auto"/>
        <w:left w:val="none" w:sz="0" w:space="0" w:color="auto"/>
        <w:bottom w:val="none" w:sz="0" w:space="0" w:color="auto"/>
        <w:right w:val="none" w:sz="0" w:space="0" w:color="auto"/>
      </w:divBdr>
    </w:div>
    <w:div w:id="28654987">
      <w:bodyDiv w:val="1"/>
      <w:marLeft w:val="0"/>
      <w:marRight w:val="0"/>
      <w:marTop w:val="0"/>
      <w:marBottom w:val="0"/>
      <w:divBdr>
        <w:top w:val="none" w:sz="0" w:space="0" w:color="auto"/>
        <w:left w:val="none" w:sz="0" w:space="0" w:color="auto"/>
        <w:bottom w:val="none" w:sz="0" w:space="0" w:color="auto"/>
        <w:right w:val="none" w:sz="0" w:space="0" w:color="auto"/>
      </w:divBdr>
    </w:div>
    <w:div w:id="34277097">
      <w:bodyDiv w:val="1"/>
      <w:marLeft w:val="0"/>
      <w:marRight w:val="0"/>
      <w:marTop w:val="0"/>
      <w:marBottom w:val="0"/>
      <w:divBdr>
        <w:top w:val="none" w:sz="0" w:space="0" w:color="auto"/>
        <w:left w:val="none" w:sz="0" w:space="0" w:color="auto"/>
        <w:bottom w:val="none" w:sz="0" w:space="0" w:color="auto"/>
        <w:right w:val="none" w:sz="0" w:space="0" w:color="auto"/>
      </w:divBdr>
    </w:div>
    <w:div w:id="37515062">
      <w:bodyDiv w:val="1"/>
      <w:marLeft w:val="0"/>
      <w:marRight w:val="0"/>
      <w:marTop w:val="0"/>
      <w:marBottom w:val="0"/>
      <w:divBdr>
        <w:top w:val="none" w:sz="0" w:space="0" w:color="auto"/>
        <w:left w:val="none" w:sz="0" w:space="0" w:color="auto"/>
        <w:bottom w:val="none" w:sz="0" w:space="0" w:color="auto"/>
        <w:right w:val="none" w:sz="0" w:space="0" w:color="auto"/>
      </w:divBdr>
    </w:div>
    <w:div w:id="39869670">
      <w:bodyDiv w:val="1"/>
      <w:marLeft w:val="0"/>
      <w:marRight w:val="0"/>
      <w:marTop w:val="0"/>
      <w:marBottom w:val="0"/>
      <w:divBdr>
        <w:top w:val="none" w:sz="0" w:space="0" w:color="auto"/>
        <w:left w:val="none" w:sz="0" w:space="0" w:color="auto"/>
        <w:bottom w:val="none" w:sz="0" w:space="0" w:color="auto"/>
        <w:right w:val="none" w:sz="0" w:space="0" w:color="auto"/>
      </w:divBdr>
    </w:div>
    <w:div w:id="40833301">
      <w:bodyDiv w:val="1"/>
      <w:marLeft w:val="0"/>
      <w:marRight w:val="0"/>
      <w:marTop w:val="0"/>
      <w:marBottom w:val="0"/>
      <w:divBdr>
        <w:top w:val="none" w:sz="0" w:space="0" w:color="auto"/>
        <w:left w:val="none" w:sz="0" w:space="0" w:color="auto"/>
        <w:bottom w:val="none" w:sz="0" w:space="0" w:color="auto"/>
        <w:right w:val="none" w:sz="0" w:space="0" w:color="auto"/>
      </w:divBdr>
    </w:div>
    <w:div w:id="43482732">
      <w:bodyDiv w:val="1"/>
      <w:marLeft w:val="0"/>
      <w:marRight w:val="0"/>
      <w:marTop w:val="0"/>
      <w:marBottom w:val="0"/>
      <w:divBdr>
        <w:top w:val="none" w:sz="0" w:space="0" w:color="auto"/>
        <w:left w:val="none" w:sz="0" w:space="0" w:color="auto"/>
        <w:bottom w:val="none" w:sz="0" w:space="0" w:color="auto"/>
        <w:right w:val="none" w:sz="0" w:space="0" w:color="auto"/>
      </w:divBdr>
    </w:div>
    <w:div w:id="45105700">
      <w:bodyDiv w:val="1"/>
      <w:marLeft w:val="0"/>
      <w:marRight w:val="0"/>
      <w:marTop w:val="0"/>
      <w:marBottom w:val="0"/>
      <w:divBdr>
        <w:top w:val="none" w:sz="0" w:space="0" w:color="auto"/>
        <w:left w:val="none" w:sz="0" w:space="0" w:color="auto"/>
        <w:bottom w:val="none" w:sz="0" w:space="0" w:color="auto"/>
        <w:right w:val="none" w:sz="0" w:space="0" w:color="auto"/>
      </w:divBdr>
    </w:div>
    <w:div w:id="56511379">
      <w:bodyDiv w:val="1"/>
      <w:marLeft w:val="0"/>
      <w:marRight w:val="0"/>
      <w:marTop w:val="0"/>
      <w:marBottom w:val="0"/>
      <w:divBdr>
        <w:top w:val="none" w:sz="0" w:space="0" w:color="auto"/>
        <w:left w:val="none" w:sz="0" w:space="0" w:color="auto"/>
        <w:bottom w:val="none" w:sz="0" w:space="0" w:color="auto"/>
        <w:right w:val="none" w:sz="0" w:space="0" w:color="auto"/>
      </w:divBdr>
    </w:div>
    <w:div w:id="62064264">
      <w:bodyDiv w:val="1"/>
      <w:marLeft w:val="0"/>
      <w:marRight w:val="0"/>
      <w:marTop w:val="0"/>
      <w:marBottom w:val="0"/>
      <w:divBdr>
        <w:top w:val="none" w:sz="0" w:space="0" w:color="auto"/>
        <w:left w:val="none" w:sz="0" w:space="0" w:color="auto"/>
        <w:bottom w:val="none" w:sz="0" w:space="0" w:color="auto"/>
        <w:right w:val="none" w:sz="0" w:space="0" w:color="auto"/>
      </w:divBdr>
    </w:div>
    <w:div w:id="70322584">
      <w:bodyDiv w:val="1"/>
      <w:marLeft w:val="0"/>
      <w:marRight w:val="0"/>
      <w:marTop w:val="0"/>
      <w:marBottom w:val="0"/>
      <w:divBdr>
        <w:top w:val="none" w:sz="0" w:space="0" w:color="auto"/>
        <w:left w:val="none" w:sz="0" w:space="0" w:color="auto"/>
        <w:bottom w:val="none" w:sz="0" w:space="0" w:color="auto"/>
        <w:right w:val="none" w:sz="0" w:space="0" w:color="auto"/>
      </w:divBdr>
    </w:div>
    <w:div w:id="76942470">
      <w:bodyDiv w:val="1"/>
      <w:marLeft w:val="0"/>
      <w:marRight w:val="0"/>
      <w:marTop w:val="0"/>
      <w:marBottom w:val="0"/>
      <w:divBdr>
        <w:top w:val="none" w:sz="0" w:space="0" w:color="auto"/>
        <w:left w:val="none" w:sz="0" w:space="0" w:color="auto"/>
        <w:bottom w:val="none" w:sz="0" w:space="0" w:color="auto"/>
        <w:right w:val="none" w:sz="0" w:space="0" w:color="auto"/>
      </w:divBdr>
    </w:div>
    <w:div w:id="78447769">
      <w:bodyDiv w:val="1"/>
      <w:marLeft w:val="0"/>
      <w:marRight w:val="0"/>
      <w:marTop w:val="0"/>
      <w:marBottom w:val="0"/>
      <w:divBdr>
        <w:top w:val="none" w:sz="0" w:space="0" w:color="auto"/>
        <w:left w:val="none" w:sz="0" w:space="0" w:color="auto"/>
        <w:bottom w:val="none" w:sz="0" w:space="0" w:color="auto"/>
        <w:right w:val="none" w:sz="0" w:space="0" w:color="auto"/>
      </w:divBdr>
    </w:div>
    <w:div w:id="86006330">
      <w:bodyDiv w:val="1"/>
      <w:marLeft w:val="0"/>
      <w:marRight w:val="0"/>
      <w:marTop w:val="0"/>
      <w:marBottom w:val="0"/>
      <w:divBdr>
        <w:top w:val="none" w:sz="0" w:space="0" w:color="auto"/>
        <w:left w:val="none" w:sz="0" w:space="0" w:color="auto"/>
        <w:bottom w:val="none" w:sz="0" w:space="0" w:color="auto"/>
        <w:right w:val="none" w:sz="0" w:space="0" w:color="auto"/>
      </w:divBdr>
    </w:div>
    <w:div w:id="92823290">
      <w:bodyDiv w:val="1"/>
      <w:marLeft w:val="0"/>
      <w:marRight w:val="0"/>
      <w:marTop w:val="0"/>
      <w:marBottom w:val="0"/>
      <w:divBdr>
        <w:top w:val="none" w:sz="0" w:space="0" w:color="auto"/>
        <w:left w:val="none" w:sz="0" w:space="0" w:color="auto"/>
        <w:bottom w:val="none" w:sz="0" w:space="0" w:color="auto"/>
        <w:right w:val="none" w:sz="0" w:space="0" w:color="auto"/>
      </w:divBdr>
    </w:div>
    <w:div w:id="93747674">
      <w:bodyDiv w:val="1"/>
      <w:marLeft w:val="0"/>
      <w:marRight w:val="0"/>
      <w:marTop w:val="0"/>
      <w:marBottom w:val="0"/>
      <w:divBdr>
        <w:top w:val="none" w:sz="0" w:space="0" w:color="auto"/>
        <w:left w:val="none" w:sz="0" w:space="0" w:color="auto"/>
        <w:bottom w:val="none" w:sz="0" w:space="0" w:color="auto"/>
        <w:right w:val="none" w:sz="0" w:space="0" w:color="auto"/>
      </w:divBdr>
    </w:div>
    <w:div w:id="96609552">
      <w:bodyDiv w:val="1"/>
      <w:marLeft w:val="0"/>
      <w:marRight w:val="0"/>
      <w:marTop w:val="0"/>
      <w:marBottom w:val="0"/>
      <w:divBdr>
        <w:top w:val="none" w:sz="0" w:space="0" w:color="auto"/>
        <w:left w:val="none" w:sz="0" w:space="0" w:color="auto"/>
        <w:bottom w:val="none" w:sz="0" w:space="0" w:color="auto"/>
        <w:right w:val="none" w:sz="0" w:space="0" w:color="auto"/>
      </w:divBdr>
    </w:div>
    <w:div w:id="103963793">
      <w:bodyDiv w:val="1"/>
      <w:marLeft w:val="0"/>
      <w:marRight w:val="0"/>
      <w:marTop w:val="0"/>
      <w:marBottom w:val="0"/>
      <w:divBdr>
        <w:top w:val="none" w:sz="0" w:space="0" w:color="auto"/>
        <w:left w:val="none" w:sz="0" w:space="0" w:color="auto"/>
        <w:bottom w:val="none" w:sz="0" w:space="0" w:color="auto"/>
        <w:right w:val="none" w:sz="0" w:space="0" w:color="auto"/>
      </w:divBdr>
    </w:div>
    <w:div w:id="116262809">
      <w:bodyDiv w:val="1"/>
      <w:marLeft w:val="0"/>
      <w:marRight w:val="0"/>
      <w:marTop w:val="0"/>
      <w:marBottom w:val="0"/>
      <w:divBdr>
        <w:top w:val="none" w:sz="0" w:space="0" w:color="auto"/>
        <w:left w:val="none" w:sz="0" w:space="0" w:color="auto"/>
        <w:bottom w:val="none" w:sz="0" w:space="0" w:color="auto"/>
        <w:right w:val="none" w:sz="0" w:space="0" w:color="auto"/>
      </w:divBdr>
    </w:div>
    <w:div w:id="117265216">
      <w:bodyDiv w:val="1"/>
      <w:marLeft w:val="0"/>
      <w:marRight w:val="0"/>
      <w:marTop w:val="0"/>
      <w:marBottom w:val="0"/>
      <w:divBdr>
        <w:top w:val="none" w:sz="0" w:space="0" w:color="auto"/>
        <w:left w:val="none" w:sz="0" w:space="0" w:color="auto"/>
        <w:bottom w:val="none" w:sz="0" w:space="0" w:color="auto"/>
        <w:right w:val="none" w:sz="0" w:space="0" w:color="auto"/>
      </w:divBdr>
    </w:div>
    <w:div w:id="128137958">
      <w:bodyDiv w:val="1"/>
      <w:marLeft w:val="0"/>
      <w:marRight w:val="0"/>
      <w:marTop w:val="0"/>
      <w:marBottom w:val="0"/>
      <w:divBdr>
        <w:top w:val="none" w:sz="0" w:space="0" w:color="auto"/>
        <w:left w:val="none" w:sz="0" w:space="0" w:color="auto"/>
        <w:bottom w:val="none" w:sz="0" w:space="0" w:color="auto"/>
        <w:right w:val="none" w:sz="0" w:space="0" w:color="auto"/>
      </w:divBdr>
    </w:div>
    <w:div w:id="159394259">
      <w:bodyDiv w:val="1"/>
      <w:marLeft w:val="0"/>
      <w:marRight w:val="0"/>
      <w:marTop w:val="0"/>
      <w:marBottom w:val="0"/>
      <w:divBdr>
        <w:top w:val="none" w:sz="0" w:space="0" w:color="auto"/>
        <w:left w:val="none" w:sz="0" w:space="0" w:color="auto"/>
        <w:bottom w:val="none" w:sz="0" w:space="0" w:color="auto"/>
        <w:right w:val="none" w:sz="0" w:space="0" w:color="auto"/>
      </w:divBdr>
    </w:div>
    <w:div w:id="159855442">
      <w:bodyDiv w:val="1"/>
      <w:marLeft w:val="0"/>
      <w:marRight w:val="0"/>
      <w:marTop w:val="0"/>
      <w:marBottom w:val="0"/>
      <w:divBdr>
        <w:top w:val="none" w:sz="0" w:space="0" w:color="auto"/>
        <w:left w:val="none" w:sz="0" w:space="0" w:color="auto"/>
        <w:bottom w:val="none" w:sz="0" w:space="0" w:color="auto"/>
        <w:right w:val="none" w:sz="0" w:space="0" w:color="auto"/>
      </w:divBdr>
    </w:div>
    <w:div w:id="165174575">
      <w:bodyDiv w:val="1"/>
      <w:marLeft w:val="0"/>
      <w:marRight w:val="0"/>
      <w:marTop w:val="0"/>
      <w:marBottom w:val="0"/>
      <w:divBdr>
        <w:top w:val="none" w:sz="0" w:space="0" w:color="auto"/>
        <w:left w:val="none" w:sz="0" w:space="0" w:color="auto"/>
        <w:bottom w:val="none" w:sz="0" w:space="0" w:color="auto"/>
        <w:right w:val="none" w:sz="0" w:space="0" w:color="auto"/>
      </w:divBdr>
    </w:div>
    <w:div w:id="165873460">
      <w:bodyDiv w:val="1"/>
      <w:marLeft w:val="0"/>
      <w:marRight w:val="0"/>
      <w:marTop w:val="0"/>
      <w:marBottom w:val="0"/>
      <w:divBdr>
        <w:top w:val="none" w:sz="0" w:space="0" w:color="auto"/>
        <w:left w:val="none" w:sz="0" w:space="0" w:color="auto"/>
        <w:bottom w:val="none" w:sz="0" w:space="0" w:color="auto"/>
        <w:right w:val="none" w:sz="0" w:space="0" w:color="auto"/>
      </w:divBdr>
    </w:div>
    <w:div w:id="168833838">
      <w:bodyDiv w:val="1"/>
      <w:marLeft w:val="0"/>
      <w:marRight w:val="0"/>
      <w:marTop w:val="0"/>
      <w:marBottom w:val="0"/>
      <w:divBdr>
        <w:top w:val="none" w:sz="0" w:space="0" w:color="auto"/>
        <w:left w:val="none" w:sz="0" w:space="0" w:color="auto"/>
        <w:bottom w:val="none" w:sz="0" w:space="0" w:color="auto"/>
        <w:right w:val="none" w:sz="0" w:space="0" w:color="auto"/>
      </w:divBdr>
    </w:div>
    <w:div w:id="172570960">
      <w:bodyDiv w:val="1"/>
      <w:marLeft w:val="0"/>
      <w:marRight w:val="0"/>
      <w:marTop w:val="0"/>
      <w:marBottom w:val="0"/>
      <w:divBdr>
        <w:top w:val="none" w:sz="0" w:space="0" w:color="auto"/>
        <w:left w:val="none" w:sz="0" w:space="0" w:color="auto"/>
        <w:bottom w:val="none" w:sz="0" w:space="0" w:color="auto"/>
        <w:right w:val="none" w:sz="0" w:space="0" w:color="auto"/>
      </w:divBdr>
    </w:div>
    <w:div w:id="175315866">
      <w:bodyDiv w:val="1"/>
      <w:marLeft w:val="0"/>
      <w:marRight w:val="0"/>
      <w:marTop w:val="0"/>
      <w:marBottom w:val="0"/>
      <w:divBdr>
        <w:top w:val="none" w:sz="0" w:space="0" w:color="auto"/>
        <w:left w:val="none" w:sz="0" w:space="0" w:color="auto"/>
        <w:bottom w:val="none" w:sz="0" w:space="0" w:color="auto"/>
        <w:right w:val="none" w:sz="0" w:space="0" w:color="auto"/>
      </w:divBdr>
    </w:div>
    <w:div w:id="180555793">
      <w:bodyDiv w:val="1"/>
      <w:marLeft w:val="0"/>
      <w:marRight w:val="0"/>
      <w:marTop w:val="0"/>
      <w:marBottom w:val="0"/>
      <w:divBdr>
        <w:top w:val="none" w:sz="0" w:space="0" w:color="auto"/>
        <w:left w:val="none" w:sz="0" w:space="0" w:color="auto"/>
        <w:bottom w:val="none" w:sz="0" w:space="0" w:color="auto"/>
        <w:right w:val="none" w:sz="0" w:space="0" w:color="auto"/>
      </w:divBdr>
    </w:div>
    <w:div w:id="182599347">
      <w:bodyDiv w:val="1"/>
      <w:marLeft w:val="0"/>
      <w:marRight w:val="0"/>
      <w:marTop w:val="0"/>
      <w:marBottom w:val="0"/>
      <w:divBdr>
        <w:top w:val="none" w:sz="0" w:space="0" w:color="auto"/>
        <w:left w:val="none" w:sz="0" w:space="0" w:color="auto"/>
        <w:bottom w:val="none" w:sz="0" w:space="0" w:color="auto"/>
        <w:right w:val="none" w:sz="0" w:space="0" w:color="auto"/>
      </w:divBdr>
    </w:div>
    <w:div w:id="182980361">
      <w:bodyDiv w:val="1"/>
      <w:marLeft w:val="0"/>
      <w:marRight w:val="0"/>
      <w:marTop w:val="0"/>
      <w:marBottom w:val="0"/>
      <w:divBdr>
        <w:top w:val="none" w:sz="0" w:space="0" w:color="auto"/>
        <w:left w:val="none" w:sz="0" w:space="0" w:color="auto"/>
        <w:bottom w:val="none" w:sz="0" w:space="0" w:color="auto"/>
        <w:right w:val="none" w:sz="0" w:space="0" w:color="auto"/>
      </w:divBdr>
    </w:div>
    <w:div w:id="183517076">
      <w:bodyDiv w:val="1"/>
      <w:marLeft w:val="0"/>
      <w:marRight w:val="0"/>
      <w:marTop w:val="0"/>
      <w:marBottom w:val="0"/>
      <w:divBdr>
        <w:top w:val="none" w:sz="0" w:space="0" w:color="auto"/>
        <w:left w:val="none" w:sz="0" w:space="0" w:color="auto"/>
        <w:bottom w:val="none" w:sz="0" w:space="0" w:color="auto"/>
        <w:right w:val="none" w:sz="0" w:space="0" w:color="auto"/>
      </w:divBdr>
    </w:div>
    <w:div w:id="184103996">
      <w:bodyDiv w:val="1"/>
      <w:marLeft w:val="0"/>
      <w:marRight w:val="0"/>
      <w:marTop w:val="0"/>
      <w:marBottom w:val="0"/>
      <w:divBdr>
        <w:top w:val="none" w:sz="0" w:space="0" w:color="auto"/>
        <w:left w:val="none" w:sz="0" w:space="0" w:color="auto"/>
        <w:bottom w:val="none" w:sz="0" w:space="0" w:color="auto"/>
        <w:right w:val="none" w:sz="0" w:space="0" w:color="auto"/>
      </w:divBdr>
    </w:div>
    <w:div w:id="185677176">
      <w:bodyDiv w:val="1"/>
      <w:marLeft w:val="0"/>
      <w:marRight w:val="0"/>
      <w:marTop w:val="0"/>
      <w:marBottom w:val="0"/>
      <w:divBdr>
        <w:top w:val="none" w:sz="0" w:space="0" w:color="auto"/>
        <w:left w:val="none" w:sz="0" w:space="0" w:color="auto"/>
        <w:bottom w:val="none" w:sz="0" w:space="0" w:color="auto"/>
        <w:right w:val="none" w:sz="0" w:space="0" w:color="auto"/>
      </w:divBdr>
    </w:div>
    <w:div w:id="203099050">
      <w:bodyDiv w:val="1"/>
      <w:marLeft w:val="0"/>
      <w:marRight w:val="0"/>
      <w:marTop w:val="0"/>
      <w:marBottom w:val="0"/>
      <w:divBdr>
        <w:top w:val="none" w:sz="0" w:space="0" w:color="auto"/>
        <w:left w:val="none" w:sz="0" w:space="0" w:color="auto"/>
        <w:bottom w:val="none" w:sz="0" w:space="0" w:color="auto"/>
        <w:right w:val="none" w:sz="0" w:space="0" w:color="auto"/>
      </w:divBdr>
    </w:div>
    <w:div w:id="209996317">
      <w:bodyDiv w:val="1"/>
      <w:marLeft w:val="0"/>
      <w:marRight w:val="0"/>
      <w:marTop w:val="0"/>
      <w:marBottom w:val="0"/>
      <w:divBdr>
        <w:top w:val="none" w:sz="0" w:space="0" w:color="auto"/>
        <w:left w:val="none" w:sz="0" w:space="0" w:color="auto"/>
        <w:bottom w:val="none" w:sz="0" w:space="0" w:color="auto"/>
        <w:right w:val="none" w:sz="0" w:space="0" w:color="auto"/>
      </w:divBdr>
    </w:div>
    <w:div w:id="213155674">
      <w:bodyDiv w:val="1"/>
      <w:marLeft w:val="0"/>
      <w:marRight w:val="0"/>
      <w:marTop w:val="0"/>
      <w:marBottom w:val="0"/>
      <w:divBdr>
        <w:top w:val="none" w:sz="0" w:space="0" w:color="auto"/>
        <w:left w:val="none" w:sz="0" w:space="0" w:color="auto"/>
        <w:bottom w:val="none" w:sz="0" w:space="0" w:color="auto"/>
        <w:right w:val="none" w:sz="0" w:space="0" w:color="auto"/>
      </w:divBdr>
    </w:div>
    <w:div w:id="221450412">
      <w:bodyDiv w:val="1"/>
      <w:marLeft w:val="0"/>
      <w:marRight w:val="0"/>
      <w:marTop w:val="0"/>
      <w:marBottom w:val="0"/>
      <w:divBdr>
        <w:top w:val="none" w:sz="0" w:space="0" w:color="auto"/>
        <w:left w:val="none" w:sz="0" w:space="0" w:color="auto"/>
        <w:bottom w:val="none" w:sz="0" w:space="0" w:color="auto"/>
        <w:right w:val="none" w:sz="0" w:space="0" w:color="auto"/>
      </w:divBdr>
    </w:div>
    <w:div w:id="224604155">
      <w:bodyDiv w:val="1"/>
      <w:marLeft w:val="0"/>
      <w:marRight w:val="0"/>
      <w:marTop w:val="0"/>
      <w:marBottom w:val="0"/>
      <w:divBdr>
        <w:top w:val="none" w:sz="0" w:space="0" w:color="auto"/>
        <w:left w:val="none" w:sz="0" w:space="0" w:color="auto"/>
        <w:bottom w:val="none" w:sz="0" w:space="0" w:color="auto"/>
        <w:right w:val="none" w:sz="0" w:space="0" w:color="auto"/>
      </w:divBdr>
    </w:div>
    <w:div w:id="225066737">
      <w:bodyDiv w:val="1"/>
      <w:marLeft w:val="0"/>
      <w:marRight w:val="0"/>
      <w:marTop w:val="0"/>
      <w:marBottom w:val="0"/>
      <w:divBdr>
        <w:top w:val="none" w:sz="0" w:space="0" w:color="auto"/>
        <w:left w:val="none" w:sz="0" w:space="0" w:color="auto"/>
        <w:bottom w:val="none" w:sz="0" w:space="0" w:color="auto"/>
        <w:right w:val="none" w:sz="0" w:space="0" w:color="auto"/>
      </w:divBdr>
    </w:div>
    <w:div w:id="234553772">
      <w:bodyDiv w:val="1"/>
      <w:marLeft w:val="0"/>
      <w:marRight w:val="0"/>
      <w:marTop w:val="0"/>
      <w:marBottom w:val="0"/>
      <w:divBdr>
        <w:top w:val="none" w:sz="0" w:space="0" w:color="auto"/>
        <w:left w:val="none" w:sz="0" w:space="0" w:color="auto"/>
        <w:bottom w:val="none" w:sz="0" w:space="0" w:color="auto"/>
        <w:right w:val="none" w:sz="0" w:space="0" w:color="auto"/>
      </w:divBdr>
    </w:div>
    <w:div w:id="241451764">
      <w:bodyDiv w:val="1"/>
      <w:marLeft w:val="0"/>
      <w:marRight w:val="0"/>
      <w:marTop w:val="0"/>
      <w:marBottom w:val="0"/>
      <w:divBdr>
        <w:top w:val="none" w:sz="0" w:space="0" w:color="auto"/>
        <w:left w:val="none" w:sz="0" w:space="0" w:color="auto"/>
        <w:bottom w:val="none" w:sz="0" w:space="0" w:color="auto"/>
        <w:right w:val="none" w:sz="0" w:space="0" w:color="auto"/>
      </w:divBdr>
    </w:div>
    <w:div w:id="252974851">
      <w:bodyDiv w:val="1"/>
      <w:marLeft w:val="0"/>
      <w:marRight w:val="0"/>
      <w:marTop w:val="0"/>
      <w:marBottom w:val="0"/>
      <w:divBdr>
        <w:top w:val="none" w:sz="0" w:space="0" w:color="auto"/>
        <w:left w:val="none" w:sz="0" w:space="0" w:color="auto"/>
        <w:bottom w:val="none" w:sz="0" w:space="0" w:color="auto"/>
        <w:right w:val="none" w:sz="0" w:space="0" w:color="auto"/>
      </w:divBdr>
    </w:div>
    <w:div w:id="269553833">
      <w:bodyDiv w:val="1"/>
      <w:marLeft w:val="0"/>
      <w:marRight w:val="0"/>
      <w:marTop w:val="0"/>
      <w:marBottom w:val="0"/>
      <w:divBdr>
        <w:top w:val="none" w:sz="0" w:space="0" w:color="auto"/>
        <w:left w:val="none" w:sz="0" w:space="0" w:color="auto"/>
        <w:bottom w:val="none" w:sz="0" w:space="0" w:color="auto"/>
        <w:right w:val="none" w:sz="0" w:space="0" w:color="auto"/>
      </w:divBdr>
    </w:div>
    <w:div w:id="271666581">
      <w:bodyDiv w:val="1"/>
      <w:marLeft w:val="0"/>
      <w:marRight w:val="0"/>
      <w:marTop w:val="0"/>
      <w:marBottom w:val="0"/>
      <w:divBdr>
        <w:top w:val="none" w:sz="0" w:space="0" w:color="auto"/>
        <w:left w:val="none" w:sz="0" w:space="0" w:color="auto"/>
        <w:bottom w:val="none" w:sz="0" w:space="0" w:color="auto"/>
        <w:right w:val="none" w:sz="0" w:space="0" w:color="auto"/>
      </w:divBdr>
    </w:div>
    <w:div w:id="289409012">
      <w:bodyDiv w:val="1"/>
      <w:marLeft w:val="0"/>
      <w:marRight w:val="0"/>
      <w:marTop w:val="0"/>
      <w:marBottom w:val="0"/>
      <w:divBdr>
        <w:top w:val="none" w:sz="0" w:space="0" w:color="auto"/>
        <w:left w:val="none" w:sz="0" w:space="0" w:color="auto"/>
        <w:bottom w:val="none" w:sz="0" w:space="0" w:color="auto"/>
        <w:right w:val="none" w:sz="0" w:space="0" w:color="auto"/>
      </w:divBdr>
    </w:div>
    <w:div w:id="290983483">
      <w:bodyDiv w:val="1"/>
      <w:marLeft w:val="0"/>
      <w:marRight w:val="0"/>
      <w:marTop w:val="0"/>
      <w:marBottom w:val="0"/>
      <w:divBdr>
        <w:top w:val="none" w:sz="0" w:space="0" w:color="auto"/>
        <w:left w:val="none" w:sz="0" w:space="0" w:color="auto"/>
        <w:bottom w:val="none" w:sz="0" w:space="0" w:color="auto"/>
        <w:right w:val="none" w:sz="0" w:space="0" w:color="auto"/>
      </w:divBdr>
    </w:div>
    <w:div w:id="299964510">
      <w:bodyDiv w:val="1"/>
      <w:marLeft w:val="0"/>
      <w:marRight w:val="0"/>
      <w:marTop w:val="0"/>
      <w:marBottom w:val="0"/>
      <w:divBdr>
        <w:top w:val="none" w:sz="0" w:space="0" w:color="auto"/>
        <w:left w:val="none" w:sz="0" w:space="0" w:color="auto"/>
        <w:bottom w:val="none" w:sz="0" w:space="0" w:color="auto"/>
        <w:right w:val="none" w:sz="0" w:space="0" w:color="auto"/>
      </w:divBdr>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02278899">
      <w:bodyDiv w:val="1"/>
      <w:marLeft w:val="0"/>
      <w:marRight w:val="0"/>
      <w:marTop w:val="0"/>
      <w:marBottom w:val="0"/>
      <w:divBdr>
        <w:top w:val="none" w:sz="0" w:space="0" w:color="auto"/>
        <w:left w:val="none" w:sz="0" w:space="0" w:color="auto"/>
        <w:bottom w:val="none" w:sz="0" w:space="0" w:color="auto"/>
        <w:right w:val="none" w:sz="0" w:space="0" w:color="auto"/>
      </w:divBdr>
    </w:div>
    <w:div w:id="314189501">
      <w:bodyDiv w:val="1"/>
      <w:marLeft w:val="0"/>
      <w:marRight w:val="0"/>
      <w:marTop w:val="0"/>
      <w:marBottom w:val="0"/>
      <w:divBdr>
        <w:top w:val="none" w:sz="0" w:space="0" w:color="auto"/>
        <w:left w:val="none" w:sz="0" w:space="0" w:color="auto"/>
        <w:bottom w:val="none" w:sz="0" w:space="0" w:color="auto"/>
        <w:right w:val="none" w:sz="0" w:space="0" w:color="auto"/>
      </w:divBdr>
    </w:div>
    <w:div w:id="316761551">
      <w:bodyDiv w:val="1"/>
      <w:marLeft w:val="0"/>
      <w:marRight w:val="0"/>
      <w:marTop w:val="0"/>
      <w:marBottom w:val="0"/>
      <w:divBdr>
        <w:top w:val="none" w:sz="0" w:space="0" w:color="auto"/>
        <w:left w:val="none" w:sz="0" w:space="0" w:color="auto"/>
        <w:bottom w:val="none" w:sz="0" w:space="0" w:color="auto"/>
        <w:right w:val="none" w:sz="0" w:space="0" w:color="auto"/>
      </w:divBdr>
    </w:div>
    <w:div w:id="319580756">
      <w:bodyDiv w:val="1"/>
      <w:marLeft w:val="0"/>
      <w:marRight w:val="0"/>
      <w:marTop w:val="0"/>
      <w:marBottom w:val="0"/>
      <w:divBdr>
        <w:top w:val="none" w:sz="0" w:space="0" w:color="auto"/>
        <w:left w:val="none" w:sz="0" w:space="0" w:color="auto"/>
        <w:bottom w:val="none" w:sz="0" w:space="0" w:color="auto"/>
        <w:right w:val="none" w:sz="0" w:space="0" w:color="auto"/>
      </w:divBdr>
    </w:div>
    <w:div w:id="321349071">
      <w:bodyDiv w:val="1"/>
      <w:marLeft w:val="0"/>
      <w:marRight w:val="0"/>
      <w:marTop w:val="0"/>
      <w:marBottom w:val="0"/>
      <w:divBdr>
        <w:top w:val="none" w:sz="0" w:space="0" w:color="auto"/>
        <w:left w:val="none" w:sz="0" w:space="0" w:color="auto"/>
        <w:bottom w:val="none" w:sz="0" w:space="0" w:color="auto"/>
        <w:right w:val="none" w:sz="0" w:space="0" w:color="auto"/>
      </w:divBdr>
    </w:div>
    <w:div w:id="328218633">
      <w:bodyDiv w:val="1"/>
      <w:marLeft w:val="0"/>
      <w:marRight w:val="0"/>
      <w:marTop w:val="0"/>
      <w:marBottom w:val="0"/>
      <w:divBdr>
        <w:top w:val="none" w:sz="0" w:space="0" w:color="auto"/>
        <w:left w:val="none" w:sz="0" w:space="0" w:color="auto"/>
        <w:bottom w:val="none" w:sz="0" w:space="0" w:color="auto"/>
        <w:right w:val="none" w:sz="0" w:space="0" w:color="auto"/>
      </w:divBdr>
    </w:div>
    <w:div w:id="333072722">
      <w:bodyDiv w:val="1"/>
      <w:marLeft w:val="0"/>
      <w:marRight w:val="0"/>
      <w:marTop w:val="0"/>
      <w:marBottom w:val="0"/>
      <w:divBdr>
        <w:top w:val="none" w:sz="0" w:space="0" w:color="auto"/>
        <w:left w:val="none" w:sz="0" w:space="0" w:color="auto"/>
        <w:bottom w:val="none" w:sz="0" w:space="0" w:color="auto"/>
        <w:right w:val="none" w:sz="0" w:space="0" w:color="auto"/>
      </w:divBdr>
    </w:div>
    <w:div w:id="333150786">
      <w:bodyDiv w:val="1"/>
      <w:marLeft w:val="0"/>
      <w:marRight w:val="0"/>
      <w:marTop w:val="0"/>
      <w:marBottom w:val="0"/>
      <w:divBdr>
        <w:top w:val="none" w:sz="0" w:space="0" w:color="auto"/>
        <w:left w:val="none" w:sz="0" w:space="0" w:color="auto"/>
        <w:bottom w:val="none" w:sz="0" w:space="0" w:color="auto"/>
        <w:right w:val="none" w:sz="0" w:space="0" w:color="auto"/>
      </w:divBdr>
    </w:div>
    <w:div w:id="333265246">
      <w:bodyDiv w:val="1"/>
      <w:marLeft w:val="0"/>
      <w:marRight w:val="0"/>
      <w:marTop w:val="0"/>
      <w:marBottom w:val="0"/>
      <w:divBdr>
        <w:top w:val="none" w:sz="0" w:space="0" w:color="auto"/>
        <w:left w:val="none" w:sz="0" w:space="0" w:color="auto"/>
        <w:bottom w:val="none" w:sz="0" w:space="0" w:color="auto"/>
        <w:right w:val="none" w:sz="0" w:space="0" w:color="auto"/>
      </w:divBdr>
    </w:div>
    <w:div w:id="338653535">
      <w:bodyDiv w:val="1"/>
      <w:marLeft w:val="0"/>
      <w:marRight w:val="0"/>
      <w:marTop w:val="0"/>
      <w:marBottom w:val="0"/>
      <w:divBdr>
        <w:top w:val="none" w:sz="0" w:space="0" w:color="auto"/>
        <w:left w:val="none" w:sz="0" w:space="0" w:color="auto"/>
        <w:bottom w:val="none" w:sz="0" w:space="0" w:color="auto"/>
        <w:right w:val="none" w:sz="0" w:space="0" w:color="auto"/>
      </w:divBdr>
    </w:div>
    <w:div w:id="342901172">
      <w:bodyDiv w:val="1"/>
      <w:marLeft w:val="0"/>
      <w:marRight w:val="0"/>
      <w:marTop w:val="0"/>
      <w:marBottom w:val="0"/>
      <w:divBdr>
        <w:top w:val="none" w:sz="0" w:space="0" w:color="auto"/>
        <w:left w:val="none" w:sz="0" w:space="0" w:color="auto"/>
        <w:bottom w:val="none" w:sz="0" w:space="0" w:color="auto"/>
        <w:right w:val="none" w:sz="0" w:space="0" w:color="auto"/>
      </w:divBdr>
    </w:div>
    <w:div w:id="345133227">
      <w:bodyDiv w:val="1"/>
      <w:marLeft w:val="0"/>
      <w:marRight w:val="0"/>
      <w:marTop w:val="0"/>
      <w:marBottom w:val="0"/>
      <w:divBdr>
        <w:top w:val="none" w:sz="0" w:space="0" w:color="auto"/>
        <w:left w:val="none" w:sz="0" w:space="0" w:color="auto"/>
        <w:bottom w:val="none" w:sz="0" w:space="0" w:color="auto"/>
        <w:right w:val="none" w:sz="0" w:space="0" w:color="auto"/>
      </w:divBdr>
      <w:divsChild>
        <w:div w:id="659382069">
          <w:marLeft w:val="547"/>
          <w:marRight w:val="0"/>
          <w:marTop w:val="60"/>
          <w:marBottom w:val="60"/>
          <w:divBdr>
            <w:top w:val="none" w:sz="0" w:space="0" w:color="auto"/>
            <w:left w:val="none" w:sz="0" w:space="0" w:color="auto"/>
            <w:bottom w:val="none" w:sz="0" w:space="0" w:color="auto"/>
            <w:right w:val="none" w:sz="0" w:space="0" w:color="auto"/>
          </w:divBdr>
        </w:div>
      </w:divsChild>
    </w:div>
    <w:div w:id="353652550">
      <w:bodyDiv w:val="1"/>
      <w:marLeft w:val="0"/>
      <w:marRight w:val="0"/>
      <w:marTop w:val="0"/>
      <w:marBottom w:val="0"/>
      <w:divBdr>
        <w:top w:val="none" w:sz="0" w:space="0" w:color="auto"/>
        <w:left w:val="none" w:sz="0" w:space="0" w:color="auto"/>
        <w:bottom w:val="none" w:sz="0" w:space="0" w:color="auto"/>
        <w:right w:val="none" w:sz="0" w:space="0" w:color="auto"/>
      </w:divBdr>
    </w:div>
    <w:div w:id="354310704">
      <w:bodyDiv w:val="1"/>
      <w:marLeft w:val="0"/>
      <w:marRight w:val="0"/>
      <w:marTop w:val="0"/>
      <w:marBottom w:val="0"/>
      <w:divBdr>
        <w:top w:val="none" w:sz="0" w:space="0" w:color="auto"/>
        <w:left w:val="none" w:sz="0" w:space="0" w:color="auto"/>
        <w:bottom w:val="none" w:sz="0" w:space="0" w:color="auto"/>
        <w:right w:val="none" w:sz="0" w:space="0" w:color="auto"/>
      </w:divBdr>
    </w:div>
    <w:div w:id="355813141">
      <w:bodyDiv w:val="1"/>
      <w:marLeft w:val="0"/>
      <w:marRight w:val="0"/>
      <w:marTop w:val="0"/>
      <w:marBottom w:val="0"/>
      <w:divBdr>
        <w:top w:val="none" w:sz="0" w:space="0" w:color="auto"/>
        <w:left w:val="none" w:sz="0" w:space="0" w:color="auto"/>
        <w:bottom w:val="none" w:sz="0" w:space="0" w:color="auto"/>
        <w:right w:val="none" w:sz="0" w:space="0" w:color="auto"/>
      </w:divBdr>
    </w:div>
    <w:div w:id="359942031">
      <w:bodyDiv w:val="1"/>
      <w:marLeft w:val="0"/>
      <w:marRight w:val="0"/>
      <w:marTop w:val="0"/>
      <w:marBottom w:val="0"/>
      <w:divBdr>
        <w:top w:val="none" w:sz="0" w:space="0" w:color="auto"/>
        <w:left w:val="none" w:sz="0" w:space="0" w:color="auto"/>
        <w:bottom w:val="none" w:sz="0" w:space="0" w:color="auto"/>
        <w:right w:val="none" w:sz="0" w:space="0" w:color="auto"/>
      </w:divBdr>
    </w:div>
    <w:div w:id="366107639">
      <w:bodyDiv w:val="1"/>
      <w:marLeft w:val="0"/>
      <w:marRight w:val="0"/>
      <w:marTop w:val="0"/>
      <w:marBottom w:val="0"/>
      <w:divBdr>
        <w:top w:val="none" w:sz="0" w:space="0" w:color="auto"/>
        <w:left w:val="none" w:sz="0" w:space="0" w:color="auto"/>
        <w:bottom w:val="none" w:sz="0" w:space="0" w:color="auto"/>
        <w:right w:val="none" w:sz="0" w:space="0" w:color="auto"/>
      </w:divBdr>
    </w:div>
    <w:div w:id="366221170">
      <w:bodyDiv w:val="1"/>
      <w:marLeft w:val="0"/>
      <w:marRight w:val="0"/>
      <w:marTop w:val="0"/>
      <w:marBottom w:val="0"/>
      <w:divBdr>
        <w:top w:val="none" w:sz="0" w:space="0" w:color="auto"/>
        <w:left w:val="none" w:sz="0" w:space="0" w:color="auto"/>
        <w:bottom w:val="none" w:sz="0" w:space="0" w:color="auto"/>
        <w:right w:val="none" w:sz="0" w:space="0" w:color="auto"/>
      </w:divBdr>
    </w:div>
    <w:div w:id="381905593">
      <w:bodyDiv w:val="1"/>
      <w:marLeft w:val="0"/>
      <w:marRight w:val="0"/>
      <w:marTop w:val="0"/>
      <w:marBottom w:val="0"/>
      <w:divBdr>
        <w:top w:val="none" w:sz="0" w:space="0" w:color="auto"/>
        <w:left w:val="none" w:sz="0" w:space="0" w:color="auto"/>
        <w:bottom w:val="none" w:sz="0" w:space="0" w:color="auto"/>
        <w:right w:val="none" w:sz="0" w:space="0" w:color="auto"/>
      </w:divBdr>
    </w:div>
    <w:div w:id="391581767">
      <w:bodyDiv w:val="1"/>
      <w:marLeft w:val="0"/>
      <w:marRight w:val="0"/>
      <w:marTop w:val="0"/>
      <w:marBottom w:val="0"/>
      <w:divBdr>
        <w:top w:val="none" w:sz="0" w:space="0" w:color="auto"/>
        <w:left w:val="none" w:sz="0" w:space="0" w:color="auto"/>
        <w:bottom w:val="none" w:sz="0" w:space="0" w:color="auto"/>
        <w:right w:val="none" w:sz="0" w:space="0" w:color="auto"/>
      </w:divBdr>
    </w:div>
    <w:div w:id="392656376">
      <w:bodyDiv w:val="1"/>
      <w:marLeft w:val="0"/>
      <w:marRight w:val="0"/>
      <w:marTop w:val="0"/>
      <w:marBottom w:val="0"/>
      <w:divBdr>
        <w:top w:val="none" w:sz="0" w:space="0" w:color="auto"/>
        <w:left w:val="none" w:sz="0" w:space="0" w:color="auto"/>
        <w:bottom w:val="none" w:sz="0" w:space="0" w:color="auto"/>
        <w:right w:val="none" w:sz="0" w:space="0" w:color="auto"/>
      </w:divBdr>
    </w:div>
    <w:div w:id="393815285">
      <w:bodyDiv w:val="1"/>
      <w:marLeft w:val="0"/>
      <w:marRight w:val="0"/>
      <w:marTop w:val="0"/>
      <w:marBottom w:val="0"/>
      <w:divBdr>
        <w:top w:val="none" w:sz="0" w:space="0" w:color="auto"/>
        <w:left w:val="none" w:sz="0" w:space="0" w:color="auto"/>
        <w:bottom w:val="none" w:sz="0" w:space="0" w:color="auto"/>
        <w:right w:val="none" w:sz="0" w:space="0" w:color="auto"/>
      </w:divBdr>
    </w:div>
    <w:div w:id="396981602">
      <w:bodyDiv w:val="1"/>
      <w:marLeft w:val="0"/>
      <w:marRight w:val="0"/>
      <w:marTop w:val="0"/>
      <w:marBottom w:val="0"/>
      <w:divBdr>
        <w:top w:val="none" w:sz="0" w:space="0" w:color="auto"/>
        <w:left w:val="none" w:sz="0" w:space="0" w:color="auto"/>
        <w:bottom w:val="none" w:sz="0" w:space="0" w:color="auto"/>
        <w:right w:val="none" w:sz="0" w:space="0" w:color="auto"/>
      </w:divBdr>
    </w:div>
    <w:div w:id="405760775">
      <w:bodyDiv w:val="1"/>
      <w:marLeft w:val="0"/>
      <w:marRight w:val="0"/>
      <w:marTop w:val="0"/>
      <w:marBottom w:val="0"/>
      <w:divBdr>
        <w:top w:val="none" w:sz="0" w:space="0" w:color="auto"/>
        <w:left w:val="none" w:sz="0" w:space="0" w:color="auto"/>
        <w:bottom w:val="none" w:sz="0" w:space="0" w:color="auto"/>
        <w:right w:val="none" w:sz="0" w:space="0" w:color="auto"/>
      </w:divBdr>
    </w:div>
    <w:div w:id="410541828">
      <w:bodyDiv w:val="1"/>
      <w:marLeft w:val="0"/>
      <w:marRight w:val="0"/>
      <w:marTop w:val="0"/>
      <w:marBottom w:val="0"/>
      <w:divBdr>
        <w:top w:val="none" w:sz="0" w:space="0" w:color="auto"/>
        <w:left w:val="none" w:sz="0" w:space="0" w:color="auto"/>
        <w:bottom w:val="none" w:sz="0" w:space="0" w:color="auto"/>
        <w:right w:val="none" w:sz="0" w:space="0" w:color="auto"/>
      </w:divBdr>
    </w:div>
    <w:div w:id="413815916">
      <w:bodyDiv w:val="1"/>
      <w:marLeft w:val="0"/>
      <w:marRight w:val="0"/>
      <w:marTop w:val="0"/>
      <w:marBottom w:val="0"/>
      <w:divBdr>
        <w:top w:val="none" w:sz="0" w:space="0" w:color="auto"/>
        <w:left w:val="none" w:sz="0" w:space="0" w:color="auto"/>
        <w:bottom w:val="none" w:sz="0" w:space="0" w:color="auto"/>
        <w:right w:val="none" w:sz="0" w:space="0" w:color="auto"/>
      </w:divBdr>
    </w:div>
    <w:div w:id="423844494">
      <w:bodyDiv w:val="1"/>
      <w:marLeft w:val="0"/>
      <w:marRight w:val="0"/>
      <w:marTop w:val="0"/>
      <w:marBottom w:val="0"/>
      <w:divBdr>
        <w:top w:val="none" w:sz="0" w:space="0" w:color="auto"/>
        <w:left w:val="none" w:sz="0" w:space="0" w:color="auto"/>
        <w:bottom w:val="none" w:sz="0" w:space="0" w:color="auto"/>
        <w:right w:val="none" w:sz="0" w:space="0" w:color="auto"/>
      </w:divBdr>
    </w:div>
    <w:div w:id="444275484">
      <w:bodyDiv w:val="1"/>
      <w:marLeft w:val="0"/>
      <w:marRight w:val="0"/>
      <w:marTop w:val="0"/>
      <w:marBottom w:val="0"/>
      <w:divBdr>
        <w:top w:val="none" w:sz="0" w:space="0" w:color="auto"/>
        <w:left w:val="none" w:sz="0" w:space="0" w:color="auto"/>
        <w:bottom w:val="none" w:sz="0" w:space="0" w:color="auto"/>
        <w:right w:val="none" w:sz="0" w:space="0" w:color="auto"/>
      </w:divBdr>
    </w:div>
    <w:div w:id="444925551">
      <w:bodyDiv w:val="1"/>
      <w:marLeft w:val="0"/>
      <w:marRight w:val="0"/>
      <w:marTop w:val="0"/>
      <w:marBottom w:val="0"/>
      <w:divBdr>
        <w:top w:val="none" w:sz="0" w:space="0" w:color="auto"/>
        <w:left w:val="none" w:sz="0" w:space="0" w:color="auto"/>
        <w:bottom w:val="none" w:sz="0" w:space="0" w:color="auto"/>
        <w:right w:val="none" w:sz="0" w:space="0" w:color="auto"/>
      </w:divBdr>
    </w:div>
    <w:div w:id="447621756">
      <w:bodyDiv w:val="1"/>
      <w:marLeft w:val="0"/>
      <w:marRight w:val="0"/>
      <w:marTop w:val="0"/>
      <w:marBottom w:val="0"/>
      <w:divBdr>
        <w:top w:val="none" w:sz="0" w:space="0" w:color="auto"/>
        <w:left w:val="none" w:sz="0" w:space="0" w:color="auto"/>
        <w:bottom w:val="none" w:sz="0" w:space="0" w:color="auto"/>
        <w:right w:val="none" w:sz="0" w:space="0" w:color="auto"/>
      </w:divBdr>
    </w:div>
    <w:div w:id="452602165">
      <w:bodyDiv w:val="1"/>
      <w:marLeft w:val="0"/>
      <w:marRight w:val="0"/>
      <w:marTop w:val="0"/>
      <w:marBottom w:val="0"/>
      <w:divBdr>
        <w:top w:val="none" w:sz="0" w:space="0" w:color="auto"/>
        <w:left w:val="none" w:sz="0" w:space="0" w:color="auto"/>
        <w:bottom w:val="none" w:sz="0" w:space="0" w:color="auto"/>
        <w:right w:val="none" w:sz="0" w:space="0" w:color="auto"/>
      </w:divBdr>
    </w:div>
    <w:div w:id="454446470">
      <w:bodyDiv w:val="1"/>
      <w:marLeft w:val="0"/>
      <w:marRight w:val="0"/>
      <w:marTop w:val="0"/>
      <w:marBottom w:val="0"/>
      <w:divBdr>
        <w:top w:val="none" w:sz="0" w:space="0" w:color="auto"/>
        <w:left w:val="none" w:sz="0" w:space="0" w:color="auto"/>
        <w:bottom w:val="none" w:sz="0" w:space="0" w:color="auto"/>
        <w:right w:val="none" w:sz="0" w:space="0" w:color="auto"/>
      </w:divBdr>
    </w:div>
    <w:div w:id="469245426">
      <w:bodyDiv w:val="1"/>
      <w:marLeft w:val="0"/>
      <w:marRight w:val="0"/>
      <w:marTop w:val="0"/>
      <w:marBottom w:val="0"/>
      <w:divBdr>
        <w:top w:val="none" w:sz="0" w:space="0" w:color="auto"/>
        <w:left w:val="none" w:sz="0" w:space="0" w:color="auto"/>
        <w:bottom w:val="none" w:sz="0" w:space="0" w:color="auto"/>
        <w:right w:val="none" w:sz="0" w:space="0" w:color="auto"/>
      </w:divBdr>
    </w:div>
    <w:div w:id="470833555">
      <w:bodyDiv w:val="1"/>
      <w:marLeft w:val="0"/>
      <w:marRight w:val="0"/>
      <w:marTop w:val="0"/>
      <w:marBottom w:val="0"/>
      <w:divBdr>
        <w:top w:val="none" w:sz="0" w:space="0" w:color="auto"/>
        <w:left w:val="none" w:sz="0" w:space="0" w:color="auto"/>
        <w:bottom w:val="none" w:sz="0" w:space="0" w:color="auto"/>
        <w:right w:val="none" w:sz="0" w:space="0" w:color="auto"/>
      </w:divBdr>
    </w:div>
    <w:div w:id="471825077">
      <w:bodyDiv w:val="1"/>
      <w:marLeft w:val="0"/>
      <w:marRight w:val="0"/>
      <w:marTop w:val="0"/>
      <w:marBottom w:val="0"/>
      <w:divBdr>
        <w:top w:val="none" w:sz="0" w:space="0" w:color="auto"/>
        <w:left w:val="none" w:sz="0" w:space="0" w:color="auto"/>
        <w:bottom w:val="none" w:sz="0" w:space="0" w:color="auto"/>
        <w:right w:val="none" w:sz="0" w:space="0" w:color="auto"/>
      </w:divBdr>
    </w:div>
    <w:div w:id="487983955">
      <w:bodyDiv w:val="1"/>
      <w:marLeft w:val="0"/>
      <w:marRight w:val="0"/>
      <w:marTop w:val="0"/>
      <w:marBottom w:val="0"/>
      <w:divBdr>
        <w:top w:val="none" w:sz="0" w:space="0" w:color="auto"/>
        <w:left w:val="none" w:sz="0" w:space="0" w:color="auto"/>
        <w:bottom w:val="none" w:sz="0" w:space="0" w:color="auto"/>
        <w:right w:val="none" w:sz="0" w:space="0" w:color="auto"/>
      </w:divBdr>
    </w:div>
    <w:div w:id="491457101">
      <w:bodyDiv w:val="1"/>
      <w:marLeft w:val="0"/>
      <w:marRight w:val="0"/>
      <w:marTop w:val="0"/>
      <w:marBottom w:val="0"/>
      <w:divBdr>
        <w:top w:val="none" w:sz="0" w:space="0" w:color="auto"/>
        <w:left w:val="none" w:sz="0" w:space="0" w:color="auto"/>
        <w:bottom w:val="none" w:sz="0" w:space="0" w:color="auto"/>
        <w:right w:val="none" w:sz="0" w:space="0" w:color="auto"/>
      </w:divBdr>
    </w:div>
    <w:div w:id="492719404">
      <w:bodyDiv w:val="1"/>
      <w:marLeft w:val="0"/>
      <w:marRight w:val="0"/>
      <w:marTop w:val="0"/>
      <w:marBottom w:val="0"/>
      <w:divBdr>
        <w:top w:val="none" w:sz="0" w:space="0" w:color="auto"/>
        <w:left w:val="none" w:sz="0" w:space="0" w:color="auto"/>
        <w:bottom w:val="none" w:sz="0" w:space="0" w:color="auto"/>
        <w:right w:val="none" w:sz="0" w:space="0" w:color="auto"/>
      </w:divBdr>
    </w:div>
    <w:div w:id="495193500">
      <w:bodyDiv w:val="1"/>
      <w:marLeft w:val="0"/>
      <w:marRight w:val="0"/>
      <w:marTop w:val="0"/>
      <w:marBottom w:val="0"/>
      <w:divBdr>
        <w:top w:val="none" w:sz="0" w:space="0" w:color="auto"/>
        <w:left w:val="none" w:sz="0" w:space="0" w:color="auto"/>
        <w:bottom w:val="none" w:sz="0" w:space="0" w:color="auto"/>
        <w:right w:val="none" w:sz="0" w:space="0" w:color="auto"/>
      </w:divBdr>
    </w:div>
    <w:div w:id="497380929">
      <w:bodyDiv w:val="1"/>
      <w:marLeft w:val="0"/>
      <w:marRight w:val="0"/>
      <w:marTop w:val="0"/>
      <w:marBottom w:val="0"/>
      <w:divBdr>
        <w:top w:val="none" w:sz="0" w:space="0" w:color="auto"/>
        <w:left w:val="none" w:sz="0" w:space="0" w:color="auto"/>
        <w:bottom w:val="none" w:sz="0" w:space="0" w:color="auto"/>
        <w:right w:val="none" w:sz="0" w:space="0" w:color="auto"/>
      </w:divBdr>
    </w:div>
    <w:div w:id="497422787">
      <w:bodyDiv w:val="1"/>
      <w:marLeft w:val="0"/>
      <w:marRight w:val="0"/>
      <w:marTop w:val="0"/>
      <w:marBottom w:val="0"/>
      <w:divBdr>
        <w:top w:val="none" w:sz="0" w:space="0" w:color="auto"/>
        <w:left w:val="none" w:sz="0" w:space="0" w:color="auto"/>
        <w:bottom w:val="none" w:sz="0" w:space="0" w:color="auto"/>
        <w:right w:val="none" w:sz="0" w:space="0" w:color="auto"/>
      </w:divBdr>
    </w:div>
    <w:div w:id="507987009">
      <w:bodyDiv w:val="1"/>
      <w:marLeft w:val="0"/>
      <w:marRight w:val="0"/>
      <w:marTop w:val="0"/>
      <w:marBottom w:val="0"/>
      <w:divBdr>
        <w:top w:val="none" w:sz="0" w:space="0" w:color="auto"/>
        <w:left w:val="none" w:sz="0" w:space="0" w:color="auto"/>
        <w:bottom w:val="none" w:sz="0" w:space="0" w:color="auto"/>
        <w:right w:val="none" w:sz="0" w:space="0" w:color="auto"/>
      </w:divBdr>
    </w:div>
    <w:div w:id="508105030">
      <w:bodyDiv w:val="1"/>
      <w:marLeft w:val="0"/>
      <w:marRight w:val="0"/>
      <w:marTop w:val="0"/>
      <w:marBottom w:val="0"/>
      <w:divBdr>
        <w:top w:val="none" w:sz="0" w:space="0" w:color="auto"/>
        <w:left w:val="none" w:sz="0" w:space="0" w:color="auto"/>
        <w:bottom w:val="none" w:sz="0" w:space="0" w:color="auto"/>
        <w:right w:val="none" w:sz="0" w:space="0" w:color="auto"/>
      </w:divBdr>
    </w:div>
    <w:div w:id="510993611">
      <w:bodyDiv w:val="1"/>
      <w:marLeft w:val="0"/>
      <w:marRight w:val="0"/>
      <w:marTop w:val="0"/>
      <w:marBottom w:val="0"/>
      <w:divBdr>
        <w:top w:val="none" w:sz="0" w:space="0" w:color="auto"/>
        <w:left w:val="none" w:sz="0" w:space="0" w:color="auto"/>
        <w:bottom w:val="none" w:sz="0" w:space="0" w:color="auto"/>
        <w:right w:val="none" w:sz="0" w:space="0" w:color="auto"/>
      </w:divBdr>
    </w:div>
    <w:div w:id="533468606">
      <w:bodyDiv w:val="1"/>
      <w:marLeft w:val="0"/>
      <w:marRight w:val="0"/>
      <w:marTop w:val="0"/>
      <w:marBottom w:val="0"/>
      <w:divBdr>
        <w:top w:val="none" w:sz="0" w:space="0" w:color="auto"/>
        <w:left w:val="none" w:sz="0" w:space="0" w:color="auto"/>
        <w:bottom w:val="none" w:sz="0" w:space="0" w:color="auto"/>
        <w:right w:val="none" w:sz="0" w:space="0" w:color="auto"/>
      </w:divBdr>
    </w:div>
    <w:div w:id="536044444">
      <w:bodyDiv w:val="1"/>
      <w:marLeft w:val="0"/>
      <w:marRight w:val="0"/>
      <w:marTop w:val="0"/>
      <w:marBottom w:val="0"/>
      <w:divBdr>
        <w:top w:val="none" w:sz="0" w:space="0" w:color="auto"/>
        <w:left w:val="none" w:sz="0" w:space="0" w:color="auto"/>
        <w:bottom w:val="none" w:sz="0" w:space="0" w:color="auto"/>
        <w:right w:val="none" w:sz="0" w:space="0" w:color="auto"/>
      </w:divBdr>
    </w:div>
    <w:div w:id="537548289">
      <w:bodyDiv w:val="1"/>
      <w:marLeft w:val="0"/>
      <w:marRight w:val="0"/>
      <w:marTop w:val="0"/>
      <w:marBottom w:val="0"/>
      <w:divBdr>
        <w:top w:val="none" w:sz="0" w:space="0" w:color="auto"/>
        <w:left w:val="none" w:sz="0" w:space="0" w:color="auto"/>
        <w:bottom w:val="none" w:sz="0" w:space="0" w:color="auto"/>
        <w:right w:val="none" w:sz="0" w:space="0" w:color="auto"/>
      </w:divBdr>
    </w:div>
    <w:div w:id="537936004">
      <w:bodyDiv w:val="1"/>
      <w:marLeft w:val="0"/>
      <w:marRight w:val="0"/>
      <w:marTop w:val="0"/>
      <w:marBottom w:val="0"/>
      <w:divBdr>
        <w:top w:val="none" w:sz="0" w:space="0" w:color="auto"/>
        <w:left w:val="none" w:sz="0" w:space="0" w:color="auto"/>
        <w:bottom w:val="none" w:sz="0" w:space="0" w:color="auto"/>
        <w:right w:val="none" w:sz="0" w:space="0" w:color="auto"/>
      </w:divBdr>
    </w:div>
    <w:div w:id="543716916">
      <w:bodyDiv w:val="1"/>
      <w:marLeft w:val="0"/>
      <w:marRight w:val="0"/>
      <w:marTop w:val="0"/>
      <w:marBottom w:val="0"/>
      <w:divBdr>
        <w:top w:val="none" w:sz="0" w:space="0" w:color="auto"/>
        <w:left w:val="none" w:sz="0" w:space="0" w:color="auto"/>
        <w:bottom w:val="none" w:sz="0" w:space="0" w:color="auto"/>
        <w:right w:val="none" w:sz="0" w:space="0" w:color="auto"/>
      </w:divBdr>
    </w:div>
    <w:div w:id="576207590">
      <w:bodyDiv w:val="1"/>
      <w:marLeft w:val="0"/>
      <w:marRight w:val="0"/>
      <w:marTop w:val="0"/>
      <w:marBottom w:val="0"/>
      <w:divBdr>
        <w:top w:val="none" w:sz="0" w:space="0" w:color="auto"/>
        <w:left w:val="none" w:sz="0" w:space="0" w:color="auto"/>
        <w:bottom w:val="none" w:sz="0" w:space="0" w:color="auto"/>
        <w:right w:val="none" w:sz="0" w:space="0" w:color="auto"/>
      </w:divBdr>
    </w:div>
    <w:div w:id="588466013">
      <w:bodyDiv w:val="1"/>
      <w:marLeft w:val="0"/>
      <w:marRight w:val="0"/>
      <w:marTop w:val="0"/>
      <w:marBottom w:val="0"/>
      <w:divBdr>
        <w:top w:val="none" w:sz="0" w:space="0" w:color="auto"/>
        <w:left w:val="none" w:sz="0" w:space="0" w:color="auto"/>
        <w:bottom w:val="none" w:sz="0" w:space="0" w:color="auto"/>
        <w:right w:val="none" w:sz="0" w:space="0" w:color="auto"/>
      </w:divBdr>
    </w:div>
    <w:div w:id="601228653">
      <w:bodyDiv w:val="1"/>
      <w:marLeft w:val="0"/>
      <w:marRight w:val="0"/>
      <w:marTop w:val="0"/>
      <w:marBottom w:val="0"/>
      <w:divBdr>
        <w:top w:val="none" w:sz="0" w:space="0" w:color="auto"/>
        <w:left w:val="none" w:sz="0" w:space="0" w:color="auto"/>
        <w:bottom w:val="none" w:sz="0" w:space="0" w:color="auto"/>
        <w:right w:val="none" w:sz="0" w:space="0" w:color="auto"/>
      </w:divBdr>
    </w:div>
    <w:div w:id="603850060">
      <w:bodyDiv w:val="1"/>
      <w:marLeft w:val="0"/>
      <w:marRight w:val="0"/>
      <w:marTop w:val="0"/>
      <w:marBottom w:val="0"/>
      <w:divBdr>
        <w:top w:val="none" w:sz="0" w:space="0" w:color="auto"/>
        <w:left w:val="none" w:sz="0" w:space="0" w:color="auto"/>
        <w:bottom w:val="none" w:sz="0" w:space="0" w:color="auto"/>
        <w:right w:val="none" w:sz="0" w:space="0" w:color="auto"/>
      </w:divBdr>
    </w:div>
    <w:div w:id="608314362">
      <w:bodyDiv w:val="1"/>
      <w:marLeft w:val="0"/>
      <w:marRight w:val="0"/>
      <w:marTop w:val="0"/>
      <w:marBottom w:val="0"/>
      <w:divBdr>
        <w:top w:val="none" w:sz="0" w:space="0" w:color="auto"/>
        <w:left w:val="none" w:sz="0" w:space="0" w:color="auto"/>
        <w:bottom w:val="none" w:sz="0" w:space="0" w:color="auto"/>
        <w:right w:val="none" w:sz="0" w:space="0" w:color="auto"/>
      </w:divBdr>
    </w:div>
    <w:div w:id="613444271">
      <w:bodyDiv w:val="1"/>
      <w:marLeft w:val="0"/>
      <w:marRight w:val="0"/>
      <w:marTop w:val="0"/>
      <w:marBottom w:val="0"/>
      <w:divBdr>
        <w:top w:val="none" w:sz="0" w:space="0" w:color="auto"/>
        <w:left w:val="none" w:sz="0" w:space="0" w:color="auto"/>
        <w:bottom w:val="none" w:sz="0" w:space="0" w:color="auto"/>
        <w:right w:val="none" w:sz="0" w:space="0" w:color="auto"/>
      </w:divBdr>
    </w:div>
    <w:div w:id="622350564">
      <w:bodyDiv w:val="1"/>
      <w:marLeft w:val="0"/>
      <w:marRight w:val="0"/>
      <w:marTop w:val="0"/>
      <w:marBottom w:val="0"/>
      <w:divBdr>
        <w:top w:val="none" w:sz="0" w:space="0" w:color="auto"/>
        <w:left w:val="none" w:sz="0" w:space="0" w:color="auto"/>
        <w:bottom w:val="none" w:sz="0" w:space="0" w:color="auto"/>
        <w:right w:val="none" w:sz="0" w:space="0" w:color="auto"/>
      </w:divBdr>
    </w:div>
    <w:div w:id="623002970">
      <w:bodyDiv w:val="1"/>
      <w:marLeft w:val="0"/>
      <w:marRight w:val="0"/>
      <w:marTop w:val="0"/>
      <w:marBottom w:val="0"/>
      <w:divBdr>
        <w:top w:val="none" w:sz="0" w:space="0" w:color="auto"/>
        <w:left w:val="none" w:sz="0" w:space="0" w:color="auto"/>
        <w:bottom w:val="none" w:sz="0" w:space="0" w:color="auto"/>
        <w:right w:val="none" w:sz="0" w:space="0" w:color="auto"/>
      </w:divBdr>
    </w:div>
    <w:div w:id="633488909">
      <w:bodyDiv w:val="1"/>
      <w:marLeft w:val="0"/>
      <w:marRight w:val="0"/>
      <w:marTop w:val="0"/>
      <w:marBottom w:val="0"/>
      <w:divBdr>
        <w:top w:val="none" w:sz="0" w:space="0" w:color="auto"/>
        <w:left w:val="none" w:sz="0" w:space="0" w:color="auto"/>
        <w:bottom w:val="none" w:sz="0" w:space="0" w:color="auto"/>
        <w:right w:val="none" w:sz="0" w:space="0" w:color="auto"/>
      </w:divBdr>
    </w:div>
    <w:div w:id="638534242">
      <w:bodyDiv w:val="1"/>
      <w:marLeft w:val="0"/>
      <w:marRight w:val="0"/>
      <w:marTop w:val="0"/>
      <w:marBottom w:val="0"/>
      <w:divBdr>
        <w:top w:val="none" w:sz="0" w:space="0" w:color="auto"/>
        <w:left w:val="none" w:sz="0" w:space="0" w:color="auto"/>
        <w:bottom w:val="none" w:sz="0" w:space="0" w:color="auto"/>
        <w:right w:val="none" w:sz="0" w:space="0" w:color="auto"/>
      </w:divBdr>
    </w:div>
    <w:div w:id="655764496">
      <w:bodyDiv w:val="1"/>
      <w:marLeft w:val="0"/>
      <w:marRight w:val="0"/>
      <w:marTop w:val="0"/>
      <w:marBottom w:val="0"/>
      <w:divBdr>
        <w:top w:val="none" w:sz="0" w:space="0" w:color="auto"/>
        <w:left w:val="none" w:sz="0" w:space="0" w:color="auto"/>
        <w:bottom w:val="none" w:sz="0" w:space="0" w:color="auto"/>
        <w:right w:val="none" w:sz="0" w:space="0" w:color="auto"/>
      </w:divBdr>
    </w:div>
    <w:div w:id="658464242">
      <w:bodyDiv w:val="1"/>
      <w:marLeft w:val="0"/>
      <w:marRight w:val="0"/>
      <w:marTop w:val="0"/>
      <w:marBottom w:val="0"/>
      <w:divBdr>
        <w:top w:val="none" w:sz="0" w:space="0" w:color="auto"/>
        <w:left w:val="none" w:sz="0" w:space="0" w:color="auto"/>
        <w:bottom w:val="none" w:sz="0" w:space="0" w:color="auto"/>
        <w:right w:val="none" w:sz="0" w:space="0" w:color="auto"/>
      </w:divBdr>
    </w:div>
    <w:div w:id="659845362">
      <w:bodyDiv w:val="1"/>
      <w:marLeft w:val="0"/>
      <w:marRight w:val="0"/>
      <w:marTop w:val="0"/>
      <w:marBottom w:val="0"/>
      <w:divBdr>
        <w:top w:val="none" w:sz="0" w:space="0" w:color="auto"/>
        <w:left w:val="none" w:sz="0" w:space="0" w:color="auto"/>
        <w:bottom w:val="none" w:sz="0" w:space="0" w:color="auto"/>
        <w:right w:val="none" w:sz="0" w:space="0" w:color="auto"/>
      </w:divBdr>
    </w:div>
    <w:div w:id="664213172">
      <w:bodyDiv w:val="1"/>
      <w:marLeft w:val="0"/>
      <w:marRight w:val="0"/>
      <w:marTop w:val="0"/>
      <w:marBottom w:val="0"/>
      <w:divBdr>
        <w:top w:val="none" w:sz="0" w:space="0" w:color="auto"/>
        <w:left w:val="none" w:sz="0" w:space="0" w:color="auto"/>
        <w:bottom w:val="none" w:sz="0" w:space="0" w:color="auto"/>
        <w:right w:val="none" w:sz="0" w:space="0" w:color="auto"/>
      </w:divBdr>
    </w:div>
    <w:div w:id="666442041">
      <w:bodyDiv w:val="1"/>
      <w:marLeft w:val="0"/>
      <w:marRight w:val="0"/>
      <w:marTop w:val="0"/>
      <w:marBottom w:val="0"/>
      <w:divBdr>
        <w:top w:val="none" w:sz="0" w:space="0" w:color="auto"/>
        <w:left w:val="none" w:sz="0" w:space="0" w:color="auto"/>
        <w:bottom w:val="none" w:sz="0" w:space="0" w:color="auto"/>
        <w:right w:val="none" w:sz="0" w:space="0" w:color="auto"/>
      </w:divBdr>
    </w:div>
    <w:div w:id="689260061">
      <w:bodyDiv w:val="1"/>
      <w:marLeft w:val="0"/>
      <w:marRight w:val="0"/>
      <w:marTop w:val="0"/>
      <w:marBottom w:val="0"/>
      <w:divBdr>
        <w:top w:val="none" w:sz="0" w:space="0" w:color="auto"/>
        <w:left w:val="none" w:sz="0" w:space="0" w:color="auto"/>
        <w:bottom w:val="none" w:sz="0" w:space="0" w:color="auto"/>
        <w:right w:val="none" w:sz="0" w:space="0" w:color="auto"/>
      </w:divBdr>
    </w:div>
    <w:div w:id="703095926">
      <w:bodyDiv w:val="1"/>
      <w:marLeft w:val="0"/>
      <w:marRight w:val="0"/>
      <w:marTop w:val="0"/>
      <w:marBottom w:val="0"/>
      <w:divBdr>
        <w:top w:val="none" w:sz="0" w:space="0" w:color="auto"/>
        <w:left w:val="none" w:sz="0" w:space="0" w:color="auto"/>
        <w:bottom w:val="none" w:sz="0" w:space="0" w:color="auto"/>
        <w:right w:val="none" w:sz="0" w:space="0" w:color="auto"/>
      </w:divBdr>
    </w:div>
    <w:div w:id="705520911">
      <w:bodyDiv w:val="1"/>
      <w:marLeft w:val="0"/>
      <w:marRight w:val="0"/>
      <w:marTop w:val="0"/>
      <w:marBottom w:val="0"/>
      <w:divBdr>
        <w:top w:val="none" w:sz="0" w:space="0" w:color="auto"/>
        <w:left w:val="none" w:sz="0" w:space="0" w:color="auto"/>
        <w:bottom w:val="none" w:sz="0" w:space="0" w:color="auto"/>
        <w:right w:val="none" w:sz="0" w:space="0" w:color="auto"/>
      </w:divBdr>
    </w:div>
    <w:div w:id="711418227">
      <w:bodyDiv w:val="1"/>
      <w:marLeft w:val="0"/>
      <w:marRight w:val="0"/>
      <w:marTop w:val="0"/>
      <w:marBottom w:val="0"/>
      <w:divBdr>
        <w:top w:val="none" w:sz="0" w:space="0" w:color="auto"/>
        <w:left w:val="none" w:sz="0" w:space="0" w:color="auto"/>
        <w:bottom w:val="none" w:sz="0" w:space="0" w:color="auto"/>
        <w:right w:val="none" w:sz="0" w:space="0" w:color="auto"/>
      </w:divBdr>
    </w:div>
    <w:div w:id="717708027">
      <w:bodyDiv w:val="1"/>
      <w:marLeft w:val="0"/>
      <w:marRight w:val="0"/>
      <w:marTop w:val="0"/>
      <w:marBottom w:val="0"/>
      <w:divBdr>
        <w:top w:val="none" w:sz="0" w:space="0" w:color="auto"/>
        <w:left w:val="none" w:sz="0" w:space="0" w:color="auto"/>
        <w:bottom w:val="none" w:sz="0" w:space="0" w:color="auto"/>
        <w:right w:val="none" w:sz="0" w:space="0" w:color="auto"/>
      </w:divBdr>
    </w:div>
    <w:div w:id="729616580">
      <w:bodyDiv w:val="1"/>
      <w:marLeft w:val="0"/>
      <w:marRight w:val="0"/>
      <w:marTop w:val="0"/>
      <w:marBottom w:val="0"/>
      <w:divBdr>
        <w:top w:val="none" w:sz="0" w:space="0" w:color="auto"/>
        <w:left w:val="none" w:sz="0" w:space="0" w:color="auto"/>
        <w:bottom w:val="none" w:sz="0" w:space="0" w:color="auto"/>
        <w:right w:val="none" w:sz="0" w:space="0" w:color="auto"/>
      </w:divBdr>
    </w:div>
    <w:div w:id="730159284">
      <w:bodyDiv w:val="1"/>
      <w:marLeft w:val="0"/>
      <w:marRight w:val="0"/>
      <w:marTop w:val="0"/>
      <w:marBottom w:val="0"/>
      <w:divBdr>
        <w:top w:val="none" w:sz="0" w:space="0" w:color="auto"/>
        <w:left w:val="none" w:sz="0" w:space="0" w:color="auto"/>
        <w:bottom w:val="none" w:sz="0" w:space="0" w:color="auto"/>
        <w:right w:val="none" w:sz="0" w:space="0" w:color="auto"/>
      </w:divBdr>
    </w:div>
    <w:div w:id="733968106">
      <w:bodyDiv w:val="1"/>
      <w:marLeft w:val="0"/>
      <w:marRight w:val="0"/>
      <w:marTop w:val="0"/>
      <w:marBottom w:val="0"/>
      <w:divBdr>
        <w:top w:val="none" w:sz="0" w:space="0" w:color="auto"/>
        <w:left w:val="none" w:sz="0" w:space="0" w:color="auto"/>
        <w:bottom w:val="none" w:sz="0" w:space="0" w:color="auto"/>
        <w:right w:val="none" w:sz="0" w:space="0" w:color="auto"/>
      </w:divBdr>
    </w:div>
    <w:div w:id="737554050">
      <w:bodyDiv w:val="1"/>
      <w:marLeft w:val="0"/>
      <w:marRight w:val="0"/>
      <w:marTop w:val="0"/>
      <w:marBottom w:val="0"/>
      <w:divBdr>
        <w:top w:val="none" w:sz="0" w:space="0" w:color="auto"/>
        <w:left w:val="none" w:sz="0" w:space="0" w:color="auto"/>
        <w:bottom w:val="none" w:sz="0" w:space="0" w:color="auto"/>
        <w:right w:val="none" w:sz="0" w:space="0" w:color="auto"/>
      </w:divBdr>
    </w:div>
    <w:div w:id="751050045">
      <w:bodyDiv w:val="1"/>
      <w:marLeft w:val="0"/>
      <w:marRight w:val="0"/>
      <w:marTop w:val="0"/>
      <w:marBottom w:val="0"/>
      <w:divBdr>
        <w:top w:val="none" w:sz="0" w:space="0" w:color="auto"/>
        <w:left w:val="none" w:sz="0" w:space="0" w:color="auto"/>
        <w:bottom w:val="none" w:sz="0" w:space="0" w:color="auto"/>
        <w:right w:val="none" w:sz="0" w:space="0" w:color="auto"/>
      </w:divBdr>
    </w:div>
    <w:div w:id="752119089">
      <w:bodyDiv w:val="1"/>
      <w:marLeft w:val="0"/>
      <w:marRight w:val="0"/>
      <w:marTop w:val="0"/>
      <w:marBottom w:val="0"/>
      <w:divBdr>
        <w:top w:val="none" w:sz="0" w:space="0" w:color="auto"/>
        <w:left w:val="none" w:sz="0" w:space="0" w:color="auto"/>
        <w:bottom w:val="none" w:sz="0" w:space="0" w:color="auto"/>
        <w:right w:val="none" w:sz="0" w:space="0" w:color="auto"/>
      </w:divBdr>
    </w:div>
    <w:div w:id="761687667">
      <w:bodyDiv w:val="1"/>
      <w:marLeft w:val="0"/>
      <w:marRight w:val="0"/>
      <w:marTop w:val="0"/>
      <w:marBottom w:val="0"/>
      <w:divBdr>
        <w:top w:val="none" w:sz="0" w:space="0" w:color="auto"/>
        <w:left w:val="none" w:sz="0" w:space="0" w:color="auto"/>
        <w:bottom w:val="none" w:sz="0" w:space="0" w:color="auto"/>
        <w:right w:val="none" w:sz="0" w:space="0" w:color="auto"/>
      </w:divBdr>
    </w:div>
    <w:div w:id="761989982">
      <w:bodyDiv w:val="1"/>
      <w:marLeft w:val="0"/>
      <w:marRight w:val="0"/>
      <w:marTop w:val="0"/>
      <w:marBottom w:val="0"/>
      <w:divBdr>
        <w:top w:val="none" w:sz="0" w:space="0" w:color="auto"/>
        <w:left w:val="none" w:sz="0" w:space="0" w:color="auto"/>
        <w:bottom w:val="none" w:sz="0" w:space="0" w:color="auto"/>
        <w:right w:val="none" w:sz="0" w:space="0" w:color="auto"/>
      </w:divBdr>
    </w:div>
    <w:div w:id="766581210">
      <w:bodyDiv w:val="1"/>
      <w:marLeft w:val="0"/>
      <w:marRight w:val="0"/>
      <w:marTop w:val="0"/>
      <w:marBottom w:val="0"/>
      <w:divBdr>
        <w:top w:val="none" w:sz="0" w:space="0" w:color="auto"/>
        <w:left w:val="none" w:sz="0" w:space="0" w:color="auto"/>
        <w:bottom w:val="none" w:sz="0" w:space="0" w:color="auto"/>
        <w:right w:val="none" w:sz="0" w:space="0" w:color="auto"/>
      </w:divBdr>
    </w:div>
    <w:div w:id="774638541">
      <w:bodyDiv w:val="1"/>
      <w:marLeft w:val="0"/>
      <w:marRight w:val="0"/>
      <w:marTop w:val="0"/>
      <w:marBottom w:val="0"/>
      <w:divBdr>
        <w:top w:val="none" w:sz="0" w:space="0" w:color="auto"/>
        <w:left w:val="none" w:sz="0" w:space="0" w:color="auto"/>
        <w:bottom w:val="none" w:sz="0" w:space="0" w:color="auto"/>
        <w:right w:val="none" w:sz="0" w:space="0" w:color="auto"/>
      </w:divBdr>
    </w:div>
    <w:div w:id="789278073">
      <w:bodyDiv w:val="1"/>
      <w:marLeft w:val="0"/>
      <w:marRight w:val="0"/>
      <w:marTop w:val="0"/>
      <w:marBottom w:val="0"/>
      <w:divBdr>
        <w:top w:val="none" w:sz="0" w:space="0" w:color="auto"/>
        <w:left w:val="none" w:sz="0" w:space="0" w:color="auto"/>
        <w:bottom w:val="none" w:sz="0" w:space="0" w:color="auto"/>
        <w:right w:val="none" w:sz="0" w:space="0" w:color="auto"/>
      </w:divBdr>
    </w:div>
    <w:div w:id="804201814">
      <w:bodyDiv w:val="1"/>
      <w:marLeft w:val="0"/>
      <w:marRight w:val="0"/>
      <w:marTop w:val="0"/>
      <w:marBottom w:val="0"/>
      <w:divBdr>
        <w:top w:val="none" w:sz="0" w:space="0" w:color="auto"/>
        <w:left w:val="none" w:sz="0" w:space="0" w:color="auto"/>
        <w:bottom w:val="none" w:sz="0" w:space="0" w:color="auto"/>
        <w:right w:val="none" w:sz="0" w:space="0" w:color="auto"/>
      </w:divBdr>
    </w:div>
    <w:div w:id="805121722">
      <w:bodyDiv w:val="1"/>
      <w:marLeft w:val="0"/>
      <w:marRight w:val="0"/>
      <w:marTop w:val="0"/>
      <w:marBottom w:val="0"/>
      <w:divBdr>
        <w:top w:val="none" w:sz="0" w:space="0" w:color="auto"/>
        <w:left w:val="none" w:sz="0" w:space="0" w:color="auto"/>
        <w:bottom w:val="none" w:sz="0" w:space="0" w:color="auto"/>
        <w:right w:val="none" w:sz="0" w:space="0" w:color="auto"/>
      </w:divBdr>
    </w:div>
    <w:div w:id="806967955">
      <w:bodyDiv w:val="1"/>
      <w:marLeft w:val="0"/>
      <w:marRight w:val="0"/>
      <w:marTop w:val="0"/>
      <w:marBottom w:val="0"/>
      <w:divBdr>
        <w:top w:val="none" w:sz="0" w:space="0" w:color="auto"/>
        <w:left w:val="none" w:sz="0" w:space="0" w:color="auto"/>
        <w:bottom w:val="none" w:sz="0" w:space="0" w:color="auto"/>
        <w:right w:val="none" w:sz="0" w:space="0" w:color="auto"/>
      </w:divBdr>
    </w:div>
    <w:div w:id="808479913">
      <w:bodyDiv w:val="1"/>
      <w:marLeft w:val="0"/>
      <w:marRight w:val="0"/>
      <w:marTop w:val="0"/>
      <w:marBottom w:val="0"/>
      <w:divBdr>
        <w:top w:val="none" w:sz="0" w:space="0" w:color="auto"/>
        <w:left w:val="none" w:sz="0" w:space="0" w:color="auto"/>
        <w:bottom w:val="none" w:sz="0" w:space="0" w:color="auto"/>
        <w:right w:val="none" w:sz="0" w:space="0" w:color="auto"/>
      </w:divBdr>
    </w:div>
    <w:div w:id="824708686">
      <w:bodyDiv w:val="1"/>
      <w:marLeft w:val="0"/>
      <w:marRight w:val="0"/>
      <w:marTop w:val="0"/>
      <w:marBottom w:val="0"/>
      <w:divBdr>
        <w:top w:val="none" w:sz="0" w:space="0" w:color="auto"/>
        <w:left w:val="none" w:sz="0" w:space="0" w:color="auto"/>
        <w:bottom w:val="none" w:sz="0" w:space="0" w:color="auto"/>
        <w:right w:val="none" w:sz="0" w:space="0" w:color="auto"/>
      </w:divBdr>
    </w:div>
    <w:div w:id="832570892">
      <w:bodyDiv w:val="1"/>
      <w:marLeft w:val="0"/>
      <w:marRight w:val="0"/>
      <w:marTop w:val="0"/>
      <w:marBottom w:val="0"/>
      <w:divBdr>
        <w:top w:val="none" w:sz="0" w:space="0" w:color="auto"/>
        <w:left w:val="none" w:sz="0" w:space="0" w:color="auto"/>
        <w:bottom w:val="none" w:sz="0" w:space="0" w:color="auto"/>
        <w:right w:val="none" w:sz="0" w:space="0" w:color="auto"/>
      </w:divBdr>
    </w:div>
    <w:div w:id="839351987">
      <w:bodyDiv w:val="1"/>
      <w:marLeft w:val="0"/>
      <w:marRight w:val="0"/>
      <w:marTop w:val="0"/>
      <w:marBottom w:val="0"/>
      <w:divBdr>
        <w:top w:val="none" w:sz="0" w:space="0" w:color="auto"/>
        <w:left w:val="none" w:sz="0" w:space="0" w:color="auto"/>
        <w:bottom w:val="none" w:sz="0" w:space="0" w:color="auto"/>
        <w:right w:val="none" w:sz="0" w:space="0" w:color="auto"/>
      </w:divBdr>
    </w:div>
    <w:div w:id="844325370">
      <w:bodyDiv w:val="1"/>
      <w:marLeft w:val="0"/>
      <w:marRight w:val="0"/>
      <w:marTop w:val="0"/>
      <w:marBottom w:val="0"/>
      <w:divBdr>
        <w:top w:val="none" w:sz="0" w:space="0" w:color="auto"/>
        <w:left w:val="none" w:sz="0" w:space="0" w:color="auto"/>
        <w:bottom w:val="none" w:sz="0" w:space="0" w:color="auto"/>
        <w:right w:val="none" w:sz="0" w:space="0" w:color="auto"/>
      </w:divBdr>
    </w:div>
    <w:div w:id="852455793">
      <w:bodyDiv w:val="1"/>
      <w:marLeft w:val="0"/>
      <w:marRight w:val="0"/>
      <w:marTop w:val="0"/>
      <w:marBottom w:val="0"/>
      <w:divBdr>
        <w:top w:val="none" w:sz="0" w:space="0" w:color="auto"/>
        <w:left w:val="none" w:sz="0" w:space="0" w:color="auto"/>
        <w:bottom w:val="none" w:sz="0" w:space="0" w:color="auto"/>
        <w:right w:val="none" w:sz="0" w:space="0" w:color="auto"/>
      </w:divBdr>
    </w:div>
    <w:div w:id="852690056">
      <w:bodyDiv w:val="1"/>
      <w:marLeft w:val="0"/>
      <w:marRight w:val="0"/>
      <w:marTop w:val="0"/>
      <w:marBottom w:val="0"/>
      <w:divBdr>
        <w:top w:val="none" w:sz="0" w:space="0" w:color="auto"/>
        <w:left w:val="none" w:sz="0" w:space="0" w:color="auto"/>
        <w:bottom w:val="none" w:sz="0" w:space="0" w:color="auto"/>
        <w:right w:val="none" w:sz="0" w:space="0" w:color="auto"/>
      </w:divBdr>
    </w:div>
    <w:div w:id="859582554">
      <w:bodyDiv w:val="1"/>
      <w:marLeft w:val="0"/>
      <w:marRight w:val="0"/>
      <w:marTop w:val="0"/>
      <w:marBottom w:val="0"/>
      <w:divBdr>
        <w:top w:val="none" w:sz="0" w:space="0" w:color="auto"/>
        <w:left w:val="none" w:sz="0" w:space="0" w:color="auto"/>
        <w:bottom w:val="none" w:sz="0" w:space="0" w:color="auto"/>
        <w:right w:val="none" w:sz="0" w:space="0" w:color="auto"/>
      </w:divBdr>
    </w:div>
    <w:div w:id="862288488">
      <w:bodyDiv w:val="1"/>
      <w:marLeft w:val="0"/>
      <w:marRight w:val="0"/>
      <w:marTop w:val="0"/>
      <w:marBottom w:val="0"/>
      <w:divBdr>
        <w:top w:val="none" w:sz="0" w:space="0" w:color="auto"/>
        <w:left w:val="none" w:sz="0" w:space="0" w:color="auto"/>
        <w:bottom w:val="none" w:sz="0" w:space="0" w:color="auto"/>
        <w:right w:val="none" w:sz="0" w:space="0" w:color="auto"/>
      </w:divBdr>
    </w:div>
    <w:div w:id="862983390">
      <w:bodyDiv w:val="1"/>
      <w:marLeft w:val="0"/>
      <w:marRight w:val="0"/>
      <w:marTop w:val="0"/>
      <w:marBottom w:val="0"/>
      <w:divBdr>
        <w:top w:val="none" w:sz="0" w:space="0" w:color="auto"/>
        <w:left w:val="none" w:sz="0" w:space="0" w:color="auto"/>
        <w:bottom w:val="none" w:sz="0" w:space="0" w:color="auto"/>
        <w:right w:val="none" w:sz="0" w:space="0" w:color="auto"/>
      </w:divBdr>
    </w:div>
    <w:div w:id="864253665">
      <w:bodyDiv w:val="1"/>
      <w:marLeft w:val="0"/>
      <w:marRight w:val="0"/>
      <w:marTop w:val="0"/>
      <w:marBottom w:val="0"/>
      <w:divBdr>
        <w:top w:val="none" w:sz="0" w:space="0" w:color="auto"/>
        <w:left w:val="none" w:sz="0" w:space="0" w:color="auto"/>
        <w:bottom w:val="none" w:sz="0" w:space="0" w:color="auto"/>
        <w:right w:val="none" w:sz="0" w:space="0" w:color="auto"/>
      </w:divBdr>
    </w:div>
    <w:div w:id="865099356">
      <w:bodyDiv w:val="1"/>
      <w:marLeft w:val="0"/>
      <w:marRight w:val="0"/>
      <w:marTop w:val="0"/>
      <w:marBottom w:val="0"/>
      <w:divBdr>
        <w:top w:val="none" w:sz="0" w:space="0" w:color="auto"/>
        <w:left w:val="none" w:sz="0" w:space="0" w:color="auto"/>
        <w:bottom w:val="none" w:sz="0" w:space="0" w:color="auto"/>
        <w:right w:val="none" w:sz="0" w:space="0" w:color="auto"/>
      </w:divBdr>
    </w:div>
    <w:div w:id="865100688">
      <w:bodyDiv w:val="1"/>
      <w:marLeft w:val="0"/>
      <w:marRight w:val="0"/>
      <w:marTop w:val="0"/>
      <w:marBottom w:val="0"/>
      <w:divBdr>
        <w:top w:val="none" w:sz="0" w:space="0" w:color="auto"/>
        <w:left w:val="none" w:sz="0" w:space="0" w:color="auto"/>
        <w:bottom w:val="none" w:sz="0" w:space="0" w:color="auto"/>
        <w:right w:val="none" w:sz="0" w:space="0" w:color="auto"/>
      </w:divBdr>
    </w:div>
    <w:div w:id="869030236">
      <w:bodyDiv w:val="1"/>
      <w:marLeft w:val="0"/>
      <w:marRight w:val="0"/>
      <w:marTop w:val="0"/>
      <w:marBottom w:val="0"/>
      <w:divBdr>
        <w:top w:val="none" w:sz="0" w:space="0" w:color="auto"/>
        <w:left w:val="none" w:sz="0" w:space="0" w:color="auto"/>
        <w:bottom w:val="none" w:sz="0" w:space="0" w:color="auto"/>
        <w:right w:val="none" w:sz="0" w:space="0" w:color="auto"/>
      </w:divBdr>
    </w:div>
    <w:div w:id="870414544">
      <w:bodyDiv w:val="1"/>
      <w:marLeft w:val="0"/>
      <w:marRight w:val="0"/>
      <w:marTop w:val="0"/>
      <w:marBottom w:val="0"/>
      <w:divBdr>
        <w:top w:val="none" w:sz="0" w:space="0" w:color="auto"/>
        <w:left w:val="none" w:sz="0" w:space="0" w:color="auto"/>
        <w:bottom w:val="none" w:sz="0" w:space="0" w:color="auto"/>
        <w:right w:val="none" w:sz="0" w:space="0" w:color="auto"/>
      </w:divBdr>
    </w:div>
    <w:div w:id="877744013">
      <w:bodyDiv w:val="1"/>
      <w:marLeft w:val="0"/>
      <w:marRight w:val="0"/>
      <w:marTop w:val="0"/>
      <w:marBottom w:val="0"/>
      <w:divBdr>
        <w:top w:val="none" w:sz="0" w:space="0" w:color="auto"/>
        <w:left w:val="none" w:sz="0" w:space="0" w:color="auto"/>
        <w:bottom w:val="none" w:sz="0" w:space="0" w:color="auto"/>
        <w:right w:val="none" w:sz="0" w:space="0" w:color="auto"/>
      </w:divBdr>
    </w:div>
    <w:div w:id="880746078">
      <w:bodyDiv w:val="1"/>
      <w:marLeft w:val="0"/>
      <w:marRight w:val="0"/>
      <w:marTop w:val="0"/>
      <w:marBottom w:val="0"/>
      <w:divBdr>
        <w:top w:val="none" w:sz="0" w:space="0" w:color="auto"/>
        <w:left w:val="none" w:sz="0" w:space="0" w:color="auto"/>
        <w:bottom w:val="none" w:sz="0" w:space="0" w:color="auto"/>
        <w:right w:val="none" w:sz="0" w:space="0" w:color="auto"/>
      </w:divBdr>
    </w:div>
    <w:div w:id="887570618">
      <w:bodyDiv w:val="1"/>
      <w:marLeft w:val="0"/>
      <w:marRight w:val="0"/>
      <w:marTop w:val="0"/>
      <w:marBottom w:val="0"/>
      <w:divBdr>
        <w:top w:val="none" w:sz="0" w:space="0" w:color="auto"/>
        <w:left w:val="none" w:sz="0" w:space="0" w:color="auto"/>
        <w:bottom w:val="none" w:sz="0" w:space="0" w:color="auto"/>
        <w:right w:val="none" w:sz="0" w:space="0" w:color="auto"/>
      </w:divBdr>
    </w:div>
    <w:div w:id="896626002">
      <w:bodyDiv w:val="1"/>
      <w:marLeft w:val="0"/>
      <w:marRight w:val="0"/>
      <w:marTop w:val="0"/>
      <w:marBottom w:val="0"/>
      <w:divBdr>
        <w:top w:val="none" w:sz="0" w:space="0" w:color="auto"/>
        <w:left w:val="none" w:sz="0" w:space="0" w:color="auto"/>
        <w:bottom w:val="none" w:sz="0" w:space="0" w:color="auto"/>
        <w:right w:val="none" w:sz="0" w:space="0" w:color="auto"/>
      </w:divBdr>
    </w:div>
    <w:div w:id="897473793">
      <w:bodyDiv w:val="1"/>
      <w:marLeft w:val="0"/>
      <w:marRight w:val="0"/>
      <w:marTop w:val="0"/>
      <w:marBottom w:val="0"/>
      <w:divBdr>
        <w:top w:val="none" w:sz="0" w:space="0" w:color="auto"/>
        <w:left w:val="none" w:sz="0" w:space="0" w:color="auto"/>
        <w:bottom w:val="none" w:sz="0" w:space="0" w:color="auto"/>
        <w:right w:val="none" w:sz="0" w:space="0" w:color="auto"/>
      </w:divBdr>
    </w:div>
    <w:div w:id="903367573">
      <w:bodyDiv w:val="1"/>
      <w:marLeft w:val="0"/>
      <w:marRight w:val="0"/>
      <w:marTop w:val="0"/>
      <w:marBottom w:val="0"/>
      <w:divBdr>
        <w:top w:val="none" w:sz="0" w:space="0" w:color="auto"/>
        <w:left w:val="none" w:sz="0" w:space="0" w:color="auto"/>
        <w:bottom w:val="none" w:sz="0" w:space="0" w:color="auto"/>
        <w:right w:val="none" w:sz="0" w:space="0" w:color="auto"/>
      </w:divBdr>
    </w:div>
    <w:div w:id="906837883">
      <w:bodyDiv w:val="1"/>
      <w:marLeft w:val="0"/>
      <w:marRight w:val="0"/>
      <w:marTop w:val="0"/>
      <w:marBottom w:val="0"/>
      <w:divBdr>
        <w:top w:val="none" w:sz="0" w:space="0" w:color="auto"/>
        <w:left w:val="none" w:sz="0" w:space="0" w:color="auto"/>
        <w:bottom w:val="none" w:sz="0" w:space="0" w:color="auto"/>
        <w:right w:val="none" w:sz="0" w:space="0" w:color="auto"/>
      </w:divBdr>
    </w:div>
    <w:div w:id="910458642">
      <w:bodyDiv w:val="1"/>
      <w:marLeft w:val="0"/>
      <w:marRight w:val="0"/>
      <w:marTop w:val="0"/>
      <w:marBottom w:val="0"/>
      <w:divBdr>
        <w:top w:val="none" w:sz="0" w:space="0" w:color="auto"/>
        <w:left w:val="none" w:sz="0" w:space="0" w:color="auto"/>
        <w:bottom w:val="none" w:sz="0" w:space="0" w:color="auto"/>
        <w:right w:val="none" w:sz="0" w:space="0" w:color="auto"/>
      </w:divBdr>
    </w:div>
    <w:div w:id="911617265">
      <w:bodyDiv w:val="1"/>
      <w:marLeft w:val="0"/>
      <w:marRight w:val="0"/>
      <w:marTop w:val="0"/>
      <w:marBottom w:val="0"/>
      <w:divBdr>
        <w:top w:val="none" w:sz="0" w:space="0" w:color="auto"/>
        <w:left w:val="none" w:sz="0" w:space="0" w:color="auto"/>
        <w:bottom w:val="none" w:sz="0" w:space="0" w:color="auto"/>
        <w:right w:val="none" w:sz="0" w:space="0" w:color="auto"/>
      </w:divBdr>
    </w:div>
    <w:div w:id="914245390">
      <w:bodyDiv w:val="1"/>
      <w:marLeft w:val="0"/>
      <w:marRight w:val="0"/>
      <w:marTop w:val="0"/>
      <w:marBottom w:val="0"/>
      <w:divBdr>
        <w:top w:val="none" w:sz="0" w:space="0" w:color="auto"/>
        <w:left w:val="none" w:sz="0" w:space="0" w:color="auto"/>
        <w:bottom w:val="none" w:sz="0" w:space="0" w:color="auto"/>
        <w:right w:val="none" w:sz="0" w:space="0" w:color="auto"/>
      </w:divBdr>
    </w:div>
    <w:div w:id="922225403">
      <w:bodyDiv w:val="1"/>
      <w:marLeft w:val="0"/>
      <w:marRight w:val="0"/>
      <w:marTop w:val="0"/>
      <w:marBottom w:val="0"/>
      <w:divBdr>
        <w:top w:val="none" w:sz="0" w:space="0" w:color="auto"/>
        <w:left w:val="none" w:sz="0" w:space="0" w:color="auto"/>
        <w:bottom w:val="none" w:sz="0" w:space="0" w:color="auto"/>
        <w:right w:val="none" w:sz="0" w:space="0" w:color="auto"/>
      </w:divBdr>
    </w:div>
    <w:div w:id="926617314">
      <w:bodyDiv w:val="1"/>
      <w:marLeft w:val="0"/>
      <w:marRight w:val="0"/>
      <w:marTop w:val="0"/>
      <w:marBottom w:val="0"/>
      <w:divBdr>
        <w:top w:val="none" w:sz="0" w:space="0" w:color="auto"/>
        <w:left w:val="none" w:sz="0" w:space="0" w:color="auto"/>
        <w:bottom w:val="none" w:sz="0" w:space="0" w:color="auto"/>
        <w:right w:val="none" w:sz="0" w:space="0" w:color="auto"/>
      </w:divBdr>
    </w:div>
    <w:div w:id="927886900">
      <w:bodyDiv w:val="1"/>
      <w:marLeft w:val="0"/>
      <w:marRight w:val="0"/>
      <w:marTop w:val="0"/>
      <w:marBottom w:val="0"/>
      <w:divBdr>
        <w:top w:val="none" w:sz="0" w:space="0" w:color="auto"/>
        <w:left w:val="none" w:sz="0" w:space="0" w:color="auto"/>
        <w:bottom w:val="none" w:sz="0" w:space="0" w:color="auto"/>
        <w:right w:val="none" w:sz="0" w:space="0" w:color="auto"/>
      </w:divBdr>
    </w:div>
    <w:div w:id="932788126">
      <w:bodyDiv w:val="1"/>
      <w:marLeft w:val="0"/>
      <w:marRight w:val="0"/>
      <w:marTop w:val="0"/>
      <w:marBottom w:val="0"/>
      <w:divBdr>
        <w:top w:val="none" w:sz="0" w:space="0" w:color="auto"/>
        <w:left w:val="none" w:sz="0" w:space="0" w:color="auto"/>
        <w:bottom w:val="none" w:sz="0" w:space="0" w:color="auto"/>
        <w:right w:val="none" w:sz="0" w:space="0" w:color="auto"/>
      </w:divBdr>
    </w:div>
    <w:div w:id="933055702">
      <w:bodyDiv w:val="1"/>
      <w:marLeft w:val="0"/>
      <w:marRight w:val="0"/>
      <w:marTop w:val="0"/>
      <w:marBottom w:val="0"/>
      <w:divBdr>
        <w:top w:val="none" w:sz="0" w:space="0" w:color="auto"/>
        <w:left w:val="none" w:sz="0" w:space="0" w:color="auto"/>
        <w:bottom w:val="none" w:sz="0" w:space="0" w:color="auto"/>
        <w:right w:val="none" w:sz="0" w:space="0" w:color="auto"/>
      </w:divBdr>
    </w:div>
    <w:div w:id="935215819">
      <w:bodyDiv w:val="1"/>
      <w:marLeft w:val="0"/>
      <w:marRight w:val="0"/>
      <w:marTop w:val="0"/>
      <w:marBottom w:val="0"/>
      <w:divBdr>
        <w:top w:val="none" w:sz="0" w:space="0" w:color="auto"/>
        <w:left w:val="none" w:sz="0" w:space="0" w:color="auto"/>
        <w:bottom w:val="none" w:sz="0" w:space="0" w:color="auto"/>
        <w:right w:val="none" w:sz="0" w:space="0" w:color="auto"/>
      </w:divBdr>
    </w:div>
    <w:div w:id="938368163">
      <w:bodyDiv w:val="1"/>
      <w:marLeft w:val="0"/>
      <w:marRight w:val="0"/>
      <w:marTop w:val="0"/>
      <w:marBottom w:val="0"/>
      <w:divBdr>
        <w:top w:val="none" w:sz="0" w:space="0" w:color="auto"/>
        <w:left w:val="none" w:sz="0" w:space="0" w:color="auto"/>
        <w:bottom w:val="none" w:sz="0" w:space="0" w:color="auto"/>
        <w:right w:val="none" w:sz="0" w:space="0" w:color="auto"/>
      </w:divBdr>
    </w:div>
    <w:div w:id="949507831">
      <w:bodyDiv w:val="1"/>
      <w:marLeft w:val="0"/>
      <w:marRight w:val="0"/>
      <w:marTop w:val="0"/>
      <w:marBottom w:val="0"/>
      <w:divBdr>
        <w:top w:val="none" w:sz="0" w:space="0" w:color="auto"/>
        <w:left w:val="none" w:sz="0" w:space="0" w:color="auto"/>
        <w:bottom w:val="none" w:sz="0" w:space="0" w:color="auto"/>
        <w:right w:val="none" w:sz="0" w:space="0" w:color="auto"/>
      </w:divBdr>
    </w:div>
    <w:div w:id="956133513">
      <w:bodyDiv w:val="1"/>
      <w:marLeft w:val="0"/>
      <w:marRight w:val="0"/>
      <w:marTop w:val="0"/>
      <w:marBottom w:val="0"/>
      <w:divBdr>
        <w:top w:val="none" w:sz="0" w:space="0" w:color="auto"/>
        <w:left w:val="none" w:sz="0" w:space="0" w:color="auto"/>
        <w:bottom w:val="none" w:sz="0" w:space="0" w:color="auto"/>
        <w:right w:val="none" w:sz="0" w:space="0" w:color="auto"/>
      </w:divBdr>
    </w:div>
    <w:div w:id="957369344">
      <w:bodyDiv w:val="1"/>
      <w:marLeft w:val="0"/>
      <w:marRight w:val="0"/>
      <w:marTop w:val="0"/>
      <w:marBottom w:val="0"/>
      <w:divBdr>
        <w:top w:val="none" w:sz="0" w:space="0" w:color="auto"/>
        <w:left w:val="none" w:sz="0" w:space="0" w:color="auto"/>
        <w:bottom w:val="none" w:sz="0" w:space="0" w:color="auto"/>
        <w:right w:val="none" w:sz="0" w:space="0" w:color="auto"/>
      </w:divBdr>
    </w:div>
    <w:div w:id="959143915">
      <w:bodyDiv w:val="1"/>
      <w:marLeft w:val="0"/>
      <w:marRight w:val="0"/>
      <w:marTop w:val="0"/>
      <w:marBottom w:val="0"/>
      <w:divBdr>
        <w:top w:val="none" w:sz="0" w:space="0" w:color="auto"/>
        <w:left w:val="none" w:sz="0" w:space="0" w:color="auto"/>
        <w:bottom w:val="none" w:sz="0" w:space="0" w:color="auto"/>
        <w:right w:val="none" w:sz="0" w:space="0" w:color="auto"/>
      </w:divBdr>
    </w:div>
    <w:div w:id="967197147">
      <w:bodyDiv w:val="1"/>
      <w:marLeft w:val="0"/>
      <w:marRight w:val="0"/>
      <w:marTop w:val="0"/>
      <w:marBottom w:val="0"/>
      <w:divBdr>
        <w:top w:val="none" w:sz="0" w:space="0" w:color="auto"/>
        <w:left w:val="none" w:sz="0" w:space="0" w:color="auto"/>
        <w:bottom w:val="none" w:sz="0" w:space="0" w:color="auto"/>
        <w:right w:val="none" w:sz="0" w:space="0" w:color="auto"/>
      </w:divBdr>
    </w:div>
    <w:div w:id="969094588">
      <w:bodyDiv w:val="1"/>
      <w:marLeft w:val="0"/>
      <w:marRight w:val="0"/>
      <w:marTop w:val="0"/>
      <w:marBottom w:val="0"/>
      <w:divBdr>
        <w:top w:val="none" w:sz="0" w:space="0" w:color="auto"/>
        <w:left w:val="none" w:sz="0" w:space="0" w:color="auto"/>
        <w:bottom w:val="none" w:sz="0" w:space="0" w:color="auto"/>
        <w:right w:val="none" w:sz="0" w:space="0" w:color="auto"/>
      </w:divBdr>
    </w:div>
    <w:div w:id="976688270">
      <w:bodyDiv w:val="1"/>
      <w:marLeft w:val="0"/>
      <w:marRight w:val="0"/>
      <w:marTop w:val="0"/>
      <w:marBottom w:val="0"/>
      <w:divBdr>
        <w:top w:val="none" w:sz="0" w:space="0" w:color="auto"/>
        <w:left w:val="none" w:sz="0" w:space="0" w:color="auto"/>
        <w:bottom w:val="none" w:sz="0" w:space="0" w:color="auto"/>
        <w:right w:val="none" w:sz="0" w:space="0" w:color="auto"/>
      </w:divBdr>
    </w:div>
    <w:div w:id="997458818">
      <w:bodyDiv w:val="1"/>
      <w:marLeft w:val="0"/>
      <w:marRight w:val="0"/>
      <w:marTop w:val="0"/>
      <w:marBottom w:val="0"/>
      <w:divBdr>
        <w:top w:val="none" w:sz="0" w:space="0" w:color="auto"/>
        <w:left w:val="none" w:sz="0" w:space="0" w:color="auto"/>
        <w:bottom w:val="none" w:sz="0" w:space="0" w:color="auto"/>
        <w:right w:val="none" w:sz="0" w:space="0" w:color="auto"/>
      </w:divBdr>
    </w:div>
    <w:div w:id="999043312">
      <w:bodyDiv w:val="1"/>
      <w:marLeft w:val="0"/>
      <w:marRight w:val="0"/>
      <w:marTop w:val="0"/>
      <w:marBottom w:val="0"/>
      <w:divBdr>
        <w:top w:val="none" w:sz="0" w:space="0" w:color="auto"/>
        <w:left w:val="none" w:sz="0" w:space="0" w:color="auto"/>
        <w:bottom w:val="none" w:sz="0" w:space="0" w:color="auto"/>
        <w:right w:val="none" w:sz="0" w:space="0" w:color="auto"/>
      </w:divBdr>
    </w:div>
    <w:div w:id="1004208247">
      <w:bodyDiv w:val="1"/>
      <w:marLeft w:val="0"/>
      <w:marRight w:val="0"/>
      <w:marTop w:val="0"/>
      <w:marBottom w:val="0"/>
      <w:divBdr>
        <w:top w:val="none" w:sz="0" w:space="0" w:color="auto"/>
        <w:left w:val="none" w:sz="0" w:space="0" w:color="auto"/>
        <w:bottom w:val="none" w:sz="0" w:space="0" w:color="auto"/>
        <w:right w:val="none" w:sz="0" w:space="0" w:color="auto"/>
      </w:divBdr>
    </w:div>
    <w:div w:id="1014383114">
      <w:bodyDiv w:val="1"/>
      <w:marLeft w:val="0"/>
      <w:marRight w:val="0"/>
      <w:marTop w:val="0"/>
      <w:marBottom w:val="0"/>
      <w:divBdr>
        <w:top w:val="none" w:sz="0" w:space="0" w:color="auto"/>
        <w:left w:val="none" w:sz="0" w:space="0" w:color="auto"/>
        <w:bottom w:val="none" w:sz="0" w:space="0" w:color="auto"/>
        <w:right w:val="none" w:sz="0" w:space="0" w:color="auto"/>
      </w:divBdr>
    </w:div>
    <w:div w:id="1027366709">
      <w:bodyDiv w:val="1"/>
      <w:marLeft w:val="0"/>
      <w:marRight w:val="0"/>
      <w:marTop w:val="0"/>
      <w:marBottom w:val="0"/>
      <w:divBdr>
        <w:top w:val="none" w:sz="0" w:space="0" w:color="auto"/>
        <w:left w:val="none" w:sz="0" w:space="0" w:color="auto"/>
        <w:bottom w:val="none" w:sz="0" w:space="0" w:color="auto"/>
        <w:right w:val="none" w:sz="0" w:space="0" w:color="auto"/>
      </w:divBdr>
    </w:div>
    <w:div w:id="1029919360">
      <w:bodyDiv w:val="1"/>
      <w:marLeft w:val="0"/>
      <w:marRight w:val="0"/>
      <w:marTop w:val="0"/>
      <w:marBottom w:val="0"/>
      <w:divBdr>
        <w:top w:val="none" w:sz="0" w:space="0" w:color="auto"/>
        <w:left w:val="none" w:sz="0" w:space="0" w:color="auto"/>
        <w:bottom w:val="none" w:sz="0" w:space="0" w:color="auto"/>
        <w:right w:val="none" w:sz="0" w:space="0" w:color="auto"/>
      </w:divBdr>
      <w:divsChild>
        <w:div w:id="164512360">
          <w:marLeft w:val="0"/>
          <w:marRight w:val="0"/>
          <w:marTop w:val="0"/>
          <w:marBottom w:val="0"/>
          <w:divBdr>
            <w:top w:val="single" w:sz="2" w:space="0" w:color="E3E3E3"/>
            <w:left w:val="single" w:sz="2" w:space="0" w:color="E3E3E3"/>
            <w:bottom w:val="single" w:sz="2" w:space="0" w:color="E3E3E3"/>
            <w:right w:val="single" w:sz="2" w:space="0" w:color="E3E3E3"/>
          </w:divBdr>
          <w:divsChild>
            <w:div w:id="1403676282">
              <w:marLeft w:val="0"/>
              <w:marRight w:val="0"/>
              <w:marTop w:val="0"/>
              <w:marBottom w:val="0"/>
              <w:divBdr>
                <w:top w:val="single" w:sz="2" w:space="0" w:color="E3E3E3"/>
                <w:left w:val="single" w:sz="2" w:space="0" w:color="E3E3E3"/>
                <w:bottom w:val="single" w:sz="2" w:space="0" w:color="E3E3E3"/>
                <w:right w:val="single" w:sz="2" w:space="0" w:color="E3E3E3"/>
              </w:divBdr>
              <w:divsChild>
                <w:div w:id="2002539067">
                  <w:marLeft w:val="0"/>
                  <w:marRight w:val="0"/>
                  <w:marTop w:val="0"/>
                  <w:marBottom w:val="0"/>
                  <w:divBdr>
                    <w:top w:val="single" w:sz="2" w:space="2" w:color="E3E3E3"/>
                    <w:left w:val="single" w:sz="2" w:space="0" w:color="E3E3E3"/>
                    <w:bottom w:val="single" w:sz="2" w:space="0" w:color="E3E3E3"/>
                    <w:right w:val="single" w:sz="2" w:space="0" w:color="E3E3E3"/>
                  </w:divBdr>
                  <w:divsChild>
                    <w:div w:id="1667586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0257542">
      <w:bodyDiv w:val="1"/>
      <w:marLeft w:val="0"/>
      <w:marRight w:val="0"/>
      <w:marTop w:val="0"/>
      <w:marBottom w:val="0"/>
      <w:divBdr>
        <w:top w:val="none" w:sz="0" w:space="0" w:color="auto"/>
        <w:left w:val="none" w:sz="0" w:space="0" w:color="auto"/>
        <w:bottom w:val="none" w:sz="0" w:space="0" w:color="auto"/>
        <w:right w:val="none" w:sz="0" w:space="0" w:color="auto"/>
      </w:divBdr>
    </w:div>
    <w:div w:id="1036466473">
      <w:bodyDiv w:val="1"/>
      <w:marLeft w:val="0"/>
      <w:marRight w:val="0"/>
      <w:marTop w:val="0"/>
      <w:marBottom w:val="0"/>
      <w:divBdr>
        <w:top w:val="none" w:sz="0" w:space="0" w:color="auto"/>
        <w:left w:val="none" w:sz="0" w:space="0" w:color="auto"/>
        <w:bottom w:val="none" w:sz="0" w:space="0" w:color="auto"/>
        <w:right w:val="none" w:sz="0" w:space="0" w:color="auto"/>
      </w:divBdr>
    </w:div>
    <w:div w:id="1040518062">
      <w:bodyDiv w:val="1"/>
      <w:marLeft w:val="0"/>
      <w:marRight w:val="0"/>
      <w:marTop w:val="0"/>
      <w:marBottom w:val="0"/>
      <w:divBdr>
        <w:top w:val="none" w:sz="0" w:space="0" w:color="auto"/>
        <w:left w:val="none" w:sz="0" w:space="0" w:color="auto"/>
        <w:bottom w:val="none" w:sz="0" w:space="0" w:color="auto"/>
        <w:right w:val="none" w:sz="0" w:space="0" w:color="auto"/>
      </w:divBdr>
    </w:div>
    <w:div w:id="1041907207">
      <w:bodyDiv w:val="1"/>
      <w:marLeft w:val="0"/>
      <w:marRight w:val="0"/>
      <w:marTop w:val="0"/>
      <w:marBottom w:val="0"/>
      <w:divBdr>
        <w:top w:val="none" w:sz="0" w:space="0" w:color="auto"/>
        <w:left w:val="none" w:sz="0" w:space="0" w:color="auto"/>
        <w:bottom w:val="none" w:sz="0" w:space="0" w:color="auto"/>
        <w:right w:val="none" w:sz="0" w:space="0" w:color="auto"/>
      </w:divBdr>
    </w:div>
    <w:div w:id="1046445820">
      <w:bodyDiv w:val="1"/>
      <w:marLeft w:val="0"/>
      <w:marRight w:val="0"/>
      <w:marTop w:val="0"/>
      <w:marBottom w:val="0"/>
      <w:divBdr>
        <w:top w:val="none" w:sz="0" w:space="0" w:color="auto"/>
        <w:left w:val="none" w:sz="0" w:space="0" w:color="auto"/>
        <w:bottom w:val="none" w:sz="0" w:space="0" w:color="auto"/>
        <w:right w:val="none" w:sz="0" w:space="0" w:color="auto"/>
      </w:divBdr>
    </w:div>
    <w:div w:id="1049917707">
      <w:bodyDiv w:val="1"/>
      <w:marLeft w:val="0"/>
      <w:marRight w:val="0"/>
      <w:marTop w:val="0"/>
      <w:marBottom w:val="0"/>
      <w:divBdr>
        <w:top w:val="none" w:sz="0" w:space="0" w:color="auto"/>
        <w:left w:val="none" w:sz="0" w:space="0" w:color="auto"/>
        <w:bottom w:val="none" w:sz="0" w:space="0" w:color="auto"/>
        <w:right w:val="none" w:sz="0" w:space="0" w:color="auto"/>
      </w:divBdr>
    </w:div>
    <w:div w:id="1052585045">
      <w:bodyDiv w:val="1"/>
      <w:marLeft w:val="0"/>
      <w:marRight w:val="0"/>
      <w:marTop w:val="0"/>
      <w:marBottom w:val="0"/>
      <w:divBdr>
        <w:top w:val="none" w:sz="0" w:space="0" w:color="auto"/>
        <w:left w:val="none" w:sz="0" w:space="0" w:color="auto"/>
        <w:bottom w:val="none" w:sz="0" w:space="0" w:color="auto"/>
        <w:right w:val="none" w:sz="0" w:space="0" w:color="auto"/>
      </w:divBdr>
    </w:div>
    <w:div w:id="1053384862">
      <w:bodyDiv w:val="1"/>
      <w:marLeft w:val="0"/>
      <w:marRight w:val="0"/>
      <w:marTop w:val="0"/>
      <w:marBottom w:val="0"/>
      <w:divBdr>
        <w:top w:val="none" w:sz="0" w:space="0" w:color="auto"/>
        <w:left w:val="none" w:sz="0" w:space="0" w:color="auto"/>
        <w:bottom w:val="none" w:sz="0" w:space="0" w:color="auto"/>
        <w:right w:val="none" w:sz="0" w:space="0" w:color="auto"/>
      </w:divBdr>
    </w:div>
    <w:div w:id="1055199205">
      <w:bodyDiv w:val="1"/>
      <w:marLeft w:val="0"/>
      <w:marRight w:val="0"/>
      <w:marTop w:val="0"/>
      <w:marBottom w:val="0"/>
      <w:divBdr>
        <w:top w:val="none" w:sz="0" w:space="0" w:color="auto"/>
        <w:left w:val="none" w:sz="0" w:space="0" w:color="auto"/>
        <w:bottom w:val="none" w:sz="0" w:space="0" w:color="auto"/>
        <w:right w:val="none" w:sz="0" w:space="0" w:color="auto"/>
      </w:divBdr>
    </w:div>
    <w:div w:id="1058630383">
      <w:bodyDiv w:val="1"/>
      <w:marLeft w:val="0"/>
      <w:marRight w:val="0"/>
      <w:marTop w:val="0"/>
      <w:marBottom w:val="0"/>
      <w:divBdr>
        <w:top w:val="none" w:sz="0" w:space="0" w:color="auto"/>
        <w:left w:val="none" w:sz="0" w:space="0" w:color="auto"/>
        <w:bottom w:val="none" w:sz="0" w:space="0" w:color="auto"/>
        <w:right w:val="none" w:sz="0" w:space="0" w:color="auto"/>
      </w:divBdr>
    </w:div>
    <w:div w:id="1062800092">
      <w:bodyDiv w:val="1"/>
      <w:marLeft w:val="0"/>
      <w:marRight w:val="0"/>
      <w:marTop w:val="0"/>
      <w:marBottom w:val="0"/>
      <w:divBdr>
        <w:top w:val="none" w:sz="0" w:space="0" w:color="auto"/>
        <w:left w:val="none" w:sz="0" w:space="0" w:color="auto"/>
        <w:bottom w:val="none" w:sz="0" w:space="0" w:color="auto"/>
        <w:right w:val="none" w:sz="0" w:space="0" w:color="auto"/>
      </w:divBdr>
    </w:div>
    <w:div w:id="1072629500">
      <w:bodyDiv w:val="1"/>
      <w:marLeft w:val="0"/>
      <w:marRight w:val="0"/>
      <w:marTop w:val="0"/>
      <w:marBottom w:val="0"/>
      <w:divBdr>
        <w:top w:val="none" w:sz="0" w:space="0" w:color="auto"/>
        <w:left w:val="none" w:sz="0" w:space="0" w:color="auto"/>
        <w:bottom w:val="none" w:sz="0" w:space="0" w:color="auto"/>
        <w:right w:val="none" w:sz="0" w:space="0" w:color="auto"/>
      </w:divBdr>
    </w:div>
    <w:div w:id="1076826412">
      <w:bodyDiv w:val="1"/>
      <w:marLeft w:val="0"/>
      <w:marRight w:val="0"/>
      <w:marTop w:val="0"/>
      <w:marBottom w:val="0"/>
      <w:divBdr>
        <w:top w:val="none" w:sz="0" w:space="0" w:color="auto"/>
        <w:left w:val="none" w:sz="0" w:space="0" w:color="auto"/>
        <w:bottom w:val="none" w:sz="0" w:space="0" w:color="auto"/>
        <w:right w:val="none" w:sz="0" w:space="0" w:color="auto"/>
      </w:divBdr>
      <w:divsChild>
        <w:div w:id="1381131604">
          <w:marLeft w:val="0"/>
          <w:marRight w:val="0"/>
          <w:marTop w:val="0"/>
          <w:marBottom w:val="0"/>
          <w:divBdr>
            <w:top w:val="single" w:sz="2" w:space="0" w:color="E3E3E3"/>
            <w:left w:val="single" w:sz="2" w:space="0" w:color="E3E3E3"/>
            <w:bottom w:val="single" w:sz="2" w:space="0" w:color="E3E3E3"/>
            <w:right w:val="single" w:sz="2" w:space="0" w:color="E3E3E3"/>
          </w:divBdr>
          <w:divsChild>
            <w:div w:id="560869181">
              <w:marLeft w:val="0"/>
              <w:marRight w:val="0"/>
              <w:marTop w:val="0"/>
              <w:marBottom w:val="0"/>
              <w:divBdr>
                <w:top w:val="single" w:sz="2" w:space="0" w:color="E3E3E3"/>
                <w:left w:val="single" w:sz="2" w:space="0" w:color="E3E3E3"/>
                <w:bottom w:val="single" w:sz="2" w:space="0" w:color="E3E3E3"/>
                <w:right w:val="single" w:sz="2" w:space="0" w:color="E3E3E3"/>
              </w:divBdr>
              <w:divsChild>
                <w:div w:id="2040233463">
                  <w:marLeft w:val="0"/>
                  <w:marRight w:val="0"/>
                  <w:marTop w:val="0"/>
                  <w:marBottom w:val="0"/>
                  <w:divBdr>
                    <w:top w:val="single" w:sz="2" w:space="2" w:color="E3E3E3"/>
                    <w:left w:val="single" w:sz="2" w:space="0" w:color="E3E3E3"/>
                    <w:bottom w:val="single" w:sz="2" w:space="0" w:color="E3E3E3"/>
                    <w:right w:val="single" w:sz="2" w:space="0" w:color="E3E3E3"/>
                  </w:divBdr>
                  <w:divsChild>
                    <w:div w:id="656417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6974507">
      <w:bodyDiv w:val="1"/>
      <w:marLeft w:val="0"/>
      <w:marRight w:val="0"/>
      <w:marTop w:val="0"/>
      <w:marBottom w:val="0"/>
      <w:divBdr>
        <w:top w:val="none" w:sz="0" w:space="0" w:color="auto"/>
        <w:left w:val="none" w:sz="0" w:space="0" w:color="auto"/>
        <w:bottom w:val="none" w:sz="0" w:space="0" w:color="auto"/>
        <w:right w:val="none" w:sz="0" w:space="0" w:color="auto"/>
      </w:divBdr>
    </w:div>
    <w:div w:id="1086077865">
      <w:bodyDiv w:val="1"/>
      <w:marLeft w:val="0"/>
      <w:marRight w:val="0"/>
      <w:marTop w:val="0"/>
      <w:marBottom w:val="0"/>
      <w:divBdr>
        <w:top w:val="none" w:sz="0" w:space="0" w:color="auto"/>
        <w:left w:val="none" w:sz="0" w:space="0" w:color="auto"/>
        <w:bottom w:val="none" w:sz="0" w:space="0" w:color="auto"/>
        <w:right w:val="none" w:sz="0" w:space="0" w:color="auto"/>
      </w:divBdr>
    </w:div>
    <w:div w:id="1094933420">
      <w:bodyDiv w:val="1"/>
      <w:marLeft w:val="0"/>
      <w:marRight w:val="0"/>
      <w:marTop w:val="0"/>
      <w:marBottom w:val="0"/>
      <w:divBdr>
        <w:top w:val="none" w:sz="0" w:space="0" w:color="auto"/>
        <w:left w:val="none" w:sz="0" w:space="0" w:color="auto"/>
        <w:bottom w:val="none" w:sz="0" w:space="0" w:color="auto"/>
        <w:right w:val="none" w:sz="0" w:space="0" w:color="auto"/>
      </w:divBdr>
    </w:div>
    <w:div w:id="1099065464">
      <w:bodyDiv w:val="1"/>
      <w:marLeft w:val="0"/>
      <w:marRight w:val="0"/>
      <w:marTop w:val="0"/>
      <w:marBottom w:val="0"/>
      <w:divBdr>
        <w:top w:val="none" w:sz="0" w:space="0" w:color="auto"/>
        <w:left w:val="none" w:sz="0" w:space="0" w:color="auto"/>
        <w:bottom w:val="none" w:sz="0" w:space="0" w:color="auto"/>
        <w:right w:val="none" w:sz="0" w:space="0" w:color="auto"/>
      </w:divBdr>
    </w:div>
    <w:div w:id="1102872012">
      <w:bodyDiv w:val="1"/>
      <w:marLeft w:val="0"/>
      <w:marRight w:val="0"/>
      <w:marTop w:val="0"/>
      <w:marBottom w:val="0"/>
      <w:divBdr>
        <w:top w:val="none" w:sz="0" w:space="0" w:color="auto"/>
        <w:left w:val="none" w:sz="0" w:space="0" w:color="auto"/>
        <w:bottom w:val="none" w:sz="0" w:space="0" w:color="auto"/>
        <w:right w:val="none" w:sz="0" w:space="0" w:color="auto"/>
      </w:divBdr>
    </w:div>
    <w:div w:id="1104810331">
      <w:bodyDiv w:val="1"/>
      <w:marLeft w:val="0"/>
      <w:marRight w:val="0"/>
      <w:marTop w:val="0"/>
      <w:marBottom w:val="0"/>
      <w:divBdr>
        <w:top w:val="none" w:sz="0" w:space="0" w:color="auto"/>
        <w:left w:val="none" w:sz="0" w:space="0" w:color="auto"/>
        <w:bottom w:val="none" w:sz="0" w:space="0" w:color="auto"/>
        <w:right w:val="none" w:sz="0" w:space="0" w:color="auto"/>
      </w:divBdr>
    </w:div>
    <w:div w:id="1106536368">
      <w:bodyDiv w:val="1"/>
      <w:marLeft w:val="0"/>
      <w:marRight w:val="0"/>
      <w:marTop w:val="0"/>
      <w:marBottom w:val="0"/>
      <w:divBdr>
        <w:top w:val="none" w:sz="0" w:space="0" w:color="auto"/>
        <w:left w:val="none" w:sz="0" w:space="0" w:color="auto"/>
        <w:bottom w:val="none" w:sz="0" w:space="0" w:color="auto"/>
        <w:right w:val="none" w:sz="0" w:space="0" w:color="auto"/>
      </w:divBdr>
    </w:div>
    <w:div w:id="1110197039">
      <w:bodyDiv w:val="1"/>
      <w:marLeft w:val="0"/>
      <w:marRight w:val="0"/>
      <w:marTop w:val="0"/>
      <w:marBottom w:val="0"/>
      <w:divBdr>
        <w:top w:val="none" w:sz="0" w:space="0" w:color="auto"/>
        <w:left w:val="none" w:sz="0" w:space="0" w:color="auto"/>
        <w:bottom w:val="none" w:sz="0" w:space="0" w:color="auto"/>
        <w:right w:val="none" w:sz="0" w:space="0" w:color="auto"/>
      </w:divBdr>
    </w:div>
    <w:div w:id="1114448421">
      <w:bodyDiv w:val="1"/>
      <w:marLeft w:val="0"/>
      <w:marRight w:val="0"/>
      <w:marTop w:val="0"/>
      <w:marBottom w:val="0"/>
      <w:divBdr>
        <w:top w:val="none" w:sz="0" w:space="0" w:color="auto"/>
        <w:left w:val="none" w:sz="0" w:space="0" w:color="auto"/>
        <w:bottom w:val="none" w:sz="0" w:space="0" w:color="auto"/>
        <w:right w:val="none" w:sz="0" w:space="0" w:color="auto"/>
      </w:divBdr>
    </w:div>
    <w:div w:id="1130441691">
      <w:bodyDiv w:val="1"/>
      <w:marLeft w:val="0"/>
      <w:marRight w:val="0"/>
      <w:marTop w:val="0"/>
      <w:marBottom w:val="0"/>
      <w:divBdr>
        <w:top w:val="none" w:sz="0" w:space="0" w:color="auto"/>
        <w:left w:val="none" w:sz="0" w:space="0" w:color="auto"/>
        <w:bottom w:val="none" w:sz="0" w:space="0" w:color="auto"/>
        <w:right w:val="none" w:sz="0" w:space="0" w:color="auto"/>
      </w:divBdr>
    </w:div>
    <w:div w:id="1133183112">
      <w:bodyDiv w:val="1"/>
      <w:marLeft w:val="0"/>
      <w:marRight w:val="0"/>
      <w:marTop w:val="0"/>
      <w:marBottom w:val="0"/>
      <w:divBdr>
        <w:top w:val="none" w:sz="0" w:space="0" w:color="auto"/>
        <w:left w:val="none" w:sz="0" w:space="0" w:color="auto"/>
        <w:bottom w:val="none" w:sz="0" w:space="0" w:color="auto"/>
        <w:right w:val="none" w:sz="0" w:space="0" w:color="auto"/>
      </w:divBdr>
    </w:div>
    <w:div w:id="1139690404">
      <w:bodyDiv w:val="1"/>
      <w:marLeft w:val="0"/>
      <w:marRight w:val="0"/>
      <w:marTop w:val="0"/>
      <w:marBottom w:val="0"/>
      <w:divBdr>
        <w:top w:val="none" w:sz="0" w:space="0" w:color="auto"/>
        <w:left w:val="none" w:sz="0" w:space="0" w:color="auto"/>
        <w:bottom w:val="none" w:sz="0" w:space="0" w:color="auto"/>
        <w:right w:val="none" w:sz="0" w:space="0" w:color="auto"/>
      </w:divBdr>
    </w:div>
    <w:div w:id="1142582506">
      <w:bodyDiv w:val="1"/>
      <w:marLeft w:val="0"/>
      <w:marRight w:val="0"/>
      <w:marTop w:val="0"/>
      <w:marBottom w:val="0"/>
      <w:divBdr>
        <w:top w:val="none" w:sz="0" w:space="0" w:color="auto"/>
        <w:left w:val="none" w:sz="0" w:space="0" w:color="auto"/>
        <w:bottom w:val="none" w:sz="0" w:space="0" w:color="auto"/>
        <w:right w:val="none" w:sz="0" w:space="0" w:color="auto"/>
      </w:divBdr>
    </w:div>
    <w:div w:id="1150906446">
      <w:bodyDiv w:val="1"/>
      <w:marLeft w:val="0"/>
      <w:marRight w:val="0"/>
      <w:marTop w:val="0"/>
      <w:marBottom w:val="0"/>
      <w:divBdr>
        <w:top w:val="none" w:sz="0" w:space="0" w:color="auto"/>
        <w:left w:val="none" w:sz="0" w:space="0" w:color="auto"/>
        <w:bottom w:val="none" w:sz="0" w:space="0" w:color="auto"/>
        <w:right w:val="none" w:sz="0" w:space="0" w:color="auto"/>
      </w:divBdr>
    </w:div>
    <w:div w:id="1157963081">
      <w:bodyDiv w:val="1"/>
      <w:marLeft w:val="0"/>
      <w:marRight w:val="0"/>
      <w:marTop w:val="0"/>
      <w:marBottom w:val="0"/>
      <w:divBdr>
        <w:top w:val="none" w:sz="0" w:space="0" w:color="auto"/>
        <w:left w:val="none" w:sz="0" w:space="0" w:color="auto"/>
        <w:bottom w:val="none" w:sz="0" w:space="0" w:color="auto"/>
        <w:right w:val="none" w:sz="0" w:space="0" w:color="auto"/>
      </w:divBdr>
    </w:div>
    <w:div w:id="1166091016">
      <w:bodyDiv w:val="1"/>
      <w:marLeft w:val="0"/>
      <w:marRight w:val="0"/>
      <w:marTop w:val="0"/>
      <w:marBottom w:val="0"/>
      <w:divBdr>
        <w:top w:val="none" w:sz="0" w:space="0" w:color="auto"/>
        <w:left w:val="none" w:sz="0" w:space="0" w:color="auto"/>
        <w:bottom w:val="none" w:sz="0" w:space="0" w:color="auto"/>
        <w:right w:val="none" w:sz="0" w:space="0" w:color="auto"/>
      </w:divBdr>
    </w:div>
    <w:div w:id="1176462392">
      <w:bodyDiv w:val="1"/>
      <w:marLeft w:val="0"/>
      <w:marRight w:val="0"/>
      <w:marTop w:val="0"/>
      <w:marBottom w:val="0"/>
      <w:divBdr>
        <w:top w:val="none" w:sz="0" w:space="0" w:color="auto"/>
        <w:left w:val="none" w:sz="0" w:space="0" w:color="auto"/>
        <w:bottom w:val="none" w:sz="0" w:space="0" w:color="auto"/>
        <w:right w:val="none" w:sz="0" w:space="0" w:color="auto"/>
      </w:divBdr>
    </w:div>
    <w:div w:id="1179739507">
      <w:bodyDiv w:val="1"/>
      <w:marLeft w:val="0"/>
      <w:marRight w:val="0"/>
      <w:marTop w:val="0"/>
      <w:marBottom w:val="0"/>
      <w:divBdr>
        <w:top w:val="none" w:sz="0" w:space="0" w:color="auto"/>
        <w:left w:val="none" w:sz="0" w:space="0" w:color="auto"/>
        <w:bottom w:val="none" w:sz="0" w:space="0" w:color="auto"/>
        <w:right w:val="none" w:sz="0" w:space="0" w:color="auto"/>
      </w:divBdr>
    </w:div>
    <w:div w:id="1181504184">
      <w:bodyDiv w:val="1"/>
      <w:marLeft w:val="0"/>
      <w:marRight w:val="0"/>
      <w:marTop w:val="0"/>
      <w:marBottom w:val="0"/>
      <w:divBdr>
        <w:top w:val="none" w:sz="0" w:space="0" w:color="auto"/>
        <w:left w:val="none" w:sz="0" w:space="0" w:color="auto"/>
        <w:bottom w:val="none" w:sz="0" w:space="0" w:color="auto"/>
        <w:right w:val="none" w:sz="0" w:space="0" w:color="auto"/>
      </w:divBdr>
    </w:div>
    <w:div w:id="1192887834">
      <w:bodyDiv w:val="1"/>
      <w:marLeft w:val="0"/>
      <w:marRight w:val="0"/>
      <w:marTop w:val="0"/>
      <w:marBottom w:val="0"/>
      <w:divBdr>
        <w:top w:val="none" w:sz="0" w:space="0" w:color="auto"/>
        <w:left w:val="none" w:sz="0" w:space="0" w:color="auto"/>
        <w:bottom w:val="none" w:sz="0" w:space="0" w:color="auto"/>
        <w:right w:val="none" w:sz="0" w:space="0" w:color="auto"/>
      </w:divBdr>
    </w:div>
    <w:div w:id="1195773435">
      <w:bodyDiv w:val="1"/>
      <w:marLeft w:val="0"/>
      <w:marRight w:val="0"/>
      <w:marTop w:val="0"/>
      <w:marBottom w:val="0"/>
      <w:divBdr>
        <w:top w:val="none" w:sz="0" w:space="0" w:color="auto"/>
        <w:left w:val="none" w:sz="0" w:space="0" w:color="auto"/>
        <w:bottom w:val="none" w:sz="0" w:space="0" w:color="auto"/>
        <w:right w:val="none" w:sz="0" w:space="0" w:color="auto"/>
      </w:divBdr>
    </w:div>
    <w:div w:id="1201014477">
      <w:bodyDiv w:val="1"/>
      <w:marLeft w:val="0"/>
      <w:marRight w:val="0"/>
      <w:marTop w:val="0"/>
      <w:marBottom w:val="0"/>
      <w:divBdr>
        <w:top w:val="none" w:sz="0" w:space="0" w:color="auto"/>
        <w:left w:val="none" w:sz="0" w:space="0" w:color="auto"/>
        <w:bottom w:val="none" w:sz="0" w:space="0" w:color="auto"/>
        <w:right w:val="none" w:sz="0" w:space="0" w:color="auto"/>
      </w:divBdr>
    </w:div>
    <w:div w:id="1210191371">
      <w:bodyDiv w:val="1"/>
      <w:marLeft w:val="0"/>
      <w:marRight w:val="0"/>
      <w:marTop w:val="0"/>
      <w:marBottom w:val="0"/>
      <w:divBdr>
        <w:top w:val="none" w:sz="0" w:space="0" w:color="auto"/>
        <w:left w:val="none" w:sz="0" w:space="0" w:color="auto"/>
        <w:bottom w:val="none" w:sz="0" w:space="0" w:color="auto"/>
        <w:right w:val="none" w:sz="0" w:space="0" w:color="auto"/>
      </w:divBdr>
    </w:div>
    <w:div w:id="1218707772">
      <w:bodyDiv w:val="1"/>
      <w:marLeft w:val="0"/>
      <w:marRight w:val="0"/>
      <w:marTop w:val="0"/>
      <w:marBottom w:val="0"/>
      <w:divBdr>
        <w:top w:val="none" w:sz="0" w:space="0" w:color="auto"/>
        <w:left w:val="none" w:sz="0" w:space="0" w:color="auto"/>
        <w:bottom w:val="none" w:sz="0" w:space="0" w:color="auto"/>
        <w:right w:val="none" w:sz="0" w:space="0" w:color="auto"/>
      </w:divBdr>
    </w:div>
    <w:div w:id="1223180103">
      <w:bodyDiv w:val="1"/>
      <w:marLeft w:val="0"/>
      <w:marRight w:val="0"/>
      <w:marTop w:val="0"/>
      <w:marBottom w:val="0"/>
      <w:divBdr>
        <w:top w:val="none" w:sz="0" w:space="0" w:color="auto"/>
        <w:left w:val="none" w:sz="0" w:space="0" w:color="auto"/>
        <w:bottom w:val="none" w:sz="0" w:space="0" w:color="auto"/>
        <w:right w:val="none" w:sz="0" w:space="0" w:color="auto"/>
      </w:divBdr>
    </w:div>
    <w:div w:id="1227838952">
      <w:bodyDiv w:val="1"/>
      <w:marLeft w:val="0"/>
      <w:marRight w:val="0"/>
      <w:marTop w:val="0"/>
      <w:marBottom w:val="0"/>
      <w:divBdr>
        <w:top w:val="none" w:sz="0" w:space="0" w:color="auto"/>
        <w:left w:val="none" w:sz="0" w:space="0" w:color="auto"/>
        <w:bottom w:val="none" w:sz="0" w:space="0" w:color="auto"/>
        <w:right w:val="none" w:sz="0" w:space="0" w:color="auto"/>
      </w:divBdr>
    </w:div>
    <w:div w:id="1237058382">
      <w:bodyDiv w:val="1"/>
      <w:marLeft w:val="0"/>
      <w:marRight w:val="0"/>
      <w:marTop w:val="0"/>
      <w:marBottom w:val="0"/>
      <w:divBdr>
        <w:top w:val="none" w:sz="0" w:space="0" w:color="auto"/>
        <w:left w:val="none" w:sz="0" w:space="0" w:color="auto"/>
        <w:bottom w:val="none" w:sz="0" w:space="0" w:color="auto"/>
        <w:right w:val="none" w:sz="0" w:space="0" w:color="auto"/>
      </w:divBdr>
    </w:div>
    <w:div w:id="1239558590">
      <w:bodyDiv w:val="1"/>
      <w:marLeft w:val="0"/>
      <w:marRight w:val="0"/>
      <w:marTop w:val="0"/>
      <w:marBottom w:val="0"/>
      <w:divBdr>
        <w:top w:val="none" w:sz="0" w:space="0" w:color="auto"/>
        <w:left w:val="none" w:sz="0" w:space="0" w:color="auto"/>
        <w:bottom w:val="none" w:sz="0" w:space="0" w:color="auto"/>
        <w:right w:val="none" w:sz="0" w:space="0" w:color="auto"/>
      </w:divBdr>
    </w:div>
    <w:div w:id="1249193078">
      <w:bodyDiv w:val="1"/>
      <w:marLeft w:val="0"/>
      <w:marRight w:val="0"/>
      <w:marTop w:val="0"/>
      <w:marBottom w:val="0"/>
      <w:divBdr>
        <w:top w:val="none" w:sz="0" w:space="0" w:color="auto"/>
        <w:left w:val="none" w:sz="0" w:space="0" w:color="auto"/>
        <w:bottom w:val="none" w:sz="0" w:space="0" w:color="auto"/>
        <w:right w:val="none" w:sz="0" w:space="0" w:color="auto"/>
      </w:divBdr>
    </w:div>
    <w:div w:id="1253468656">
      <w:bodyDiv w:val="1"/>
      <w:marLeft w:val="0"/>
      <w:marRight w:val="0"/>
      <w:marTop w:val="0"/>
      <w:marBottom w:val="0"/>
      <w:divBdr>
        <w:top w:val="none" w:sz="0" w:space="0" w:color="auto"/>
        <w:left w:val="none" w:sz="0" w:space="0" w:color="auto"/>
        <w:bottom w:val="none" w:sz="0" w:space="0" w:color="auto"/>
        <w:right w:val="none" w:sz="0" w:space="0" w:color="auto"/>
      </w:divBdr>
    </w:div>
    <w:div w:id="1264143674">
      <w:bodyDiv w:val="1"/>
      <w:marLeft w:val="0"/>
      <w:marRight w:val="0"/>
      <w:marTop w:val="0"/>
      <w:marBottom w:val="0"/>
      <w:divBdr>
        <w:top w:val="none" w:sz="0" w:space="0" w:color="auto"/>
        <w:left w:val="none" w:sz="0" w:space="0" w:color="auto"/>
        <w:bottom w:val="none" w:sz="0" w:space="0" w:color="auto"/>
        <w:right w:val="none" w:sz="0" w:space="0" w:color="auto"/>
      </w:divBdr>
    </w:div>
    <w:div w:id="1269964759">
      <w:bodyDiv w:val="1"/>
      <w:marLeft w:val="0"/>
      <w:marRight w:val="0"/>
      <w:marTop w:val="0"/>
      <w:marBottom w:val="0"/>
      <w:divBdr>
        <w:top w:val="none" w:sz="0" w:space="0" w:color="auto"/>
        <w:left w:val="none" w:sz="0" w:space="0" w:color="auto"/>
        <w:bottom w:val="none" w:sz="0" w:space="0" w:color="auto"/>
        <w:right w:val="none" w:sz="0" w:space="0" w:color="auto"/>
      </w:divBdr>
    </w:div>
    <w:div w:id="1278028563">
      <w:bodyDiv w:val="1"/>
      <w:marLeft w:val="0"/>
      <w:marRight w:val="0"/>
      <w:marTop w:val="0"/>
      <w:marBottom w:val="0"/>
      <w:divBdr>
        <w:top w:val="none" w:sz="0" w:space="0" w:color="auto"/>
        <w:left w:val="none" w:sz="0" w:space="0" w:color="auto"/>
        <w:bottom w:val="none" w:sz="0" w:space="0" w:color="auto"/>
        <w:right w:val="none" w:sz="0" w:space="0" w:color="auto"/>
      </w:divBdr>
    </w:div>
    <w:div w:id="1278947638">
      <w:bodyDiv w:val="1"/>
      <w:marLeft w:val="0"/>
      <w:marRight w:val="0"/>
      <w:marTop w:val="0"/>
      <w:marBottom w:val="0"/>
      <w:divBdr>
        <w:top w:val="none" w:sz="0" w:space="0" w:color="auto"/>
        <w:left w:val="none" w:sz="0" w:space="0" w:color="auto"/>
        <w:bottom w:val="none" w:sz="0" w:space="0" w:color="auto"/>
        <w:right w:val="none" w:sz="0" w:space="0" w:color="auto"/>
      </w:divBdr>
    </w:div>
    <w:div w:id="1280140682">
      <w:bodyDiv w:val="1"/>
      <w:marLeft w:val="0"/>
      <w:marRight w:val="0"/>
      <w:marTop w:val="0"/>
      <w:marBottom w:val="0"/>
      <w:divBdr>
        <w:top w:val="none" w:sz="0" w:space="0" w:color="auto"/>
        <w:left w:val="none" w:sz="0" w:space="0" w:color="auto"/>
        <w:bottom w:val="none" w:sz="0" w:space="0" w:color="auto"/>
        <w:right w:val="none" w:sz="0" w:space="0" w:color="auto"/>
      </w:divBdr>
    </w:div>
    <w:div w:id="1283227254">
      <w:bodyDiv w:val="1"/>
      <w:marLeft w:val="0"/>
      <w:marRight w:val="0"/>
      <w:marTop w:val="0"/>
      <w:marBottom w:val="0"/>
      <w:divBdr>
        <w:top w:val="none" w:sz="0" w:space="0" w:color="auto"/>
        <w:left w:val="none" w:sz="0" w:space="0" w:color="auto"/>
        <w:bottom w:val="none" w:sz="0" w:space="0" w:color="auto"/>
        <w:right w:val="none" w:sz="0" w:space="0" w:color="auto"/>
      </w:divBdr>
    </w:div>
    <w:div w:id="1283537367">
      <w:bodyDiv w:val="1"/>
      <w:marLeft w:val="0"/>
      <w:marRight w:val="0"/>
      <w:marTop w:val="0"/>
      <w:marBottom w:val="0"/>
      <w:divBdr>
        <w:top w:val="none" w:sz="0" w:space="0" w:color="auto"/>
        <w:left w:val="none" w:sz="0" w:space="0" w:color="auto"/>
        <w:bottom w:val="none" w:sz="0" w:space="0" w:color="auto"/>
        <w:right w:val="none" w:sz="0" w:space="0" w:color="auto"/>
      </w:divBdr>
    </w:div>
    <w:div w:id="1289438060">
      <w:bodyDiv w:val="1"/>
      <w:marLeft w:val="0"/>
      <w:marRight w:val="0"/>
      <w:marTop w:val="0"/>
      <w:marBottom w:val="0"/>
      <w:divBdr>
        <w:top w:val="none" w:sz="0" w:space="0" w:color="auto"/>
        <w:left w:val="none" w:sz="0" w:space="0" w:color="auto"/>
        <w:bottom w:val="none" w:sz="0" w:space="0" w:color="auto"/>
        <w:right w:val="none" w:sz="0" w:space="0" w:color="auto"/>
      </w:divBdr>
    </w:div>
    <w:div w:id="1308898153">
      <w:bodyDiv w:val="1"/>
      <w:marLeft w:val="0"/>
      <w:marRight w:val="0"/>
      <w:marTop w:val="0"/>
      <w:marBottom w:val="0"/>
      <w:divBdr>
        <w:top w:val="none" w:sz="0" w:space="0" w:color="auto"/>
        <w:left w:val="none" w:sz="0" w:space="0" w:color="auto"/>
        <w:bottom w:val="none" w:sz="0" w:space="0" w:color="auto"/>
        <w:right w:val="none" w:sz="0" w:space="0" w:color="auto"/>
      </w:divBdr>
    </w:div>
    <w:div w:id="1314946297">
      <w:bodyDiv w:val="1"/>
      <w:marLeft w:val="0"/>
      <w:marRight w:val="0"/>
      <w:marTop w:val="0"/>
      <w:marBottom w:val="0"/>
      <w:divBdr>
        <w:top w:val="none" w:sz="0" w:space="0" w:color="auto"/>
        <w:left w:val="none" w:sz="0" w:space="0" w:color="auto"/>
        <w:bottom w:val="none" w:sz="0" w:space="0" w:color="auto"/>
        <w:right w:val="none" w:sz="0" w:space="0" w:color="auto"/>
      </w:divBdr>
    </w:div>
    <w:div w:id="1316371033">
      <w:bodyDiv w:val="1"/>
      <w:marLeft w:val="0"/>
      <w:marRight w:val="0"/>
      <w:marTop w:val="0"/>
      <w:marBottom w:val="0"/>
      <w:divBdr>
        <w:top w:val="none" w:sz="0" w:space="0" w:color="auto"/>
        <w:left w:val="none" w:sz="0" w:space="0" w:color="auto"/>
        <w:bottom w:val="none" w:sz="0" w:space="0" w:color="auto"/>
        <w:right w:val="none" w:sz="0" w:space="0" w:color="auto"/>
      </w:divBdr>
    </w:div>
    <w:div w:id="1328898409">
      <w:bodyDiv w:val="1"/>
      <w:marLeft w:val="0"/>
      <w:marRight w:val="0"/>
      <w:marTop w:val="0"/>
      <w:marBottom w:val="0"/>
      <w:divBdr>
        <w:top w:val="none" w:sz="0" w:space="0" w:color="auto"/>
        <w:left w:val="none" w:sz="0" w:space="0" w:color="auto"/>
        <w:bottom w:val="none" w:sz="0" w:space="0" w:color="auto"/>
        <w:right w:val="none" w:sz="0" w:space="0" w:color="auto"/>
      </w:divBdr>
    </w:div>
    <w:div w:id="1334914162">
      <w:bodyDiv w:val="1"/>
      <w:marLeft w:val="0"/>
      <w:marRight w:val="0"/>
      <w:marTop w:val="0"/>
      <w:marBottom w:val="0"/>
      <w:divBdr>
        <w:top w:val="none" w:sz="0" w:space="0" w:color="auto"/>
        <w:left w:val="none" w:sz="0" w:space="0" w:color="auto"/>
        <w:bottom w:val="none" w:sz="0" w:space="0" w:color="auto"/>
        <w:right w:val="none" w:sz="0" w:space="0" w:color="auto"/>
      </w:divBdr>
    </w:div>
    <w:div w:id="1334992100">
      <w:bodyDiv w:val="1"/>
      <w:marLeft w:val="0"/>
      <w:marRight w:val="0"/>
      <w:marTop w:val="0"/>
      <w:marBottom w:val="0"/>
      <w:divBdr>
        <w:top w:val="none" w:sz="0" w:space="0" w:color="auto"/>
        <w:left w:val="none" w:sz="0" w:space="0" w:color="auto"/>
        <w:bottom w:val="none" w:sz="0" w:space="0" w:color="auto"/>
        <w:right w:val="none" w:sz="0" w:space="0" w:color="auto"/>
      </w:divBdr>
    </w:div>
    <w:div w:id="1335764596">
      <w:bodyDiv w:val="1"/>
      <w:marLeft w:val="0"/>
      <w:marRight w:val="0"/>
      <w:marTop w:val="0"/>
      <w:marBottom w:val="0"/>
      <w:divBdr>
        <w:top w:val="none" w:sz="0" w:space="0" w:color="auto"/>
        <w:left w:val="none" w:sz="0" w:space="0" w:color="auto"/>
        <w:bottom w:val="none" w:sz="0" w:space="0" w:color="auto"/>
        <w:right w:val="none" w:sz="0" w:space="0" w:color="auto"/>
      </w:divBdr>
    </w:div>
    <w:div w:id="1337226260">
      <w:bodyDiv w:val="1"/>
      <w:marLeft w:val="0"/>
      <w:marRight w:val="0"/>
      <w:marTop w:val="0"/>
      <w:marBottom w:val="0"/>
      <w:divBdr>
        <w:top w:val="none" w:sz="0" w:space="0" w:color="auto"/>
        <w:left w:val="none" w:sz="0" w:space="0" w:color="auto"/>
        <w:bottom w:val="none" w:sz="0" w:space="0" w:color="auto"/>
        <w:right w:val="none" w:sz="0" w:space="0" w:color="auto"/>
      </w:divBdr>
    </w:div>
    <w:div w:id="1339121175">
      <w:bodyDiv w:val="1"/>
      <w:marLeft w:val="0"/>
      <w:marRight w:val="0"/>
      <w:marTop w:val="0"/>
      <w:marBottom w:val="0"/>
      <w:divBdr>
        <w:top w:val="none" w:sz="0" w:space="0" w:color="auto"/>
        <w:left w:val="none" w:sz="0" w:space="0" w:color="auto"/>
        <w:bottom w:val="none" w:sz="0" w:space="0" w:color="auto"/>
        <w:right w:val="none" w:sz="0" w:space="0" w:color="auto"/>
      </w:divBdr>
    </w:div>
    <w:div w:id="1347637569">
      <w:bodyDiv w:val="1"/>
      <w:marLeft w:val="0"/>
      <w:marRight w:val="0"/>
      <w:marTop w:val="0"/>
      <w:marBottom w:val="0"/>
      <w:divBdr>
        <w:top w:val="none" w:sz="0" w:space="0" w:color="auto"/>
        <w:left w:val="none" w:sz="0" w:space="0" w:color="auto"/>
        <w:bottom w:val="none" w:sz="0" w:space="0" w:color="auto"/>
        <w:right w:val="none" w:sz="0" w:space="0" w:color="auto"/>
      </w:divBdr>
    </w:div>
    <w:div w:id="1350912569">
      <w:bodyDiv w:val="1"/>
      <w:marLeft w:val="0"/>
      <w:marRight w:val="0"/>
      <w:marTop w:val="0"/>
      <w:marBottom w:val="0"/>
      <w:divBdr>
        <w:top w:val="none" w:sz="0" w:space="0" w:color="auto"/>
        <w:left w:val="none" w:sz="0" w:space="0" w:color="auto"/>
        <w:bottom w:val="none" w:sz="0" w:space="0" w:color="auto"/>
        <w:right w:val="none" w:sz="0" w:space="0" w:color="auto"/>
      </w:divBdr>
    </w:div>
    <w:div w:id="1354039409">
      <w:bodyDiv w:val="1"/>
      <w:marLeft w:val="0"/>
      <w:marRight w:val="0"/>
      <w:marTop w:val="0"/>
      <w:marBottom w:val="0"/>
      <w:divBdr>
        <w:top w:val="none" w:sz="0" w:space="0" w:color="auto"/>
        <w:left w:val="none" w:sz="0" w:space="0" w:color="auto"/>
        <w:bottom w:val="none" w:sz="0" w:space="0" w:color="auto"/>
        <w:right w:val="none" w:sz="0" w:space="0" w:color="auto"/>
      </w:divBdr>
    </w:div>
    <w:div w:id="1363167894">
      <w:bodyDiv w:val="1"/>
      <w:marLeft w:val="0"/>
      <w:marRight w:val="0"/>
      <w:marTop w:val="0"/>
      <w:marBottom w:val="0"/>
      <w:divBdr>
        <w:top w:val="none" w:sz="0" w:space="0" w:color="auto"/>
        <w:left w:val="none" w:sz="0" w:space="0" w:color="auto"/>
        <w:bottom w:val="none" w:sz="0" w:space="0" w:color="auto"/>
        <w:right w:val="none" w:sz="0" w:space="0" w:color="auto"/>
      </w:divBdr>
    </w:div>
    <w:div w:id="1381786596">
      <w:bodyDiv w:val="1"/>
      <w:marLeft w:val="0"/>
      <w:marRight w:val="0"/>
      <w:marTop w:val="0"/>
      <w:marBottom w:val="0"/>
      <w:divBdr>
        <w:top w:val="none" w:sz="0" w:space="0" w:color="auto"/>
        <w:left w:val="none" w:sz="0" w:space="0" w:color="auto"/>
        <w:bottom w:val="none" w:sz="0" w:space="0" w:color="auto"/>
        <w:right w:val="none" w:sz="0" w:space="0" w:color="auto"/>
      </w:divBdr>
    </w:div>
    <w:div w:id="1384328792">
      <w:bodyDiv w:val="1"/>
      <w:marLeft w:val="0"/>
      <w:marRight w:val="0"/>
      <w:marTop w:val="0"/>
      <w:marBottom w:val="0"/>
      <w:divBdr>
        <w:top w:val="none" w:sz="0" w:space="0" w:color="auto"/>
        <w:left w:val="none" w:sz="0" w:space="0" w:color="auto"/>
        <w:bottom w:val="none" w:sz="0" w:space="0" w:color="auto"/>
        <w:right w:val="none" w:sz="0" w:space="0" w:color="auto"/>
      </w:divBdr>
    </w:div>
    <w:div w:id="1387529002">
      <w:bodyDiv w:val="1"/>
      <w:marLeft w:val="0"/>
      <w:marRight w:val="0"/>
      <w:marTop w:val="0"/>
      <w:marBottom w:val="0"/>
      <w:divBdr>
        <w:top w:val="none" w:sz="0" w:space="0" w:color="auto"/>
        <w:left w:val="none" w:sz="0" w:space="0" w:color="auto"/>
        <w:bottom w:val="none" w:sz="0" w:space="0" w:color="auto"/>
        <w:right w:val="none" w:sz="0" w:space="0" w:color="auto"/>
      </w:divBdr>
    </w:div>
    <w:div w:id="1400134846">
      <w:bodyDiv w:val="1"/>
      <w:marLeft w:val="0"/>
      <w:marRight w:val="0"/>
      <w:marTop w:val="0"/>
      <w:marBottom w:val="0"/>
      <w:divBdr>
        <w:top w:val="none" w:sz="0" w:space="0" w:color="auto"/>
        <w:left w:val="none" w:sz="0" w:space="0" w:color="auto"/>
        <w:bottom w:val="none" w:sz="0" w:space="0" w:color="auto"/>
        <w:right w:val="none" w:sz="0" w:space="0" w:color="auto"/>
      </w:divBdr>
    </w:div>
    <w:div w:id="1401516591">
      <w:bodyDiv w:val="1"/>
      <w:marLeft w:val="0"/>
      <w:marRight w:val="0"/>
      <w:marTop w:val="0"/>
      <w:marBottom w:val="0"/>
      <w:divBdr>
        <w:top w:val="none" w:sz="0" w:space="0" w:color="auto"/>
        <w:left w:val="none" w:sz="0" w:space="0" w:color="auto"/>
        <w:bottom w:val="none" w:sz="0" w:space="0" w:color="auto"/>
        <w:right w:val="none" w:sz="0" w:space="0" w:color="auto"/>
      </w:divBdr>
    </w:div>
    <w:div w:id="1403410701">
      <w:bodyDiv w:val="1"/>
      <w:marLeft w:val="0"/>
      <w:marRight w:val="0"/>
      <w:marTop w:val="0"/>
      <w:marBottom w:val="0"/>
      <w:divBdr>
        <w:top w:val="none" w:sz="0" w:space="0" w:color="auto"/>
        <w:left w:val="none" w:sz="0" w:space="0" w:color="auto"/>
        <w:bottom w:val="none" w:sz="0" w:space="0" w:color="auto"/>
        <w:right w:val="none" w:sz="0" w:space="0" w:color="auto"/>
      </w:divBdr>
    </w:div>
    <w:div w:id="1415512878">
      <w:bodyDiv w:val="1"/>
      <w:marLeft w:val="0"/>
      <w:marRight w:val="0"/>
      <w:marTop w:val="0"/>
      <w:marBottom w:val="0"/>
      <w:divBdr>
        <w:top w:val="none" w:sz="0" w:space="0" w:color="auto"/>
        <w:left w:val="none" w:sz="0" w:space="0" w:color="auto"/>
        <w:bottom w:val="none" w:sz="0" w:space="0" w:color="auto"/>
        <w:right w:val="none" w:sz="0" w:space="0" w:color="auto"/>
      </w:divBdr>
    </w:div>
    <w:div w:id="1420560268">
      <w:bodyDiv w:val="1"/>
      <w:marLeft w:val="0"/>
      <w:marRight w:val="0"/>
      <w:marTop w:val="0"/>
      <w:marBottom w:val="0"/>
      <w:divBdr>
        <w:top w:val="none" w:sz="0" w:space="0" w:color="auto"/>
        <w:left w:val="none" w:sz="0" w:space="0" w:color="auto"/>
        <w:bottom w:val="none" w:sz="0" w:space="0" w:color="auto"/>
        <w:right w:val="none" w:sz="0" w:space="0" w:color="auto"/>
      </w:divBdr>
    </w:div>
    <w:div w:id="1425833297">
      <w:bodyDiv w:val="1"/>
      <w:marLeft w:val="0"/>
      <w:marRight w:val="0"/>
      <w:marTop w:val="0"/>
      <w:marBottom w:val="0"/>
      <w:divBdr>
        <w:top w:val="none" w:sz="0" w:space="0" w:color="auto"/>
        <w:left w:val="none" w:sz="0" w:space="0" w:color="auto"/>
        <w:bottom w:val="none" w:sz="0" w:space="0" w:color="auto"/>
        <w:right w:val="none" w:sz="0" w:space="0" w:color="auto"/>
      </w:divBdr>
    </w:div>
    <w:div w:id="1437096735">
      <w:bodyDiv w:val="1"/>
      <w:marLeft w:val="0"/>
      <w:marRight w:val="0"/>
      <w:marTop w:val="0"/>
      <w:marBottom w:val="0"/>
      <w:divBdr>
        <w:top w:val="none" w:sz="0" w:space="0" w:color="auto"/>
        <w:left w:val="none" w:sz="0" w:space="0" w:color="auto"/>
        <w:bottom w:val="none" w:sz="0" w:space="0" w:color="auto"/>
        <w:right w:val="none" w:sz="0" w:space="0" w:color="auto"/>
      </w:divBdr>
    </w:div>
    <w:div w:id="1437947735">
      <w:bodyDiv w:val="1"/>
      <w:marLeft w:val="0"/>
      <w:marRight w:val="0"/>
      <w:marTop w:val="0"/>
      <w:marBottom w:val="0"/>
      <w:divBdr>
        <w:top w:val="none" w:sz="0" w:space="0" w:color="auto"/>
        <w:left w:val="none" w:sz="0" w:space="0" w:color="auto"/>
        <w:bottom w:val="none" w:sz="0" w:space="0" w:color="auto"/>
        <w:right w:val="none" w:sz="0" w:space="0" w:color="auto"/>
      </w:divBdr>
    </w:div>
    <w:div w:id="1448617925">
      <w:bodyDiv w:val="1"/>
      <w:marLeft w:val="0"/>
      <w:marRight w:val="0"/>
      <w:marTop w:val="0"/>
      <w:marBottom w:val="0"/>
      <w:divBdr>
        <w:top w:val="none" w:sz="0" w:space="0" w:color="auto"/>
        <w:left w:val="none" w:sz="0" w:space="0" w:color="auto"/>
        <w:bottom w:val="none" w:sz="0" w:space="0" w:color="auto"/>
        <w:right w:val="none" w:sz="0" w:space="0" w:color="auto"/>
      </w:divBdr>
      <w:divsChild>
        <w:div w:id="643655753">
          <w:marLeft w:val="547"/>
          <w:marRight w:val="0"/>
          <w:marTop w:val="60"/>
          <w:marBottom w:val="60"/>
          <w:divBdr>
            <w:top w:val="none" w:sz="0" w:space="0" w:color="auto"/>
            <w:left w:val="none" w:sz="0" w:space="0" w:color="auto"/>
            <w:bottom w:val="none" w:sz="0" w:space="0" w:color="auto"/>
            <w:right w:val="none" w:sz="0" w:space="0" w:color="auto"/>
          </w:divBdr>
        </w:div>
      </w:divsChild>
    </w:div>
    <w:div w:id="1449356600">
      <w:bodyDiv w:val="1"/>
      <w:marLeft w:val="0"/>
      <w:marRight w:val="0"/>
      <w:marTop w:val="0"/>
      <w:marBottom w:val="0"/>
      <w:divBdr>
        <w:top w:val="none" w:sz="0" w:space="0" w:color="auto"/>
        <w:left w:val="none" w:sz="0" w:space="0" w:color="auto"/>
        <w:bottom w:val="none" w:sz="0" w:space="0" w:color="auto"/>
        <w:right w:val="none" w:sz="0" w:space="0" w:color="auto"/>
      </w:divBdr>
    </w:div>
    <w:div w:id="1457218871">
      <w:bodyDiv w:val="1"/>
      <w:marLeft w:val="0"/>
      <w:marRight w:val="0"/>
      <w:marTop w:val="0"/>
      <w:marBottom w:val="0"/>
      <w:divBdr>
        <w:top w:val="none" w:sz="0" w:space="0" w:color="auto"/>
        <w:left w:val="none" w:sz="0" w:space="0" w:color="auto"/>
        <w:bottom w:val="none" w:sz="0" w:space="0" w:color="auto"/>
        <w:right w:val="none" w:sz="0" w:space="0" w:color="auto"/>
      </w:divBdr>
    </w:div>
    <w:div w:id="1473476409">
      <w:bodyDiv w:val="1"/>
      <w:marLeft w:val="0"/>
      <w:marRight w:val="0"/>
      <w:marTop w:val="0"/>
      <w:marBottom w:val="0"/>
      <w:divBdr>
        <w:top w:val="none" w:sz="0" w:space="0" w:color="auto"/>
        <w:left w:val="none" w:sz="0" w:space="0" w:color="auto"/>
        <w:bottom w:val="none" w:sz="0" w:space="0" w:color="auto"/>
        <w:right w:val="none" w:sz="0" w:space="0" w:color="auto"/>
      </w:divBdr>
    </w:div>
    <w:div w:id="1482111517">
      <w:bodyDiv w:val="1"/>
      <w:marLeft w:val="0"/>
      <w:marRight w:val="0"/>
      <w:marTop w:val="0"/>
      <w:marBottom w:val="0"/>
      <w:divBdr>
        <w:top w:val="none" w:sz="0" w:space="0" w:color="auto"/>
        <w:left w:val="none" w:sz="0" w:space="0" w:color="auto"/>
        <w:bottom w:val="none" w:sz="0" w:space="0" w:color="auto"/>
        <w:right w:val="none" w:sz="0" w:space="0" w:color="auto"/>
      </w:divBdr>
    </w:div>
    <w:div w:id="1486513864">
      <w:bodyDiv w:val="1"/>
      <w:marLeft w:val="0"/>
      <w:marRight w:val="0"/>
      <w:marTop w:val="0"/>
      <w:marBottom w:val="0"/>
      <w:divBdr>
        <w:top w:val="none" w:sz="0" w:space="0" w:color="auto"/>
        <w:left w:val="none" w:sz="0" w:space="0" w:color="auto"/>
        <w:bottom w:val="none" w:sz="0" w:space="0" w:color="auto"/>
        <w:right w:val="none" w:sz="0" w:space="0" w:color="auto"/>
      </w:divBdr>
    </w:div>
    <w:div w:id="1487356591">
      <w:bodyDiv w:val="1"/>
      <w:marLeft w:val="0"/>
      <w:marRight w:val="0"/>
      <w:marTop w:val="0"/>
      <w:marBottom w:val="0"/>
      <w:divBdr>
        <w:top w:val="none" w:sz="0" w:space="0" w:color="auto"/>
        <w:left w:val="none" w:sz="0" w:space="0" w:color="auto"/>
        <w:bottom w:val="none" w:sz="0" w:space="0" w:color="auto"/>
        <w:right w:val="none" w:sz="0" w:space="0" w:color="auto"/>
      </w:divBdr>
    </w:div>
    <w:div w:id="1494372423">
      <w:bodyDiv w:val="1"/>
      <w:marLeft w:val="0"/>
      <w:marRight w:val="0"/>
      <w:marTop w:val="0"/>
      <w:marBottom w:val="0"/>
      <w:divBdr>
        <w:top w:val="none" w:sz="0" w:space="0" w:color="auto"/>
        <w:left w:val="none" w:sz="0" w:space="0" w:color="auto"/>
        <w:bottom w:val="none" w:sz="0" w:space="0" w:color="auto"/>
        <w:right w:val="none" w:sz="0" w:space="0" w:color="auto"/>
      </w:divBdr>
    </w:div>
    <w:div w:id="1534998747">
      <w:bodyDiv w:val="1"/>
      <w:marLeft w:val="0"/>
      <w:marRight w:val="0"/>
      <w:marTop w:val="0"/>
      <w:marBottom w:val="0"/>
      <w:divBdr>
        <w:top w:val="none" w:sz="0" w:space="0" w:color="auto"/>
        <w:left w:val="none" w:sz="0" w:space="0" w:color="auto"/>
        <w:bottom w:val="none" w:sz="0" w:space="0" w:color="auto"/>
        <w:right w:val="none" w:sz="0" w:space="0" w:color="auto"/>
      </w:divBdr>
    </w:div>
    <w:div w:id="1540820188">
      <w:bodyDiv w:val="1"/>
      <w:marLeft w:val="0"/>
      <w:marRight w:val="0"/>
      <w:marTop w:val="0"/>
      <w:marBottom w:val="0"/>
      <w:divBdr>
        <w:top w:val="none" w:sz="0" w:space="0" w:color="auto"/>
        <w:left w:val="none" w:sz="0" w:space="0" w:color="auto"/>
        <w:bottom w:val="none" w:sz="0" w:space="0" w:color="auto"/>
        <w:right w:val="none" w:sz="0" w:space="0" w:color="auto"/>
      </w:divBdr>
    </w:div>
    <w:div w:id="1541897127">
      <w:bodyDiv w:val="1"/>
      <w:marLeft w:val="0"/>
      <w:marRight w:val="0"/>
      <w:marTop w:val="0"/>
      <w:marBottom w:val="0"/>
      <w:divBdr>
        <w:top w:val="none" w:sz="0" w:space="0" w:color="auto"/>
        <w:left w:val="none" w:sz="0" w:space="0" w:color="auto"/>
        <w:bottom w:val="none" w:sz="0" w:space="0" w:color="auto"/>
        <w:right w:val="none" w:sz="0" w:space="0" w:color="auto"/>
      </w:divBdr>
    </w:div>
    <w:div w:id="1551066208">
      <w:bodyDiv w:val="1"/>
      <w:marLeft w:val="0"/>
      <w:marRight w:val="0"/>
      <w:marTop w:val="0"/>
      <w:marBottom w:val="0"/>
      <w:divBdr>
        <w:top w:val="none" w:sz="0" w:space="0" w:color="auto"/>
        <w:left w:val="none" w:sz="0" w:space="0" w:color="auto"/>
        <w:bottom w:val="none" w:sz="0" w:space="0" w:color="auto"/>
        <w:right w:val="none" w:sz="0" w:space="0" w:color="auto"/>
      </w:divBdr>
    </w:div>
    <w:div w:id="1556040562">
      <w:bodyDiv w:val="1"/>
      <w:marLeft w:val="0"/>
      <w:marRight w:val="0"/>
      <w:marTop w:val="0"/>
      <w:marBottom w:val="0"/>
      <w:divBdr>
        <w:top w:val="none" w:sz="0" w:space="0" w:color="auto"/>
        <w:left w:val="none" w:sz="0" w:space="0" w:color="auto"/>
        <w:bottom w:val="none" w:sz="0" w:space="0" w:color="auto"/>
        <w:right w:val="none" w:sz="0" w:space="0" w:color="auto"/>
      </w:divBdr>
    </w:div>
    <w:div w:id="1557274375">
      <w:bodyDiv w:val="1"/>
      <w:marLeft w:val="0"/>
      <w:marRight w:val="0"/>
      <w:marTop w:val="0"/>
      <w:marBottom w:val="0"/>
      <w:divBdr>
        <w:top w:val="none" w:sz="0" w:space="0" w:color="auto"/>
        <w:left w:val="none" w:sz="0" w:space="0" w:color="auto"/>
        <w:bottom w:val="none" w:sz="0" w:space="0" w:color="auto"/>
        <w:right w:val="none" w:sz="0" w:space="0" w:color="auto"/>
      </w:divBdr>
    </w:div>
    <w:div w:id="1577468970">
      <w:bodyDiv w:val="1"/>
      <w:marLeft w:val="0"/>
      <w:marRight w:val="0"/>
      <w:marTop w:val="0"/>
      <w:marBottom w:val="0"/>
      <w:divBdr>
        <w:top w:val="none" w:sz="0" w:space="0" w:color="auto"/>
        <w:left w:val="none" w:sz="0" w:space="0" w:color="auto"/>
        <w:bottom w:val="none" w:sz="0" w:space="0" w:color="auto"/>
        <w:right w:val="none" w:sz="0" w:space="0" w:color="auto"/>
      </w:divBdr>
    </w:div>
    <w:div w:id="1577860882">
      <w:bodyDiv w:val="1"/>
      <w:marLeft w:val="0"/>
      <w:marRight w:val="0"/>
      <w:marTop w:val="0"/>
      <w:marBottom w:val="0"/>
      <w:divBdr>
        <w:top w:val="none" w:sz="0" w:space="0" w:color="auto"/>
        <w:left w:val="none" w:sz="0" w:space="0" w:color="auto"/>
        <w:bottom w:val="none" w:sz="0" w:space="0" w:color="auto"/>
        <w:right w:val="none" w:sz="0" w:space="0" w:color="auto"/>
      </w:divBdr>
    </w:div>
    <w:div w:id="1601185934">
      <w:bodyDiv w:val="1"/>
      <w:marLeft w:val="0"/>
      <w:marRight w:val="0"/>
      <w:marTop w:val="0"/>
      <w:marBottom w:val="0"/>
      <w:divBdr>
        <w:top w:val="none" w:sz="0" w:space="0" w:color="auto"/>
        <w:left w:val="none" w:sz="0" w:space="0" w:color="auto"/>
        <w:bottom w:val="none" w:sz="0" w:space="0" w:color="auto"/>
        <w:right w:val="none" w:sz="0" w:space="0" w:color="auto"/>
      </w:divBdr>
    </w:div>
    <w:div w:id="1606041049">
      <w:bodyDiv w:val="1"/>
      <w:marLeft w:val="0"/>
      <w:marRight w:val="0"/>
      <w:marTop w:val="0"/>
      <w:marBottom w:val="0"/>
      <w:divBdr>
        <w:top w:val="none" w:sz="0" w:space="0" w:color="auto"/>
        <w:left w:val="none" w:sz="0" w:space="0" w:color="auto"/>
        <w:bottom w:val="none" w:sz="0" w:space="0" w:color="auto"/>
        <w:right w:val="none" w:sz="0" w:space="0" w:color="auto"/>
      </w:divBdr>
    </w:div>
    <w:div w:id="1607887994">
      <w:bodyDiv w:val="1"/>
      <w:marLeft w:val="0"/>
      <w:marRight w:val="0"/>
      <w:marTop w:val="0"/>
      <w:marBottom w:val="0"/>
      <w:divBdr>
        <w:top w:val="none" w:sz="0" w:space="0" w:color="auto"/>
        <w:left w:val="none" w:sz="0" w:space="0" w:color="auto"/>
        <w:bottom w:val="none" w:sz="0" w:space="0" w:color="auto"/>
        <w:right w:val="none" w:sz="0" w:space="0" w:color="auto"/>
      </w:divBdr>
    </w:div>
    <w:div w:id="1611549947">
      <w:bodyDiv w:val="1"/>
      <w:marLeft w:val="0"/>
      <w:marRight w:val="0"/>
      <w:marTop w:val="0"/>
      <w:marBottom w:val="0"/>
      <w:divBdr>
        <w:top w:val="none" w:sz="0" w:space="0" w:color="auto"/>
        <w:left w:val="none" w:sz="0" w:space="0" w:color="auto"/>
        <w:bottom w:val="none" w:sz="0" w:space="0" w:color="auto"/>
        <w:right w:val="none" w:sz="0" w:space="0" w:color="auto"/>
      </w:divBdr>
      <w:divsChild>
        <w:div w:id="2037392215">
          <w:marLeft w:val="0"/>
          <w:marRight w:val="0"/>
          <w:marTop w:val="0"/>
          <w:marBottom w:val="0"/>
          <w:divBdr>
            <w:top w:val="none" w:sz="0" w:space="0" w:color="auto"/>
            <w:left w:val="none" w:sz="0" w:space="0" w:color="auto"/>
            <w:bottom w:val="none" w:sz="0" w:space="0" w:color="auto"/>
            <w:right w:val="none" w:sz="0" w:space="0" w:color="auto"/>
          </w:divBdr>
          <w:divsChild>
            <w:div w:id="198188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125931">
      <w:bodyDiv w:val="1"/>
      <w:marLeft w:val="0"/>
      <w:marRight w:val="0"/>
      <w:marTop w:val="0"/>
      <w:marBottom w:val="0"/>
      <w:divBdr>
        <w:top w:val="none" w:sz="0" w:space="0" w:color="auto"/>
        <w:left w:val="none" w:sz="0" w:space="0" w:color="auto"/>
        <w:bottom w:val="none" w:sz="0" w:space="0" w:color="auto"/>
        <w:right w:val="none" w:sz="0" w:space="0" w:color="auto"/>
      </w:divBdr>
    </w:div>
    <w:div w:id="1612474747">
      <w:bodyDiv w:val="1"/>
      <w:marLeft w:val="0"/>
      <w:marRight w:val="0"/>
      <w:marTop w:val="0"/>
      <w:marBottom w:val="0"/>
      <w:divBdr>
        <w:top w:val="none" w:sz="0" w:space="0" w:color="auto"/>
        <w:left w:val="none" w:sz="0" w:space="0" w:color="auto"/>
        <w:bottom w:val="none" w:sz="0" w:space="0" w:color="auto"/>
        <w:right w:val="none" w:sz="0" w:space="0" w:color="auto"/>
      </w:divBdr>
    </w:div>
    <w:div w:id="1617835029">
      <w:bodyDiv w:val="1"/>
      <w:marLeft w:val="0"/>
      <w:marRight w:val="0"/>
      <w:marTop w:val="0"/>
      <w:marBottom w:val="0"/>
      <w:divBdr>
        <w:top w:val="none" w:sz="0" w:space="0" w:color="auto"/>
        <w:left w:val="none" w:sz="0" w:space="0" w:color="auto"/>
        <w:bottom w:val="none" w:sz="0" w:space="0" w:color="auto"/>
        <w:right w:val="none" w:sz="0" w:space="0" w:color="auto"/>
      </w:divBdr>
    </w:div>
    <w:div w:id="1625844492">
      <w:bodyDiv w:val="1"/>
      <w:marLeft w:val="0"/>
      <w:marRight w:val="0"/>
      <w:marTop w:val="0"/>
      <w:marBottom w:val="0"/>
      <w:divBdr>
        <w:top w:val="none" w:sz="0" w:space="0" w:color="auto"/>
        <w:left w:val="none" w:sz="0" w:space="0" w:color="auto"/>
        <w:bottom w:val="none" w:sz="0" w:space="0" w:color="auto"/>
        <w:right w:val="none" w:sz="0" w:space="0" w:color="auto"/>
      </w:divBdr>
    </w:div>
    <w:div w:id="1642268248">
      <w:bodyDiv w:val="1"/>
      <w:marLeft w:val="0"/>
      <w:marRight w:val="0"/>
      <w:marTop w:val="0"/>
      <w:marBottom w:val="0"/>
      <w:divBdr>
        <w:top w:val="none" w:sz="0" w:space="0" w:color="auto"/>
        <w:left w:val="none" w:sz="0" w:space="0" w:color="auto"/>
        <w:bottom w:val="none" w:sz="0" w:space="0" w:color="auto"/>
        <w:right w:val="none" w:sz="0" w:space="0" w:color="auto"/>
      </w:divBdr>
    </w:div>
    <w:div w:id="1644041172">
      <w:bodyDiv w:val="1"/>
      <w:marLeft w:val="0"/>
      <w:marRight w:val="0"/>
      <w:marTop w:val="0"/>
      <w:marBottom w:val="0"/>
      <w:divBdr>
        <w:top w:val="none" w:sz="0" w:space="0" w:color="auto"/>
        <w:left w:val="none" w:sz="0" w:space="0" w:color="auto"/>
        <w:bottom w:val="none" w:sz="0" w:space="0" w:color="auto"/>
        <w:right w:val="none" w:sz="0" w:space="0" w:color="auto"/>
      </w:divBdr>
    </w:div>
    <w:div w:id="1649625481">
      <w:bodyDiv w:val="1"/>
      <w:marLeft w:val="0"/>
      <w:marRight w:val="0"/>
      <w:marTop w:val="0"/>
      <w:marBottom w:val="0"/>
      <w:divBdr>
        <w:top w:val="none" w:sz="0" w:space="0" w:color="auto"/>
        <w:left w:val="none" w:sz="0" w:space="0" w:color="auto"/>
        <w:bottom w:val="none" w:sz="0" w:space="0" w:color="auto"/>
        <w:right w:val="none" w:sz="0" w:space="0" w:color="auto"/>
      </w:divBdr>
    </w:div>
    <w:div w:id="1655986705">
      <w:bodyDiv w:val="1"/>
      <w:marLeft w:val="0"/>
      <w:marRight w:val="0"/>
      <w:marTop w:val="0"/>
      <w:marBottom w:val="0"/>
      <w:divBdr>
        <w:top w:val="none" w:sz="0" w:space="0" w:color="auto"/>
        <w:left w:val="none" w:sz="0" w:space="0" w:color="auto"/>
        <w:bottom w:val="none" w:sz="0" w:space="0" w:color="auto"/>
        <w:right w:val="none" w:sz="0" w:space="0" w:color="auto"/>
      </w:divBdr>
    </w:div>
    <w:div w:id="1660771217">
      <w:bodyDiv w:val="1"/>
      <w:marLeft w:val="0"/>
      <w:marRight w:val="0"/>
      <w:marTop w:val="0"/>
      <w:marBottom w:val="0"/>
      <w:divBdr>
        <w:top w:val="none" w:sz="0" w:space="0" w:color="auto"/>
        <w:left w:val="none" w:sz="0" w:space="0" w:color="auto"/>
        <w:bottom w:val="none" w:sz="0" w:space="0" w:color="auto"/>
        <w:right w:val="none" w:sz="0" w:space="0" w:color="auto"/>
      </w:divBdr>
    </w:div>
    <w:div w:id="1671565524">
      <w:bodyDiv w:val="1"/>
      <w:marLeft w:val="0"/>
      <w:marRight w:val="0"/>
      <w:marTop w:val="0"/>
      <w:marBottom w:val="0"/>
      <w:divBdr>
        <w:top w:val="none" w:sz="0" w:space="0" w:color="auto"/>
        <w:left w:val="none" w:sz="0" w:space="0" w:color="auto"/>
        <w:bottom w:val="none" w:sz="0" w:space="0" w:color="auto"/>
        <w:right w:val="none" w:sz="0" w:space="0" w:color="auto"/>
      </w:divBdr>
    </w:div>
    <w:div w:id="1687555947">
      <w:bodyDiv w:val="1"/>
      <w:marLeft w:val="0"/>
      <w:marRight w:val="0"/>
      <w:marTop w:val="0"/>
      <w:marBottom w:val="0"/>
      <w:divBdr>
        <w:top w:val="none" w:sz="0" w:space="0" w:color="auto"/>
        <w:left w:val="none" w:sz="0" w:space="0" w:color="auto"/>
        <w:bottom w:val="none" w:sz="0" w:space="0" w:color="auto"/>
        <w:right w:val="none" w:sz="0" w:space="0" w:color="auto"/>
      </w:divBdr>
    </w:div>
    <w:div w:id="1690645124">
      <w:bodyDiv w:val="1"/>
      <w:marLeft w:val="0"/>
      <w:marRight w:val="0"/>
      <w:marTop w:val="0"/>
      <w:marBottom w:val="0"/>
      <w:divBdr>
        <w:top w:val="none" w:sz="0" w:space="0" w:color="auto"/>
        <w:left w:val="none" w:sz="0" w:space="0" w:color="auto"/>
        <w:bottom w:val="none" w:sz="0" w:space="0" w:color="auto"/>
        <w:right w:val="none" w:sz="0" w:space="0" w:color="auto"/>
      </w:divBdr>
    </w:div>
    <w:div w:id="1698238359">
      <w:bodyDiv w:val="1"/>
      <w:marLeft w:val="0"/>
      <w:marRight w:val="0"/>
      <w:marTop w:val="0"/>
      <w:marBottom w:val="0"/>
      <w:divBdr>
        <w:top w:val="none" w:sz="0" w:space="0" w:color="auto"/>
        <w:left w:val="none" w:sz="0" w:space="0" w:color="auto"/>
        <w:bottom w:val="none" w:sz="0" w:space="0" w:color="auto"/>
        <w:right w:val="none" w:sz="0" w:space="0" w:color="auto"/>
      </w:divBdr>
    </w:div>
    <w:div w:id="1698847202">
      <w:bodyDiv w:val="1"/>
      <w:marLeft w:val="0"/>
      <w:marRight w:val="0"/>
      <w:marTop w:val="0"/>
      <w:marBottom w:val="0"/>
      <w:divBdr>
        <w:top w:val="none" w:sz="0" w:space="0" w:color="auto"/>
        <w:left w:val="none" w:sz="0" w:space="0" w:color="auto"/>
        <w:bottom w:val="none" w:sz="0" w:space="0" w:color="auto"/>
        <w:right w:val="none" w:sz="0" w:space="0" w:color="auto"/>
      </w:divBdr>
    </w:div>
    <w:div w:id="1699695270">
      <w:bodyDiv w:val="1"/>
      <w:marLeft w:val="0"/>
      <w:marRight w:val="0"/>
      <w:marTop w:val="0"/>
      <w:marBottom w:val="0"/>
      <w:divBdr>
        <w:top w:val="none" w:sz="0" w:space="0" w:color="auto"/>
        <w:left w:val="none" w:sz="0" w:space="0" w:color="auto"/>
        <w:bottom w:val="none" w:sz="0" w:space="0" w:color="auto"/>
        <w:right w:val="none" w:sz="0" w:space="0" w:color="auto"/>
      </w:divBdr>
    </w:div>
    <w:div w:id="1705330870">
      <w:bodyDiv w:val="1"/>
      <w:marLeft w:val="0"/>
      <w:marRight w:val="0"/>
      <w:marTop w:val="0"/>
      <w:marBottom w:val="0"/>
      <w:divBdr>
        <w:top w:val="none" w:sz="0" w:space="0" w:color="auto"/>
        <w:left w:val="none" w:sz="0" w:space="0" w:color="auto"/>
        <w:bottom w:val="none" w:sz="0" w:space="0" w:color="auto"/>
        <w:right w:val="none" w:sz="0" w:space="0" w:color="auto"/>
      </w:divBdr>
    </w:div>
    <w:div w:id="1716540556">
      <w:bodyDiv w:val="1"/>
      <w:marLeft w:val="0"/>
      <w:marRight w:val="0"/>
      <w:marTop w:val="0"/>
      <w:marBottom w:val="0"/>
      <w:divBdr>
        <w:top w:val="none" w:sz="0" w:space="0" w:color="auto"/>
        <w:left w:val="none" w:sz="0" w:space="0" w:color="auto"/>
        <w:bottom w:val="none" w:sz="0" w:space="0" w:color="auto"/>
        <w:right w:val="none" w:sz="0" w:space="0" w:color="auto"/>
      </w:divBdr>
    </w:div>
    <w:div w:id="1717580854">
      <w:bodyDiv w:val="1"/>
      <w:marLeft w:val="0"/>
      <w:marRight w:val="0"/>
      <w:marTop w:val="0"/>
      <w:marBottom w:val="0"/>
      <w:divBdr>
        <w:top w:val="none" w:sz="0" w:space="0" w:color="auto"/>
        <w:left w:val="none" w:sz="0" w:space="0" w:color="auto"/>
        <w:bottom w:val="none" w:sz="0" w:space="0" w:color="auto"/>
        <w:right w:val="none" w:sz="0" w:space="0" w:color="auto"/>
      </w:divBdr>
    </w:div>
    <w:div w:id="1720015816">
      <w:bodyDiv w:val="1"/>
      <w:marLeft w:val="0"/>
      <w:marRight w:val="0"/>
      <w:marTop w:val="0"/>
      <w:marBottom w:val="0"/>
      <w:divBdr>
        <w:top w:val="none" w:sz="0" w:space="0" w:color="auto"/>
        <w:left w:val="none" w:sz="0" w:space="0" w:color="auto"/>
        <w:bottom w:val="none" w:sz="0" w:space="0" w:color="auto"/>
        <w:right w:val="none" w:sz="0" w:space="0" w:color="auto"/>
      </w:divBdr>
    </w:div>
    <w:div w:id="1739522504">
      <w:bodyDiv w:val="1"/>
      <w:marLeft w:val="0"/>
      <w:marRight w:val="0"/>
      <w:marTop w:val="0"/>
      <w:marBottom w:val="0"/>
      <w:divBdr>
        <w:top w:val="none" w:sz="0" w:space="0" w:color="auto"/>
        <w:left w:val="none" w:sz="0" w:space="0" w:color="auto"/>
        <w:bottom w:val="none" w:sz="0" w:space="0" w:color="auto"/>
        <w:right w:val="none" w:sz="0" w:space="0" w:color="auto"/>
      </w:divBdr>
    </w:div>
    <w:div w:id="1744138857">
      <w:bodyDiv w:val="1"/>
      <w:marLeft w:val="0"/>
      <w:marRight w:val="0"/>
      <w:marTop w:val="0"/>
      <w:marBottom w:val="0"/>
      <w:divBdr>
        <w:top w:val="none" w:sz="0" w:space="0" w:color="auto"/>
        <w:left w:val="none" w:sz="0" w:space="0" w:color="auto"/>
        <w:bottom w:val="none" w:sz="0" w:space="0" w:color="auto"/>
        <w:right w:val="none" w:sz="0" w:space="0" w:color="auto"/>
      </w:divBdr>
    </w:div>
    <w:div w:id="1750888498">
      <w:bodyDiv w:val="1"/>
      <w:marLeft w:val="0"/>
      <w:marRight w:val="0"/>
      <w:marTop w:val="0"/>
      <w:marBottom w:val="0"/>
      <w:divBdr>
        <w:top w:val="none" w:sz="0" w:space="0" w:color="auto"/>
        <w:left w:val="none" w:sz="0" w:space="0" w:color="auto"/>
        <w:bottom w:val="none" w:sz="0" w:space="0" w:color="auto"/>
        <w:right w:val="none" w:sz="0" w:space="0" w:color="auto"/>
      </w:divBdr>
    </w:div>
    <w:div w:id="1784760741">
      <w:bodyDiv w:val="1"/>
      <w:marLeft w:val="0"/>
      <w:marRight w:val="0"/>
      <w:marTop w:val="0"/>
      <w:marBottom w:val="0"/>
      <w:divBdr>
        <w:top w:val="none" w:sz="0" w:space="0" w:color="auto"/>
        <w:left w:val="none" w:sz="0" w:space="0" w:color="auto"/>
        <w:bottom w:val="none" w:sz="0" w:space="0" w:color="auto"/>
        <w:right w:val="none" w:sz="0" w:space="0" w:color="auto"/>
      </w:divBdr>
    </w:div>
    <w:div w:id="1789658928">
      <w:bodyDiv w:val="1"/>
      <w:marLeft w:val="0"/>
      <w:marRight w:val="0"/>
      <w:marTop w:val="0"/>
      <w:marBottom w:val="0"/>
      <w:divBdr>
        <w:top w:val="none" w:sz="0" w:space="0" w:color="auto"/>
        <w:left w:val="none" w:sz="0" w:space="0" w:color="auto"/>
        <w:bottom w:val="none" w:sz="0" w:space="0" w:color="auto"/>
        <w:right w:val="none" w:sz="0" w:space="0" w:color="auto"/>
      </w:divBdr>
    </w:div>
    <w:div w:id="1810049640">
      <w:bodyDiv w:val="1"/>
      <w:marLeft w:val="0"/>
      <w:marRight w:val="0"/>
      <w:marTop w:val="0"/>
      <w:marBottom w:val="0"/>
      <w:divBdr>
        <w:top w:val="none" w:sz="0" w:space="0" w:color="auto"/>
        <w:left w:val="none" w:sz="0" w:space="0" w:color="auto"/>
        <w:bottom w:val="none" w:sz="0" w:space="0" w:color="auto"/>
        <w:right w:val="none" w:sz="0" w:space="0" w:color="auto"/>
      </w:divBdr>
    </w:div>
    <w:div w:id="1816994232">
      <w:bodyDiv w:val="1"/>
      <w:marLeft w:val="0"/>
      <w:marRight w:val="0"/>
      <w:marTop w:val="0"/>
      <w:marBottom w:val="0"/>
      <w:divBdr>
        <w:top w:val="none" w:sz="0" w:space="0" w:color="auto"/>
        <w:left w:val="none" w:sz="0" w:space="0" w:color="auto"/>
        <w:bottom w:val="none" w:sz="0" w:space="0" w:color="auto"/>
        <w:right w:val="none" w:sz="0" w:space="0" w:color="auto"/>
      </w:divBdr>
    </w:div>
    <w:div w:id="1824394528">
      <w:bodyDiv w:val="1"/>
      <w:marLeft w:val="0"/>
      <w:marRight w:val="0"/>
      <w:marTop w:val="0"/>
      <w:marBottom w:val="0"/>
      <w:divBdr>
        <w:top w:val="none" w:sz="0" w:space="0" w:color="auto"/>
        <w:left w:val="none" w:sz="0" w:space="0" w:color="auto"/>
        <w:bottom w:val="none" w:sz="0" w:space="0" w:color="auto"/>
        <w:right w:val="none" w:sz="0" w:space="0" w:color="auto"/>
      </w:divBdr>
    </w:div>
    <w:div w:id="1830124904">
      <w:bodyDiv w:val="1"/>
      <w:marLeft w:val="0"/>
      <w:marRight w:val="0"/>
      <w:marTop w:val="0"/>
      <w:marBottom w:val="0"/>
      <w:divBdr>
        <w:top w:val="none" w:sz="0" w:space="0" w:color="auto"/>
        <w:left w:val="none" w:sz="0" w:space="0" w:color="auto"/>
        <w:bottom w:val="none" w:sz="0" w:space="0" w:color="auto"/>
        <w:right w:val="none" w:sz="0" w:space="0" w:color="auto"/>
      </w:divBdr>
    </w:div>
    <w:div w:id="1832401238">
      <w:bodyDiv w:val="1"/>
      <w:marLeft w:val="0"/>
      <w:marRight w:val="0"/>
      <w:marTop w:val="0"/>
      <w:marBottom w:val="0"/>
      <w:divBdr>
        <w:top w:val="none" w:sz="0" w:space="0" w:color="auto"/>
        <w:left w:val="none" w:sz="0" w:space="0" w:color="auto"/>
        <w:bottom w:val="none" w:sz="0" w:space="0" w:color="auto"/>
        <w:right w:val="none" w:sz="0" w:space="0" w:color="auto"/>
      </w:divBdr>
    </w:div>
    <w:div w:id="1834252566">
      <w:bodyDiv w:val="1"/>
      <w:marLeft w:val="0"/>
      <w:marRight w:val="0"/>
      <w:marTop w:val="0"/>
      <w:marBottom w:val="0"/>
      <w:divBdr>
        <w:top w:val="none" w:sz="0" w:space="0" w:color="auto"/>
        <w:left w:val="none" w:sz="0" w:space="0" w:color="auto"/>
        <w:bottom w:val="none" w:sz="0" w:space="0" w:color="auto"/>
        <w:right w:val="none" w:sz="0" w:space="0" w:color="auto"/>
      </w:divBdr>
    </w:div>
    <w:div w:id="1852796836">
      <w:bodyDiv w:val="1"/>
      <w:marLeft w:val="0"/>
      <w:marRight w:val="0"/>
      <w:marTop w:val="0"/>
      <w:marBottom w:val="0"/>
      <w:divBdr>
        <w:top w:val="none" w:sz="0" w:space="0" w:color="auto"/>
        <w:left w:val="none" w:sz="0" w:space="0" w:color="auto"/>
        <w:bottom w:val="none" w:sz="0" w:space="0" w:color="auto"/>
        <w:right w:val="none" w:sz="0" w:space="0" w:color="auto"/>
      </w:divBdr>
    </w:div>
    <w:div w:id="1878925352">
      <w:bodyDiv w:val="1"/>
      <w:marLeft w:val="0"/>
      <w:marRight w:val="0"/>
      <w:marTop w:val="0"/>
      <w:marBottom w:val="0"/>
      <w:divBdr>
        <w:top w:val="none" w:sz="0" w:space="0" w:color="auto"/>
        <w:left w:val="none" w:sz="0" w:space="0" w:color="auto"/>
        <w:bottom w:val="none" w:sz="0" w:space="0" w:color="auto"/>
        <w:right w:val="none" w:sz="0" w:space="0" w:color="auto"/>
      </w:divBdr>
    </w:div>
    <w:div w:id="1883010636">
      <w:bodyDiv w:val="1"/>
      <w:marLeft w:val="0"/>
      <w:marRight w:val="0"/>
      <w:marTop w:val="0"/>
      <w:marBottom w:val="0"/>
      <w:divBdr>
        <w:top w:val="none" w:sz="0" w:space="0" w:color="auto"/>
        <w:left w:val="none" w:sz="0" w:space="0" w:color="auto"/>
        <w:bottom w:val="none" w:sz="0" w:space="0" w:color="auto"/>
        <w:right w:val="none" w:sz="0" w:space="0" w:color="auto"/>
      </w:divBdr>
    </w:div>
    <w:div w:id="1884319262">
      <w:bodyDiv w:val="1"/>
      <w:marLeft w:val="0"/>
      <w:marRight w:val="0"/>
      <w:marTop w:val="0"/>
      <w:marBottom w:val="0"/>
      <w:divBdr>
        <w:top w:val="none" w:sz="0" w:space="0" w:color="auto"/>
        <w:left w:val="none" w:sz="0" w:space="0" w:color="auto"/>
        <w:bottom w:val="none" w:sz="0" w:space="0" w:color="auto"/>
        <w:right w:val="none" w:sz="0" w:space="0" w:color="auto"/>
      </w:divBdr>
    </w:div>
    <w:div w:id="1894388255">
      <w:bodyDiv w:val="1"/>
      <w:marLeft w:val="0"/>
      <w:marRight w:val="0"/>
      <w:marTop w:val="0"/>
      <w:marBottom w:val="0"/>
      <w:divBdr>
        <w:top w:val="none" w:sz="0" w:space="0" w:color="auto"/>
        <w:left w:val="none" w:sz="0" w:space="0" w:color="auto"/>
        <w:bottom w:val="none" w:sz="0" w:space="0" w:color="auto"/>
        <w:right w:val="none" w:sz="0" w:space="0" w:color="auto"/>
      </w:divBdr>
    </w:div>
    <w:div w:id="1894609507">
      <w:bodyDiv w:val="1"/>
      <w:marLeft w:val="0"/>
      <w:marRight w:val="0"/>
      <w:marTop w:val="0"/>
      <w:marBottom w:val="0"/>
      <w:divBdr>
        <w:top w:val="none" w:sz="0" w:space="0" w:color="auto"/>
        <w:left w:val="none" w:sz="0" w:space="0" w:color="auto"/>
        <w:bottom w:val="none" w:sz="0" w:space="0" w:color="auto"/>
        <w:right w:val="none" w:sz="0" w:space="0" w:color="auto"/>
      </w:divBdr>
    </w:div>
    <w:div w:id="1894854847">
      <w:bodyDiv w:val="1"/>
      <w:marLeft w:val="0"/>
      <w:marRight w:val="0"/>
      <w:marTop w:val="0"/>
      <w:marBottom w:val="0"/>
      <w:divBdr>
        <w:top w:val="none" w:sz="0" w:space="0" w:color="auto"/>
        <w:left w:val="none" w:sz="0" w:space="0" w:color="auto"/>
        <w:bottom w:val="none" w:sz="0" w:space="0" w:color="auto"/>
        <w:right w:val="none" w:sz="0" w:space="0" w:color="auto"/>
      </w:divBdr>
    </w:div>
    <w:div w:id="1906524883">
      <w:bodyDiv w:val="1"/>
      <w:marLeft w:val="0"/>
      <w:marRight w:val="0"/>
      <w:marTop w:val="0"/>
      <w:marBottom w:val="0"/>
      <w:divBdr>
        <w:top w:val="none" w:sz="0" w:space="0" w:color="auto"/>
        <w:left w:val="none" w:sz="0" w:space="0" w:color="auto"/>
        <w:bottom w:val="none" w:sz="0" w:space="0" w:color="auto"/>
        <w:right w:val="none" w:sz="0" w:space="0" w:color="auto"/>
      </w:divBdr>
    </w:div>
    <w:div w:id="1907915307">
      <w:bodyDiv w:val="1"/>
      <w:marLeft w:val="0"/>
      <w:marRight w:val="0"/>
      <w:marTop w:val="0"/>
      <w:marBottom w:val="0"/>
      <w:divBdr>
        <w:top w:val="none" w:sz="0" w:space="0" w:color="auto"/>
        <w:left w:val="none" w:sz="0" w:space="0" w:color="auto"/>
        <w:bottom w:val="none" w:sz="0" w:space="0" w:color="auto"/>
        <w:right w:val="none" w:sz="0" w:space="0" w:color="auto"/>
      </w:divBdr>
    </w:div>
    <w:div w:id="1915511159">
      <w:bodyDiv w:val="1"/>
      <w:marLeft w:val="0"/>
      <w:marRight w:val="0"/>
      <w:marTop w:val="0"/>
      <w:marBottom w:val="0"/>
      <w:divBdr>
        <w:top w:val="none" w:sz="0" w:space="0" w:color="auto"/>
        <w:left w:val="none" w:sz="0" w:space="0" w:color="auto"/>
        <w:bottom w:val="none" w:sz="0" w:space="0" w:color="auto"/>
        <w:right w:val="none" w:sz="0" w:space="0" w:color="auto"/>
      </w:divBdr>
    </w:div>
    <w:div w:id="1926917200">
      <w:bodyDiv w:val="1"/>
      <w:marLeft w:val="0"/>
      <w:marRight w:val="0"/>
      <w:marTop w:val="0"/>
      <w:marBottom w:val="0"/>
      <w:divBdr>
        <w:top w:val="none" w:sz="0" w:space="0" w:color="auto"/>
        <w:left w:val="none" w:sz="0" w:space="0" w:color="auto"/>
        <w:bottom w:val="none" w:sz="0" w:space="0" w:color="auto"/>
        <w:right w:val="none" w:sz="0" w:space="0" w:color="auto"/>
      </w:divBdr>
      <w:divsChild>
        <w:div w:id="1214124820">
          <w:marLeft w:val="0"/>
          <w:marRight w:val="0"/>
          <w:marTop w:val="0"/>
          <w:marBottom w:val="0"/>
          <w:divBdr>
            <w:top w:val="none" w:sz="0" w:space="0" w:color="auto"/>
            <w:left w:val="none" w:sz="0" w:space="0" w:color="auto"/>
            <w:bottom w:val="none" w:sz="0" w:space="0" w:color="auto"/>
            <w:right w:val="none" w:sz="0" w:space="0" w:color="auto"/>
          </w:divBdr>
          <w:divsChild>
            <w:div w:id="149699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735367">
      <w:bodyDiv w:val="1"/>
      <w:marLeft w:val="0"/>
      <w:marRight w:val="0"/>
      <w:marTop w:val="0"/>
      <w:marBottom w:val="0"/>
      <w:divBdr>
        <w:top w:val="none" w:sz="0" w:space="0" w:color="auto"/>
        <w:left w:val="none" w:sz="0" w:space="0" w:color="auto"/>
        <w:bottom w:val="none" w:sz="0" w:space="0" w:color="auto"/>
        <w:right w:val="none" w:sz="0" w:space="0" w:color="auto"/>
      </w:divBdr>
    </w:div>
    <w:div w:id="1935629215">
      <w:bodyDiv w:val="1"/>
      <w:marLeft w:val="0"/>
      <w:marRight w:val="0"/>
      <w:marTop w:val="0"/>
      <w:marBottom w:val="0"/>
      <w:divBdr>
        <w:top w:val="none" w:sz="0" w:space="0" w:color="auto"/>
        <w:left w:val="none" w:sz="0" w:space="0" w:color="auto"/>
        <w:bottom w:val="none" w:sz="0" w:space="0" w:color="auto"/>
        <w:right w:val="none" w:sz="0" w:space="0" w:color="auto"/>
      </w:divBdr>
    </w:div>
    <w:div w:id="1936934998">
      <w:bodyDiv w:val="1"/>
      <w:marLeft w:val="0"/>
      <w:marRight w:val="0"/>
      <w:marTop w:val="0"/>
      <w:marBottom w:val="0"/>
      <w:divBdr>
        <w:top w:val="none" w:sz="0" w:space="0" w:color="auto"/>
        <w:left w:val="none" w:sz="0" w:space="0" w:color="auto"/>
        <w:bottom w:val="none" w:sz="0" w:space="0" w:color="auto"/>
        <w:right w:val="none" w:sz="0" w:space="0" w:color="auto"/>
      </w:divBdr>
    </w:div>
    <w:div w:id="1946187849">
      <w:bodyDiv w:val="1"/>
      <w:marLeft w:val="0"/>
      <w:marRight w:val="0"/>
      <w:marTop w:val="0"/>
      <w:marBottom w:val="0"/>
      <w:divBdr>
        <w:top w:val="none" w:sz="0" w:space="0" w:color="auto"/>
        <w:left w:val="none" w:sz="0" w:space="0" w:color="auto"/>
        <w:bottom w:val="none" w:sz="0" w:space="0" w:color="auto"/>
        <w:right w:val="none" w:sz="0" w:space="0" w:color="auto"/>
      </w:divBdr>
    </w:div>
    <w:div w:id="1949308377">
      <w:bodyDiv w:val="1"/>
      <w:marLeft w:val="0"/>
      <w:marRight w:val="0"/>
      <w:marTop w:val="0"/>
      <w:marBottom w:val="0"/>
      <w:divBdr>
        <w:top w:val="none" w:sz="0" w:space="0" w:color="auto"/>
        <w:left w:val="none" w:sz="0" w:space="0" w:color="auto"/>
        <w:bottom w:val="none" w:sz="0" w:space="0" w:color="auto"/>
        <w:right w:val="none" w:sz="0" w:space="0" w:color="auto"/>
      </w:divBdr>
    </w:div>
    <w:div w:id="1950815227">
      <w:bodyDiv w:val="1"/>
      <w:marLeft w:val="0"/>
      <w:marRight w:val="0"/>
      <w:marTop w:val="0"/>
      <w:marBottom w:val="0"/>
      <w:divBdr>
        <w:top w:val="none" w:sz="0" w:space="0" w:color="auto"/>
        <w:left w:val="none" w:sz="0" w:space="0" w:color="auto"/>
        <w:bottom w:val="none" w:sz="0" w:space="0" w:color="auto"/>
        <w:right w:val="none" w:sz="0" w:space="0" w:color="auto"/>
      </w:divBdr>
    </w:div>
    <w:div w:id="1967394224">
      <w:bodyDiv w:val="1"/>
      <w:marLeft w:val="0"/>
      <w:marRight w:val="0"/>
      <w:marTop w:val="0"/>
      <w:marBottom w:val="0"/>
      <w:divBdr>
        <w:top w:val="none" w:sz="0" w:space="0" w:color="auto"/>
        <w:left w:val="none" w:sz="0" w:space="0" w:color="auto"/>
        <w:bottom w:val="none" w:sz="0" w:space="0" w:color="auto"/>
        <w:right w:val="none" w:sz="0" w:space="0" w:color="auto"/>
      </w:divBdr>
    </w:div>
    <w:div w:id="1968583559">
      <w:bodyDiv w:val="1"/>
      <w:marLeft w:val="0"/>
      <w:marRight w:val="0"/>
      <w:marTop w:val="0"/>
      <w:marBottom w:val="0"/>
      <w:divBdr>
        <w:top w:val="none" w:sz="0" w:space="0" w:color="auto"/>
        <w:left w:val="none" w:sz="0" w:space="0" w:color="auto"/>
        <w:bottom w:val="none" w:sz="0" w:space="0" w:color="auto"/>
        <w:right w:val="none" w:sz="0" w:space="0" w:color="auto"/>
      </w:divBdr>
    </w:div>
    <w:div w:id="1970738668">
      <w:bodyDiv w:val="1"/>
      <w:marLeft w:val="0"/>
      <w:marRight w:val="0"/>
      <w:marTop w:val="0"/>
      <w:marBottom w:val="0"/>
      <w:divBdr>
        <w:top w:val="none" w:sz="0" w:space="0" w:color="auto"/>
        <w:left w:val="none" w:sz="0" w:space="0" w:color="auto"/>
        <w:bottom w:val="none" w:sz="0" w:space="0" w:color="auto"/>
        <w:right w:val="none" w:sz="0" w:space="0" w:color="auto"/>
      </w:divBdr>
    </w:div>
    <w:div w:id="1973167520">
      <w:bodyDiv w:val="1"/>
      <w:marLeft w:val="0"/>
      <w:marRight w:val="0"/>
      <w:marTop w:val="0"/>
      <w:marBottom w:val="0"/>
      <w:divBdr>
        <w:top w:val="none" w:sz="0" w:space="0" w:color="auto"/>
        <w:left w:val="none" w:sz="0" w:space="0" w:color="auto"/>
        <w:bottom w:val="none" w:sz="0" w:space="0" w:color="auto"/>
        <w:right w:val="none" w:sz="0" w:space="0" w:color="auto"/>
      </w:divBdr>
    </w:div>
    <w:div w:id="1974675213">
      <w:bodyDiv w:val="1"/>
      <w:marLeft w:val="0"/>
      <w:marRight w:val="0"/>
      <w:marTop w:val="0"/>
      <w:marBottom w:val="0"/>
      <w:divBdr>
        <w:top w:val="none" w:sz="0" w:space="0" w:color="auto"/>
        <w:left w:val="none" w:sz="0" w:space="0" w:color="auto"/>
        <w:bottom w:val="none" w:sz="0" w:space="0" w:color="auto"/>
        <w:right w:val="none" w:sz="0" w:space="0" w:color="auto"/>
      </w:divBdr>
    </w:div>
    <w:div w:id="1981694002">
      <w:bodyDiv w:val="1"/>
      <w:marLeft w:val="0"/>
      <w:marRight w:val="0"/>
      <w:marTop w:val="0"/>
      <w:marBottom w:val="0"/>
      <w:divBdr>
        <w:top w:val="none" w:sz="0" w:space="0" w:color="auto"/>
        <w:left w:val="none" w:sz="0" w:space="0" w:color="auto"/>
        <w:bottom w:val="none" w:sz="0" w:space="0" w:color="auto"/>
        <w:right w:val="none" w:sz="0" w:space="0" w:color="auto"/>
      </w:divBdr>
    </w:div>
    <w:div w:id="1983002299">
      <w:bodyDiv w:val="1"/>
      <w:marLeft w:val="0"/>
      <w:marRight w:val="0"/>
      <w:marTop w:val="0"/>
      <w:marBottom w:val="0"/>
      <w:divBdr>
        <w:top w:val="none" w:sz="0" w:space="0" w:color="auto"/>
        <w:left w:val="none" w:sz="0" w:space="0" w:color="auto"/>
        <w:bottom w:val="none" w:sz="0" w:space="0" w:color="auto"/>
        <w:right w:val="none" w:sz="0" w:space="0" w:color="auto"/>
      </w:divBdr>
    </w:div>
    <w:div w:id="1989896046">
      <w:bodyDiv w:val="1"/>
      <w:marLeft w:val="0"/>
      <w:marRight w:val="0"/>
      <w:marTop w:val="0"/>
      <w:marBottom w:val="0"/>
      <w:divBdr>
        <w:top w:val="none" w:sz="0" w:space="0" w:color="auto"/>
        <w:left w:val="none" w:sz="0" w:space="0" w:color="auto"/>
        <w:bottom w:val="none" w:sz="0" w:space="0" w:color="auto"/>
        <w:right w:val="none" w:sz="0" w:space="0" w:color="auto"/>
      </w:divBdr>
    </w:div>
    <w:div w:id="2003194849">
      <w:bodyDiv w:val="1"/>
      <w:marLeft w:val="0"/>
      <w:marRight w:val="0"/>
      <w:marTop w:val="0"/>
      <w:marBottom w:val="0"/>
      <w:divBdr>
        <w:top w:val="none" w:sz="0" w:space="0" w:color="auto"/>
        <w:left w:val="none" w:sz="0" w:space="0" w:color="auto"/>
        <w:bottom w:val="none" w:sz="0" w:space="0" w:color="auto"/>
        <w:right w:val="none" w:sz="0" w:space="0" w:color="auto"/>
      </w:divBdr>
    </w:div>
    <w:div w:id="2003267271">
      <w:bodyDiv w:val="1"/>
      <w:marLeft w:val="0"/>
      <w:marRight w:val="0"/>
      <w:marTop w:val="0"/>
      <w:marBottom w:val="0"/>
      <w:divBdr>
        <w:top w:val="none" w:sz="0" w:space="0" w:color="auto"/>
        <w:left w:val="none" w:sz="0" w:space="0" w:color="auto"/>
        <w:bottom w:val="none" w:sz="0" w:space="0" w:color="auto"/>
        <w:right w:val="none" w:sz="0" w:space="0" w:color="auto"/>
      </w:divBdr>
    </w:div>
    <w:div w:id="2018999197">
      <w:bodyDiv w:val="1"/>
      <w:marLeft w:val="0"/>
      <w:marRight w:val="0"/>
      <w:marTop w:val="0"/>
      <w:marBottom w:val="0"/>
      <w:divBdr>
        <w:top w:val="none" w:sz="0" w:space="0" w:color="auto"/>
        <w:left w:val="none" w:sz="0" w:space="0" w:color="auto"/>
        <w:bottom w:val="none" w:sz="0" w:space="0" w:color="auto"/>
        <w:right w:val="none" w:sz="0" w:space="0" w:color="auto"/>
      </w:divBdr>
    </w:div>
    <w:div w:id="2025940557">
      <w:bodyDiv w:val="1"/>
      <w:marLeft w:val="0"/>
      <w:marRight w:val="0"/>
      <w:marTop w:val="0"/>
      <w:marBottom w:val="0"/>
      <w:divBdr>
        <w:top w:val="none" w:sz="0" w:space="0" w:color="auto"/>
        <w:left w:val="none" w:sz="0" w:space="0" w:color="auto"/>
        <w:bottom w:val="none" w:sz="0" w:space="0" w:color="auto"/>
        <w:right w:val="none" w:sz="0" w:space="0" w:color="auto"/>
      </w:divBdr>
    </w:div>
    <w:div w:id="2032145769">
      <w:bodyDiv w:val="1"/>
      <w:marLeft w:val="0"/>
      <w:marRight w:val="0"/>
      <w:marTop w:val="0"/>
      <w:marBottom w:val="0"/>
      <w:divBdr>
        <w:top w:val="none" w:sz="0" w:space="0" w:color="auto"/>
        <w:left w:val="none" w:sz="0" w:space="0" w:color="auto"/>
        <w:bottom w:val="none" w:sz="0" w:space="0" w:color="auto"/>
        <w:right w:val="none" w:sz="0" w:space="0" w:color="auto"/>
      </w:divBdr>
    </w:div>
    <w:div w:id="2054228493">
      <w:bodyDiv w:val="1"/>
      <w:marLeft w:val="0"/>
      <w:marRight w:val="0"/>
      <w:marTop w:val="0"/>
      <w:marBottom w:val="0"/>
      <w:divBdr>
        <w:top w:val="none" w:sz="0" w:space="0" w:color="auto"/>
        <w:left w:val="none" w:sz="0" w:space="0" w:color="auto"/>
        <w:bottom w:val="none" w:sz="0" w:space="0" w:color="auto"/>
        <w:right w:val="none" w:sz="0" w:space="0" w:color="auto"/>
      </w:divBdr>
    </w:div>
    <w:div w:id="2068844436">
      <w:bodyDiv w:val="1"/>
      <w:marLeft w:val="0"/>
      <w:marRight w:val="0"/>
      <w:marTop w:val="0"/>
      <w:marBottom w:val="0"/>
      <w:divBdr>
        <w:top w:val="none" w:sz="0" w:space="0" w:color="auto"/>
        <w:left w:val="none" w:sz="0" w:space="0" w:color="auto"/>
        <w:bottom w:val="none" w:sz="0" w:space="0" w:color="auto"/>
        <w:right w:val="none" w:sz="0" w:space="0" w:color="auto"/>
      </w:divBdr>
    </w:div>
    <w:div w:id="2068915671">
      <w:bodyDiv w:val="1"/>
      <w:marLeft w:val="0"/>
      <w:marRight w:val="0"/>
      <w:marTop w:val="0"/>
      <w:marBottom w:val="0"/>
      <w:divBdr>
        <w:top w:val="none" w:sz="0" w:space="0" w:color="auto"/>
        <w:left w:val="none" w:sz="0" w:space="0" w:color="auto"/>
        <w:bottom w:val="none" w:sz="0" w:space="0" w:color="auto"/>
        <w:right w:val="none" w:sz="0" w:space="0" w:color="auto"/>
      </w:divBdr>
    </w:div>
    <w:div w:id="2071028469">
      <w:bodyDiv w:val="1"/>
      <w:marLeft w:val="0"/>
      <w:marRight w:val="0"/>
      <w:marTop w:val="0"/>
      <w:marBottom w:val="0"/>
      <w:divBdr>
        <w:top w:val="none" w:sz="0" w:space="0" w:color="auto"/>
        <w:left w:val="none" w:sz="0" w:space="0" w:color="auto"/>
        <w:bottom w:val="none" w:sz="0" w:space="0" w:color="auto"/>
        <w:right w:val="none" w:sz="0" w:space="0" w:color="auto"/>
      </w:divBdr>
    </w:div>
    <w:div w:id="2074692833">
      <w:bodyDiv w:val="1"/>
      <w:marLeft w:val="0"/>
      <w:marRight w:val="0"/>
      <w:marTop w:val="0"/>
      <w:marBottom w:val="0"/>
      <w:divBdr>
        <w:top w:val="none" w:sz="0" w:space="0" w:color="auto"/>
        <w:left w:val="none" w:sz="0" w:space="0" w:color="auto"/>
        <w:bottom w:val="none" w:sz="0" w:space="0" w:color="auto"/>
        <w:right w:val="none" w:sz="0" w:space="0" w:color="auto"/>
      </w:divBdr>
    </w:div>
    <w:div w:id="2074696927">
      <w:bodyDiv w:val="1"/>
      <w:marLeft w:val="0"/>
      <w:marRight w:val="0"/>
      <w:marTop w:val="0"/>
      <w:marBottom w:val="0"/>
      <w:divBdr>
        <w:top w:val="none" w:sz="0" w:space="0" w:color="auto"/>
        <w:left w:val="none" w:sz="0" w:space="0" w:color="auto"/>
        <w:bottom w:val="none" w:sz="0" w:space="0" w:color="auto"/>
        <w:right w:val="none" w:sz="0" w:space="0" w:color="auto"/>
      </w:divBdr>
    </w:div>
    <w:div w:id="2080708102">
      <w:bodyDiv w:val="1"/>
      <w:marLeft w:val="0"/>
      <w:marRight w:val="0"/>
      <w:marTop w:val="0"/>
      <w:marBottom w:val="0"/>
      <w:divBdr>
        <w:top w:val="none" w:sz="0" w:space="0" w:color="auto"/>
        <w:left w:val="none" w:sz="0" w:space="0" w:color="auto"/>
        <w:bottom w:val="none" w:sz="0" w:space="0" w:color="auto"/>
        <w:right w:val="none" w:sz="0" w:space="0" w:color="auto"/>
      </w:divBdr>
    </w:div>
    <w:div w:id="2081440491">
      <w:bodyDiv w:val="1"/>
      <w:marLeft w:val="0"/>
      <w:marRight w:val="0"/>
      <w:marTop w:val="0"/>
      <w:marBottom w:val="0"/>
      <w:divBdr>
        <w:top w:val="none" w:sz="0" w:space="0" w:color="auto"/>
        <w:left w:val="none" w:sz="0" w:space="0" w:color="auto"/>
        <w:bottom w:val="none" w:sz="0" w:space="0" w:color="auto"/>
        <w:right w:val="none" w:sz="0" w:space="0" w:color="auto"/>
      </w:divBdr>
    </w:div>
    <w:div w:id="2084990322">
      <w:bodyDiv w:val="1"/>
      <w:marLeft w:val="0"/>
      <w:marRight w:val="0"/>
      <w:marTop w:val="0"/>
      <w:marBottom w:val="0"/>
      <w:divBdr>
        <w:top w:val="none" w:sz="0" w:space="0" w:color="auto"/>
        <w:left w:val="none" w:sz="0" w:space="0" w:color="auto"/>
        <w:bottom w:val="none" w:sz="0" w:space="0" w:color="auto"/>
        <w:right w:val="none" w:sz="0" w:space="0" w:color="auto"/>
      </w:divBdr>
    </w:div>
    <w:div w:id="2090349708">
      <w:bodyDiv w:val="1"/>
      <w:marLeft w:val="0"/>
      <w:marRight w:val="0"/>
      <w:marTop w:val="0"/>
      <w:marBottom w:val="0"/>
      <w:divBdr>
        <w:top w:val="none" w:sz="0" w:space="0" w:color="auto"/>
        <w:left w:val="none" w:sz="0" w:space="0" w:color="auto"/>
        <w:bottom w:val="none" w:sz="0" w:space="0" w:color="auto"/>
        <w:right w:val="none" w:sz="0" w:space="0" w:color="auto"/>
      </w:divBdr>
    </w:div>
    <w:div w:id="2119064244">
      <w:bodyDiv w:val="1"/>
      <w:marLeft w:val="0"/>
      <w:marRight w:val="0"/>
      <w:marTop w:val="0"/>
      <w:marBottom w:val="0"/>
      <w:divBdr>
        <w:top w:val="none" w:sz="0" w:space="0" w:color="auto"/>
        <w:left w:val="none" w:sz="0" w:space="0" w:color="auto"/>
        <w:bottom w:val="none" w:sz="0" w:space="0" w:color="auto"/>
        <w:right w:val="none" w:sz="0" w:space="0" w:color="auto"/>
      </w:divBdr>
    </w:div>
    <w:div w:id="2125420050">
      <w:bodyDiv w:val="1"/>
      <w:marLeft w:val="0"/>
      <w:marRight w:val="0"/>
      <w:marTop w:val="0"/>
      <w:marBottom w:val="0"/>
      <w:divBdr>
        <w:top w:val="none" w:sz="0" w:space="0" w:color="auto"/>
        <w:left w:val="none" w:sz="0" w:space="0" w:color="auto"/>
        <w:bottom w:val="none" w:sz="0" w:space="0" w:color="auto"/>
        <w:right w:val="none" w:sz="0" w:space="0" w:color="auto"/>
      </w:divBdr>
    </w:div>
    <w:div w:id="2125689119">
      <w:bodyDiv w:val="1"/>
      <w:marLeft w:val="0"/>
      <w:marRight w:val="0"/>
      <w:marTop w:val="0"/>
      <w:marBottom w:val="0"/>
      <w:divBdr>
        <w:top w:val="none" w:sz="0" w:space="0" w:color="auto"/>
        <w:left w:val="none" w:sz="0" w:space="0" w:color="auto"/>
        <w:bottom w:val="none" w:sz="0" w:space="0" w:color="auto"/>
        <w:right w:val="none" w:sz="0" w:space="0" w:color="auto"/>
      </w:divBdr>
    </w:div>
    <w:div w:id="2136096656">
      <w:bodyDiv w:val="1"/>
      <w:marLeft w:val="0"/>
      <w:marRight w:val="0"/>
      <w:marTop w:val="0"/>
      <w:marBottom w:val="0"/>
      <w:divBdr>
        <w:top w:val="none" w:sz="0" w:space="0" w:color="auto"/>
        <w:left w:val="none" w:sz="0" w:space="0" w:color="auto"/>
        <w:bottom w:val="none" w:sz="0" w:space="0" w:color="auto"/>
        <w:right w:val="none" w:sz="0" w:space="0" w:color="auto"/>
      </w:divBdr>
    </w:div>
    <w:div w:id="2139179191">
      <w:bodyDiv w:val="1"/>
      <w:marLeft w:val="0"/>
      <w:marRight w:val="0"/>
      <w:marTop w:val="0"/>
      <w:marBottom w:val="0"/>
      <w:divBdr>
        <w:top w:val="none" w:sz="0" w:space="0" w:color="auto"/>
        <w:left w:val="none" w:sz="0" w:space="0" w:color="auto"/>
        <w:bottom w:val="none" w:sz="0" w:space="0" w:color="auto"/>
        <w:right w:val="none" w:sz="0" w:space="0" w:color="auto"/>
      </w:divBdr>
    </w:div>
    <w:div w:id="2143574452">
      <w:bodyDiv w:val="1"/>
      <w:marLeft w:val="0"/>
      <w:marRight w:val="0"/>
      <w:marTop w:val="0"/>
      <w:marBottom w:val="0"/>
      <w:divBdr>
        <w:top w:val="none" w:sz="0" w:space="0" w:color="auto"/>
        <w:left w:val="none" w:sz="0" w:space="0" w:color="auto"/>
        <w:bottom w:val="none" w:sz="0" w:space="0" w:color="auto"/>
        <w:right w:val="none" w:sz="0" w:space="0" w:color="auto"/>
      </w:divBdr>
    </w:div>
    <w:div w:id="21442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DECCD6A0"/><Relationship Id="rId25" Type="http://schemas.openxmlformats.org/officeDocument/2006/relationships/image" Target="media/image17.png"/><Relationship Id="rId33" Type="http://schemas.openxmlformats.org/officeDocument/2006/relationships/image" Target="media/image25.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Exx23</b:Tag>
    <b:SourceType>InternetSite</b:SourceType>
    <b:Guid>{54B47093-3A0D-42AB-8BEA-940F731A47F4}</b:Guid>
    <b:Title>Our global organization</b:Title>
    <b:InternetSiteTitle>Exxon Mobil</b:InternetSiteTitle>
    <b:URL>https://corporate.exxonmobil.com/who-we-are/our-global-organization</b:URL>
    <b:Author>
      <b:Author>
        <b:NameList>
          <b:Person>
            <b:Last>Mobil</b:Last>
            <b:First>Exxon</b:First>
          </b:Person>
        </b:NameList>
      </b:Author>
    </b:Author>
    <b:YearAccessed>2023</b:YearAccessed>
    <b:MonthAccessed>05</b:MonthAccessed>
    <b:DayAccessed>18</b:DayAccessed>
    <b:Year>2024</b:Year>
    <b:RefOrder>1</b:RefOrder>
  </b:Source>
  <b:Source>
    <b:Tag>Joh24</b:Tag>
    <b:SourceType>InternetSite</b:SourceType>
    <b:Guid>{1523867F-1D7D-49FC-9663-DAC9474E8168}</b:Guid>
    <b:Author>
      <b:Author>
        <b:NameList>
          <b:Person>
            <b:Last>Johnivan</b:Last>
            <b:First>J.R.</b:First>
          </b:Person>
        </b:NameList>
      </b:Author>
    </b:Author>
    <b:Title>What Is a Critical Path Method in Project Management</b:Title>
    <b:InternetSiteTitle>Project Management</b:InternetSiteTitle>
    <b:Year>2024</b:Year>
    <b:Month>April</b:Month>
    <b:URL>https://project-management.com/what-is-critical-path/</b:URL>
    <b:YearAccessed>2024</b:YearAccessed>
    <b:MonthAccessed>May</b:MonthAccessed>
    <b:DayAccessed>17</b:DayAccessed>
    <b:RefOrder>2</b:RefOrder>
  </b:Source>
  <b:Source>
    <b:Tag>Val242</b:Tag>
    <b:SourceType>InternetSite</b:SourceType>
    <b:Guid>{C26F5984-C2A6-45AC-B6DE-CC64195C8076}</b:Guid>
    <b:Title>Valero Pembroke Refinery</b:Title>
    <b:Year>2024</b:Year>
    <b:Author>
      <b:Author>
        <b:NameList>
          <b:Person>
            <b:Last>Valero</b:Last>
          </b:Person>
        </b:NameList>
      </b:Author>
    </b:Author>
    <b:URL>https://www.valero.com/about/locations/pembroke-refinery</b:URL>
    <b:RefOrder>3</b:RefOrder>
  </b:Source>
  <b:Source>
    <b:Tag>Sek23</b:Tag>
    <b:SourceType>InternetSite</b:SourceType>
    <b:Guid>{2F9E2B92-16ED-497E-A539-FC664342EF6B}</b:Guid>
    <b:Title>Wiley online library</b:Title>
    <b:InternetSiteTitle>Heat Exchanger Design</b:InternetSiteTitle>
    <b:Year>2023</b:Year>
    <b:Month>September</b:Month>
    <b:URL>https://onlinelibrary.wiley.com/doi/epdf/10.1002/9781119883296.fmatter</b:URL>
    <b:YearAccessed>2024</b:YearAccessed>
    <b:MonthAccessed>May</b:MonthAccessed>
    <b:DayAccessed>20</b:DayAccessed>
    <b:Author>
      <b:Author>
        <b:NameList>
          <b:Person>
            <b:Last>Sekulic</b:Last>
            <b:First>Dusan</b:First>
          </b:Person>
          <b:Person>
            <b:Last>Shah</b:Last>
            <b:First>Ramesh</b:First>
          </b:Person>
        </b:NameList>
      </b:Author>
    </b:Author>
    <b:RefOrder>4</b:RefOrder>
  </b:Source>
  <b:Source>
    <b:Tag>Wil82</b:Tag>
    <b:SourceType>Book</b:SourceType>
    <b:Guid>{59F2C3EC-A035-45E2-9512-7B5AD4F826ED}</b:Guid>
    <b:Title>Shell &amp; Tube Heat Exchangers</b:Title>
    <b:Year>1982</b:Year>
    <b:Publisher>A S M International</b:Publisher>
    <b:Author>
      <b:Author>
        <b:NameList>
          <b:Person>
            <b:Last>William</b:Last>
            <b:First>R</b:First>
          </b:Person>
          <b:Person>
            <b:Last>Apblett</b:Last>
            <b:First>JR</b:First>
          </b:Person>
        </b:NameList>
      </b:Author>
    </b:Author>
    <b:RefOrder>5</b:RefOrder>
  </b:Source>
  <b:Source>
    <b:Tag>Ans24</b:Tag>
    <b:SourceType>InternetSite</b:SourceType>
    <b:Guid>{7EF27D50-4145-47F7-AF4F-C2C8852739DB}</b:Guid>
    <b:Title>U Tube Heat Exchanger</b:Title>
    <b:Year>2024</b:Year>
    <b:URL>http://www.ansonindustry.com/pressure-vessel/u-tube-heat-exchanger.html</b:URL>
    <b:YearAccessed>2024</b:YearAccessed>
    <b:MonthAccessed>May</b:MonthAccessed>
    <b:DayAccessed>20</b:DayAccessed>
    <b:Author>
      <b:Author>
        <b:NameList>
          <b:Person>
            <b:Last>Anson</b:Last>
          </b:Person>
        </b:NameList>
      </b:Author>
    </b:Author>
    <b:RefOrder>6</b:RefOrder>
  </b:Source>
  <b:Source>
    <b:Tag>Eva22</b:Tag>
    <b:SourceType>InternetSite</b:SourceType>
    <b:Guid>{A02689F7-9B5E-45D8-956F-727A62DC920F}</b:Guid>
    <b:Author>
      <b:Author>
        <b:NameList>
          <b:Person>
            <b:Last>Evapco</b:Last>
          </b:Person>
        </b:NameList>
      </b:Author>
    </b:Author>
    <b:Year>2022</b:Year>
    <b:URL>https://www.evapco.dk/da/hvad-er-en-varmeveksler</b:URL>
    <b:YearAccessed>2024</b:YearAccessed>
    <b:MonthAccessed>May</b:MonthAccessed>
    <b:DayAccessed>21</b:DayAccessed>
    <b:RefOrder>7</b:RefOrder>
  </b:Source>
  <b:Source>
    <b:Tag>Piv18</b:Tag>
    <b:SourceType>JournalArticle</b:SourceType>
    <b:Guid>{55B56668-47C1-4069-841D-9C23C381FA74}</b:Guid>
    <b:Title>Heat Transfer and Global Energy Balance in a Plate Heat Exchanger</b:Title>
    <b:Year>2018</b:Year>
    <b:Author>
      <b:Author>
        <b:NameList>
          <b:Person>
            <b:Last>Pivarčiová</b:Last>
            <b:First>Elena</b:First>
          </b:Person>
          <b:Person>
            <b:Last>Qazizada</b:Last>
            <b:Middle>Emal</b:Middle>
            <b:First>Mohammad</b:First>
          </b:Person>
        </b:NameList>
      </b:Author>
    </b:Author>
    <b:RefOrder>8</b:RefOrder>
  </b:Source>
  <b:Source>
    <b:Tag>San19</b:Tag>
    <b:SourceType>JournalArticle</b:SourceType>
    <b:Guid>{564CAF69-AA8A-453B-A0A7-AE0A4FF11F99}</b:Guid>
    <b:Author>
      <b:Author>
        <b:NameList>
          <b:Person>
            <b:Last>Santamaria</b:Last>
          </b:Person>
        </b:NameList>
      </b:Author>
    </b:Author>
    <b:Title>Cleaning scheduling and control of heat exchanger</b:Title>
    <b:Year>2019</b:Year>
    <b:RefOrder>9</b:RefOrder>
  </b:Source>
  <b:Source>
    <b:Tag>HSD24</b:Tag>
    <b:SourceType>InternetSite</b:SourceType>
    <b:Guid>{FC6815B3-D70E-4D78-8D26-823BDCFB450A}</b:Guid>
    <b:Title>Safe Systems of Work </b:Title>
    <b:Year>2024</b:Year>
    <b:Author>
      <b:Author>
        <b:NameList>
          <b:Person>
            <b:Last>Dept</b:Last>
            <b:First>HS</b:First>
          </b:Person>
        </b:NameList>
      </b:Author>
    </b:Author>
    <b:URL>https://www.hsdept.co.uk/services/safe-systems-of-work/</b:URL>
    <b:RefOrder>10</b:RefOrder>
  </b:Source>
  <b:Source>
    <b:Tag>Aja24</b:Tag>
    <b:SourceType>InternetSite</b:SourceType>
    <b:Guid>{BC546E4D-CA0E-DE4B-8791-DFB9A65AA58B}</b:Guid>
    <b:Author>
      <b:Author>
        <b:NameList>
          <b:Person>
            <b:Last>Ajaks</b:Last>
          </b:Person>
        </b:NameList>
      </b:Author>
    </b:Author>
    <b:Title>Ajaks heavy duty industrial cleaning</b:Title>
    <b:URL>https://ajaks.com/en/services/heavy-duty-industrial-cleaning</b:URL>
    <b:Year>2024</b:Year>
    <b:YearAccessed>2024</b:YearAccessed>
    <b:MonthAccessed>May</b:MonthAccessed>
    <b:DayAccessed>20</b:DayAccessed>
    <b:RefOrder>11</b:RefOrder>
  </b:Source>
  <b:Source>
    <b:Tag>Placeholder2</b:Tag>
    <b:SourceType>InternetSite</b:SourceType>
    <b:Guid>{5F38F22E-44C4-3343-A9C9-4DB7EAA2CB35}</b:Guid>
    <b:RefOrder>12</b:RefOrder>
  </b:Source>
  <b:Source>
    <b:Tag>Placeholder3</b:Tag>
    <b:SourceType>JournalArticle</b:SourceType>
    <b:Guid>{A60649FF-04F3-5B43-A6D0-4C59CEF357AE}</b:Guid>
    <b:Title>SWOT Analysis: A Theoretical Review</b:Title>
    <b:Year>2017</b:Year>
    <b:Author>
      <b:Author>
        <b:NameList>
          <b:Person>
            <b:Last>Gurel</b:Last>
            <b:First>E</b:First>
          </b:Person>
          <b:Person>
            <b:Last>Tat</b:Last>
            <b:First>M</b:First>
          </b:Person>
        </b:NameList>
      </b:Author>
    </b:Author>
    <b:RefOrder>13</b:RefOrder>
  </b:Source>
  <b:Source>
    <b:Tag>Placeholder4</b:Tag>
    <b:SourceType>JournalArticle</b:SourceType>
    <b:Guid>{30B96A31-E818-2D44-B0C9-F127B28C35E2}</b:Guid>
    <b:RefOrder>14</b:RefOrder>
  </b:Source>
  <b:Source>
    <b:Tag>Thu12</b:Tag>
    <b:SourceType>Book</b:SourceType>
    <b:Guid>{89F372C2-B8D6-4246-9194-76AB10A994EC}</b:Guid>
    <b:Title>Heat Exchangers</b:Title>
    <b:Year>2012</b:Year>
    <b:Author>
      <b:Author>
        <b:NameList>
          <b:Person>
            <b:Last>Thulukkanam</b:Last>
            <b:First>Kuppan</b:First>
          </b:Person>
        </b:NameList>
      </b:Author>
    </b:Author>
    <b:RefOrder>15</b:RefOrder>
  </b:Source>
  <b:Source>
    <b:Tag>Spe17</b:Tag>
    <b:SourceType>Book</b:SourceType>
    <b:Guid>{2C0F1326-6BF8-884B-B839-183133BAF6D9}</b:Guid>
    <b:Author>
      <b:Author>
        <b:NameList>
          <b:Person>
            <b:Last>Speth</b:Last>
            <b:First>Christophe</b:First>
          </b:Person>
        </b:NameList>
      </b:Author>
    </b:Author>
    <b:Title>The SWOT Analysis</b:Title>
    <b:Year>2017</b:Year>
    <b:RefOrder>16</b:RefOrder>
  </b:Source>
  <b:Source>
    <b:Tag>HSE24</b:Tag>
    <b:SourceType>InternetSite</b:SourceType>
    <b:Guid>{B0B63E72-59E0-B948-BB13-0DFDF38C94AC}</b:Guid>
    <b:Year>2024</b:Year>
    <b:Author>
      <b:Author>
        <b:NameList>
          <b:Person>
            <b:Last>HSE</b:Last>
          </b:Person>
        </b:NameList>
      </b:Author>
    </b:Author>
    <b:URL>https://www.hse.gov.uk/managing/management-system/index.htm</b:URL>
    <b:YearAccessed>2024</b:YearAccessed>
    <b:MonthAccessed>May</b:MonthAccessed>
    <b:DayAccessed>22</b:DayAccessed>
    <b:RefOrder>17</b:RefOrder>
  </b:Source>
  <b:Source>
    <b:Tag>Sca21</b:Tag>
    <b:SourceType>JournalArticle</b:SourceType>
    <b:Guid>{71B09390-7380-A64E-BCA9-80295D3F31B9}</b:Guid>
    <b:Title>Impact and Cost - Benefit Analysis</b:Title>
    <b:Year>2021</b:Year>
    <b:Author>
      <b:Author>
        <b:NameList>
          <b:Person>
            <b:Last>Scandizzo</b:Last>
            <b:First>Pasquale</b:First>
          </b:Person>
        </b:NameList>
      </b:Author>
    </b:Author>
    <b:RefOrder>18</b:RefOrder>
  </b:Source>
</b:Sources>
</file>

<file path=customXml/itemProps1.xml><?xml version="1.0" encoding="utf-8"?>
<ds:datastoreItem xmlns:ds="http://schemas.openxmlformats.org/officeDocument/2006/customXml" ds:itemID="{8740E977-EA3D-4A55-9583-CE42B72ED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64</Pages>
  <Words>14911</Words>
  <Characters>84999</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Reflective Project</vt:lpstr>
    </vt:vector>
  </TitlesOfParts>
  <Company>Valero Energy</Company>
  <LinksUpToDate>false</LinksUpToDate>
  <CharactersWithSpaces>99711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dc:title>
  <dc:subject/>
  <dc:creator>Joel Codd 2117927</dc:creator>
  <cp:keywords/>
  <dc:description/>
  <cp:lastModifiedBy>Codd, Joel</cp:lastModifiedBy>
  <cp:revision>5</cp:revision>
  <dcterms:created xsi:type="dcterms:W3CDTF">2026-05-27T15:19:00Z</dcterms:created>
  <dcterms:modified xsi:type="dcterms:W3CDTF">2026-05-27T15:27:00Z</dcterms:modified>
</cp:coreProperties>
</file>