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1A00FE" w14:textId="6806D259" w:rsidR="009900CF" w:rsidRDefault="009900CF" w:rsidP="009542F1">
      <w:pPr>
        <w:spacing w:line="360" w:lineRule="auto"/>
        <w:rPr>
          <w:rFonts w:ascii="Times New Roman" w:hAnsi="Times New Roman" w:cs="Times New Roman"/>
          <w:sz w:val="24"/>
          <w:szCs w:val="24"/>
        </w:rPr>
      </w:pPr>
      <w:r>
        <w:rPr>
          <w:rFonts w:ascii="Times New Roman" w:hAnsi="Times New Roman" w:cs="Times New Roman"/>
          <w:sz w:val="24"/>
          <w:szCs w:val="24"/>
        </w:rPr>
        <w:t xml:space="preserve">Task 2: </w:t>
      </w:r>
      <w:bookmarkStart w:id="0" w:name="_GoBack"/>
      <w:bookmarkEnd w:id="0"/>
      <w:r>
        <w:rPr>
          <w:rFonts w:ascii="Times New Roman" w:hAnsi="Times New Roman" w:cs="Times New Roman"/>
          <w:sz w:val="24"/>
          <w:szCs w:val="24"/>
        </w:rPr>
        <w:t>Literature Review</w:t>
      </w:r>
    </w:p>
    <w:p w14:paraId="07A4D463" w14:textId="77777777" w:rsidR="009900CF" w:rsidRDefault="009900CF" w:rsidP="009542F1">
      <w:pPr>
        <w:spacing w:line="360" w:lineRule="auto"/>
        <w:rPr>
          <w:rFonts w:ascii="Times New Roman" w:hAnsi="Times New Roman" w:cs="Times New Roman"/>
          <w:sz w:val="24"/>
          <w:szCs w:val="24"/>
        </w:rPr>
      </w:pPr>
    </w:p>
    <w:p w14:paraId="2D08052D" w14:textId="77777777" w:rsidR="002B5797" w:rsidRDefault="002B5797" w:rsidP="009542F1">
      <w:pPr>
        <w:spacing w:line="360" w:lineRule="auto"/>
        <w:rPr>
          <w:rFonts w:ascii="Times New Roman" w:hAnsi="Times New Roman" w:cs="Times New Roman"/>
          <w:sz w:val="24"/>
          <w:szCs w:val="24"/>
        </w:rPr>
      </w:pPr>
      <w:r>
        <w:rPr>
          <w:rFonts w:ascii="Times New Roman" w:hAnsi="Times New Roman" w:cs="Times New Roman"/>
          <w:sz w:val="24"/>
          <w:szCs w:val="24"/>
        </w:rPr>
        <w:t>Title: Use of Scriptural Allusion in the Fourth Gospel</w:t>
      </w:r>
    </w:p>
    <w:p w14:paraId="27BB49DE" w14:textId="77777777" w:rsidR="002B5797" w:rsidRDefault="002B5797" w:rsidP="009542F1">
      <w:pPr>
        <w:spacing w:line="360" w:lineRule="auto"/>
        <w:rPr>
          <w:rFonts w:ascii="Times New Roman" w:hAnsi="Times New Roman" w:cs="Times New Roman"/>
          <w:sz w:val="24"/>
          <w:szCs w:val="24"/>
        </w:rPr>
      </w:pPr>
    </w:p>
    <w:p w14:paraId="570D9E2B" w14:textId="77777777" w:rsidR="009542F1" w:rsidRPr="00E77E41" w:rsidRDefault="009542F1" w:rsidP="009542F1">
      <w:pPr>
        <w:spacing w:line="360" w:lineRule="auto"/>
        <w:rPr>
          <w:rFonts w:ascii="Times New Roman" w:hAnsi="Times New Roman" w:cs="Times New Roman"/>
          <w:sz w:val="24"/>
          <w:szCs w:val="24"/>
        </w:rPr>
      </w:pPr>
      <w:r w:rsidRPr="00E77E41">
        <w:rPr>
          <w:rFonts w:ascii="Times New Roman" w:hAnsi="Times New Roman" w:cs="Times New Roman"/>
          <w:sz w:val="24"/>
          <w:szCs w:val="24"/>
        </w:rPr>
        <w:t>Introduction</w:t>
      </w:r>
    </w:p>
    <w:p w14:paraId="4079AD44" w14:textId="77777777" w:rsidR="009542F1" w:rsidRPr="00E77E41" w:rsidRDefault="009542F1" w:rsidP="009542F1">
      <w:pPr>
        <w:spacing w:line="360" w:lineRule="auto"/>
        <w:rPr>
          <w:rFonts w:ascii="Times New Roman" w:hAnsi="Times New Roman" w:cs="Times New Roman"/>
          <w:sz w:val="24"/>
          <w:szCs w:val="24"/>
        </w:rPr>
      </w:pPr>
      <w:r w:rsidRPr="00E77E41">
        <w:rPr>
          <w:rFonts w:ascii="Times New Roman" w:hAnsi="Times New Roman" w:cs="Times New Roman"/>
          <w:sz w:val="24"/>
          <w:szCs w:val="24"/>
        </w:rPr>
        <w:t>The Fourth Gospel (FG)</w:t>
      </w:r>
      <w:r>
        <w:rPr>
          <w:rFonts w:ascii="Times New Roman" w:hAnsi="Times New Roman" w:cs="Times New Roman"/>
          <w:sz w:val="24"/>
          <w:szCs w:val="24"/>
        </w:rPr>
        <w:t xml:space="preserve"> has</w:t>
      </w:r>
      <w:r w:rsidRPr="00E77E41">
        <w:rPr>
          <w:rFonts w:ascii="Times New Roman" w:hAnsi="Times New Roman" w:cs="Times New Roman"/>
          <w:sz w:val="24"/>
          <w:szCs w:val="24"/>
        </w:rPr>
        <w:t xml:space="preserve"> been acknowledged as a very ‘Jewish’ gospel.</w:t>
      </w:r>
      <w:r w:rsidRPr="00E77E41">
        <w:rPr>
          <w:rStyle w:val="FootnoteReference"/>
          <w:rFonts w:ascii="Times New Roman" w:hAnsi="Times New Roman" w:cs="Times New Roman"/>
          <w:sz w:val="24"/>
          <w:szCs w:val="24"/>
        </w:rPr>
        <w:footnoteReference w:id="1"/>
      </w:r>
      <w:r w:rsidRPr="00E77E41">
        <w:rPr>
          <w:rFonts w:ascii="Times New Roman" w:hAnsi="Times New Roman" w:cs="Times New Roman"/>
          <w:sz w:val="24"/>
          <w:szCs w:val="24"/>
        </w:rPr>
        <w:t xml:space="preserve"> Hence, the influence of Jewish Scripture in the gospel </w:t>
      </w:r>
      <w:r>
        <w:rPr>
          <w:rFonts w:ascii="Times New Roman" w:hAnsi="Times New Roman" w:cs="Times New Roman"/>
          <w:sz w:val="24"/>
          <w:szCs w:val="24"/>
        </w:rPr>
        <w:t>has got the interest</w:t>
      </w:r>
      <w:r w:rsidRPr="00E77E41">
        <w:rPr>
          <w:rFonts w:ascii="Times New Roman" w:hAnsi="Times New Roman" w:cs="Times New Roman"/>
          <w:sz w:val="24"/>
          <w:szCs w:val="24"/>
        </w:rPr>
        <w:t xml:space="preserve"> of many </w:t>
      </w:r>
      <w:proofErr w:type="spellStart"/>
      <w:r w:rsidRPr="00E77E41">
        <w:rPr>
          <w:rFonts w:ascii="Times New Roman" w:hAnsi="Times New Roman" w:cs="Times New Roman"/>
          <w:sz w:val="24"/>
          <w:szCs w:val="24"/>
        </w:rPr>
        <w:t>Johannine</w:t>
      </w:r>
      <w:proofErr w:type="spellEnd"/>
      <w:r w:rsidRPr="00E77E41">
        <w:rPr>
          <w:rFonts w:ascii="Times New Roman" w:hAnsi="Times New Roman" w:cs="Times New Roman"/>
          <w:sz w:val="24"/>
          <w:szCs w:val="24"/>
        </w:rPr>
        <w:t xml:space="preserve"> scholars.</w:t>
      </w:r>
      <w:r w:rsidRPr="00E77E41">
        <w:rPr>
          <w:rStyle w:val="FootnoteReference"/>
          <w:rFonts w:ascii="Times New Roman" w:hAnsi="Times New Roman" w:cs="Times New Roman"/>
          <w:sz w:val="24"/>
          <w:szCs w:val="24"/>
        </w:rPr>
        <w:footnoteReference w:id="2"/>
      </w:r>
      <w:r w:rsidRPr="00E77E41">
        <w:rPr>
          <w:rFonts w:ascii="Times New Roman" w:hAnsi="Times New Roman" w:cs="Times New Roman"/>
          <w:sz w:val="24"/>
          <w:szCs w:val="24"/>
        </w:rPr>
        <w:t xml:space="preserve"> Some of the studies focus on the FG’s sources of explicit citations, and their theological significances.</w:t>
      </w:r>
      <w:r w:rsidRPr="00E77E41">
        <w:rPr>
          <w:rStyle w:val="FootnoteReference"/>
          <w:rFonts w:ascii="Times New Roman" w:hAnsi="Times New Roman" w:cs="Times New Roman"/>
          <w:sz w:val="24"/>
          <w:szCs w:val="24"/>
        </w:rPr>
        <w:footnoteReference w:id="3"/>
      </w:r>
      <w:r w:rsidRPr="00E77E41">
        <w:rPr>
          <w:rFonts w:ascii="Times New Roman" w:hAnsi="Times New Roman" w:cs="Times New Roman"/>
          <w:sz w:val="24"/>
          <w:szCs w:val="24"/>
        </w:rPr>
        <w:t xml:space="preserve"> </w:t>
      </w:r>
      <w:r>
        <w:rPr>
          <w:rFonts w:ascii="Times New Roman" w:hAnsi="Times New Roman" w:cs="Times New Roman"/>
          <w:sz w:val="24"/>
          <w:szCs w:val="24"/>
        </w:rPr>
        <w:t>Relatively</w:t>
      </w:r>
      <w:r w:rsidRPr="00E77E41">
        <w:rPr>
          <w:rFonts w:ascii="Times New Roman" w:hAnsi="Times New Roman" w:cs="Times New Roman"/>
          <w:sz w:val="24"/>
          <w:szCs w:val="24"/>
        </w:rPr>
        <w:t xml:space="preserve">, the study of </w:t>
      </w:r>
      <w:r>
        <w:rPr>
          <w:rFonts w:ascii="Times New Roman" w:hAnsi="Times New Roman" w:cs="Times New Roman"/>
          <w:sz w:val="24"/>
          <w:szCs w:val="24"/>
        </w:rPr>
        <w:t>the</w:t>
      </w:r>
      <w:r w:rsidRPr="00E77E41">
        <w:rPr>
          <w:rFonts w:ascii="Times New Roman" w:hAnsi="Times New Roman" w:cs="Times New Roman"/>
          <w:sz w:val="24"/>
          <w:szCs w:val="24"/>
        </w:rPr>
        <w:t xml:space="preserve"> scriptural allusion or echo shows a more</w:t>
      </w:r>
      <w:r>
        <w:rPr>
          <w:rFonts w:ascii="Times New Roman" w:hAnsi="Times New Roman" w:cs="Times New Roman"/>
          <w:sz w:val="24"/>
          <w:szCs w:val="24"/>
        </w:rPr>
        <w:t xml:space="preserve"> vigorous</w:t>
      </w:r>
      <w:r w:rsidRPr="00E77E41">
        <w:rPr>
          <w:rFonts w:ascii="Times New Roman" w:hAnsi="Times New Roman" w:cs="Times New Roman"/>
          <w:sz w:val="24"/>
          <w:szCs w:val="24"/>
        </w:rPr>
        <w:t xml:space="preserve"> development in the last thirty years. </w:t>
      </w:r>
    </w:p>
    <w:p w14:paraId="16F8D4C9" w14:textId="77777777" w:rsidR="009542F1" w:rsidRPr="00E77E41" w:rsidRDefault="009542F1" w:rsidP="009542F1">
      <w:pPr>
        <w:spacing w:line="360" w:lineRule="auto"/>
        <w:rPr>
          <w:rFonts w:ascii="Times New Roman" w:hAnsi="Times New Roman" w:cs="Times New Roman"/>
          <w:sz w:val="24"/>
          <w:szCs w:val="24"/>
        </w:rPr>
      </w:pPr>
      <w:r w:rsidRPr="00E77E41">
        <w:rPr>
          <w:rFonts w:ascii="Times New Roman" w:hAnsi="Times New Roman" w:cs="Times New Roman"/>
          <w:sz w:val="24"/>
          <w:szCs w:val="24"/>
        </w:rPr>
        <w:t xml:space="preserve">In </w:t>
      </w:r>
      <w:r>
        <w:rPr>
          <w:rFonts w:ascii="Times New Roman" w:hAnsi="Times New Roman" w:cs="Times New Roman"/>
          <w:sz w:val="24"/>
          <w:szCs w:val="24"/>
        </w:rPr>
        <w:t xml:space="preserve">this essay, </w:t>
      </w:r>
      <w:r w:rsidRPr="00E77E41">
        <w:rPr>
          <w:rFonts w:ascii="Times New Roman" w:hAnsi="Times New Roman" w:cs="Times New Roman"/>
          <w:sz w:val="24"/>
          <w:szCs w:val="24"/>
        </w:rPr>
        <w:t>we will survey some o</w:t>
      </w:r>
      <w:r>
        <w:rPr>
          <w:rFonts w:ascii="Times New Roman" w:hAnsi="Times New Roman" w:cs="Times New Roman"/>
          <w:sz w:val="24"/>
          <w:szCs w:val="24"/>
        </w:rPr>
        <w:t>f the recent monographs focusing on the</w:t>
      </w:r>
      <w:r w:rsidRPr="00E77E41">
        <w:rPr>
          <w:rFonts w:ascii="Times New Roman" w:hAnsi="Times New Roman" w:cs="Times New Roman"/>
          <w:sz w:val="24"/>
          <w:szCs w:val="24"/>
        </w:rPr>
        <w:t xml:space="preserve"> </w:t>
      </w:r>
      <w:r>
        <w:rPr>
          <w:rFonts w:ascii="Times New Roman" w:hAnsi="Times New Roman" w:cs="Times New Roman"/>
          <w:sz w:val="24"/>
          <w:szCs w:val="24"/>
        </w:rPr>
        <w:t xml:space="preserve">FG’s </w:t>
      </w:r>
      <w:r w:rsidRPr="00E77E41">
        <w:rPr>
          <w:rFonts w:ascii="Times New Roman" w:hAnsi="Times New Roman" w:cs="Times New Roman"/>
          <w:sz w:val="24"/>
          <w:szCs w:val="24"/>
        </w:rPr>
        <w:t>use of s</w:t>
      </w:r>
      <w:r>
        <w:rPr>
          <w:rFonts w:ascii="Times New Roman" w:hAnsi="Times New Roman" w:cs="Times New Roman"/>
          <w:sz w:val="24"/>
          <w:szCs w:val="24"/>
        </w:rPr>
        <w:t>criptural allusive motif and</w:t>
      </w:r>
      <w:r w:rsidRPr="00E77E41">
        <w:rPr>
          <w:rFonts w:ascii="Times New Roman" w:hAnsi="Times New Roman" w:cs="Times New Roman"/>
          <w:sz w:val="24"/>
          <w:szCs w:val="24"/>
        </w:rPr>
        <w:t xml:space="preserve"> characters</w:t>
      </w:r>
      <w:r>
        <w:rPr>
          <w:rFonts w:ascii="Times New Roman" w:hAnsi="Times New Roman" w:cs="Times New Roman"/>
          <w:sz w:val="24"/>
          <w:szCs w:val="24"/>
        </w:rPr>
        <w:t>, as well as its functions</w:t>
      </w:r>
      <w:r w:rsidRPr="00E77E41">
        <w:rPr>
          <w:rFonts w:ascii="Times New Roman" w:hAnsi="Times New Roman" w:cs="Times New Roman"/>
          <w:sz w:val="24"/>
          <w:szCs w:val="24"/>
        </w:rPr>
        <w:t xml:space="preserve">. </w:t>
      </w:r>
      <w:r>
        <w:rPr>
          <w:rFonts w:ascii="Times New Roman" w:hAnsi="Times New Roman" w:cs="Times New Roman"/>
          <w:sz w:val="24"/>
          <w:szCs w:val="24"/>
        </w:rPr>
        <w:t>A</w:t>
      </w:r>
      <w:r w:rsidRPr="00E77E41">
        <w:rPr>
          <w:rFonts w:ascii="Times New Roman" w:hAnsi="Times New Roman" w:cs="Times New Roman"/>
          <w:sz w:val="24"/>
          <w:szCs w:val="24"/>
        </w:rPr>
        <w:t>ddition</w:t>
      </w:r>
      <w:r>
        <w:rPr>
          <w:rFonts w:ascii="Times New Roman" w:hAnsi="Times New Roman" w:cs="Times New Roman"/>
          <w:sz w:val="24"/>
          <w:szCs w:val="24"/>
        </w:rPr>
        <w:t>ally</w:t>
      </w:r>
      <w:r w:rsidRPr="00E77E41">
        <w:rPr>
          <w:rFonts w:ascii="Times New Roman" w:hAnsi="Times New Roman" w:cs="Times New Roman"/>
          <w:sz w:val="24"/>
          <w:szCs w:val="24"/>
        </w:rPr>
        <w:t xml:space="preserve">, some of the risks and controls in this kind of study will be discussed.  </w:t>
      </w:r>
    </w:p>
    <w:p w14:paraId="6307D6A5" w14:textId="77777777" w:rsidR="009542F1" w:rsidRPr="00E77E41" w:rsidRDefault="009542F1" w:rsidP="009542F1">
      <w:pPr>
        <w:spacing w:line="360" w:lineRule="auto"/>
        <w:rPr>
          <w:rFonts w:ascii="Times New Roman" w:hAnsi="Times New Roman" w:cs="Times New Roman"/>
          <w:sz w:val="24"/>
          <w:szCs w:val="24"/>
        </w:rPr>
      </w:pPr>
      <w:r w:rsidRPr="00E77E41">
        <w:rPr>
          <w:rFonts w:ascii="Times New Roman" w:hAnsi="Times New Roman" w:cs="Times New Roman"/>
          <w:sz w:val="24"/>
          <w:szCs w:val="24"/>
        </w:rPr>
        <w:t>The scriptural allusions in the Fourth Gospel</w:t>
      </w:r>
    </w:p>
    <w:p w14:paraId="3EC2578D" w14:textId="77777777" w:rsidR="009542F1" w:rsidRPr="00E77E41" w:rsidRDefault="009542F1" w:rsidP="009542F1">
      <w:pPr>
        <w:spacing w:line="360" w:lineRule="auto"/>
        <w:rPr>
          <w:rFonts w:ascii="Times New Roman" w:hAnsi="Times New Roman" w:cs="Times New Roman"/>
          <w:sz w:val="24"/>
          <w:szCs w:val="24"/>
        </w:rPr>
      </w:pPr>
      <w:r w:rsidRPr="00E77E41">
        <w:rPr>
          <w:rFonts w:ascii="Times New Roman" w:hAnsi="Times New Roman" w:cs="Times New Roman"/>
          <w:sz w:val="24"/>
          <w:szCs w:val="24"/>
        </w:rPr>
        <w:t>In his 1989 seminal work, Richard Ha</w:t>
      </w:r>
      <w:r>
        <w:rPr>
          <w:rFonts w:ascii="Times New Roman" w:hAnsi="Times New Roman" w:cs="Times New Roman"/>
          <w:sz w:val="24"/>
          <w:szCs w:val="24"/>
        </w:rPr>
        <w:t>ys broadened</w:t>
      </w:r>
      <w:r w:rsidRPr="00E77E41">
        <w:rPr>
          <w:rFonts w:ascii="Times New Roman" w:hAnsi="Times New Roman" w:cs="Times New Roman"/>
          <w:sz w:val="24"/>
          <w:szCs w:val="24"/>
        </w:rPr>
        <w:t xml:space="preserve"> the study of </w:t>
      </w:r>
      <w:r>
        <w:rPr>
          <w:rFonts w:ascii="Times New Roman" w:hAnsi="Times New Roman" w:cs="Times New Roman"/>
          <w:sz w:val="24"/>
          <w:szCs w:val="24"/>
        </w:rPr>
        <w:t>scriptural</w:t>
      </w:r>
      <w:r w:rsidRPr="00E77E41">
        <w:rPr>
          <w:rFonts w:ascii="Times New Roman" w:hAnsi="Times New Roman" w:cs="Times New Roman"/>
          <w:sz w:val="24"/>
          <w:szCs w:val="24"/>
        </w:rPr>
        <w:t xml:space="preserve"> allusion and echo</w:t>
      </w:r>
      <w:r>
        <w:rPr>
          <w:rFonts w:ascii="Times New Roman" w:hAnsi="Times New Roman" w:cs="Times New Roman"/>
          <w:sz w:val="24"/>
          <w:szCs w:val="24"/>
        </w:rPr>
        <w:t xml:space="preserve"> in the NT</w:t>
      </w:r>
      <w:r w:rsidRPr="00E77E41">
        <w:rPr>
          <w:rFonts w:ascii="Times New Roman" w:hAnsi="Times New Roman" w:cs="Times New Roman"/>
          <w:sz w:val="24"/>
          <w:szCs w:val="24"/>
        </w:rPr>
        <w:t xml:space="preserve"> by employing the li</w:t>
      </w:r>
      <w:r>
        <w:rPr>
          <w:rFonts w:ascii="Times New Roman" w:hAnsi="Times New Roman" w:cs="Times New Roman"/>
          <w:sz w:val="24"/>
          <w:szCs w:val="24"/>
        </w:rPr>
        <w:t xml:space="preserve">terary theory of </w:t>
      </w:r>
      <w:proofErr w:type="spellStart"/>
      <w:r>
        <w:rPr>
          <w:rFonts w:ascii="Times New Roman" w:hAnsi="Times New Roman" w:cs="Times New Roman"/>
          <w:sz w:val="24"/>
          <w:szCs w:val="24"/>
        </w:rPr>
        <w:t>intertextuality</w:t>
      </w:r>
      <w:proofErr w:type="spellEnd"/>
      <w:r w:rsidRPr="00E77E41">
        <w:rPr>
          <w:rFonts w:ascii="Times New Roman" w:hAnsi="Times New Roman" w:cs="Times New Roman"/>
          <w:sz w:val="24"/>
          <w:szCs w:val="24"/>
        </w:rPr>
        <w:t>.</w:t>
      </w:r>
      <w:r w:rsidRPr="00E77E41">
        <w:rPr>
          <w:rStyle w:val="FootnoteReference"/>
          <w:rFonts w:ascii="Times New Roman" w:hAnsi="Times New Roman" w:cs="Times New Roman"/>
          <w:sz w:val="24"/>
          <w:szCs w:val="24"/>
        </w:rPr>
        <w:footnoteReference w:id="4"/>
      </w:r>
      <w:r w:rsidRPr="00E77E41">
        <w:rPr>
          <w:rFonts w:ascii="Times New Roman" w:hAnsi="Times New Roman" w:cs="Times New Roman"/>
          <w:sz w:val="24"/>
          <w:szCs w:val="24"/>
        </w:rPr>
        <w:t xml:space="preserve"> To identify the appropriate allusion</w:t>
      </w:r>
      <w:r>
        <w:rPr>
          <w:rFonts w:ascii="Times New Roman" w:hAnsi="Times New Roman" w:cs="Times New Roman"/>
          <w:sz w:val="24"/>
          <w:szCs w:val="24"/>
        </w:rPr>
        <w:t>,</w:t>
      </w:r>
      <w:r w:rsidRPr="00E77E41">
        <w:rPr>
          <w:rFonts w:ascii="Times New Roman" w:hAnsi="Times New Roman" w:cs="Times New Roman"/>
          <w:sz w:val="24"/>
          <w:szCs w:val="24"/>
        </w:rPr>
        <w:t xml:space="preserve"> </w:t>
      </w:r>
      <w:r>
        <w:rPr>
          <w:rFonts w:ascii="Times New Roman" w:hAnsi="Times New Roman" w:cs="Times New Roman"/>
          <w:sz w:val="24"/>
          <w:szCs w:val="24"/>
        </w:rPr>
        <w:t>Beale</w:t>
      </w:r>
      <w:r w:rsidRPr="00E77E41">
        <w:rPr>
          <w:rFonts w:ascii="Times New Roman" w:hAnsi="Times New Roman" w:cs="Times New Roman"/>
          <w:sz w:val="24"/>
          <w:szCs w:val="24"/>
        </w:rPr>
        <w:t xml:space="preserve"> claims that the ‘key to discerning an allusion is that of recognizing an incomparable or unique parallel in wording, syntax, author, or cluster of motifs in the same order or structure’.</w:t>
      </w:r>
      <w:r w:rsidRPr="00E77E41">
        <w:rPr>
          <w:rStyle w:val="FootnoteReference"/>
          <w:rFonts w:ascii="Times New Roman" w:hAnsi="Times New Roman" w:cs="Times New Roman"/>
          <w:sz w:val="24"/>
          <w:szCs w:val="24"/>
        </w:rPr>
        <w:footnoteReference w:id="5"/>
      </w:r>
    </w:p>
    <w:p w14:paraId="40A58D5F" w14:textId="77777777" w:rsidR="009542F1" w:rsidRPr="00E77E41" w:rsidRDefault="009542F1" w:rsidP="009542F1">
      <w:pPr>
        <w:spacing w:line="360" w:lineRule="auto"/>
        <w:rPr>
          <w:rFonts w:ascii="Times New Roman" w:hAnsi="Times New Roman" w:cs="Times New Roman"/>
          <w:sz w:val="24"/>
          <w:szCs w:val="24"/>
        </w:rPr>
      </w:pPr>
      <w:r w:rsidRPr="00E77E41">
        <w:rPr>
          <w:rFonts w:ascii="Times New Roman" w:hAnsi="Times New Roman" w:cs="Times New Roman"/>
          <w:sz w:val="24"/>
          <w:szCs w:val="24"/>
        </w:rPr>
        <w:t>However, F</w:t>
      </w:r>
      <w:r>
        <w:rPr>
          <w:rFonts w:ascii="Times New Roman" w:hAnsi="Times New Roman" w:cs="Times New Roman"/>
          <w:sz w:val="24"/>
          <w:szCs w:val="24"/>
        </w:rPr>
        <w:t>oster warns the</w:t>
      </w:r>
      <w:r w:rsidRPr="00E77E41">
        <w:rPr>
          <w:rFonts w:ascii="Times New Roman" w:hAnsi="Times New Roman" w:cs="Times New Roman"/>
          <w:sz w:val="24"/>
          <w:szCs w:val="24"/>
        </w:rPr>
        <w:t xml:space="preserve"> risks of the excessive use of this</w:t>
      </w:r>
      <w:r>
        <w:rPr>
          <w:rFonts w:ascii="Times New Roman" w:hAnsi="Times New Roman" w:cs="Times New Roman"/>
          <w:sz w:val="24"/>
          <w:szCs w:val="24"/>
        </w:rPr>
        <w:t xml:space="preserve"> </w:t>
      </w:r>
      <w:proofErr w:type="spellStart"/>
      <w:r>
        <w:rPr>
          <w:rFonts w:ascii="Times New Roman" w:hAnsi="Times New Roman" w:cs="Times New Roman"/>
          <w:sz w:val="24"/>
          <w:szCs w:val="24"/>
        </w:rPr>
        <w:t>intertextual</w:t>
      </w:r>
      <w:proofErr w:type="spellEnd"/>
      <w:r w:rsidRPr="00E77E41">
        <w:rPr>
          <w:rFonts w:ascii="Times New Roman" w:hAnsi="Times New Roman" w:cs="Times New Roman"/>
          <w:sz w:val="24"/>
          <w:szCs w:val="24"/>
        </w:rPr>
        <w:t xml:space="preserve"> allusion/echo.</w:t>
      </w:r>
      <w:r w:rsidRPr="00E77E41">
        <w:rPr>
          <w:rStyle w:val="FootnoteReference"/>
          <w:rFonts w:ascii="Times New Roman" w:hAnsi="Times New Roman" w:cs="Times New Roman"/>
          <w:sz w:val="24"/>
          <w:szCs w:val="24"/>
        </w:rPr>
        <w:footnoteReference w:id="6"/>
      </w:r>
      <w:r w:rsidRPr="00E77E41">
        <w:rPr>
          <w:rFonts w:ascii="Times New Roman" w:hAnsi="Times New Roman" w:cs="Times New Roman"/>
          <w:sz w:val="24"/>
          <w:szCs w:val="24"/>
        </w:rPr>
        <w:t xml:space="preserve"> One of them is the </w:t>
      </w:r>
      <w:r>
        <w:rPr>
          <w:rFonts w:ascii="Times New Roman" w:hAnsi="Times New Roman" w:cs="Times New Roman"/>
          <w:sz w:val="24"/>
          <w:szCs w:val="24"/>
        </w:rPr>
        <w:t>over-simplification of identifying</w:t>
      </w:r>
      <w:r w:rsidRPr="00E77E41">
        <w:rPr>
          <w:rFonts w:ascii="Times New Roman" w:hAnsi="Times New Roman" w:cs="Times New Roman"/>
          <w:sz w:val="24"/>
          <w:szCs w:val="24"/>
        </w:rPr>
        <w:t xml:space="preserve"> </w:t>
      </w:r>
      <w:r>
        <w:rPr>
          <w:rFonts w:ascii="Times New Roman" w:hAnsi="Times New Roman" w:cs="Times New Roman"/>
          <w:sz w:val="24"/>
          <w:szCs w:val="24"/>
        </w:rPr>
        <w:t xml:space="preserve">verbal or </w:t>
      </w:r>
      <w:r w:rsidRPr="00E77E41">
        <w:rPr>
          <w:rFonts w:ascii="Times New Roman" w:hAnsi="Times New Roman" w:cs="Times New Roman"/>
          <w:sz w:val="24"/>
          <w:szCs w:val="24"/>
        </w:rPr>
        <w:t xml:space="preserve">imagery </w:t>
      </w:r>
      <w:r w:rsidRPr="00E77E41">
        <w:rPr>
          <w:rFonts w:ascii="Times New Roman" w:hAnsi="Times New Roman" w:cs="Times New Roman"/>
          <w:sz w:val="24"/>
          <w:szCs w:val="24"/>
        </w:rPr>
        <w:lastRenderedPageBreak/>
        <w:t>parallel of two texts. Taking</w:t>
      </w:r>
      <w:r>
        <w:rPr>
          <w:rFonts w:ascii="Times New Roman" w:hAnsi="Times New Roman" w:cs="Times New Roman"/>
          <w:sz w:val="24"/>
          <w:szCs w:val="24"/>
        </w:rPr>
        <w:t xml:space="preserve"> </w:t>
      </w:r>
      <w:proofErr w:type="spellStart"/>
      <w:r>
        <w:rPr>
          <w:rFonts w:ascii="Times New Roman" w:hAnsi="Times New Roman" w:cs="Times New Roman"/>
          <w:sz w:val="24"/>
          <w:szCs w:val="24"/>
        </w:rPr>
        <w:t>McWhirter’s</w:t>
      </w:r>
      <w:proofErr w:type="spellEnd"/>
      <w:r w:rsidRPr="00E77E41">
        <w:rPr>
          <w:rFonts w:ascii="Times New Roman" w:hAnsi="Times New Roman" w:cs="Times New Roman"/>
          <w:sz w:val="24"/>
          <w:szCs w:val="24"/>
        </w:rPr>
        <w:t xml:space="preserve"> monograph as an example, </w:t>
      </w:r>
      <w:r>
        <w:rPr>
          <w:rFonts w:ascii="Times New Roman" w:hAnsi="Times New Roman" w:cs="Times New Roman"/>
          <w:sz w:val="24"/>
          <w:szCs w:val="24"/>
        </w:rPr>
        <w:t>Foster contends</w:t>
      </w:r>
      <w:r w:rsidRPr="00E77E41">
        <w:rPr>
          <w:rFonts w:ascii="Times New Roman" w:hAnsi="Times New Roman" w:cs="Times New Roman"/>
          <w:sz w:val="24"/>
          <w:szCs w:val="24"/>
        </w:rPr>
        <w:t xml:space="preserve"> that it is difficult to verify that the wiping of Jesus’ feet by pure nard (John 12:3) is echoing the royal king in Song 1:12.</w:t>
      </w:r>
      <w:r w:rsidRPr="00E77E41">
        <w:rPr>
          <w:rStyle w:val="FootnoteReference"/>
          <w:rFonts w:ascii="Times New Roman" w:hAnsi="Times New Roman" w:cs="Times New Roman"/>
          <w:sz w:val="24"/>
          <w:szCs w:val="24"/>
        </w:rPr>
        <w:footnoteReference w:id="7"/>
      </w:r>
      <w:r w:rsidRPr="00E77E41">
        <w:rPr>
          <w:rFonts w:ascii="Times New Roman" w:hAnsi="Times New Roman" w:cs="Times New Roman"/>
          <w:sz w:val="24"/>
          <w:szCs w:val="24"/>
        </w:rPr>
        <w:t xml:space="preserve"> </w:t>
      </w:r>
      <w:r>
        <w:rPr>
          <w:rFonts w:ascii="Times New Roman" w:hAnsi="Times New Roman" w:cs="Times New Roman"/>
          <w:sz w:val="24"/>
          <w:szCs w:val="24"/>
        </w:rPr>
        <w:t>Similarly</w:t>
      </w:r>
      <w:r w:rsidRPr="00E77E41">
        <w:rPr>
          <w:rFonts w:ascii="Times New Roman" w:hAnsi="Times New Roman" w:cs="Times New Roman"/>
          <w:sz w:val="24"/>
          <w:szCs w:val="24"/>
        </w:rPr>
        <w:t xml:space="preserve">, Winsor </w:t>
      </w:r>
      <w:r>
        <w:rPr>
          <w:rFonts w:ascii="Times New Roman" w:hAnsi="Times New Roman" w:cs="Times New Roman"/>
          <w:sz w:val="24"/>
          <w:szCs w:val="24"/>
        </w:rPr>
        <w:t xml:space="preserve">also </w:t>
      </w:r>
      <w:r w:rsidRPr="00E77E41">
        <w:rPr>
          <w:rFonts w:ascii="Times New Roman" w:hAnsi="Times New Roman" w:cs="Times New Roman"/>
          <w:sz w:val="24"/>
          <w:szCs w:val="24"/>
        </w:rPr>
        <w:t xml:space="preserve">attempts to establish </w:t>
      </w:r>
      <w:proofErr w:type="gramStart"/>
      <w:r w:rsidRPr="00E77E41">
        <w:rPr>
          <w:rFonts w:ascii="Times New Roman" w:hAnsi="Times New Roman" w:cs="Times New Roman"/>
          <w:sz w:val="24"/>
          <w:szCs w:val="24"/>
        </w:rPr>
        <w:t xml:space="preserve">an </w:t>
      </w:r>
      <w:proofErr w:type="spellStart"/>
      <w:r w:rsidRPr="00E77E41">
        <w:rPr>
          <w:rFonts w:ascii="Times New Roman" w:hAnsi="Times New Roman" w:cs="Times New Roman"/>
          <w:sz w:val="24"/>
          <w:szCs w:val="24"/>
        </w:rPr>
        <w:t>intertextual</w:t>
      </w:r>
      <w:proofErr w:type="spellEnd"/>
      <w:r w:rsidRPr="00E77E41">
        <w:rPr>
          <w:rFonts w:ascii="Times New Roman" w:hAnsi="Times New Roman" w:cs="Times New Roman"/>
          <w:sz w:val="24"/>
          <w:szCs w:val="24"/>
        </w:rPr>
        <w:t xml:space="preserve"> connections</w:t>
      </w:r>
      <w:proofErr w:type="gramEnd"/>
      <w:r w:rsidRPr="00E77E41">
        <w:rPr>
          <w:rFonts w:ascii="Times New Roman" w:hAnsi="Times New Roman" w:cs="Times New Roman"/>
          <w:sz w:val="24"/>
          <w:szCs w:val="24"/>
        </w:rPr>
        <w:t xml:space="preserve"> between the </w:t>
      </w:r>
      <w:r>
        <w:rPr>
          <w:rFonts w:ascii="Times New Roman" w:hAnsi="Times New Roman" w:cs="Times New Roman"/>
          <w:sz w:val="24"/>
          <w:szCs w:val="24"/>
        </w:rPr>
        <w:t>two obscured passages in the FG</w:t>
      </w:r>
      <w:r w:rsidRPr="00E77E41">
        <w:rPr>
          <w:rFonts w:ascii="Times New Roman" w:hAnsi="Times New Roman" w:cs="Times New Roman"/>
          <w:sz w:val="24"/>
          <w:szCs w:val="24"/>
        </w:rPr>
        <w:t xml:space="preserve"> (12:1–8 anointing of Mary of Bethany; 20:11–18 double turning of Mary Magd</w:t>
      </w:r>
      <w:r>
        <w:rPr>
          <w:rFonts w:ascii="Times New Roman" w:hAnsi="Times New Roman" w:cs="Times New Roman"/>
          <w:sz w:val="24"/>
          <w:szCs w:val="24"/>
        </w:rPr>
        <w:t>alene) and the King’s imagery from</w:t>
      </w:r>
      <w:r w:rsidRPr="00E77E41">
        <w:rPr>
          <w:rFonts w:ascii="Times New Roman" w:hAnsi="Times New Roman" w:cs="Times New Roman"/>
          <w:sz w:val="24"/>
          <w:szCs w:val="24"/>
        </w:rPr>
        <w:t xml:space="preserve"> the Song of Songs.</w:t>
      </w:r>
      <w:r w:rsidRPr="00E77E41">
        <w:rPr>
          <w:rStyle w:val="FootnoteReference"/>
          <w:rFonts w:ascii="Times New Roman" w:hAnsi="Times New Roman" w:cs="Times New Roman"/>
          <w:sz w:val="24"/>
          <w:szCs w:val="24"/>
        </w:rPr>
        <w:footnoteReference w:id="8"/>
      </w:r>
      <w:r w:rsidRPr="00E77E41">
        <w:rPr>
          <w:rFonts w:ascii="Times New Roman" w:hAnsi="Times New Roman" w:cs="Times New Roman"/>
          <w:sz w:val="24"/>
          <w:szCs w:val="24"/>
        </w:rPr>
        <w:t xml:space="preserve"> Ev</w:t>
      </w:r>
      <w:r>
        <w:rPr>
          <w:rFonts w:ascii="Times New Roman" w:hAnsi="Times New Roman" w:cs="Times New Roman"/>
          <w:sz w:val="24"/>
          <w:szCs w:val="24"/>
        </w:rPr>
        <w:t>en with some</w:t>
      </w:r>
      <w:r w:rsidRPr="00E77E41">
        <w:rPr>
          <w:rFonts w:ascii="Times New Roman" w:hAnsi="Times New Roman" w:cs="Times New Roman"/>
          <w:sz w:val="24"/>
          <w:szCs w:val="24"/>
        </w:rPr>
        <w:t xml:space="preserve"> verbal parallels bet</w:t>
      </w:r>
      <w:r>
        <w:rPr>
          <w:rFonts w:ascii="Times New Roman" w:hAnsi="Times New Roman" w:cs="Times New Roman"/>
          <w:sz w:val="24"/>
          <w:szCs w:val="24"/>
        </w:rPr>
        <w:t>ween these texts, it is difficult to prove</w:t>
      </w:r>
      <w:r w:rsidRPr="00E77E41">
        <w:rPr>
          <w:rFonts w:ascii="Times New Roman" w:hAnsi="Times New Roman" w:cs="Times New Roman"/>
          <w:sz w:val="24"/>
          <w:szCs w:val="24"/>
        </w:rPr>
        <w:t xml:space="preserve"> that the authors of these two books ‘share similar tendencies and may have emerged from similar social settings</w:t>
      </w:r>
      <w:r>
        <w:rPr>
          <w:rFonts w:ascii="Times New Roman" w:hAnsi="Times New Roman" w:cs="Times New Roman"/>
          <w:sz w:val="24"/>
          <w:szCs w:val="24"/>
        </w:rPr>
        <w:t>’</w:t>
      </w:r>
      <w:r w:rsidRPr="00E77E41">
        <w:rPr>
          <w:rFonts w:ascii="Times New Roman" w:hAnsi="Times New Roman" w:cs="Times New Roman"/>
          <w:sz w:val="24"/>
          <w:szCs w:val="24"/>
        </w:rPr>
        <w:t>.</w:t>
      </w:r>
      <w:r w:rsidRPr="00E77E41">
        <w:rPr>
          <w:rStyle w:val="FootnoteReference"/>
          <w:rFonts w:ascii="Times New Roman" w:hAnsi="Times New Roman" w:cs="Times New Roman"/>
          <w:sz w:val="24"/>
          <w:szCs w:val="24"/>
        </w:rPr>
        <w:footnoteReference w:id="9"/>
      </w:r>
    </w:p>
    <w:p w14:paraId="2A2D447D" w14:textId="77777777" w:rsidR="009542F1" w:rsidRDefault="009542F1" w:rsidP="009542F1">
      <w:pPr>
        <w:spacing w:line="360" w:lineRule="auto"/>
        <w:rPr>
          <w:rFonts w:ascii="Times New Roman" w:hAnsi="Times New Roman" w:cs="Times New Roman"/>
          <w:sz w:val="24"/>
          <w:szCs w:val="24"/>
        </w:rPr>
      </w:pPr>
      <w:r w:rsidRPr="00E77E41">
        <w:rPr>
          <w:rFonts w:ascii="Times New Roman" w:hAnsi="Times New Roman" w:cs="Times New Roman"/>
          <w:sz w:val="24"/>
          <w:szCs w:val="24"/>
        </w:rPr>
        <w:t xml:space="preserve">In order to avoid this kind of </w:t>
      </w:r>
      <w:proofErr w:type="spellStart"/>
      <w:r w:rsidRPr="00E77E41">
        <w:rPr>
          <w:rFonts w:ascii="Times New Roman" w:hAnsi="Times New Roman" w:cs="Times New Roman"/>
          <w:sz w:val="24"/>
          <w:szCs w:val="24"/>
        </w:rPr>
        <w:t>intertextuality</w:t>
      </w:r>
      <w:proofErr w:type="spellEnd"/>
      <w:r w:rsidRPr="00E77E41">
        <w:rPr>
          <w:rFonts w:ascii="Times New Roman" w:hAnsi="Times New Roman" w:cs="Times New Roman"/>
          <w:sz w:val="24"/>
          <w:szCs w:val="24"/>
        </w:rPr>
        <w:t xml:space="preserve"> trap, additional controls are needed for the study</w:t>
      </w:r>
      <w:r>
        <w:rPr>
          <w:rFonts w:ascii="Times New Roman" w:hAnsi="Times New Roman" w:cs="Times New Roman"/>
          <w:sz w:val="24"/>
          <w:szCs w:val="24"/>
        </w:rPr>
        <w:t xml:space="preserve"> of allusions</w:t>
      </w:r>
      <w:r w:rsidRPr="00E77E41">
        <w:rPr>
          <w:rFonts w:ascii="Times New Roman" w:hAnsi="Times New Roman" w:cs="Times New Roman"/>
          <w:sz w:val="24"/>
          <w:szCs w:val="24"/>
        </w:rPr>
        <w:t xml:space="preserve"> in the FG. Fortunately</w:t>
      </w:r>
      <w:r>
        <w:rPr>
          <w:rFonts w:ascii="Times New Roman" w:hAnsi="Times New Roman" w:cs="Times New Roman"/>
          <w:sz w:val="24"/>
          <w:szCs w:val="24"/>
        </w:rPr>
        <w:t>, some recent monographs show a more integrated approach to include other tools, namely linguistic, rhetoric and sociological methodologies,</w:t>
      </w:r>
      <w:r w:rsidRPr="00E77E41">
        <w:rPr>
          <w:rFonts w:ascii="Times New Roman" w:hAnsi="Times New Roman" w:cs="Times New Roman"/>
          <w:sz w:val="24"/>
          <w:szCs w:val="24"/>
        </w:rPr>
        <w:t xml:space="preserve"> in the study of the</w:t>
      </w:r>
      <w:r>
        <w:rPr>
          <w:rFonts w:ascii="Times New Roman" w:hAnsi="Times New Roman" w:cs="Times New Roman"/>
          <w:sz w:val="24"/>
          <w:szCs w:val="24"/>
        </w:rPr>
        <w:t xml:space="preserve"> scriptural use in the</w:t>
      </w:r>
      <w:r w:rsidRPr="00E77E41">
        <w:rPr>
          <w:rFonts w:ascii="Times New Roman" w:hAnsi="Times New Roman" w:cs="Times New Roman"/>
          <w:sz w:val="24"/>
          <w:szCs w:val="24"/>
        </w:rPr>
        <w:t xml:space="preserve"> FG. </w:t>
      </w:r>
    </w:p>
    <w:p w14:paraId="25A9341F" w14:textId="77777777" w:rsidR="009542F1" w:rsidRPr="00E77E41" w:rsidRDefault="009542F1" w:rsidP="009542F1">
      <w:pPr>
        <w:spacing w:line="360" w:lineRule="auto"/>
        <w:rPr>
          <w:rFonts w:ascii="Times New Roman" w:hAnsi="Times New Roman" w:cs="Times New Roman"/>
          <w:sz w:val="24"/>
          <w:szCs w:val="24"/>
        </w:rPr>
      </w:pPr>
      <w:r w:rsidRPr="00E77E41">
        <w:rPr>
          <w:rFonts w:ascii="Times New Roman" w:hAnsi="Times New Roman" w:cs="Times New Roman"/>
          <w:sz w:val="24"/>
          <w:szCs w:val="24"/>
        </w:rPr>
        <w:t xml:space="preserve">First, </w:t>
      </w:r>
      <w:proofErr w:type="spellStart"/>
      <w:r w:rsidRPr="00E77E41">
        <w:rPr>
          <w:rFonts w:ascii="Times New Roman" w:hAnsi="Times New Roman" w:cs="Times New Roman"/>
          <w:sz w:val="24"/>
          <w:szCs w:val="24"/>
        </w:rPr>
        <w:t>Stovell</w:t>
      </w:r>
      <w:proofErr w:type="spellEnd"/>
      <w:r w:rsidRPr="00E77E41">
        <w:rPr>
          <w:rFonts w:ascii="Times New Roman" w:hAnsi="Times New Roman" w:cs="Times New Roman"/>
          <w:sz w:val="24"/>
          <w:szCs w:val="24"/>
        </w:rPr>
        <w:t xml:space="preserve"> introduces linguistic theory to study the metaphors in the FG.</w:t>
      </w:r>
      <w:r>
        <w:rPr>
          <w:rStyle w:val="FootnoteReference"/>
          <w:rFonts w:ascii="Times New Roman" w:hAnsi="Times New Roman" w:cs="Times New Roman"/>
          <w:sz w:val="24"/>
          <w:szCs w:val="24"/>
        </w:rPr>
        <w:footnoteReference w:id="10"/>
      </w:r>
      <w:r w:rsidRPr="00E77E41">
        <w:rPr>
          <w:rFonts w:ascii="Times New Roman" w:hAnsi="Times New Roman" w:cs="Times New Roman"/>
          <w:sz w:val="24"/>
          <w:szCs w:val="24"/>
        </w:rPr>
        <w:t xml:space="preserve"> In this way, even the Kingdom of God just appears twice in the narrative, the kingship motif can be felt from those scriptural metaphors</w:t>
      </w:r>
      <w:r>
        <w:rPr>
          <w:rFonts w:ascii="Times New Roman" w:hAnsi="Times New Roman" w:cs="Times New Roman"/>
          <w:sz w:val="24"/>
          <w:szCs w:val="24"/>
        </w:rPr>
        <w:t xml:space="preserve"> throughout the whole gospel</w:t>
      </w:r>
      <w:r w:rsidRPr="00E77E41">
        <w:rPr>
          <w:rFonts w:ascii="Times New Roman" w:hAnsi="Times New Roman" w:cs="Times New Roman"/>
          <w:sz w:val="24"/>
          <w:szCs w:val="24"/>
        </w:rPr>
        <w:t xml:space="preserve">. </w:t>
      </w:r>
      <w:r>
        <w:rPr>
          <w:rFonts w:ascii="Times New Roman" w:hAnsi="Times New Roman" w:cs="Times New Roman"/>
          <w:sz w:val="24"/>
          <w:szCs w:val="24"/>
        </w:rPr>
        <w:t xml:space="preserve">This study is helpful to understand the Jesus’ kingship role in the </w:t>
      </w:r>
      <w:proofErr w:type="spellStart"/>
      <w:r>
        <w:rPr>
          <w:rFonts w:ascii="Times New Roman" w:hAnsi="Times New Roman" w:cs="Times New Roman"/>
          <w:sz w:val="24"/>
          <w:szCs w:val="24"/>
        </w:rPr>
        <w:t>Johannine</w:t>
      </w:r>
      <w:proofErr w:type="spellEnd"/>
      <w:r>
        <w:rPr>
          <w:rFonts w:ascii="Times New Roman" w:hAnsi="Times New Roman" w:cs="Times New Roman"/>
          <w:sz w:val="24"/>
          <w:szCs w:val="24"/>
        </w:rPr>
        <w:t xml:space="preserve"> Christology.</w:t>
      </w:r>
    </w:p>
    <w:p w14:paraId="67415264" w14:textId="77777777" w:rsidR="009542F1" w:rsidRPr="00E77E41" w:rsidRDefault="009542F1" w:rsidP="009542F1">
      <w:pPr>
        <w:spacing w:line="360" w:lineRule="auto"/>
        <w:rPr>
          <w:rFonts w:ascii="Times New Roman" w:hAnsi="Times New Roman" w:cs="Times New Roman"/>
          <w:sz w:val="24"/>
          <w:szCs w:val="24"/>
        </w:rPr>
      </w:pPr>
      <w:r w:rsidRPr="00E77E41">
        <w:rPr>
          <w:rFonts w:ascii="Times New Roman" w:hAnsi="Times New Roman" w:cs="Times New Roman"/>
          <w:sz w:val="24"/>
          <w:szCs w:val="24"/>
        </w:rPr>
        <w:t>Second, a</w:t>
      </w:r>
      <w:r>
        <w:rPr>
          <w:rFonts w:ascii="Times New Roman" w:hAnsi="Times New Roman" w:cs="Times New Roman"/>
          <w:sz w:val="24"/>
          <w:szCs w:val="24"/>
        </w:rPr>
        <w:t>s the Jewish scriptural stories are</w:t>
      </w:r>
      <w:r w:rsidRPr="00E77E41">
        <w:rPr>
          <w:rFonts w:ascii="Times New Roman" w:hAnsi="Times New Roman" w:cs="Times New Roman"/>
          <w:sz w:val="24"/>
          <w:szCs w:val="24"/>
        </w:rPr>
        <w:t xml:space="preserve"> deeply imbedded into John’s narrative, </w:t>
      </w:r>
      <w:r>
        <w:rPr>
          <w:rFonts w:ascii="Times New Roman" w:hAnsi="Times New Roman" w:cs="Times New Roman"/>
          <w:sz w:val="24"/>
          <w:szCs w:val="24"/>
        </w:rPr>
        <w:t xml:space="preserve">Lieu in her </w:t>
      </w:r>
      <w:r w:rsidRPr="00E77E41">
        <w:rPr>
          <w:rFonts w:ascii="Times New Roman" w:hAnsi="Times New Roman" w:cs="Times New Roman"/>
          <w:sz w:val="24"/>
          <w:szCs w:val="24"/>
        </w:rPr>
        <w:t xml:space="preserve">article points to a new direction to explore ‘the use of Scripture… as found in the mouths of the various participants in the </w:t>
      </w:r>
      <w:proofErr w:type="spellStart"/>
      <w:r w:rsidRPr="00E77E41">
        <w:rPr>
          <w:rFonts w:ascii="Times New Roman" w:hAnsi="Times New Roman" w:cs="Times New Roman"/>
          <w:sz w:val="24"/>
          <w:szCs w:val="24"/>
        </w:rPr>
        <w:t>Johannine</w:t>
      </w:r>
      <w:proofErr w:type="spellEnd"/>
      <w:r w:rsidRPr="00E77E41">
        <w:rPr>
          <w:rFonts w:ascii="Times New Roman" w:hAnsi="Times New Roman" w:cs="Times New Roman"/>
          <w:sz w:val="24"/>
          <w:szCs w:val="24"/>
        </w:rPr>
        <w:t xml:space="preserve"> drama’.</w:t>
      </w:r>
      <w:r w:rsidRPr="00E77E41">
        <w:rPr>
          <w:rStyle w:val="FootnoteReference"/>
          <w:rFonts w:ascii="Times New Roman" w:hAnsi="Times New Roman" w:cs="Times New Roman"/>
          <w:sz w:val="24"/>
          <w:szCs w:val="24"/>
        </w:rPr>
        <w:footnoteReference w:id="11"/>
      </w:r>
      <w:r w:rsidRPr="00E77E41">
        <w:rPr>
          <w:rFonts w:ascii="Times New Roman" w:hAnsi="Times New Roman" w:cs="Times New Roman"/>
          <w:sz w:val="24"/>
          <w:szCs w:val="24"/>
        </w:rPr>
        <w:t xml:space="preserve"> </w:t>
      </w:r>
      <w:r>
        <w:rPr>
          <w:rFonts w:ascii="Times New Roman" w:hAnsi="Times New Roman" w:cs="Times New Roman"/>
          <w:sz w:val="24"/>
          <w:szCs w:val="24"/>
        </w:rPr>
        <w:t xml:space="preserve">Following </w:t>
      </w:r>
      <w:proofErr w:type="spellStart"/>
      <w:r>
        <w:rPr>
          <w:rFonts w:ascii="Times New Roman" w:hAnsi="Times New Roman" w:cs="Times New Roman"/>
          <w:sz w:val="24"/>
          <w:szCs w:val="24"/>
        </w:rPr>
        <w:t>Lieu’s</w:t>
      </w:r>
      <w:proofErr w:type="spellEnd"/>
      <w:r>
        <w:rPr>
          <w:rFonts w:ascii="Times New Roman" w:hAnsi="Times New Roman" w:cs="Times New Roman"/>
          <w:sz w:val="24"/>
          <w:szCs w:val="24"/>
        </w:rPr>
        <w:t xml:space="preserve"> advice</w:t>
      </w:r>
      <w:r w:rsidRPr="00E77E41">
        <w:rPr>
          <w:rFonts w:ascii="Times New Roman" w:hAnsi="Times New Roman" w:cs="Times New Roman"/>
          <w:sz w:val="24"/>
          <w:szCs w:val="24"/>
        </w:rPr>
        <w:t>, Myers explores the characterization</w:t>
      </w:r>
      <w:r>
        <w:rPr>
          <w:rFonts w:ascii="Times New Roman" w:hAnsi="Times New Roman" w:cs="Times New Roman"/>
          <w:sz w:val="24"/>
          <w:szCs w:val="24"/>
        </w:rPr>
        <w:t xml:space="preserve"> of Jesus in the FG by</w:t>
      </w:r>
      <w:r w:rsidRPr="00E77E41">
        <w:rPr>
          <w:rFonts w:ascii="Times New Roman" w:hAnsi="Times New Roman" w:cs="Times New Roman"/>
          <w:sz w:val="24"/>
          <w:szCs w:val="24"/>
        </w:rPr>
        <w:t xml:space="preserve"> the</w:t>
      </w:r>
      <w:r>
        <w:rPr>
          <w:rFonts w:ascii="Times New Roman" w:hAnsi="Times New Roman" w:cs="Times New Roman"/>
          <w:sz w:val="24"/>
          <w:szCs w:val="24"/>
        </w:rPr>
        <w:t xml:space="preserve"> framework of</w:t>
      </w:r>
      <w:r w:rsidRPr="00E77E41">
        <w:rPr>
          <w:rFonts w:ascii="Times New Roman" w:hAnsi="Times New Roman" w:cs="Times New Roman"/>
          <w:sz w:val="24"/>
          <w:szCs w:val="24"/>
        </w:rPr>
        <w:t xml:space="preserve"> ancient rhetoric techniques.</w:t>
      </w:r>
      <w:r w:rsidRPr="00E77E41">
        <w:rPr>
          <w:rStyle w:val="FootnoteReference"/>
          <w:rFonts w:ascii="Times New Roman" w:hAnsi="Times New Roman" w:cs="Times New Roman"/>
          <w:sz w:val="24"/>
          <w:szCs w:val="24"/>
        </w:rPr>
        <w:footnoteReference w:id="12"/>
      </w:r>
      <w:r w:rsidRPr="00E77E41">
        <w:rPr>
          <w:rFonts w:ascii="Times New Roman" w:hAnsi="Times New Roman" w:cs="Times New Roman"/>
          <w:sz w:val="24"/>
          <w:szCs w:val="24"/>
        </w:rPr>
        <w:t xml:space="preserve"> This work demonstrates that the scriptural references to key figures and events in the FG serves as a rhetorical device</w:t>
      </w:r>
      <w:r>
        <w:rPr>
          <w:rFonts w:ascii="Times New Roman" w:hAnsi="Times New Roman" w:cs="Times New Roman"/>
          <w:sz w:val="24"/>
          <w:szCs w:val="24"/>
        </w:rPr>
        <w:t xml:space="preserve"> to</w:t>
      </w:r>
      <w:r w:rsidRPr="00E77E41">
        <w:rPr>
          <w:rFonts w:ascii="Times New Roman" w:hAnsi="Times New Roman" w:cs="Times New Roman"/>
          <w:sz w:val="24"/>
          <w:szCs w:val="24"/>
        </w:rPr>
        <w:t xml:space="preserve"> present the </w:t>
      </w:r>
      <w:proofErr w:type="spellStart"/>
      <w:r>
        <w:rPr>
          <w:rFonts w:ascii="Times New Roman" w:hAnsi="Times New Roman" w:cs="Times New Roman"/>
          <w:sz w:val="24"/>
          <w:szCs w:val="24"/>
        </w:rPr>
        <w:t>Johannine</w:t>
      </w:r>
      <w:proofErr w:type="spellEnd"/>
      <w:r>
        <w:rPr>
          <w:rFonts w:ascii="Times New Roman" w:hAnsi="Times New Roman" w:cs="Times New Roman"/>
          <w:sz w:val="24"/>
          <w:szCs w:val="24"/>
        </w:rPr>
        <w:t xml:space="preserve"> Jesus to his audience.</w:t>
      </w:r>
      <w:r>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w:t>
      </w:r>
    </w:p>
    <w:p w14:paraId="5002AAF5" w14:textId="77777777" w:rsidR="009542F1" w:rsidRPr="00E77E41" w:rsidRDefault="009542F1" w:rsidP="009542F1">
      <w:pPr>
        <w:spacing w:line="360" w:lineRule="auto"/>
        <w:rPr>
          <w:rFonts w:ascii="Times New Roman" w:hAnsi="Times New Roman" w:cs="Times New Roman"/>
          <w:sz w:val="24"/>
          <w:szCs w:val="24"/>
        </w:rPr>
      </w:pPr>
      <w:r w:rsidRPr="00E77E41">
        <w:rPr>
          <w:rFonts w:ascii="Times New Roman" w:hAnsi="Times New Roman" w:cs="Times New Roman"/>
          <w:sz w:val="24"/>
          <w:szCs w:val="24"/>
        </w:rPr>
        <w:t xml:space="preserve">Third, </w:t>
      </w:r>
      <w:r>
        <w:rPr>
          <w:rFonts w:ascii="Times New Roman" w:hAnsi="Times New Roman" w:cs="Times New Roman"/>
          <w:sz w:val="24"/>
          <w:szCs w:val="24"/>
        </w:rPr>
        <w:t>Clark-Soles employs the sociological model to analyse</w:t>
      </w:r>
      <w:r w:rsidRPr="00E77E41">
        <w:rPr>
          <w:rFonts w:ascii="Times New Roman" w:hAnsi="Times New Roman" w:cs="Times New Roman"/>
          <w:sz w:val="24"/>
          <w:szCs w:val="24"/>
        </w:rPr>
        <w:t xml:space="preserve"> the FG’s use of scripture in order to reconstruct the historical situation of the </w:t>
      </w:r>
      <w:proofErr w:type="spellStart"/>
      <w:r w:rsidRPr="00E77E41">
        <w:rPr>
          <w:rFonts w:ascii="Times New Roman" w:hAnsi="Times New Roman" w:cs="Times New Roman"/>
          <w:sz w:val="24"/>
          <w:szCs w:val="24"/>
        </w:rPr>
        <w:t>Johannine</w:t>
      </w:r>
      <w:proofErr w:type="spellEnd"/>
      <w:r w:rsidRPr="00E77E41">
        <w:rPr>
          <w:rFonts w:ascii="Times New Roman" w:hAnsi="Times New Roman" w:cs="Times New Roman"/>
          <w:sz w:val="24"/>
          <w:szCs w:val="24"/>
        </w:rPr>
        <w:t xml:space="preserve"> community.</w:t>
      </w:r>
      <w:r w:rsidRPr="00E77E41">
        <w:rPr>
          <w:rStyle w:val="FootnoteReference"/>
          <w:rFonts w:ascii="Times New Roman" w:hAnsi="Times New Roman" w:cs="Times New Roman"/>
          <w:sz w:val="24"/>
          <w:szCs w:val="24"/>
        </w:rPr>
        <w:footnoteReference w:id="14"/>
      </w:r>
      <w:r>
        <w:rPr>
          <w:rFonts w:ascii="Times New Roman" w:hAnsi="Times New Roman" w:cs="Times New Roman"/>
          <w:sz w:val="24"/>
          <w:szCs w:val="24"/>
        </w:rPr>
        <w:t xml:space="preserve"> In her finding, t</w:t>
      </w:r>
      <w:r w:rsidRPr="00E77E41">
        <w:rPr>
          <w:rFonts w:ascii="Times New Roman" w:hAnsi="Times New Roman" w:cs="Times New Roman"/>
          <w:sz w:val="24"/>
          <w:szCs w:val="24"/>
        </w:rPr>
        <w:t>he authoritati</w:t>
      </w:r>
      <w:r>
        <w:rPr>
          <w:rFonts w:ascii="Times New Roman" w:hAnsi="Times New Roman" w:cs="Times New Roman"/>
          <w:sz w:val="24"/>
          <w:szCs w:val="24"/>
        </w:rPr>
        <w:t>ve voice of the Scripture is</w:t>
      </w:r>
      <w:r w:rsidRPr="00E77E41">
        <w:rPr>
          <w:rFonts w:ascii="Times New Roman" w:hAnsi="Times New Roman" w:cs="Times New Roman"/>
          <w:sz w:val="24"/>
          <w:szCs w:val="24"/>
        </w:rPr>
        <w:t xml:space="preserve"> used to encourage the ‘insiders’ of the community to stand against the outsiders’ oppositions. </w:t>
      </w:r>
    </w:p>
    <w:p w14:paraId="116550AC" w14:textId="77777777" w:rsidR="009542F1" w:rsidRDefault="009542F1" w:rsidP="009542F1">
      <w:pPr>
        <w:spacing w:line="360" w:lineRule="auto"/>
        <w:rPr>
          <w:rFonts w:ascii="Times New Roman" w:hAnsi="Times New Roman" w:cs="Times New Roman"/>
          <w:sz w:val="24"/>
          <w:szCs w:val="24"/>
        </w:rPr>
      </w:pPr>
      <w:r w:rsidRPr="00E77E41">
        <w:rPr>
          <w:rFonts w:ascii="Times New Roman" w:hAnsi="Times New Roman" w:cs="Times New Roman"/>
          <w:sz w:val="24"/>
          <w:szCs w:val="24"/>
        </w:rPr>
        <w:t xml:space="preserve">Another </w:t>
      </w:r>
      <w:r>
        <w:rPr>
          <w:rFonts w:ascii="Times New Roman" w:hAnsi="Times New Roman" w:cs="Times New Roman"/>
          <w:sz w:val="24"/>
          <w:szCs w:val="24"/>
        </w:rPr>
        <w:t>control of allusion study is about the context of</w:t>
      </w:r>
      <w:r w:rsidRPr="00E77E41">
        <w:rPr>
          <w:rFonts w:ascii="Times New Roman" w:hAnsi="Times New Roman" w:cs="Times New Roman"/>
          <w:sz w:val="24"/>
          <w:szCs w:val="24"/>
        </w:rPr>
        <w:t xml:space="preserve"> interpretations. If the original author wanted to present </w:t>
      </w:r>
      <w:r>
        <w:rPr>
          <w:rFonts w:ascii="Times New Roman" w:hAnsi="Times New Roman" w:cs="Times New Roman"/>
          <w:sz w:val="24"/>
          <w:szCs w:val="24"/>
        </w:rPr>
        <w:t>a</w:t>
      </w:r>
      <w:r w:rsidRPr="00E77E41">
        <w:rPr>
          <w:rFonts w:ascii="Times New Roman" w:hAnsi="Times New Roman" w:cs="Times New Roman"/>
          <w:sz w:val="24"/>
          <w:szCs w:val="24"/>
        </w:rPr>
        <w:t xml:space="preserve"> particular allusion in his/her writing to the original audience, the contemporary understanding is an important consideration. So Williams traces the history of interpretation of the divine declaration ‘I am He’ from the Hebrew Bible (</w:t>
      </w:r>
      <w:r>
        <w:rPr>
          <w:rFonts w:ascii="Times New Roman" w:hAnsi="Times New Roman" w:cs="Times New Roman"/>
          <w:sz w:val="24"/>
          <w:szCs w:val="24"/>
        </w:rPr>
        <w:t>Deuteronomy</w:t>
      </w:r>
      <w:r w:rsidRPr="00E77E41">
        <w:rPr>
          <w:rFonts w:ascii="Times New Roman" w:hAnsi="Times New Roman" w:cs="Times New Roman"/>
          <w:sz w:val="24"/>
          <w:szCs w:val="24"/>
        </w:rPr>
        <w:t xml:space="preserve"> and Isaiah) </w:t>
      </w:r>
      <w:r>
        <w:rPr>
          <w:rFonts w:ascii="Times New Roman" w:hAnsi="Times New Roman" w:cs="Times New Roman"/>
          <w:sz w:val="24"/>
          <w:szCs w:val="24"/>
        </w:rPr>
        <w:t>to the</w:t>
      </w:r>
      <w:r w:rsidRPr="00E77E41">
        <w:rPr>
          <w:rFonts w:ascii="Times New Roman" w:hAnsi="Times New Roman" w:cs="Times New Roman"/>
          <w:sz w:val="24"/>
          <w:szCs w:val="24"/>
        </w:rPr>
        <w:t xml:space="preserve"> Second Temple Jewish</w:t>
      </w:r>
      <w:r>
        <w:rPr>
          <w:rFonts w:ascii="Times New Roman" w:hAnsi="Times New Roman" w:cs="Times New Roman"/>
          <w:sz w:val="24"/>
          <w:szCs w:val="24"/>
        </w:rPr>
        <w:t xml:space="preserve"> literatures and the Gospels</w:t>
      </w:r>
      <w:r w:rsidRPr="00E77E41">
        <w:rPr>
          <w:rFonts w:ascii="Times New Roman" w:hAnsi="Times New Roman" w:cs="Times New Roman"/>
          <w:sz w:val="24"/>
          <w:szCs w:val="24"/>
        </w:rPr>
        <w:t>.</w:t>
      </w:r>
      <w:r w:rsidRPr="00E77E41">
        <w:rPr>
          <w:rStyle w:val="FootnoteReference"/>
          <w:rFonts w:ascii="Times New Roman" w:hAnsi="Times New Roman" w:cs="Times New Roman"/>
          <w:sz w:val="24"/>
          <w:szCs w:val="24"/>
        </w:rPr>
        <w:footnoteReference w:id="15"/>
      </w:r>
      <w:r w:rsidRPr="00E77E41">
        <w:rPr>
          <w:rFonts w:ascii="Times New Roman" w:hAnsi="Times New Roman" w:cs="Times New Roman"/>
          <w:sz w:val="24"/>
          <w:szCs w:val="24"/>
        </w:rPr>
        <w:t xml:space="preserve"> </w:t>
      </w:r>
      <w:r>
        <w:rPr>
          <w:rFonts w:ascii="Times New Roman" w:hAnsi="Times New Roman" w:cs="Times New Roman"/>
          <w:sz w:val="24"/>
          <w:szCs w:val="24"/>
        </w:rPr>
        <w:t>After comparing with contemporary Jewish literature’s usage, it is more persuasive to conclude that Jesus’</w:t>
      </w:r>
      <w:r w:rsidRPr="00E77E41">
        <w:rPr>
          <w:rFonts w:ascii="Times New Roman" w:hAnsi="Times New Roman" w:cs="Times New Roman"/>
          <w:sz w:val="24"/>
          <w:szCs w:val="24"/>
        </w:rPr>
        <w:t xml:space="preserve"> declaration </w:t>
      </w:r>
      <w:r>
        <w:rPr>
          <w:rFonts w:ascii="Times New Roman" w:hAnsi="Times New Roman" w:cs="Times New Roman"/>
          <w:sz w:val="24"/>
          <w:szCs w:val="24"/>
        </w:rPr>
        <w:t xml:space="preserve">of </w:t>
      </w:r>
      <w:r w:rsidRPr="00E77E41">
        <w:rPr>
          <w:rFonts w:ascii="Times New Roman" w:hAnsi="Times New Roman" w:cs="Times New Roman"/>
          <w:sz w:val="24"/>
          <w:szCs w:val="24"/>
        </w:rPr>
        <w:t>‘I am’ in the Gospels (Mark and John)</w:t>
      </w:r>
      <w:r>
        <w:rPr>
          <w:rFonts w:ascii="Times New Roman" w:hAnsi="Times New Roman" w:cs="Times New Roman"/>
          <w:sz w:val="24"/>
          <w:szCs w:val="24"/>
        </w:rPr>
        <w:t xml:space="preserve"> is signifying the scriptural definitive revelation from God</w:t>
      </w:r>
      <w:r w:rsidRPr="00E77E41">
        <w:rPr>
          <w:rFonts w:ascii="Times New Roman" w:hAnsi="Times New Roman" w:cs="Times New Roman"/>
          <w:sz w:val="24"/>
          <w:szCs w:val="24"/>
        </w:rPr>
        <w:t xml:space="preserve">. </w:t>
      </w:r>
    </w:p>
    <w:p w14:paraId="76D49DE3" w14:textId="77777777" w:rsidR="009542F1" w:rsidRPr="00E77E41" w:rsidRDefault="009542F1" w:rsidP="009542F1">
      <w:pPr>
        <w:spacing w:line="360" w:lineRule="auto"/>
        <w:rPr>
          <w:rFonts w:ascii="Times New Roman" w:hAnsi="Times New Roman" w:cs="Times New Roman"/>
          <w:sz w:val="24"/>
          <w:szCs w:val="24"/>
        </w:rPr>
      </w:pPr>
      <w:r>
        <w:rPr>
          <w:rFonts w:ascii="Times New Roman" w:hAnsi="Times New Roman" w:cs="Times New Roman"/>
          <w:sz w:val="24"/>
          <w:szCs w:val="24"/>
        </w:rPr>
        <w:t xml:space="preserve">Similarly, Manning proposes some </w:t>
      </w:r>
      <w:proofErr w:type="spellStart"/>
      <w:r>
        <w:rPr>
          <w:rFonts w:ascii="Times New Roman" w:hAnsi="Times New Roman" w:cs="Times New Roman"/>
          <w:sz w:val="24"/>
          <w:szCs w:val="24"/>
        </w:rPr>
        <w:t>Johannine</w:t>
      </w:r>
      <w:proofErr w:type="spellEnd"/>
      <w:r>
        <w:rPr>
          <w:rFonts w:ascii="Times New Roman" w:hAnsi="Times New Roman" w:cs="Times New Roman"/>
          <w:sz w:val="24"/>
          <w:szCs w:val="24"/>
        </w:rPr>
        <w:t xml:space="preserve"> symbols, such as shepherd (John 10) and true vine (John 15), as allusions from the prophetic book Ezekiel.</w:t>
      </w:r>
      <w:r>
        <w:rPr>
          <w:rStyle w:val="FootnoteReference"/>
          <w:rFonts w:ascii="Times New Roman" w:hAnsi="Times New Roman" w:cs="Times New Roman"/>
          <w:sz w:val="24"/>
          <w:szCs w:val="24"/>
        </w:rPr>
        <w:footnoteReference w:id="16"/>
      </w:r>
      <w:r>
        <w:rPr>
          <w:rFonts w:ascii="Times New Roman" w:hAnsi="Times New Roman" w:cs="Times New Roman"/>
          <w:sz w:val="24"/>
          <w:szCs w:val="24"/>
        </w:rPr>
        <w:t xml:space="preserve"> To verify the symbolic use of Ezekiel, Manning reviews their use in the Dead Sea Scroll and other Second Temple literatures. Though not all of his proposed allusions are convincing,</w:t>
      </w:r>
      <w:r>
        <w:rPr>
          <w:rStyle w:val="FootnoteReference"/>
          <w:rFonts w:ascii="Times New Roman" w:hAnsi="Times New Roman" w:cs="Times New Roman"/>
          <w:sz w:val="24"/>
          <w:szCs w:val="24"/>
        </w:rPr>
        <w:footnoteReference w:id="17"/>
      </w:r>
      <w:r>
        <w:rPr>
          <w:rFonts w:ascii="Times New Roman" w:hAnsi="Times New Roman" w:cs="Times New Roman"/>
          <w:sz w:val="24"/>
          <w:szCs w:val="24"/>
        </w:rPr>
        <w:t xml:space="preserve"> Manning has successfully demonstrated that Ezekiel is one of the influential Scriptural books to the FG.</w:t>
      </w:r>
      <w:r>
        <w:rPr>
          <w:rStyle w:val="FootnoteReference"/>
          <w:rFonts w:ascii="Times New Roman" w:hAnsi="Times New Roman" w:cs="Times New Roman"/>
          <w:sz w:val="24"/>
          <w:szCs w:val="24"/>
        </w:rPr>
        <w:footnoteReference w:id="18"/>
      </w:r>
    </w:p>
    <w:p w14:paraId="55BA11A3" w14:textId="77777777" w:rsidR="009542F1" w:rsidRDefault="009542F1" w:rsidP="009542F1">
      <w:pPr>
        <w:spacing w:line="360" w:lineRule="auto"/>
        <w:rPr>
          <w:rFonts w:ascii="Times New Roman" w:hAnsi="Times New Roman" w:cs="Times New Roman"/>
          <w:sz w:val="24"/>
          <w:szCs w:val="24"/>
        </w:rPr>
      </w:pPr>
      <w:r w:rsidRPr="00E77E41">
        <w:rPr>
          <w:rFonts w:ascii="Times New Roman" w:hAnsi="Times New Roman" w:cs="Times New Roman"/>
          <w:sz w:val="24"/>
          <w:szCs w:val="24"/>
        </w:rPr>
        <w:t>In conclusion, the use of Jewish scripture is a lasting interest in the FG study. However, purely verbal or conceptual parallel would easily slip into a ‘</w:t>
      </w:r>
      <w:proofErr w:type="spellStart"/>
      <w:r w:rsidRPr="00E77E41">
        <w:rPr>
          <w:rFonts w:ascii="Times New Roman" w:hAnsi="Times New Roman" w:cs="Times New Roman"/>
          <w:sz w:val="24"/>
          <w:szCs w:val="24"/>
        </w:rPr>
        <w:t>parallelomania</w:t>
      </w:r>
      <w:proofErr w:type="spellEnd"/>
      <w:r w:rsidRPr="00E77E41">
        <w:rPr>
          <w:rFonts w:ascii="Times New Roman" w:hAnsi="Times New Roman" w:cs="Times New Roman"/>
          <w:sz w:val="24"/>
          <w:szCs w:val="24"/>
        </w:rPr>
        <w:t>’</w:t>
      </w:r>
      <w:r w:rsidRPr="00E77E41">
        <w:rPr>
          <w:rStyle w:val="FootnoteReference"/>
          <w:rFonts w:ascii="Times New Roman" w:hAnsi="Times New Roman" w:cs="Times New Roman"/>
          <w:sz w:val="24"/>
          <w:szCs w:val="24"/>
        </w:rPr>
        <w:footnoteReference w:id="19"/>
      </w:r>
      <w:r w:rsidRPr="00E77E41">
        <w:rPr>
          <w:rFonts w:ascii="Times New Roman" w:hAnsi="Times New Roman" w:cs="Times New Roman"/>
          <w:sz w:val="24"/>
          <w:szCs w:val="24"/>
        </w:rPr>
        <w:t xml:space="preserve"> trap. </w:t>
      </w:r>
      <w:r>
        <w:rPr>
          <w:rFonts w:ascii="Times New Roman" w:hAnsi="Times New Roman" w:cs="Times New Roman"/>
          <w:sz w:val="24"/>
          <w:szCs w:val="24"/>
        </w:rPr>
        <w:t>The integrated studies of the FG with</w:t>
      </w:r>
      <w:r w:rsidRPr="00E77E41">
        <w:rPr>
          <w:rFonts w:ascii="Times New Roman" w:hAnsi="Times New Roman" w:cs="Times New Roman"/>
          <w:sz w:val="24"/>
          <w:szCs w:val="24"/>
        </w:rPr>
        <w:t xml:space="preserve"> linguistic, rhetorical, and social methodologies provid</w:t>
      </w:r>
      <w:r>
        <w:rPr>
          <w:rFonts w:ascii="Times New Roman" w:hAnsi="Times New Roman" w:cs="Times New Roman"/>
          <w:sz w:val="24"/>
          <w:szCs w:val="24"/>
        </w:rPr>
        <w:t>e effective controls for</w:t>
      </w:r>
      <w:r w:rsidRPr="00E77E41">
        <w:rPr>
          <w:rFonts w:ascii="Times New Roman" w:hAnsi="Times New Roman" w:cs="Times New Roman"/>
          <w:sz w:val="24"/>
          <w:szCs w:val="24"/>
        </w:rPr>
        <w:t xml:space="preserve"> a fruitful analy</w:t>
      </w:r>
      <w:r>
        <w:rPr>
          <w:rFonts w:ascii="Times New Roman" w:hAnsi="Times New Roman" w:cs="Times New Roman"/>
          <w:sz w:val="24"/>
          <w:szCs w:val="24"/>
        </w:rPr>
        <w:t>sis of the scriptural use of this</w:t>
      </w:r>
      <w:r w:rsidRPr="00E77E41">
        <w:rPr>
          <w:rFonts w:ascii="Times New Roman" w:hAnsi="Times New Roman" w:cs="Times New Roman"/>
          <w:sz w:val="24"/>
          <w:szCs w:val="24"/>
        </w:rPr>
        <w:t xml:space="preserve"> gospel.</w:t>
      </w:r>
      <w:r>
        <w:rPr>
          <w:rFonts w:ascii="Times New Roman" w:hAnsi="Times New Roman" w:cs="Times New Roman"/>
          <w:sz w:val="24"/>
          <w:szCs w:val="24"/>
        </w:rPr>
        <w:t xml:space="preserve"> Also the comparative study</w:t>
      </w:r>
      <w:r w:rsidRPr="00E77E41">
        <w:rPr>
          <w:rFonts w:ascii="Times New Roman" w:hAnsi="Times New Roman" w:cs="Times New Roman"/>
          <w:sz w:val="24"/>
          <w:szCs w:val="24"/>
        </w:rPr>
        <w:t xml:space="preserve"> with other contemporary Jewish litera</w:t>
      </w:r>
      <w:r>
        <w:rPr>
          <w:rFonts w:ascii="Times New Roman" w:hAnsi="Times New Roman" w:cs="Times New Roman"/>
          <w:sz w:val="24"/>
          <w:szCs w:val="24"/>
        </w:rPr>
        <w:t>ture can also enhance the clarity</w:t>
      </w:r>
      <w:r w:rsidRPr="00E77E41">
        <w:rPr>
          <w:rFonts w:ascii="Times New Roman" w:hAnsi="Times New Roman" w:cs="Times New Roman"/>
          <w:sz w:val="24"/>
          <w:szCs w:val="24"/>
        </w:rPr>
        <w:t xml:space="preserve"> for the understanding of the scripture used</w:t>
      </w:r>
      <w:r>
        <w:rPr>
          <w:rFonts w:ascii="Times New Roman" w:hAnsi="Times New Roman" w:cs="Times New Roman"/>
          <w:sz w:val="24"/>
          <w:szCs w:val="24"/>
        </w:rPr>
        <w:t xml:space="preserve"> in the FG.</w:t>
      </w:r>
    </w:p>
    <w:p w14:paraId="5E4383F0" w14:textId="77777777" w:rsidR="009542F1" w:rsidRDefault="009542F1" w:rsidP="009542F1">
      <w:pPr>
        <w:spacing w:line="360" w:lineRule="auto"/>
        <w:rPr>
          <w:rFonts w:ascii="Times New Roman" w:hAnsi="Times New Roman" w:cs="Times New Roman"/>
          <w:sz w:val="24"/>
          <w:szCs w:val="24"/>
        </w:rPr>
      </w:pPr>
    </w:p>
    <w:p w14:paraId="5F297357" w14:textId="77777777" w:rsidR="009542F1" w:rsidRDefault="009542F1" w:rsidP="009542F1">
      <w:pPr>
        <w:spacing w:line="360" w:lineRule="auto"/>
        <w:rPr>
          <w:rFonts w:ascii="Times New Roman" w:hAnsi="Times New Roman" w:cs="Times New Roman"/>
          <w:sz w:val="24"/>
          <w:szCs w:val="24"/>
        </w:rPr>
      </w:pPr>
    </w:p>
    <w:p w14:paraId="543AB2B0" w14:textId="77777777" w:rsidR="009542F1" w:rsidRDefault="009542F1" w:rsidP="009542F1">
      <w:pPr>
        <w:spacing w:line="360" w:lineRule="auto"/>
        <w:rPr>
          <w:rFonts w:ascii="Times New Roman" w:hAnsi="Times New Roman" w:cs="Times New Roman"/>
          <w:sz w:val="24"/>
          <w:szCs w:val="24"/>
        </w:rPr>
      </w:pPr>
      <w:r>
        <w:rPr>
          <w:rFonts w:ascii="Times New Roman" w:hAnsi="Times New Roman" w:cs="Times New Roman"/>
          <w:sz w:val="24"/>
          <w:szCs w:val="24"/>
        </w:rPr>
        <w:t>Word count: 1248</w:t>
      </w:r>
    </w:p>
    <w:p w14:paraId="6AE5DADC" w14:textId="77777777" w:rsidR="009542F1" w:rsidRPr="00E77E41" w:rsidRDefault="009542F1" w:rsidP="009542F1">
      <w:pPr>
        <w:spacing w:line="360" w:lineRule="auto"/>
        <w:rPr>
          <w:rFonts w:ascii="Times New Roman" w:hAnsi="Times New Roman" w:cs="Times New Roman"/>
          <w:sz w:val="24"/>
          <w:szCs w:val="24"/>
        </w:rPr>
      </w:pPr>
    </w:p>
    <w:p w14:paraId="0F0A0A5C" w14:textId="77777777" w:rsidR="00B56948" w:rsidRDefault="00B56948"/>
    <w:sectPr w:rsidR="00B56948" w:rsidSect="00FE0820">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B67BAC" w14:textId="77777777" w:rsidR="009542F1" w:rsidRDefault="009542F1" w:rsidP="009542F1">
      <w:pPr>
        <w:spacing w:after="0" w:line="240" w:lineRule="auto"/>
      </w:pPr>
      <w:r>
        <w:separator/>
      </w:r>
    </w:p>
  </w:endnote>
  <w:endnote w:type="continuationSeparator" w:id="0">
    <w:p w14:paraId="11E3DACB" w14:textId="77777777" w:rsidR="009542F1" w:rsidRDefault="009542F1" w:rsidP="00954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3C1636" w14:textId="77777777" w:rsidR="009542F1" w:rsidRDefault="009542F1" w:rsidP="009542F1">
      <w:pPr>
        <w:spacing w:after="0" w:line="240" w:lineRule="auto"/>
      </w:pPr>
      <w:r>
        <w:separator/>
      </w:r>
    </w:p>
  </w:footnote>
  <w:footnote w:type="continuationSeparator" w:id="0">
    <w:p w14:paraId="428AA225" w14:textId="77777777" w:rsidR="009542F1" w:rsidRDefault="009542F1" w:rsidP="009542F1">
      <w:pPr>
        <w:spacing w:after="0" w:line="240" w:lineRule="auto"/>
      </w:pPr>
      <w:r>
        <w:continuationSeparator/>
      </w:r>
    </w:p>
  </w:footnote>
  <w:footnote w:id="1">
    <w:p w14:paraId="479B53E8" w14:textId="77777777" w:rsidR="009542F1" w:rsidRPr="00B02957" w:rsidRDefault="009542F1" w:rsidP="009542F1">
      <w:pPr>
        <w:pStyle w:val="FootnoteText"/>
        <w:rPr>
          <w:rFonts w:ascii="Times New Roman" w:hAnsi="Times New Roman" w:cs="Times New Roman"/>
        </w:rPr>
      </w:pPr>
      <w:r>
        <w:rPr>
          <w:rStyle w:val="FootnoteReference"/>
        </w:rPr>
        <w:footnoteRef/>
      </w:r>
      <w:r>
        <w:t xml:space="preserve"> </w:t>
      </w:r>
      <w:proofErr w:type="gramStart"/>
      <w:r w:rsidRPr="00B02957">
        <w:rPr>
          <w:rFonts w:ascii="Times New Roman" w:hAnsi="Times New Roman" w:cs="Times New Roman"/>
        </w:rPr>
        <w:t>C.K.</w:t>
      </w:r>
      <w:r>
        <w:rPr>
          <w:rFonts w:ascii="Times New Roman" w:hAnsi="Times New Roman" w:cs="Times New Roman"/>
        </w:rPr>
        <w:t xml:space="preserve"> Barrett, ‘Old Testament in the Fourth Gospel’, </w:t>
      </w:r>
      <w:r w:rsidRPr="004C2ECB">
        <w:rPr>
          <w:rFonts w:ascii="Times New Roman" w:hAnsi="Times New Roman" w:cs="Times New Roman"/>
          <w:i/>
        </w:rPr>
        <w:t>JTS</w:t>
      </w:r>
      <w:r>
        <w:rPr>
          <w:rFonts w:ascii="Times New Roman" w:hAnsi="Times New Roman" w:cs="Times New Roman"/>
        </w:rPr>
        <w:t xml:space="preserve"> 48 (1947), 155–69.</w:t>
      </w:r>
      <w:proofErr w:type="gramEnd"/>
    </w:p>
  </w:footnote>
  <w:footnote w:id="2">
    <w:p w14:paraId="2CEED455" w14:textId="77777777" w:rsidR="009542F1" w:rsidRDefault="009542F1" w:rsidP="009542F1">
      <w:pPr>
        <w:pStyle w:val="FootnoteText"/>
      </w:pPr>
      <w:r>
        <w:rPr>
          <w:rStyle w:val="FootnoteReference"/>
        </w:rPr>
        <w:footnoteRef/>
      </w:r>
      <w:r>
        <w:t xml:space="preserve"> </w:t>
      </w:r>
      <w:r>
        <w:rPr>
          <w:rFonts w:ascii="Times New Roman" w:hAnsi="Times New Roman" w:cs="Times New Roman"/>
        </w:rPr>
        <w:t>A.T. Hanson, ‘John’s u</w:t>
      </w:r>
      <w:r w:rsidRPr="005D675E">
        <w:rPr>
          <w:rFonts w:ascii="Times New Roman" w:hAnsi="Times New Roman" w:cs="Times New Roman"/>
        </w:rPr>
        <w:t xml:space="preserve">se of </w:t>
      </w:r>
      <w:r>
        <w:rPr>
          <w:rFonts w:ascii="Times New Roman" w:hAnsi="Times New Roman" w:cs="Times New Roman"/>
        </w:rPr>
        <w:t>Scripture</w:t>
      </w:r>
      <w:r w:rsidRPr="005D675E">
        <w:rPr>
          <w:rFonts w:ascii="Times New Roman" w:hAnsi="Times New Roman" w:cs="Times New Roman"/>
        </w:rPr>
        <w:t>’</w:t>
      </w:r>
      <w:r>
        <w:rPr>
          <w:rFonts w:ascii="Times New Roman" w:hAnsi="Times New Roman" w:cs="Times New Roman"/>
        </w:rPr>
        <w:t xml:space="preserve"> in </w:t>
      </w:r>
      <w:r w:rsidRPr="00893787">
        <w:rPr>
          <w:rFonts w:ascii="Times New Roman" w:hAnsi="Times New Roman" w:cs="Times New Roman"/>
          <w:i/>
        </w:rPr>
        <w:t>The Gospel and the Scriptures of Israel</w:t>
      </w:r>
      <w:r>
        <w:rPr>
          <w:rFonts w:ascii="Times New Roman" w:hAnsi="Times New Roman" w:cs="Times New Roman"/>
        </w:rPr>
        <w:t xml:space="preserve">, ed. by Evans and </w:t>
      </w:r>
      <w:proofErr w:type="spellStart"/>
      <w:r>
        <w:rPr>
          <w:rFonts w:ascii="Times New Roman" w:hAnsi="Times New Roman" w:cs="Times New Roman"/>
        </w:rPr>
        <w:t>Stegner</w:t>
      </w:r>
      <w:proofErr w:type="spellEnd"/>
      <w:r>
        <w:rPr>
          <w:rFonts w:ascii="Times New Roman" w:hAnsi="Times New Roman" w:cs="Times New Roman"/>
        </w:rPr>
        <w:t xml:space="preserve"> (Sheffield Academic, 1994) 358–79, and</w:t>
      </w:r>
      <w:r w:rsidRPr="005D675E">
        <w:rPr>
          <w:rFonts w:ascii="Times New Roman" w:hAnsi="Times New Roman" w:cs="Times New Roman"/>
        </w:rPr>
        <w:t xml:space="preserve"> Paul Miller, ‘They Saw His Glory and Spoke of Him: The Gospel of John and the Old Testament’, in </w:t>
      </w:r>
      <w:r w:rsidRPr="005D675E">
        <w:rPr>
          <w:rFonts w:ascii="Times New Roman" w:hAnsi="Times New Roman" w:cs="Times New Roman"/>
          <w:i/>
        </w:rPr>
        <w:t>Hearing the Old Testament in the New Testament</w:t>
      </w:r>
      <w:r w:rsidRPr="005D675E">
        <w:rPr>
          <w:rFonts w:ascii="Times New Roman" w:hAnsi="Times New Roman" w:cs="Times New Roman"/>
        </w:rPr>
        <w:t>, edited by S.E. Porter (Grand Rapids: Eerdmans, 2006), 1</w:t>
      </w:r>
      <w:r>
        <w:rPr>
          <w:rFonts w:ascii="Times New Roman" w:hAnsi="Times New Roman" w:cs="Times New Roman"/>
        </w:rPr>
        <w:t>27–151</w:t>
      </w:r>
      <w:r>
        <w:t>.</w:t>
      </w:r>
    </w:p>
  </w:footnote>
  <w:footnote w:id="3">
    <w:p w14:paraId="61548DAE" w14:textId="77777777" w:rsidR="009542F1" w:rsidRPr="00B02957" w:rsidRDefault="009542F1" w:rsidP="009542F1">
      <w:pPr>
        <w:pStyle w:val="FootnoteText"/>
        <w:rPr>
          <w:rFonts w:ascii="Times New Roman" w:hAnsi="Times New Roman" w:cs="Times New Roman"/>
        </w:rPr>
      </w:pPr>
      <w:r w:rsidRPr="00B02957">
        <w:rPr>
          <w:rStyle w:val="FootnoteReference"/>
          <w:rFonts w:ascii="Times New Roman" w:hAnsi="Times New Roman" w:cs="Times New Roman"/>
        </w:rPr>
        <w:footnoteRef/>
      </w:r>
      <w:r w:rsidRPr="00B02957">
        <w:rPr>
          <w:rFonts w:ascii="Times New Roman" w:hAnsi="Times New Roman" w:cs="Times New Roman"/>
        </w:rPr>
        <w:t xml:space="preserve"> B. </w:t>
      </w:r>
      <w:proofErr w:type="spellStart"/>
      <w:r w:rsidRPr="00B02957">
        <w:rPr>
          <w:rFonts w:ascii="Times New Roman" w:hAnsi="Times New Roman" w:cs="Times New Roman"/>
        </w:rPr>
        <w:t>Schuchard</w:t>
      </w:r>
      <w:proofErr w:type="spellEnd"/>
      <w:r w:rsidRPr="00B02957">
        <w:rPr>
          <w:rFonts w:ascii="Times New Roman" w:hAnsi="Times New Roman" w:cs="Times New Roman"/>
          <w:i/>
        </w:rPr>
        <w:t>, Scripture within Scripture: The Interrelationship of Form and Function in the Explicit Old Testament Citations in the Gospel of John</w:t>
      </w:r>
      <w:r w:rsidRPr="00B02957">
        <w:rPr>
          <w:rFonts w:ascii="Times New Roman" w:hAnsi="Times New Roman" w:cs="Times New Roman"/>
        </w:rPr>
        <w:t xml:space="preserve"> (Atlanta: Scholars Press, 1992), and M.J.J. Menken, </w:t>
      </w:r>
      <w:r w:rsidRPr="00F853D3">
        <w:rPr>
          <w:rFonts w:ascii="Times New Roman" w:hAnsi="Times New Roman" w:cs="Times New Roman"/>
          <w:i/>
        </w:rPr>
        <w:t>Old Testament Quotations in the Fourth Gospel: Studies in Textual Form</w:t>
      </w:r>
      <w:r w:rsidRPr="00B02957">
        <w:rPr>
          <w:rFonts w:ascii="Times New Roman" w:hAnsi="Times New Roman" w:cs="Times New Roman"/>
        </w:rPr>
        <w:t xml:space="preserve"> (Leuven: </w:t>
      </w:r>
      <w:proofErr w:type="spellStart"/>
      <w:r w:rsidRPr="00B02957">
        <w:rPr>
          <w:rFonts w:ascii="Times New Roman" w:hAnsi="Times New Roman" w:cs="Times New Roman"/>
        </w:rPr>
        <w:t>Peeters</w:t>
      </w:r>
      <w:proofErr w:type="spellEnd"/>
      <w:r w:rsidRPr="00B02957">
        <w:rPr>
          <w:rFonts w:ascii="Times New Roman" w:hAnsi="Times New Roman" w:cs="Times New Roman"/>
        </w:rPr>
        <w:t>, 1996).</w:t>
      </w:r>
    </w:p>
  </w:footnote>
  <w:footnote w:id="4">
    <w:p w14:paraId="03CC2D06" w14:textId="77777777" w:rsidR="009542F1" w:rsidRPr="00B02957" w:rsidRDefault="009542F1" w:rsidP="009542F1">
      <w:pPr>
        <w:pStyle w:val="FootnoteText"/>
        <w:rPr>
          <w:rFonts w:ascii="Times New Roman" w:hAnsi="Times New Roman" w:cs="Times New Roman"/>
        </w:rPr>
      </w:pPr>
      <w:r w:rsidRPr="00B02957">
        <w:rPr>
          <w:rStyle w:val="FootnoteReference"/>
          <w:rFonts w:ascii="Times New Roman" w:hAnsi="Times New Roman" w:cs="Times New Roman"/>
        </w:rPr>
        <w:footnoteRef/>
      </w:r>
      <w:r w:rsidRPr="00B02957">
        <w:rPr>
          <w:rFonts w:ascii="Times New Roman" w:hAnsi="Times New Roman" w:cs="Times New Roman"/>
        </w:rPr>
        <w:t xml:space="preserve"> </w:t>
      </w:r>
      <w:proofErr w:type="gramStart"/>
      <w:r w:rsidRPr="00B02957">
        <w:rPr>
          <w:rFonts w:ascii="Times New Roman" w:hAnsi="Times New Roman" w:cs="Times New Roman"/>
        </w:rPr>
        <w:t xml:space="preserve">R.B. Hays, </w:t>
      </w:r>
      <w:r w:rsidRPr="00B02957">
        <w:rPr>
          <w:rFonts w:ascii="Times New Roman" w:hAnsi="Times New Roman" w:cs="Times New Roman"/>
          <w:i/>
        </w:rPr>
        <w:t>Echoes of Scripture in the Letters of Paul</w:t>
      </w:r>
      <w:r w:rsidRPr="00B02957">
        <w:rPr>
          <w:rFonts w:ascii="Times New Roman" w:hAnsi="Times New Roman" w:cs="Times New Roman"/>
        </w:rPr>
        <w:t xml:space="preserve"> (New Haven: Yale University Press, 1989), 23.</w:t>
      </w:r>
      <w:proofErr w:type="gramEnd"/>
    </w:p>
  </w:footnote>
  <w:footnote w:id="5">
    <w:p w14:paraId="4AE7E65E" w14:textId="77777777" w:rsidR="009542F1" w:rsidRPr="00B02957" w:rsidRDefault="009542F1" w:rsidP="009542F1">
      <w:pPr>
        <w:pStyle w:val="FootnoteText"/>
        <w:rPr>
          <w:rFonts w:ascii="Times New Roman" w:hAnsi="Times New Roman" w:cs="Times New Roman"/>
        </w:rPr>
      </w:pPr>
      <w:r w:rsidRPr="00B02957">
        <w:rPr>
          <w:rStyle w:val="FootnoteReference"/>
          <w:rFonts w:ascii="Times New Roman" w:hAnsi="Times New Roman" w:cs="Times New Roman"/>
        </w:rPr>
        <w:footnoteRef/>
      </w:r>
      <w:r>
        <w:rPr>
          <w:rFonts w:ascii="Times New Roman" w:hAnsi="Times New Roman" w:cs="Times New Roman"/>
        </w:rPr>
        <w:t xml:space="preserve"> G.K. Beale,</w:t>
      </w:r>
      <w:r w:rsidRPr="00B02957">
        <w:rPr>
          <w:rFonts w:ascii="Times New Roman" w:hAnsi="Times New Roman" w:cs="Times New Roman"/>
        </w:rPr>
        <w:t xml:space="preserve"> </w:t>
      </w:r>
      <w:r>
        <w:rPr>
          <w:rFonts w:ascii="Times New Roman" w:hAnsi="Times New Roman" w:cs="Times New Roman"/>
          <w:i/>
        </w:rPr>
        <w:t>Handbook on the New Testament Use of the Old Testament</w:t>
      </w:r>
      <w:r w:rsidRPr="00B02957">
        <w:rPr>
          <w:rFonts w:ascii="Times New Roman" w:hAnsi="Times New Roman" w:cs="Times New Roman"/>
        </w:rPr>
        <w:t xml:space="preserve"> </w:t>
      </w:r>
      <w:r>
        <w:rPr>
          <w:rFonts w:ascii="Times New Roman" w:hAnsi="Times New Roman" w:cs="Times New Roman"/>
        </w:rPr>
        <w:t xml:space="preserve">(Grand Rapids, MI: Baker Academic, 2012) </w:t>
      </w:r>
      <w:r w:rsidRPr="00B02957">
        <w:rPr>
          <w:rFonts w:ascii="Times New Roman" w:hAnsi="Times New Roman" w:cs="Times New Roman"/>
        </w:rPr>
        <w:t>31.</w:t>
      </w:r>
    </w:p>
  </w:footnote>
  <w:footnote w:id="6">
    <w:p w14:paraId="3D7D7DEA" w14:textId="77777777" w:rsidR="009542F1" w:rsidRPr="00EC517C" w:rsidRDefault="009542F1" w:rsidP="009542F1">
      <w:pPr>
        <w:pStyle w:val="FootnoteText"/>
        <w:rPr>
          <w:rFonts w:ascii="Times New Roman" w:hAnsi="Times New Roman" w:cs="Times New Roman"/>
        </w:rPr>
      </w:pPr>
      <w:r>
        <w:rPr>
          <w:rStyle w:val="FootnoteReference"/>
        </w:rPr>
        <w:footnoteRef/>
      </w:r>
      <w:r>
        <w:t xml:space="preserve"> </w:t>
      </w:r>
      <w:r w:rsidRPr="00EC517C">
        <w:rPr>
          <w:rFonts w:ascii="Times New Roman" w:hAnsi="Times New Roman" w:cs="Times New Roman"/>
        </w:rPr>
        <w:t xml:space="preserve">Paul Foster, ‘Echoes without Resonance: Critiquing Certain Aspects of Recent Scholarly Trends in the Study of the Jewish Scriptures in the New Testament’, </w:t>
      </w:r>
      <w:r w:rsidRPr="00EC517C">
        <w:rPr>
          <w:rFonts w:ascii="Times New Roman" w:hAnsi="Times New Roman" w:cs="Times New Roman"/>
          <w:i/>
        </w:rPr>
        <w:t>JSNT</w:t>
      </w:r>
      <w:r w:rsidRPr="00EC517C">
        <w:rPr>
          <w:rFonts w:ascii="Times New Roman" w:hAnsi="Times New Roman" w:cs="Times New Roman"/>
        </w:rPr>
        <w:t xml:space="preserve"> vol. 38, no.1, 96–111.</w:t>
      </w:r>
    </w:p>
  </w:footnote>
  <w:footnote w:id="7">
    <w:p w14:paraId="125444B7" w14:textId="77777777" w:rsidR="009542F1" w:rsidRPr="002D105C" w:rsidRDefault="009542F1" w:rsidP="009542F1">
      <w:pPr>
        <w:rPr>
          <w:rFonts w:ascii="Times New Roman" w:hAnsi="Times New Roman" w:cs="Times New Roman"/>
        </w:rPr>
      </w:pPr>
      <w:r>
        <w:rPr>
          <w:rStyle w:val="FootnoteReference"/>
        </w:rPr>
        <w:footnoteRef/>
      </w:r>
      <w:r>
        <w:t xml:space="preserve"> </w:t>
      </w:r>
      <w:r w:rsidRPr="005B2B7C">
        <w:rPr>
          <w:rFonts w:ascii="Times New Roman" w:hAnsi="Times New Roman" w:cs="Times New Roman"/>
          <w:sz w:val="20"/>
          <w:szCs w:val="20"/>
        </w:rPr>
        <w:t xml:space="preserve">Jocelyn </w:t>
      </w:r>
      <w:proofErr w:type="spellStart"/>
      <w:r w:rsidRPr="005B2B7C">
        <w:rPr>
          <w:rFonts w:ascii="Times New Roman" w:hAnsi="Times New Roman" w:cs="Times New Roman"/>
          <w:sz w:val="20"/>
          <w:szCs w:val="20"/>
        </w:rPr>
        <w:t>McWhirter</w:t>
      </w:r>
      <w:proofErr w:type="spellEnd"/>
      <w:r w:rsidRPr="005B2B7C">
        <w:rPr>
          <w:rFonts w:ascii="Times New Roman" w:hAnsi="Times New Roman" w:cs="Times New Roman"/>
          <w:sz w:val="20"/>
          <w:szCs w:val="20"/>
        </w:rPr>
        <w:t xml:space="preserve">, </w:t>
      </w:r>
      <w:r w:rsidRPr="005B2B7C">
        <w:rPr>
          <w:rFonts w:ascii="Times New Roman" w:hAnsi="Times New Roman" w:cs="Times New Roman"/>
          <w:i/>
          <w:sz w:val="20"/>
          <w:szCs w:val="20"/>
        </w:rPr>
        <w:t>The Bridegroom Messiah and the People of God: Marriage in the Fourth Gospel</w:t>
      </w:r>
      <w:r>
        <w:rPr>
          <w:rFonts w:ascii="Times New Roman" w:hAnsi="Times New Roman" w:cs="Times New Roman"/>
          <w:sz w:val="20"/>
          <w:szCs w:val="20"/>
        </w:rPr>
        <w:t xml:space="preserve"> </w:t>
      </w:r>
      <w:r w:rsidRPr="002D105C">
        <w:rPr>
          <w:rFonts w:ascii="Times New Roman" w:hAnsi="Times New Roman" w:cs="Times New Roman"/>
          <w:sz w:val="20"/>
          <w:szCs w:val="20"/>
        </w:rPr>
        <w:t>(Cambridge: Cambridge University Press, 2006)</w:t>
      </w:r>
      <w:r w:rsidRPr="00F853D3">
        <w:rPr>
          <w:rFonts w:ascii="Times New Roman" w:hAnsi="Times New Roman" w:cs="Times New Roman"/>
          <w:sz w:val="20"/>
          <w:szCs w:val="20"/>
        </w:rPr>
        <w:t>.</w:t>
      </w:r>
    </w:p>
  </w:footnote>
  <w:footnote w:id="8">
    <w:p w14:paraId="45DCD7A1" w14:textId="77777777" w:rsidR="009542F1" w:rsidRPr="004F4C7D" w:rsidRDefault="009542F1" w:rsidP="009542F1">
      <w:pPr>
        <w:pStyle w:val="FootnoteText"/>
        <w:rPr>
          <w:rFonts w:ascii="Times New Roman" w:hAnsi="Times New Roman" w:cs="Times New Roman"/>
        </w:rPr>
      </w:pPr>
      <w:r>
        <w:rPr>
          <w:rStyle w:val="FootnoteReference"/>
        </w:rPr>
        <w:footnoteRef/>
      </w:r>
      <w:r>
        <w:t xml:space="preserve"> </w:t>
      </w:r>
      <w:r w:rsidRPr="004F4C7D">
        <w:rPr>
          <w:rFonts w:ascii="Times New Roman" w:hAnsi="Times New Roman" w:cs="Times New Roman"/>
        </w:rPr>
        <w:t xml:space="preserve">A.R. Winsor, </w:t>
      </w:r>
      <w:r w:rsidRPr="004F4C7D">
        <w:rPr>
          <w:rFonts w:ascii="Times New Roman" w:hAnsi="Times New Roman" w:cs="Times New Roman"/>
          <w:i/>
        </w:rPr>
        <w:t>A King is Bound in the Tresses: Allusions to the Song of Songs in the Fourth Gospel</w:t>
      </w:r>
      <w:r w:rsidRPr="004F4C7D">
        <w:rPr>
          <w:rFonts w:ascii="Times New Roman" w:hAnsi="Times New Roman" w:cs="Times New Roman"/>
        </w:rPr>
        <w:t xml:space="preserve"> (Peter Lang, 1999).</w:t>
      </w:r>
    </w:p>
  </w:footnote>
  <w:footnote w:id="9">
    <w:p w14:paraId="44490957" w14:textId="77777777" w:rsidR="009542F1" w:rsidRPr="002D105C" w:rsidRDefault="009542F1" w:rsidP="009542F1">
      <w:pPr>
        <w:pStyle w:val="FootnoteText"/>
        <w:rPr>
          <w:rFonts w:ascii="Times New Roman" w:hAnsi="Times New Roman" w:cs="Times New Roman"/>
        </w:rPr>
      </w:pPr>
      <w:r w:rsidRPr="002D105C">
        <w:rPr>
          <w:rStyle w:val="FootnoteReference"/>
          <w:rFonts w:ascii="Times New Roman" w:hAnsi="Times New Roman" w:cs="Times New Roman"/>
        </w:rPr>
        <w:footnoteRef/>
      </w:r>
      <w:r w:rsidRPr="002D105C">
        <w:rPr>
          <w:rFonts w:ascii="Times New Roman" w:hAnsi="Times New Roman" w:cs="Times New Roman"/>
        </w:rPr>
        <w:t xml:space="preserve"> Ibid, 61–62.</w:t>
      </w:r>
    </w:p>
  </w:footnote>
  <w:footnote w:id="10">
    <w:p w14:paraId="40F81DE1" w14:textId="77777777" w:rsidR="009542F1" w:rsidRDefault="009542F1" w:rsidP="009542F1">
      <w:pPr>
        <w:pStyle w:val="FootnoteText"/>
      </w:pPr>
      <w:r>
        <w:rPr>
          <w:rStyle w:val="FootnoteReference"/>
        </w:rPr>
        <w:footnoteRef/>
      </w:r>
      <w:r>
        <w:t xml:space="preserve"> </w:t>
      </w:r>
      <w:r w:rsidRPr="00061BC2">
        <w:rPr>
          <w:rFonts w:ascii="Times New Roman" w:hAnsi="Times New Roman" w:cs="Times New Roman"/>
        </w:rPr>
        <w:t xml:space="preserve">Beth M. </w:t>
      </w:r>
      <w:proofErr w:type="spellStart"/>
      <w:r w:rsidRPr="00061BC2">
        <w:rPr>
          <w:rFonts w:ascii="Times New Roman" w:hAnsi="Times New Roman" w:cs="Times New Roman"/>
        </w:rPr>
        <w:t>Stovell</w:t>
      </w:r>
      <w:proofErr w:type="spellEnd"/>
      <w:r w:rsidRPr="00061BC2">
        <w:rPr>
          <w:rFonts w:ascii="Times New Roman" w:hAnsi="Times New Roman" w:cs="Times New Roman"/>
        </w:rPr>
        <w:t xml:space="preserve">, </w:t>
      </w:r>
      <w:r w:rsidRPr="00061BC2">
        <w:rPr>
          <w:rFonts w:ascii="Times New Roman" w:hAnsi="Times New Roman" w:cs="Times New Roman"/>
          <w:i/>
        </w:rPr>
        <w:t>Mapping Metaphorical Discourse in the Fourth Gospel</w:t>
      </w:r>
      <w:r w:rsidRPr="00061BC2">
        <w:rPr>
          <w:rFonts w:ascii="Times New Roman" w:hAnsi="Times New Roman" w:cs="Times New Roman"/>
        </w:rPr>
        <w:t xml:space="preserve"> (Leiden: Brill, 2012).</w:t>
      </w:r>
    </w:p>
  </w:footnote>
  <w:footnote w:id="11">
    <w:p w14:paraId="099F2153" w14:textId="77777777" w:rsidR="009542F1" w:rsidRDefault="009542F1" w:rsidP="009542F1">
      <w:pPr>
        <w:pStyle w:val="FootnoteText"/>
      </w:pPr>
      <w:r>
        <w:rPr>
          <w:rStyle w:val="FootnoteReference"/>
        </w:rPr>
        <w:footnoteRef/>
      </w:r>
      <w:r>
        <w:t xml:space="preserve"> </w:t>
      </w:r>
      <w:r w:rsidRPr="00473E37">
        <w:rPr>
          <w:rFonts w:ascii="Times New Roman" w:hAnsi="Times New Roman" w:cs="Times New Roman"/>
        </w:rPr>
        <w:t xml:space="preserve">Judith Lieu, ‘Narrative Analysis and Scripture of John’, in </w:t>
      </w:r>
      <w:r>
        <w:rPr>
          <w:rFonts w:ascii="Times New Roman" w:hAnsi="Times New Roman" w:cs="Times New Roman"/>
        </w:rPr>
        <w:t xml:space="preserve">The Old Testament in the New Testament: Essays in Honour of J.L. North, edited by S. </w:t>
      </w:r>
      <w:proofErr w:type="spellStart"/>
      <w:r>
        <w:rPr>
          <w:rFonts w:ascii="Times New Roman" w:hAnsi="Times New Roman" w:cs="Times New Roman"/>
        </w:rPr>
        <w:t>Moyise</w:t>
      </w:r>
      <w:proofErr w:type="spellEnd"/>
      <w:r>
        <w:rPr>
          <w:rFonts w:ascii="Times New Roman" w:hAnsi="Times New Roman" w:cs="Times New Roman"/>
        </w:rPr>
        <w:t xml:space="preserve"> (Sheffield: Sheffield Academic, 2000) </w:t>
      </w:r>
      <w:r w:rsidRPr="00473E37">
        <w:rPr>
          <w:rFonts w:ascii="Times New Roman" w:hAnsi="Times New Roman" w:cs="Times New Roman"/>
        </w:rPr>
        <w:t>p.145</w:t>
      </w:r>
      <w:r>
        <w:rPr>
          <w:rFonts w:ascii="Times New Roman" w:hAnsi="Times New Roman" w:cs="Times New Roman"/>
        </w:rPr>
        <w:t>.</w:t>
      </w:r>
    </w:p>
  </w:footnote>
  <w:footnote w:id="12">
    <w:p w14:paraId="38CE25CD" w14:textId="77777777" w:rsidR="009542F1" w:rsidRPr="00FE507D" w:rsidRDefault="009542F1" w:rsidP="009542F1">
      <w:pPr>
        <w:pStyle w:val="FootnoteText"/>
        <w:rPr>
          <w:rFonts w:ascii="Times New Roman" w:hAnsi="Times New Roman" w:cs="Times New Roman"/>
        </w:rPr>
      </w:pPr>
      <w:r>
        <w:rPr>
          <w:rStyle w:val="FootnoteReference"/>
        </w:rPr>
        <w:footnoteRef/>
      </w:r>
      <w:r>
        <w:t xml:space="preserve"> </w:t>
      </w:r>
      <w:r w:rsidRPr="00FE507D">
        <w:rPr>
          <w:rFonts w:ascii="Times New Roman" w:hAnsi="Times New Roman" w:cs="Times New Roman"/>
        </w:rPr>
        <w:t xml:space="preserve">Alicia Myers, </w:t>
      </w:r>
      <w:r w:rsidRPr="00FE507D">
        <w:rPr>
          <w:rFonts w:ascii="Times New Roman" w:hAnsi="Times New Roman" w:cs="Times New Roman"/>
          <w:i/>
        </w:rPr>
        <w:t>Characterizing Jesus: A Rhetorical Analysis on the Fourth Gospel’s Use of Scripture in its Presentation of Jesus</w:t>
      </w:r>
      <w:r w:rsidRPr="00FE507D">
        <w:rPr>
          <w:rFonts w:ascii="Times New Roman" w:hAnsi="Times New Roman" w:cs="Times New Roman"/>
        </w:rPr>
        <w:t xml:space="preserve"> (London: T&amp;T Clark, 2012).</w:t>
      </w:r>
    </w:p>
  </w:footnote>
  <w:footnote w:id="13">
    <w:p w14:paraId="578CE93C" w14:textId="77777777" w:rsidR="009542F1" w:rsidRPr="00F33EF5" w:rsidRDefault="009542F1" w:rsidP="009542F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Ruth Sheridan, in her </w:t>
      </w:r>
      <w:r w:rsidRPr="00F33EF5">
        <w:rPr>
          <w:rFonts w:ascii="Times New Roman" w:hAnsi="Times New Roman" w:cs="Times New Roman"/>
          <w:i/>
        </w:rPr>
        <w:t>Retelling Scripture: ‘The Jews’ and Scriptural Citation in John1</w:t>
      </w:r>
      <w:proofErr w:type="gramStart"/>
      <w:r w:rsidRPr="00F33EF5">
        <w:rPr>
          <w:rFonts w:ascii="Times New Roman" w:hAnsi="Times New Roman" w:cs="Times New Roman"/>
          <w:i/>
        </w:rPr>
        <w:t>:19</w:t>
      </w:r>
      <w:proofErr w:type="gramEnd"/>
      <w:r w:rsidRPr="00F33EF5">
        <w:rPr>
          <w:rFonts w:ascii="Times New Roman" w:hAnsi="Times New Roman" w:cs="Times New Roman"/>
          <w:i/>
        </w:rPr>
        <w:t>–12:15</w:t>
      </w:r>
      <w:r>
        <w:rPr>
          <w:rFonts w:ascii="Times New Roman" w:hAnsi="Times New Roman" w:cs="Times New Roman"/>
        </w:rPr>
        <w:t xml:space="preserve"> (Leiden: Brill, 2012), uses the contemporary rhetorical theory to examine another important character in the FG: ‘the Jews’.</w:t>
      </w:r>
    </w:p>
  </w:footnote>
  <w:footnote w:id="14">
    <w:p w14:paraId="53DC92BD" w14:textId="77777777" w:rsidR="009542F1" w:rsidRDefault="009542F1" w:rsidP="009542F1">
      <w:pPr>
        <w:pStyle w:val="FootnoteText"/>
      </w:pPr>
      <w:r>
        <w:rPr>
          <w:rStyle w:val="FootnoteReference"/>
        </w:rPr>
        <w:footnoteRef/>
      </w:r>
      <w:r>
        <w:t xml:space="preserve"> </w:t>
      </w:r>
      <w:r w:rsidRPr="00C82097">
        <w:rPr>
          <w:rFonts w:ascii="Times New Roman" w:hAnsi="Times New Roman" w:cs="Times New Roman"/>
        </w:rPr>
        <w:t xml:space="preserve">Jaime Clark-Soles, </w:t>
      </w:r>
      <w:r w:rsidRPr="00C82097">
        <w:rPr>
          <w:rFonts w:ascii="Times New Roman" w:hAnsi="Times New Roman" w:cs="Times New Roman"/>
          <w:i/>
        </w:rPr>
        <w:t>Scripture Cannot be Broken: The Social Function of the Use of Scripture in the Fourth Gospel</w:t>
      </w:r>
      <w:r w:rsidRPr="00C82097">
        <w:rPr>
          <w:rFonts w:ascii="Times New Roman" w:hAnsi="Times New Roman" w:cs="Times New Roman"/>
        </w:rPr>
        <w:t xml:space="preserve"> (Leiden: Brill, 2003</w:t>
      </w:r>
      <w:r>
        <w:t xml:space="preserve">). </w:t>
      </w:r>
    </w:p>
  </w:footnote>
  <w:footnote w:id="15">
    <w:p w14:paraId="4FF644BC" w14:textId="77777777" w:rsidR="009542F1" w:rsidRDefault="009542F1" w:rsidP="009542F1">
      <w:pPr>
        <w:pStyle w:val="FootnoteText"/>
      </w:pPr>
      <w:r>
        <w:rPr>
          <w:rStyle w:val="FootnoteReference"/>
        </w:rPr>
        <w:footnoteRef/>
      </w:r>
      <w:r>
        <w:t xml:space="preserve"> </w:t>
      </w:r>
      <w:proofErr w:type="spellStart"/>
      <w:r>
        <w:t>Catrin</w:t>
      </w:r>
      <w:proofErr w:type="spellEnd"/>
      <w:r>
        <w:t xml:space="preserve"> H. Williams, </w:t>
      </w:r>
      <w:r w:rsidRPr="00C828AD">
        <w:rPr>
          <w:i/>
        </w:rPr>
        <w:t xml:space="preserve">I am He. </w:t>
      </w:r>
      <w:proofErr w:type="gramStart"/>
      <w:r w:rsidRPr="00C828AD">
        <w:rPr>
          <w:i/>
        </w:rPr>
        <w:t xml:space="preserve">The Interpretation of </w:t>
      </w:r>
      <w:proofErr w:type="spellStart"/>
      <w:r w:rsidRPr="00C828AD">
        <w:rPr>
          <w:i/>
        </w:rPr>
        <w:t>Ani</w:t>
      </w:r>
      <w:proofErr w:type="spellEnd"/>
      <w:r w:rsidRPr="00C828AD">
        <w:rPr>
          <w:i/>
        </w:rPr>
        <w:t xml:space="preserve"> Hu in Jewish and Early Christian Literature</w:t>
      </w:r>
      <w:r>
        <w:t xml:space="preserve"> (Tubingen: Mohr </w:t>
      </w:r>
      <w:proofErr w:type="spellStart"/>
      <w:r>
        <w:t>Siebeck</w:t>
      </w:r>
      <w:proofErr w:type="spellEnd"/>
      <w:r>
        <w:t>, 2000).</w:t>
      </w:r>
      <w:proofErr w:type="gramEnd"/>
    </w:p>
  </w:footnote>
  <w:footnote w:id="16">
    <w:p w14:paraId="35B7C59A" w14:textId="77777777" w:rsidR="009542F1" w:rsidRDefault="009542F1" w:rsidP="009542F1">
      <w:pPr>
        <w:pStyle w:val="FootnoteText"/>
      </w:pPr>
      <w:r>
        <w:rPr>
          <w:rStyle w:val="FootnoteReference"/>
        </w:rPr>
        <w:footnoteRef/>
      </w:r>
      <w:r>
        <w:t xml:space="preserve"> </w:t>
      </w:r>
      <w:r w:rsidRPr="001E0CDC">
        <w:rPr>
          <w:rFonts w:ascii="Times New Roman" w:hAnsi="Times New Roman" w:cs="Times New Roman"/>
        </w:rPr>
        <w:t xml:space="preserve">Gary </w:t>
      </w:r>
      <w:proofErr w:type="gramStart"/>
      <w:r w:rsidRPr="001E0CDC">
        <w:rPr>
          <w:rFonts w:ascii="Times New Roman" w:hAnsi="Times New Roman" w:cs="Times New Roman"/>
        </w:rPr>
        <w:t>Manning,</w:t>
      </w:r>
      <w:proofErr w:type="gramEnd"/>
      <w:r w:rsidRPr="001E0CDC">
        <w:rPr>
          <w:rFonts w:ascii="Times New Roman" w:hAnsi="Times New Roman" w:cs="Times New Roman"/>
        </w:rPr>
        <w:t xml:space="preserve"> </w:t>
      </w:r>
      <w:r w:rsidRPr="001E0CDC">
        <w:rPr>
          <w:rFonts w:ascii="Times New Roman" w:hAnsi="Times New Roman" w:cs="Times New Roman"/>
          <w:i/>
        </w:rPr>
        <w:t xml:space="preserve">Echoes of a Prophet: The Use of Ezekiel in the Gospel of John and in Literature of the Second Temple Period </w:t>
      </w:r>
      <w:r w:rsidRPr="001E0CDC">
        <w:rPr>
          <w:rFonts w:ascii="Times New Roman" w:hAnsi="Times New Roman" w:cs="Times New Roman"/>
        </w:rPr>
        <w:t>(London: T&amp;T Clark, 2004).</w:t>
      </w:r>
    </w:p>
  </w:footnote>
  <w:footnote w:id="17">
    <w:p w14:paraId="66246E99" w14:textId="77777777" w:rsidR="009542F1" w:rsidRDefault="009542F1" w:rsidP="009542F1">
      <w:pPr>
        <w:pStyle w:val="FootnoteText"/>
      </w:pPr>
      <w:r>
        <w:rPr>
          <w:rStyle w:val="FootnoteReference"/>
        </w:rPr>
        <w:footnoteRef/>
      </w:r>
      <w:r>
        <w:t xml:space="preserve"> </w:t>
      </w:r>
      <w:r w:rsidRPr="00F82190">
        <w:rPr>
          <w:rFonts w:ascii="Times New Roman" w:hAnsi="Times New Roman" w:cs="Times New Roman"/>
        </w:rPr>
        <w:t>Manning also differentiates major and minor allusions in two chapters according to their likeliness.</w:t>
      </w:r>
      <w:r>
        <w:t xml:space="preserve"> </w:t>
      </w:r>
    </w:p>
  </w:footnote>
  <w:footnote w:id="18">
    <w:p w14:paraId="1EB3D2A1" w14:textId="77777777" w:rsidR="009542F1" w:rsidRDefault="009542F1" w:rsidP="009542F1">
      <w:pPr>
        <w:pStyle w:val="FootnoteText"/>
      </w:pPr>
      <w:r>
        <w:rPr>
          <w:rStyle w:val="FootnoteReference"/>
        </w:rPr>
        <w:footnoteRef/>
      </w:r>
      <w:r>
        <w:t xml:space="preserve"> </w:t>
      </w:r>
      <w:r w:rsidRPr="00564D1F">
        <w:rPr>
          <w:rFonts w:ascii="Times New Roman" w:hAnsi="Times New Roman" w:cs="Times New Roman"/>
        </w:rPr>
        <w:t xml:space="preserve">Apart from Isaiah and Ezekiel, Psalms are also frequently used in the FG (Margaret Daly-Denton, </w:t>
      </w:r>
      <w:r w:rsidRPr="00564D1F">
        <w:rPr>
          <w:rFonts w:ascii="Times New Roman" w:hAnsi="Times New Roman" w:cs="Times New Roman"/>
          <w:i/>
        </w:rPr>
        <w:t xml:space="preserve">David in the Fourth Gospel: The </w:t>
      </w:r>
      <w:proofErr w:type="spellStart"/>
      <w:r w:rsidRPr="00564D1F">
        <w:rPr>
          <w:rFonts w:ascii="Times New Roman" w:hAnsi="Times New Roman" w:cs="Times New Roman"/>
          <w:i/>
        </w:rPr>
        <w:t>Johannine</w:t>
      </w:r>
      <w:proofErr w:type="spellEnd"/>
      <w:r w:rsidRPr="00564D1F">
        <w:rPr>
          <w:rFonts w:ascii="Times New Roman" w:hAnsi="Times New Roman" w:cs="Times New Roman"/>
          <w:i/>
        </w:rPr>
        <w:t xml:space="preserve"> Reception of the Psalms</w:t>
      </w:r>
      <w:r w:rsidRPr="00564D1F">
        <w:rPr>
          <w:rFonts w:ascii="Times New Roman" w:hAnsi="Times New Roman" w:cs="Times New Roman"/>
        </w:rPr>
        <w:t>, Leiden: Brill, 2000).</w:t>
      </w:r>
      <w:r>
        <w:t xml:space="preserve"> </w:t>
      </w:r>
    </w:p>
  </w:footnote>
  <w:footnote w:id="19">
    <w:p w14:paraId="73A4254E" w14:textId="77777777" w:rsidR="009542F1" w:rsidRPr="00E77E41" w:rsidRDefault="009542F1" w:rsidP="009542F1">
      <w:pPr>
        <w:pStyle w:val="FootnoteText"/>
        <w:rPr>
          <w:rFonts w:ascii="Times New Roman" w:hAnsi="Times New Roman" w:cs="Times New Roman"/>
        </w:rPr>
      </w:pPr>
      <w:r>
        <w:rPr>
          <w:rStyle w:val="FootnoteReference"/>
        </w:rPr>
        <w:footnoteRef/>
      </w:r>
      <w:r>
        <w:t xml:space="preserve"> </w:t>
      </w:r>
      <w:r w:rsidRPr="00E77E41">
        <w:rPr>
          <w:rFonts w:ascii="Times New Roman" w:hAnsi="Times New Roman" w:cs="Times New Roman"/>
        </w:rPr>
        <w:t>‘</w:t>
      </w:r>
      <w:proofErr w:type="spellStart"/>
      <w:r w:rsidRPr="00E77E41">
        <w:rPr>
          <w:rFonts w:ascii="Times New Roman" w:hAnsi="Times New Roman" w:cs="Times New Roman"/>
        </w:rPr>
        <w:t>Parallelomania</w:t>
      </w:r>
      <w:proofErr w:type="spellEnd"/>
      <w:r w:rsidRPr="00E77E41">
        <w:rPr>
          <w:rFonts w:ascii="Times New Roman" w:hAnsi="Times New Roman" w:cs="Times New Roman"/>
        </w:rPr>
        <w:t>’</w:t>
      </w:r>
      <w:r>
        <w:rPr>
          <w:rFonts w:ascii="Times New Roman" w:hAnsi="Times New Roman" w:cs="Times New Roman"/>
        </w:rPr>
        <w:t xml:space="preserve"> is a warning voiced</w:t>
      </w:r>
      <w:r w:rsidRPr="00E77E41">
        <w:rPr>
          <w:rFonts w:ascii="Times New Roman" w:hAnsi="Times New Roman" w:cs="Times New Roman"/>
        </w:rPr>
        <w:t xml:space="preserve"> by Samuel </w:t>
      </w:r>
      <w:proofErr w:type="spellStart"/>
      <w:r w:rsidRPr="00E77E41">
        <w:rPr>
          <w:rFonts w:ascii="Times New Roman" w:hAnsi="Times New Roman" w:cs="Times New Roman"/>
        </w:rPr>
        <w:t>Sandmel</w:t>
      </w:r>
      <w:proofErr w:type="spellEnd"/>
      <w:r w:rsidRPr="00E77E41">
        <w:rPr>
          <w:rFonts w:ascii="Times New Roman" w:hAnsi="Times New Roman" w:cs="Times New Roman"/>
        </w:rPr>
        <w:t xml:space="preserve"> in </w:t>
      </w:r>
      <w:r w:rsidRPr="00E77E41">
        <w:rPr>
          <w:rFonts w:ascii="Times New Roman" w:hAnsi="Times New Roman" w:cs="Times New Roman"/>
          <w:i/>
        </w:rPr>
        <w:t>Journal of Biblical Literature</w:t>
      </w:r>
      <w:r w:rsidRPr="00E77E41">
        <w:rPr>
          <w:rFonts w:ascii="Times New Roman" w:hAnsi="Times New Roman" w:cs="Times New Roman"/>
        </w:rPr>
        <w:t xml:space="preserve"> 81 (1962): 1–13.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2F1"/>
    <w:rsid w:val="002B5797"/>
    <w:rsid w:val="009542F1"/>
    <w:rsid w:val="009900CF"/>
    <w:rsid w:val="00B56948"/>
    <w:rsid w:val="00FE082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9967D5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2F1"/>
    <w:pPr>
      <w:spacing w:after="200" w:line="276" w:lineRule="auto"/>
    </w:pPr>
    <w:rPr>
      <w:rFonts w:eastAsiaTheme="minorHAnsi"/>
      <w:sz w:val="22"/>
      <w:szCs w:val="22"/>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542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42F1"/>
    <w:rPr>
      <w:rFonts w:eastAsiaTheme="minorHAnsi"/>
      <w:sz w:val="20"/>
      <w:szCs w:val="20"/>
      <w:lang w:val="en-AU"/>
    </w:rPr>
  </w:style>
  <w:style w:type="character" w:styleId="FootnoteReference">
    <w:name w:val="footnote reference"/>
    <w:basedOn w:val="DefaultParagraphFont"/>
    <w:uiPriority w:val="99"/>
    <w:semiHidden/>
    <w:unhideWhenUsed/>
    <w:rsid w:val="009542F1"/>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2F1"/>
    <w:pPr>
      <w:spacing w:after="200" w:line="276" w:lineRule="auto"/>
    </w:pPr>
    <w:rPr>
      <w:rFonts w:eastAsiaTheme="minorHAnsi"/>
      <w:sz w:val="22"/>
      <w:szCs w:val="22"/>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542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42F1"/>
    <w:rPr>
      <w:rFonts w:eastAsiaTheme="minorHAnsi"/>
      <w:sz w:val="20"/>
      <w:szCs w:val="20"/>
      <w:lang w:val="en-AU"/>
    </w:rPr>
  </w:style>
  <w:style w:type="character" w:styleId="FootnoteReference">
    <w:name w:val="footnote reference"/>
    <w:basedOn w:val="DefaultParagraphFont"/>
    <w:uiPriority w:val="99"/>
    <w:semiHidden/>
    <w:unhideWhenUsed/>
    <w:rsid w:val="009542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765</Words>
  <Characters>4366</Characters>
  <Application>Microsoft Macintosh Word</Application>
  <DocSecurity>0</DocSecurity>
  <Lines>36</Lines>
  <Paragraphs>10</Paragraphs>
  <ScaleCrop>false</ScaleCrop>
  <Company/>
  <LinksUpToDate>false</LinksUpToDate>
  <CharactersWithSpaces>5121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 Wong</dc:creator>
  <cp:keywords/>
  <dc:description/>
  <cp:lastModifiedBy>Chi Wong</cp:lastModifiedBy>
  <cp:revision>3</cp:revision>
  <dcterms:created xsi:type="dcterms:W3CDTF">2019-11-11T14:48:00Z</dcterms:created>
  <dcterms:modified xsi:type="dcterms:W3CDTF">2019-11-11T14:52:00Z</dcterms:modified>
</cp:coreProperties>
</file>