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1ECD20" w14:textId="48E9F89C" w:rsidR="00B8791B" w:rsidRDefault="00B8791B" w:rsidP="00B8791B">
      <w:pPr>
        <w:rPr>
          <w:rFonts w:ascii="Times New Roman" w:hAnsi="Times New Roman" w:cs="Times New Roman"/>
          <w:sz w:val="36"/>
          <w:szCs w:val="36"/>
        </w:rPr>
      </w:pPr>
    </w:p>
    <w:p w14:paraId="52F34A0B" w14:textId="5A6C6BE0" w:rsidR="00B8791B" w:rsidRDefault="00B8791B" w:rsidP="00B8791B">
      <w:pPr>
        <w:rPr>
          <w:rFonts w:ascii="Times New Roman" w:hAnsi="Times New Roman" w:cs="Times New Roman"/>
          <w:sz w:val="36"/>
          <w:szCs w:val="36"/>
        </w:rPr>
      </w:pPr>
    </w:p>
    <w:p w14:paraId="0C734F16" w14:textId="77777777" w:rsidR="00B8791B" w:rsidRDefault="00B8791B" w:rsidP="00B8791B">
      <w:pPr>
        <w:rPr>
          <w:rFonts w:ascii="Times New Roman" w:hAnsi="Times New Roman" w:cs="Times New Roman"/>
          <w:sz w:val="36"/>
          <w:szCs w:val="36"/>
        </w:rPr>
      </w:pPr>
    </w:p>
    <w:p w14:paraId="28B0104E" w14:textId="77777777" w:rsidR="00B8791B" w:rsidRDefault="00B8791B" w:rsidP="00B8791B">
      <w:pPr>
        <w:rPr>
          <w:rFonts w:ascii="Times New Roman" w:hAnsi="Times New Roman" w:cs="Times New Roman"/>
          <w:sz w:val="36"/>
          <w:szCs w:val="36"/>
        </w:rPr>
      </w:pPr>
      <w:r>
        <w:rPr>
          <w:rFonts w:ascii="Times New Roman" w:hAnsi="Times New Roman" w:cs="Times New Roman"/>
          <w:sz w:val="36"/>
          <w:szCs w:val="36"/>
        </w:rPr>
        <w:t>Name: Florina Ramona Matei</w:t>
      </w:r>
    </w:p>
    <w:p w14:paraId="056E4559" w14:textId="77777777" w:rsidR="00B8791B" w:rsidRDefault="00B8791B" w:rsidP="00B8791B">
      <w:pPr>
        <w:rPr>
          <w:rFonts w:ascii="Times New Roman" w:hAnsi="Times New Roman" w:cs="Times New Roman"/>
          <w:sz w:val="36"/>
          <w:szCs w:val="36"/>
        </w:rPr>
      </w:pPr>
      <w:r>
        <w:rPr>
          <w:rFonts w:ascii="Times New Roman" w:hAnsi="Times New Roman" w:cs="Times New Roman"/>
          <w:sz w:val="36"/>
          <w:szCs w:val="36"/>
        </w:rPr>
        <w:t>Student number: 2013039</w:t>
      </w:r>
    </w:p>
    <w:p w14:paraId="726725F8" w14:textId="3EADC93F" w:rsidR="00B8791B" w:rsidRDefault="00B8791B" w:rsidP="00B8791B">
      <w:pPr>
        <w:rPr>
          <w:rFonts w:ascii="Times New Roman" w:hAnsi="Times New Roman" w:cs="Times New Roman"/>
          <w:sz w:val="36"/>
          <w:szCs w:val="36"/>
        </w:rPr>
      </w:pPr>
    </w:p>
    <w:p w14:paraId="2C0E4FF4" w14:textId="77777777" w:rsidR="00B8791B" w:rsidRDefault="00B8791B" w:rsidP="00B8791B">
      <w:pPr>
        <w:rPr>
          <w:rFonts w:ascii="Times New Roman" w:hAnsi="Times New Roman" w:cs="Times New Roman"/>
          <w:sz w:val="36"/>
          <w:szCs w:val="36"/>
        </w:rPr>
      </w:pPr>
    </w:p>
    <w:p w14:paraId="7A289599" w14:textId="77777777" w:rsidR="00B8791B" w:rsidRDefault="00B8791B" w:rsidP="00B8791B">
      <w:pPr>
        <w:rPr>
          <w:rFonts w:ascii="Times New Roman" w:hAnsi="Times New Roman" w:cs="Times New Roman"/>
          <w:sz w:val="36"/>
          <w:szCs w:val="36"/>
        </w:rPr>
      </w:pPr>
    </w:p>
    <w:p w14:paraId="02000E30" w14:textId="77777777" w:rsidR="00B8791B" w:rsidRDefault="00B8791B" w:rsidP="00B8791B">
      <w:pPr>
        <w:rPr>
          <w:rFonts w:ascii="Times New Roman" w:hAnsi="Times New Roman" w:cs="Times New Roman"/>
          <w:sz w:val="36"/>
          <w:szCs w:val="36"/>
        </w:rPr>
      </w:pPr>
    </w:p>
    <w:p w14:paraId="572D07CD" w14:textId="77777777" w:rsidR="00B8791B" w:rsidRDefault="00B8791B" w:rsidP="00B8791B">
      <w:pPr>
        <w:rPr>
          <w:rFonts w:ascii="Times New Roman" w:hAnsi="Times New Roman" w:cs="Times New Roman"/>
          <w:sz w:val="36"/>
          <w:szCs w:val="36"/>
        </w:rPr>
      </w:pPr>
    </w:p>
    <w:p w14:paraId="75911E6F" w14:textId="77777777" w:rsidR="00B8791B" w:rsidRDefault="00B8791B" w:rsidP="00B8791B">
      <w:pPr>
        <w:rPr>
          <w:rFonts w:ascii="Times New Roman" w:hAnsi="Times New Roman" w:cs="Times New Roman"/>
          <w:sz w:val="36"/>
          <w:szCs w:val="36"/>
        </w:rPr>
      </w:pPr>
    </w:p>
    <w:p w14:paraId="5B498CCC" w14:textId="77777777" w:rsidR="00B8791B" w:rsidRDefault="00B8791B" w:rsidP="00B8791B">
      <w:pPr>
        <w:rPr>
          <w:rFonts w:ascii="Times New Roman" w:hAnsi="Times New Roman" w:cs="Times New Roman"/>
          <w:sz w:val="36"/>
          <w:szCs w:val="36"/>
        </w:rPr>
      </w:pPr>
    </w:p>
    <w:p w14:paraId="2F4CA438" w14:textId="293D0C08" w:rsidR="00B8791B" w:rsidRDefault="00B8791B" w:rsidP="00B8791B">
      <w:pPr>
        <w:jc w:val="center"/>
        <w:rPr>
          <w:rFonts w:ascii="Times New Roman" w:hAnsi="Times New Roman" w:cs="Times New Roman"/>
          <w:sz w:val="36"/>
          <w:szCs w:val="36"/>
        </w:rPr>
      </w:pPr>
      <w:r>
        <w:rPr>
          <w:rFonts w:ascii="Times New Roman" w:hAnsi="Times New Roman" w:cs="Times New Roman"/>
          <w:sz w:val="36"/>
          <w:szCs w:val="36"/>
        </w:rPr>
        <w:t>COMMUNITY ENGAGEMENT</w:t>
      </w:r>
    </w:p>
    <w:p w14:paraId="59C2FDA3" w14:textId="77777777" w:rsidR="00B8791B" w:rsidRDefault="00B8791B" w:rsidP="00B8791B">
      <w:pPr>
        <w:jc w:val="center"/>
        <w:rPr>
          <w:rFonts w:ascii="Times New Roman" w:hAnsi="Times New Roman" w:cs="Times New Roman"/>
          <w:sz w:val="36"/>
          <w:szCs w:val="36"/>
        </w:rPr>
      </w:pPr>
      <w:r>
        <w:rPr>
          <w:rFonts w:ascii="Times New Roman" w:hAnsi="Times New Roman" w:cs="Times New Roman"/>
          <w:sz w:val="36"/>
          <w:szCs w:val="36"/>
        </w:rPr>
        <w:t>ASSESSMENT 1</w:t>
      </w:r>
    </w:p>
    <w:p w14:paraId="288939CC" w14:textId="77777777" w:rsidR="00B8791B" w:rsidRDefault="00B8791B" w:rsidP="00B8791B">
      <w:pPr>
        <w:jc w:val="center"/>
        <w:rPr>
          <w:rFonts w:ascii="Times New Roman" w:hAnsi="Times New Roman" w:cs="Times New Roman"/>
          <w:sz w:val="36"/>
          <w:szCs w:val="36"/>
        </w:rPr>
      </w:pPr>
    </w:p>
    <w:p w14:paraId="337B09F2" w14:textId="77777777" w:rsidR="00B8791B" w:rsidRDefault="00B8791B" w:rsidP="00B8791B">
      <w:pPr>
        <w:jc w:val="center"/>
        <w:rPr>
          <w:rFonts w:ascii="Times New Roman" w:hAnsi="Times New Roman" w:cs="Times New Roman"/>
          <w:sz w:val="36"/>
          <w:szCs w:val="36"/>
        </w:rPr>
      </w:pPr>
    </w:p>
    <w:p w14:paraId="123963A8" w14:textId="77777777" w:rsidR="00B8791B" w:rsidRDefault="00B8791B" w:rsidP="00B8791B">
      <w:pPr>
        <w:jc w:val="center"/>
        <w:rPr>
          <w:rFonts w:ascii="Times New Roman" w:hAnsi="Times New Roman" w:cs="Times New Roman"/>
          <w:sz w:val="36"/>
          <w:szCs w:val="36"/>
        </w:rPr>
      </w:pPr>
    </w:p>
    <w:p w14:paraId="3EB0D63C" w14:textId="77777777" w:rsidR="00B8791B" w:rsidRDefault="00B8791B" w:rsidP="00B8791B">
      <w:pPr>
        <w:jc w:val="center"/>
        <w:rPr>
          <w:rFonts w:ascii="Times New Roman" w:hAnsi="Times New Roman" w:cs="Times New Roman"/>
          <w:sz w:val="36"/>
          <w:szCs w:val="36"/>
        </w:rPr>
      </w:pPr>
    </w:p>
    <w:p w14:paraId="21178A19" w14:textId="77777777" w:rsidR="00B8791B" w:rsidRDefault="00B8791B" w:rsidP="00B8791B">
      <w:pPr>
        <w:rPr>
          <w:rFonts w:ascii="Times New Roman" w:hAnsi="Times New Roman" w:cs="Times New Roman"/>
          <w:sz w:val="36"/>
          <w:szCs w:val="36"/>
        </w:rPr>
      </w:pPr>
    </w:p>
    <w:p w14:paraId="1F19B3CE" w14:textId="77777777" w:rsidR="00B8791B" w:rsidRDefault="00B8791B" w:rsidP="00B8791B">
      <w:pPr>
        <w:rPr>
          <w:rFonts w:ascii="Times New Roman" w:hAnsi="Times New Roman" w:cs="Times New Roman"/>
          <w:sz w:val="36"/>
          <w:szCs w:val="36"/>
        </w:rPr>
      </w:pPr>
    </w:p>
    <w:p w14:paraId="3813ADB1" w14:textId="77777777" w:rsidR="00B8791B" w:rsidRDefault="00B8791B" w:rsidP="00B8791B">
      <w:pPr>
        <w:rPr>
          <w:rFonts w:ascii="Times New Roman" w:hAnsi="Times New Roman" w:cs="Times New Roman"/>
          <w:sz w:val="36"/>
          <w:szCs w:val="36"/>
        </w:rPr>
      </w:pPr>
    </w:p>
    <w:p w14:paraId="65FB408E" w14:textId="26035531" w:rsidR="00B8791B" w:rsidRDefault="00B8791B" w:rsidP="00B8791B">
      <w:pPr>
        <w:rPr>
          <w:rFonts w:ascii="Times New Roman" w:hAnsi="Times New Roman" w:cs="Times New Roman"/>
          <w:sz w:val="36"/>
          <w:szCs w:val="36"/>
        </w:rPr>
      </w:pPr>
      <w:r>
        <w:rPr>
          <w:rFonts w:ascii="Times New Roman" w:hAnsi="Times New Roman" w:cs="Times New Roman"/>
          <w:sz w:val="36"/>
          <w:szCs w:val="36"/>
        </w:rPr>
        <w:t>Lecturer’s Name: Molly Jack</w:t>
      </w:r>
    </w:p>
    <w:p w14:paraId="68E7FACF" w14:textId="268DD861" w:rsidR="00B8791B" w:rsidRDefault="00B8791B" w:rsidP="00B8791B">
      <w:pPr>
        <w:rPr>
          <w:rFonts w:ascii="Times New Roman" w:hAnsi="Times New Roman" w:cs="Times New Roman"/>
          <w:sz w:val="36"/>
          <w:szCs w:val="36"/>
        </w:rPr>
      </w:pPr>
    </w:p>
    <w:p w14:paraId="2AB2BA69" w14:textId="7A9D3B4C" w:rsidR="00B8791B" w:rsidRDefault="00B8791B" w:rsidP="00B8791B">
      <w:pPr>
        <w:jc w:val="center"/>
        <w:rPr>
          <w:rFonts w:ascii="Times New Roman" w:hAnsi="Times New Roman" w:cs="Times New Roman"/>
          <w:sz w:val="24"/>
          <w:szCs w:val="24"/>
        </w:rPr>
      </w:pPr>
      <w:r>
        <w:rPr>
          <w:rFonts w:ascii="Times New Roman" w:hAnsi="Times New Roman" w:cs="Times New Roman"/>
          <w:sz w:val="24"/>
          <w:szCs w:val="24"/>
        </w:rPr>
        <w:lastRenderedPageBreak/>
        <w:t>COMMUNITY ENGAGEMENT</w:t>
      </w:r>
    </w:p>
    <w:p w14:paraId="7CF8C938" w14:textId="6F4C57DC" w:rsidR="00B8791B" w:rsidRDefault="00B8791B" w:rsidP="00B8791B">
      <w:pPr>
        <w:jc w:val="center"/>
        <w:rPr>
          <w:rFonts w:ascii="Times New Roman" w:hAnsi="Times New Roman" w:cs="Times New Roman"/>
          <w:sz w:val="24"/>
          <w:szCs w:val="24"/>
        </w:rPr>
      </w:pPr>
    </w:p>
    <w:p w14:paraId="1E5EEBC9" w14:textId="77777777" w:rsidR="00B8791B" w:rsidRPr="00B8791B" w:rsidRDefault="00B8791B" w:rsidP="00B8791B">
      <w:pPr>
        <w:shd w:val="clear" w:color="auto" w:fill="FFFFFF"/>
        <w:spacing w:before="75" w:after="240" w:line="240" w:lineRule="auto"/>
        <w:rPr>
          <w:rFonts w:ascii="Arial" w:eastAsia="Times New Roman" w:hAnsi="Arial" w:cs="Arial"/>
          <w:color w:val="1C1D1E"/>
          <w:sz w:val="24"/>
          <w:szCs w:val="24"/>
          <w:lang w:eastAsia="en-GB"/>
        </w:rPr>
      </w:pPr>
      <w:r w:rsidRPr="00B8791B">
        <w:rPr>
          <w:rFonts w:ascii="Arial" w:eastAsia="Times New Roman" w:hAnsi="Arial" w:cs="Arial"/>
          <w:color w:val="1C1D1E"/>
          <w:sz w:val="24"/>
          <w:szCs w:val="24"/>
          <w:lang w:eastAsia="en-GB"/>
        </w:rPr>
        <w:t>Community engagement is an innovative and required component for Clinical and Translational Science Awards (CTSAs) funded by the National Institutes of Health (NIH). However, the extent of community engagement in NIH</w:t>
      </w:r>
      <w:r w:rsidRPr="00B8791B">
        <w:rPr>
          <w:rFonts w:ascii="Cambria Math" w:eastAsia="Times New Roman" w:hAnsi="Cambria Math" w:cs="Cambria Math"/>
          <w:color w:val="1C1D1E"/>
          <w:sz w:val="24"/>
          <w:szCs w:val="24"/>
          <w:lang w:eastAsia="en-GB"/>
        </w:rPr>
        <w:t>‐</w:t>
      </w:r>
      <w:r w:rsidRPr="00B8791B">
        <w:rPr>
          <w:rFonts w:ascii="Arial" w:eastAsia="Times New Roman" w:hAnsi="Arial" w:cs="Arial"/>
          <w:color w:val="1C1D1E"/>
          <w:sz w:val="24"/>
          <w:szCs w:val="24"/>
          <w:lang w:eastAsia="en-GB"/>
        </w:rPr>
        <w:t>funded research has not been previously examined. This study assessed baseline prevalence of community engagement activities among NIH</w:t>
      </w:r>
      <w:r w:rsidRPr="00B8791B">
        <w:rPr>
          <w:rFonts w:ascii="Cambria Math" w:eastAsia="Times New Roman" w:hAnsi="Cambria Math" w:cs="Cambria Math"/>
          <w:color w:val="1C1D1E"/>
          <w:sz w:val="24"/>
          <w:szCs w:val="24"/>
          <w:lang w:eastAsia="en-GB"/>
        </w:rPr>
        <w:t>‐</w:t>
      </w:r>
      <w:r w:rsidRPr="00B8791B">
        <w:rPr>
          <w:rFonts w:ascii="Arial" w:eastAsia="Times New Roman" w:hAnsi="Arial" w:cs="Arial"/>
          <w:color w:val="1C1D1E"/>
          <w:sz w:val="24"/>
          <w:szCs w:val="24"/>
          <w:lang w:eastAsia="en-GB"/>
        </w:rPr>
        <w:t>funded studies at a large Midwestern university with a CTSA. An online survey was e</w:t>
      </w:r>
      <w:r w:rsidRPr="00B8791B">
        <w:rPr>
          <w:rFonts w:ascii="Cambria Math" w:eastAsia="Times New Roman" w:hAnsi="Cambria Math" w:cs="Cambria Math"/>
          <w:color w:val="1C1D1E"/>
          <w:sz w:val="24"/>
          <w:szCs w:val="24"/>
          <w:lang w:eastAsia="en-GB"/>
        </w:rPr>
        <w:t>‐</w:t>
      </w:r>
      <w:r w:rsidRPr="00B8791B">
        <w:rPr>
          <w:rFonts w:ascii="Arial" w:eastAsia="Times New Roman" w:hAnsi="Arial" w:cs="Arial"/>
          <w:color w:val="1C1D1E"/>
          <w:sz w:val="24"/>
          <w:szCs w:val="24"/>
          <w:lang w:eastAsia="en-GB"/>
        </w:rPr>
        <w:t>mailed to principal investigators of recent NIH</w:t>
      </w:r>
      <w:r w:rsidRPr="00B8791B">
        <w:rPr>
          <w:rFonts w:ascii="Cambria Math" w:eastAsia="Times New Roman" w:hAnsi="Cambria Math" w:cs="Cambria Math"/>
          <w:color w:val="1C1D1E"/>
          <w:sz w:val="24"/>
          <w:szCs w:val="24"/>
          <w:lang w:eastAsia="en-GB"/>
        </w:rPr>
        <w:t>‐</w:t>
      </w:r>
      <w:r w:rsidRPr="00B8791B">
        <w:rPr>
          <w:rFonts w:ascii="Arial" w:eastAsia="Times New Roman" w:hAnsi="Arial" w:cs="Arial"/>
          <w:color w:val="1C1D1E"/>
          <w:sz w:val="24"/>
          <w:szCs w:val="24"/>
          <w:lang w:eastAsia="en-GB"/>
        </w:rPr>
        <w:t>funded studies (N = 480). Investigators were asked to identify what types of community engagement activities had occurred for each study. Responses were received for 40.4% (194/480) of studies. Overall, 42.6% reported any community engagement activities. More collaborative types of engagement (e.g., community advisory board) were less common than activities requiring less engagement (e.g., sharing study results with community members). Studies with more collaborative community engagement were less likely to be described as basic or preclinical research compared to all other studies. Given NIH's inclusive call for community engagement in research, relatively few NIH</w:t>
      </w:r>
      <w:r w:rsidRPr="00B8791B">
        <w:rPr>
          <w:rFonts w:ascii="Cambria Math" w:eastAsia="Times New Roman" w:hAnsi="Cambria Math" w:cs="Cambria Math"/>
          <w:color w:val="1C1D1E"/>
          <w:sz w:val="24"/>
          <w:szCs w:val="24"/>
          <w:lang w:eastAsia="en-GB"/>
        </w:rPr>
        <w:t>‐</w:t>
      </w:r>
      <w:r w:rsidRPr="00B8791B">
        <w:rPr>
          <w:rFonts w:ascii="Arial" w:eastAsia="Times New Roman" w:hAnsi="Arial" w:cs="Arial"/>
          <w:color w:val="1C1D1E"/>
          <w:sz w:val="24"/>
          <w:szCs w:val="24"/>
          <w:lang w:eastAsia="en-GB"/>
        </w:rPr>
        <w:t>funded studies reported community engagement activities, although this study used a broad definition of community and a wide range of types of engagement. These findings may be used to inform the goals of CTSA community engagement programs. Clin Trans Sci 2010; Volume *: 1–4</w:t>
      </w:r>
    </w:p>
    <w:p w14:paraId="3A884919" w14:textId="77777777" w:rsidR="00B8791B" w:rsidRPr="00B8791B" w:rsidRDefault="00B8791B" w:rsidP="00B8791B">
      <w:pPr>
        <w:spacing w:before="180" w:after="180" w:line="240" w:lineRule="auto"/>
        <w:outlineLvl w:val="1"/>
        <w:rPr>
          <w:rFonts w:ascii="Arial" w:eastAsia="Times New Roman" w:hAnsi="Arial" w:cs="Arial"/>
          <w:b/>
          <w:bCs/>
          <w:color w:val="00A185"/>
          <w:sz w:val="39"/>
          <w:szCs w:val="39"/>
          <w:lang w:eastAsia="en-GB"/>
        </w:rPr>
      </w:pPr>
      <w:r w:rsidRPr="00B8791B">
        <w:rPr>
          <w:rFonts w:ascii="Arial" w:eastAsia="Times New Roman" w:hAnsi="Arial" w:cs="Arial"/>
          <w:b/>
          <w:bCs/>
          <w:color w:val="00A185"/>
          <w:sz w:val="39"/>
          <w:szCs w:val="39"/>
          <w:lang w:eastAsia="en-GB"/>
        </w:rPr>
        <w:t>Introduction</w:t>
      </w:r>
    </w:p>
    <w:p w14:paraId="19691E13"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Federal health agencies, including the National Institutes of Health (NIH), are increasingly recognizing, supporting, and in many cases requiring community engagement in health‐related research.</w:t>
      </w:r>
      <w:hyperlink r:id="rId5" w:anchor="b1" w:history="1">
        <w:r w:rsidRPr="00B8791B">
          <w:rPr>
            <w:rFonts w:ascii="Times New Roman" w:eastAsia="Times New Roman" w:hAnsi="Times New Roman" w:cs="Times New Roman"/>
            <w:color w:val="000000"/>
            <w:sz w:val="18"/>
            <w:szCs w:val="18"/>
            <w:u w:val="single"/>
            <w:vertAlign w:val="superscript"/>
            <w:lang w:eastAsia="en-GB"/>
          </w:rPr>
          <w:t>1</w:t>
        </w:r>
      </w:hyperlink>
      <w:r w:rsidRPr="00B8791B">
        <w:rPr>
          <w:rFonts w:ascii="Times New Roman" w:eastAsia="Times New Roman" w:hAnsi="Times New Roman" w:cs="Times New Roman"/>
          <w:sz w:val="18"/>
          <w:szCs w:val="18"/>
          <w:vertAlign w:val="superscript"/>
          <w:lang w:eastAsia="en-GB"/>
        </w:rPr>
        <w:t>-</w:t>
      </w:r>
      <w:hyperlink r:id="rId6" w:anchor="b5" w:history="1">
        <w:r w:rsidRPr="00B8791B">
          <w:rPr>
            <w:rFonts w:ascii="Times New Roman" w:eastAsia="Times New Roman" w:hAnsi="Times New Roman" w:cs="Times New Roman"/>
            <w:color w:val="000000"/>
            <w:sz w:val="18"/>
            <w:szCs w:val="18"/>
            <w:u w:val="single"/>
            <w:vertAlign w:val="superscript"/>
            <w:lang w:eastAsia="en-GB"/>
          </w:rPr>
          <w:t>5</w:t>
        </w:r>
      </w:hyperlink>
      <w:r w:rsidRPr="00B8791B">
        <w:rPr>
          <w:rFonts w:ascii="Times New Roman" w:eastAsia="Times New Roman" w:hAnsi="Times New Roman" w:cs="Times New Roman"/>
          <w:sz w:val="24"/>
          <w:szCs w:val="24"/>
          <w:lang w:eastAsia="en-GB"/>
        </w:rPr>
        <w:t> Community involvement in the research process can increase the relevance and quality of health research, even in clinical studies.</w:t>
      </w:r>
      <w:hyperlink r:id="rId7" w:anchor="b6" w:history="1">
        <w:r w:rsidRPr="00B8791B">
          <w:rPr>
            <w:rFonts w:ascii="Times New Roman" w:eastAsia="Times New Roman" w:hAnsi="Times New Roman" w:cs="Times New Roman"/>
            <w:color w:val="000000"/>
            <w:sz w:val="18"/>
            <w:szCs w:val="18"/>
            <w:u w:val="single"/>
            <w:vertAlign w:val="superscript"/>
            <w:lang w:eastAsia="en-GB"/>
          </w:rPr>
          <w:t>6</w:t>
        </w:r>
      </w:hyperlink>
      <w:r w:rsidRPr="00B8791B">
        <w:rPr>
          <w:rFonts w:ascii="Times New Roman" w:eastAsia="Times New Roman" w:hAnsi="Times New Roman" w:cs="Times New Roman"/>
          <w:sz w:val="18"/>
          <w:szCs w:val="18"/>
          <w:vertAlign w:val="superscript"/>
          <w:lang w:eastAsia="en-GB"/>
        </w:rPr>
        <w:t>, </w:t>
      </w:r>
      <w:hyperlink r:id="rId8" w:anchor="b7" w:history="1">
        <w:r w:rsidRPr="00B8791B">
          <w:rPr>
            <w:rFonts w:ascii="Times New Roman" w:eastAsia="Times New Roman" w:hAnsi="Times New Roman" w:cs="Times New Roman"/>
            <w:color w:val="000000"/>
            <w:sz w:val="18"/>
            <w:szCs w:val="18"/>
            <w:u w:val="single"/>
            <w:vertAlign w:val="superscript"/>
            <w:lang w:eastAsia="en-GB"/>
          </w:rPr>
          <w:t>7</w:t>
        </w:r>
      </w:hyperlink>
      <w:r w:rsidRPr="00B8791B">
        <w:rPr>
          <w:rFonts w:ascii="Times New Roman" w:eastAsia="Times New Roman" w:hAnsi="Times New Roman" w:cs="Times New Roman"/>
          <w:sz w:val="24"/>
          <w:szCs w:val="24"/>
          <w:lang w:eastAsia="en-GB"/>
        </w:rPr>
        <w:t> For example, increased public participation in all stages of the research process has been identified as critical to achieving diverse representation and sufficient enrollment of participants for clinical studies.</w:t>
      </w:r>
      <w:hyperlink r:id="rId9" w:anchor="b5" w:history="1">
        <w:r w:rsidRPr="00B8791B">
          <w:rPr>
            <w:rFonts w:ascii="Times New Roman" w:eastAsia="Times New Roman" w:hAnsi="Times New Roman" w:cs="Times New Roman"/>
            <w:color w:val="000000"/>
            <w:sz w:val="18"/>
            <w:szCs w:val="18"/>
            <w:u w:val="single"/>
            <w:vertAlign w:val="superscript"/>
            <w:lang w:eastAsia="en-GB"/>
          </w:rPr>
          <w:t>5</w:t>
        </w:r>
      </w:hyperlink>
      <w:r w:rsidRPr="00B8791B">
        <w:rPr>
          <w:rFonts w:ascii="Times New Roman" w:eastAsia="Times New Roman" w:hAnsi="Times New Roman" w:cs="Times New Roman"/>
          <w:sz w:val="24"/>
          <w:szCs w:val="24"/>
          <w:lang w:eastAsia="en-GB"/>
        </w:rPr>
        <w:t> Community representatives and patient advocates can contribute substantially to identifying important research questions, designing effective informed consent processes and research protocols, and disseminating research results.</w:t>
      </w:r>
      <w:hyperlink r:id="rId10" w:anchor="b4" w:history="1">
        <w:r w:rsidRPr="00B8791B">
          <w:rPr>
            <w:rFonts w:ascii="Times New Roman" w:eastAsia="Times New Roman" w:hAnsi="Times New Roman" w:cs="Times New Roman"/>
            <w:color w:val="000000"/>
            <w:sz w:val="18"/>
            <w:szCs w:val="18"/>
            <w:u w:val="single"/>
            <w:vertAlign w:val="superscript"/>
            <w:lang w:eastAsia="en-GB"/>
          </w:rPr>
          <w:t>4</w:t>
        </w:r>
      </w:hyperlink>
      <w:r w:rsidRPr="00B8791B">
        <w:rPr>
          <w:rFonts w:ascii="Times New Roman" w:eastAsia="Times New Roman" w:hAnsi="Times New Roman" w:cs="Times New Roman"/>
          <w:sz w:val="18"/>
          <w:szCs w:val="18"/>
          <w:vertAlign w:val="superscript"/>
          <w:lang w:eastAsia="en-GB"/>
        </w:rPr>
        <w:t>, </w:t>
      </w:r>
      <w:hyperlink r:id="rId11" w:anchor="b8" w:history="1">
        <w:r w:rsidRPr="00B8791B">
          <w:rPr>
            <w:rFonts w:ascii="Times New Roman" w:eastAsia="Times New Roman" w:hAnsi="Times New Roman" w:cs="Times New Roman"/>
            <w:color w:val="000000"/>
            <w:sz w:val="18"/>
            <w:szCs w:val="18"/>
            <w:u w:val="single"/>
            <w:vertAlign w:val="superscript"/>
            <w:lang w:eastAsia="en-GB"/>
          </w:rPr>
          <w:t>8</w:t>
        </w:r>
      </w:hyperlink>
      <w:r w:rsidRPr="00B8791B">
        <w:rPr>
          <w:rFonts w:ascii="Times New Roman" w:eastAsia="Times New Roman" w:hAnsi="Times New Roman" w:cs="Times New Roman"/>
          <w:sz w:val="24"/>
          <w:szCs w:val="24"/>
          <w:lang w:eastAsia="en-GB"/>
        </w:rPr>
        <w:t> Engaging community‐based primary care clinicians in research can improve the effectiveness and efficacy of interventions.</w:t>
      </w:r>
      <w:hyperlink r:id="rId12" w:anchor="b1" w:history="1">
        <w:r w:rsidRPr="00B8791B">
          <w:rPr>
            <w:rFonts w:ascii="Times New Roman" w:eastAsia="Times New Roman" w:hAnsi="Times New Roman" w:cs="Times New Roman"/>
            <w:color w:val="000000"/>
            <w:sz w:val="18"/>
            <w:szCs w:val="18"/>
            <w:u w:val="single"/>
            <w:vertAlign w:val="superscript"/>
            <w:lang w:eastAsia="en-GB"/>
          </w:rPr>
          <w:t>1</w:t>
        </w:r>
      </w:hyperlink>
    </w:p>
    <w:p w14:paraId="70B37825"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However, it can be challenging to operationalize community engagement in research practice. Community‐based participatory research (CBPR) is on one end of the “engagement” spectrum.</w:t>
      </w:r>
      <w:hyperlink r:id="rId13" w:anchor="b9" w:history="1">
        <w:r w:rsidRPr="00B8791B">
          <w:rPr>
            <w:rFonts w:ascii="Times New Roman" w:eastAsia="Times New Roman" w:hAnsi="Times New Roman" w:cs="Times New Roman"/>
            <w:color w:val="000000"/>
            <w:sz w:val="18"/>
            <w:szCs w:val="18"/>
            <w:u w:val="single"/>
            <w:vertAlign w:val="superscript"/>
            <w:lang w:eastAsia="en-GB"/>
          </w:rPr>
          <w:t>9</w:t>
        </w:r>
      </w:hyperlink>
      <w:r w:rsidRPr="00B8791B">
        <w:rPr>
          <w:rFonts w:ascii="Times New Roman" w:eastAsia="Times New Roman" w:hAnsi="Times New Roman" w:cs="Times New Roman"/>
          <w:sz w:val="24"/>
          <w:szCs w:val="24"/>
          <w:lang w:eastAsia="en-GB"/>
        </w:rPr>
        <w:t> CBPR is defined as equal participation of community partners and researchers throughout the research process with shared decision making. On the other end of the spectrum, communities are simply informed about current research and results. In the middle of the spectrum, communities are engaged in important but limited aspects of research studies, such as recruiting and retaining research participants.</w:t>
      </w:r>
      <w:hyperlink r:id="rId14" w:anchor="b10" w:history="1">
        <w:r w:rsidRPr="00B8791B">
          <w:rPr>
            <w:rFonts w:ascii="Times New Roman" w:eastAsia="Times New Roman" w:hAnsi="Times New Roman" w:cs="Times New Roman"/>
            <w:color w:val="000000"/>
            <w:sz w:val="18"/>
            <w:szCs w:val="18"/>
            <w:u w:val="single"/>
            <w:vertAlign w:val="superscript"/>
            <w:lang w:eastAsia="en-GB"/>
          </w:rPr>
          <w:t>10</w:t>
        </w:r>
      </w:hyperlink>
      <w:r w:rsidRPr="00B8791B">
        <w:rPr>
          <w:rFonts w:ascii="Times New Roman" w:eastAsia="Times New Roman" w:hAnsi="Times New Roman" w:cs="Times New Roman"/>
          <w:sz w:val="24"/>
          <w:szCs w:val="24"/>
          <w:lang w:eastAsia="en-GB"/>
        </w:rPr>
        <w:t xml:space="preserve"> It is important to recognize </w:t>
      </w:r>
      <w:r w:rsidRPr="00B8791B">
        <w:rPr>
          <w:rFonts w:ascii="Times New Roman" w:eastAsia="Times New Roman" w:hAnsi="Times New Roman" w:cs="Times New Roman"/>
          <w:sz w:val="24"/>
          <w:szCs w:val="24"/>
          <w:lang w:eastAsia="en-GB"/>
        </w:rPr>
        <w:lastRenderedPageBreak/>
        <w:t>that more participation is not always better; some community partners may not have the time, interest, or expertise to participate as equal partners in every stage of the research process.</w:t>
      </w:r>
      <w:hyperlink r:id="rId15" w:anchor="b7" w:history="1">
        <w:r w:rsidRPr="00B8791B">
          <w:rPr>
            <w:rFonts w:ascii="Times New Roman" w:eastAsia="Times New Roman" w:hAnsi="Times New Roman" w:cs="Times New Roman"/>
            <w:color w:val="000000"/>
            <w:sz w:val="18"/>
            <w:szCs w:val="18"/>
            <w:u w:val="single"/>
            <w:vertAlign w:val="superscript"/>
            <w:lang w:eastAsia="en-GB"/>
          </w:rPr>
          <w:t>7</w:t>
        </w:r>
      </w:hyperlink>
    </w:p>
    <w:p w14:paraId="30151AF4"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In 2006, the NIH National Center for Research Resources launched the Center for Clinical and Translational Science Award (CTSA) program that included a community engagement component for each Center.</w:t>
      </w:r>
      <w:hyperlink r:id="rId16" w:anchor="b11" w:history="1">
        <w:r w:rsidRPr="00B8791B">
          <w:rPr>
            <w:rFonts w:ascii="Times New Roman" w:eastAsia="Times New Roman" w:hAnsi="Times New Roman" w:cs="Times New Roman"/>
            <w:color w:val="000000"/>
            <w:sz w:val="18"/>
            <w:szCs w:val="18"/>
            <w:u w:val="single"/>
            <w:vertAlign w:val="superscript"/>
            <w:lang w:eastAsia="en-GB"/>
          </w:rPr>
          <w:t>11</w:t>
        </w:r>
      </w:hyperlink>
      <w:r w:rsidRPr="00B8791B">
        <w:rPr>
          <w:rFonts w:ascii="Times New Roman" w:eastAsia="Times New Roman" w:hAnsi="Times New Roman" w:cs="Times New Roman"/>
          <w:sz w:val="24"/>
          <w:szCs w:val="24"/>
          <w:lang w:eastAsia="en-GB"/>
        </w:rPr>
        <w:t> A recent summary of best practices emerging from CTSAs across the country identified two major goals for community engagement activities: (1) engage communities as valued members of the research team, and (2) build stable infrastructure in communities for participating in research and implementing new knowledge resulting from research to improve community health outcomes.</w:t>
      </w:r>
      <w:hyperlink r:id="rId17" w:anchor="b12" w:history="1">
        <w:r w:rsidRPr="00B8791B">
          <w:rPr>
            <w:rFonts w:ascii="Times New Roman" w:eastAsia="Times New Roman" w:hAnsi="Times New Roman" w:cs="Times New Roman"/>
            <w:color w:val="000000"/>
            <w:sz w:val="18"/>
            <w:szCs w:val="18"/>
            <w:u w:val="single"/>
            <w:vertAlign w:val="superscript"/>
            <w:lang w:eastAsia="en-GB"/>
          </w:rPr>
          <w:t>12</w:t>
        </w:r>
      </w:hyperlink>
      <w:r w:rsidRPr="00B8791B">
        <w:rPr>
          <w:rFonts w:ascii="Times New Roman" w:eastAsia="Times New Roman" w:hAnsi="Times New Roman" w:cs="Times New Roman"/>
          <w:sz w:val="24"/>
          <w:szCs w:val="24"/>
          <w:lang w:eastAsia="en-GB"/>
        </w:rPr>
        <w:t> The best practices document also described numerous principles for developing community‐academic partnerships, such as recognizing that community members are part of multiple communities and including community partners early in research planning.</w:t>
      </w:r>
    </w:p>
    <w:p w14:paraId="34B7D1B1"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Although much has been written about the importance of engaging communities in the research process and the principles for doing so, to date, there is a paucity of research about the prevalence of community engagement in research, especially among clinical and translational research studies traditionally funded by NIH. The current study assessed baseline prevalence of community engagement in research among NIH‐funded studies at a large Midwestern university with a CTSA funded in 2008.</w:t>
      </w:r>
    </w:p>
    <w:p w14:paraId="0AF43EFB" w14:textId="77777777" w:rsidR="00B8791B" w:rsidRPr="00B8791B" w:rsidRDefault="00B8791B" w:rsidP="00B8791B">
      <w:pPr>
        <w:spacing w:before="180" w:after="180" w:line="240" w:lineRule="auto"/>
        <w:outlineLvl w:val="1"/>
        <w:rPr>
          <w:rFonts w:ascii="Arial" w:eastAsia="Times New Roman" w:hAnsi="Arial" w:cs="Arial"/>
          <w:b/>
          <w:bCs/>
          <w:color w:val="00A185"/>
          <w:sz w:val="39"/>
          <w:szCs w:val="39"/>
          <w:lang w:eastAsia="en-GB"/>
        </w:rPr>
      </w:pPr>
      <w:r w:rsidRPr="00B8791B">
        <w:rPr>
          <w:rFonts w:ascii="Arial" w:eastAsia="Times New Roman" w:hAnsi="Arial" w:cs="Arial"/>
          <w:b/>
          <w:bCs/>
          <w:color w:val="00A185"/>
          <w:sz w:val="39"/>
          <w:szCs w:val="39"/>
          <w:lang w:eastAsia="en-GB"/>
        </w:rPr>
        <w:t>Methods</w:t>
      </w:r>
    </w:p>
    <w:p w14:paraId="5720E831" w14:textId="77777777" w:rsidR="00B8791B" w:rsidRPr="00B8791B" w:rsidRDefault="00B8791B" w:rsidP="00B8791B">
      <w:pPr>
        <w:spacing w:before="180" w:after="180" w:line="240" w:lineRule="auto"/>
        <w:outlineLvl w:val="2"/>
        <w:rPr>
          <w:rFonts w:ascii="Arial" w:eastAsia="Times New Roman" w:hAnsi="Arial" w:cs="Arial"/>
          <w:color w:val="1F1F1F"/>
          <w:sz w:val="33"/>
          <w:szCs w:val="33"/>
          <w:lang w:eastAsia="en-GB"/>
        </w:rPr>
      </w:pPr>
      <w:r w:rsidRPr="00B8791B">
        <w:rPr>
          <w:rFonts w:ascii="Arial" w:eastAsia="Times New Roman" w:hAnsi="Arial" w:cs="Arial"/>
          <w:color w:val="1F1F1F"/>
          <w:sz w:val="33"/>
          <w:szCs w:val="33"/>
          <w:lang w:eastAsia="en-GB"/>
        </w:rPr>
        <w:t>Sample and setting</w:t>
      </w:r>
    </w:p>
    <w:p w14:paraId="247884CE"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The units of observation were individual research studies funded by NIH during a specified time frame. A list of all studies that met eligibility criteria was obtained from the university's online, searchable database. To be eligible, a study had to be active in the past 5 years and completed by December 31, 2008. For each study in the sample, the following information was obtained from the database: study title, principal investigator, co‐investigator(s), start date, end date, and department.</w:t>
      </w:r>
    </w:p>
    <w:p w14:paraId="3E8BA6FB" w14:textId="77777777" w:rsidR="00B8791B" w:rsidRPr="00B8791B" w:rsidRDefault="00B8791B" w:rsidP="00B8791B">
      <w:pPr>
        <w:spacing w:before="180" w:after="180" w:line="240" w:lineRule="auto"/>
        <w:outlineLvl w:val="2"/>
        <w:rPr>
          <w:rFonts w:ascii="Arial" w:eastAsia="Times New Roman" w:hAnsi="Arial" w:cs="Arial"/>
          <w:color w:val="1F1F1F"/>
          <w:sz w:val="33"/>
          <w:szCs w:val="33"/>
          <w:lang w:eastAsia="en-GB"/>
        </w:rPr>
      </w:pPr>
      <w:r w:rsidRPr="00B8791B">
        <w:rPr>
          <w:rFonts w:ascii="Arial" w:eastAsia="Times New Roman" w:hAnsi="Arial" w:cs="Arial"/>
          <w:color w:val="1F1F1F"/>
          <w:sz w:val="33"/>
          <w:szCs w:val="33"/>
          <w:lang w:eastAsia="en-GB"/>
        </w:rPr>
        <w:t>Measures</w:t>
      </w:r>
    </w:p>
    <w:p w14:paraId="0E91C45A"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A data collection tool was developed for this study because no applicable instruments were identified in the literature. Respondents were first asked to report the study title, the principal investigator's name, the type of research, and an eligibility screening question (</w:t>
      </w:r>
      <w:hyperlink r:id="rId18" w:anchor="f1" w:history="1">
        <w:r w:rsidRPr="00B8791B">
          <w:rPr>
            <w:rFonts w:ascii="Times New Roman" w:eastAsia="Times New Roman" w:hAnsi="Times New Roman" w:cs="Times New Roman"/>
            <w:b/>
            <w:bCs/>
            <w:i/>
            <w:iCs/>
            <w:color w:val="005274"/>
            <w:sz w:val="24"/>
            <w:szCs w:val="24"/>
            <w:u w:val="single"/>
            <w:lang w:eastAsia="en-GB"/>
          </w:rPr>
          <w:t>Figure 1</w:t>
        </w:r>
      </w:hyperlink>
      <w:r w:rsidRPr="00B8791B">
        <w:rPr>
          <w:rFonts w:ascii="Times New Roman" w:eastAsia="Times New Roman" w:hAnsi="Times New Roman" w:cs="Times New Roman"/>
          <w:sz w:val="24"/>
          <w:szCs w:val="24"/>
          <w:lang w:eastAsia="en-GB"/>
        </w:rPr>
        <w:t>). The remainder of the survey was designed to assess two “levels” of community engagement. </w:t>
      </w:r>
      <w:r w:rsidRPr="00B8791B">
        <w:rPr>
          <w:rFonts w:ascii="Times New Roman" w:eastAsia="Times New Roman" w:hAnsi="Times New Roman" w:cs="Times New Roman"/>
          <w:i/>
          <w:iCs/>
          <w:sz w:val="24"/>
          <w:szCs w:val="24"/>
          <w:lang w:eastAsia="en-GB"/>
        </w:rPr>
        <w:t>Level 1</w:t>
      </w:r>
      <w:r w:rsidRPr="00B8791B">
        <w:rPr>
          <w:rFonts w:ascii="Times New Roman" w:eastAsia="Times New Roman" w:hAnsi="Times New Roman" w:cs="Times New Roman"/>
          <w:sz w:val="24"/>
          <w:szCs w:val="24"/>
          <w:lang w:eastAsia="en-GB"/>
        </w:rPr>
        <w:t> included activities consistent with principles of CBPR such as having a community advisory group or other process for meaningfully involving community representatives in various steps throughout the research process.</w:t>
      </w:r>
      <w:hyperlink r:id="rId19" w:anchor="b13" w:history="1">
        <w:r w:rsidRPr="00B8791B">
          <w:rPr>
            <w:rFonts w:ascii="Times New Roman" w:eastAsia="Times New Roman" w:hAnsi="Times New Roman" w:cs="Times New Roman"/>
            <w:color w:val="000000"/>
            <w:sz w:val="18"/>
            <w:szCs w:val="18"/>
            <w:u w:val="single"/>
            <w:vertAlign w:val="superscript"/>
            <w:lang w:eastAsia="en-GB"/>
          </w:rPr>
          <w:t>13</w:t>
        </w:r>
      </w:hyperlink>
      <w:r w:rsidRPr="00B8791B">
        <w:rPr>
          <w:rFonts w:ascii="Times New Roman" w:eastAsia="Times New Roman" w:hAnsi="Times New Roman" w:cs="Times New Roman"/>
          <w:sz w:val="24"/>
          <w:szCs w:val="24"/>
          <w:lang w:eastAsia="en-GB"/>
        </w:rPr>
        <w:t xml:space="preserve"> Community representatives </w:t>
      </w:r>
      <w:r w:rsidRPr="00B8791B">
        <w:rPr>
          <w:rFonts w:ascii="Times New Roman" w:eastAsia="Times New Roman" w:hAnsi="Times New Roman" w:cs="Times New Roman"/>
          <w:sz w:val="24"/>
          <w:szCs w:val="24"/>
          <w:lang w:eastAsia="en-GB"/>
        </w:rPr>
        <w:lastRenderedPageBreak/>
        <w:t>were denned for survey respondents as individuals or organizations outside of traditional university research teams, including community residents, organizations, public health agencies, social service providers, healthcare providers, or healthcare payers. Respondents reporting Level 1 engagement activities were also asked to identify the research steps in which community representatives were involved (e.g., identifying community health concerns, collecting data, interpreting findings, etc.) and whether community representatives received training or payment for their involvement.</w:t>
      </w:r>
    </w:p>
    <w:p w14:paraId="09266A05" w14:textId="77777777" w:rsidR="00B8791B" w:rsidRPr="00B8791B" w:rsidRDefault="00B8791B" w:rsidP="00B8791B">
      <w:pPr>
        <w:spacing w:after="0"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noProof/>
          <w:color w:val="005274"/>
          <w:sz w:val="24"/>
          <w:szCs w:val="24"/>
          <w:lang w:eastAsia="en-GB"/>
        </w:rPr>
        <w:drawing>
          <wp:inline distT="0" distB="0" distL="0" distR="0" wp14:anchorId="6CEDFF59" wp14:editId="0169F8CA">
            <wp:extent cx="4572000" cy="4848225"/>
            <wp:effectExtent l="0" t="0" r="0" b="9525"/>
            <wp:docPr id="5" name="Picture 5" descr="image">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000" cy="4848225"/>
                    </a:xfrm>
                    <a:prstGeom prst="rect">
                      <a:avLst/>
                    </a:prstGeom>
                    <a:noFill/>
                    <a:ln>
                      <a:noFill/>
                    </a:ln>
                  </pic:spPr>
                </pic:pic>
              </a:graphicData>
            </a:graphic>
          </wp:inline>
        </w:drawing>
      </w:r>
    </w:p>
    <w:p w14:paraId="0F35F2E5" w14:textId="20A64F29" w:rsidR="00B8791B" w:rsidRPr="00B8791B" w:rsidRDefault="00B8791B" w:rsidP="00B8791B">
      <w:pPr>
        <w:spacing w:after="0"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b/>
          <w:bCs/>
          <w:color w:val="212121"/>
          <w:sz w:val="24"/>
          <w:szCs w:val="24"/>
          <w:lang w:eastAsia="en-GB"/>
        </w:rPr>
        <w:t>Figure 1</w:t>
      </w:r>
    </w:p>
    <w:p w14:paraId="23B40047" w14:textId="77777777" w:rsidR="00B8791B" w:rsidRPr="00B8791B" w:rsidRDefault="00B8791B" w:rsidP="00B8791B">
      <w:pPr>
        <w:spacing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Sample selection process and response rates.</w:t>
      </w:r>
    </w:p>
    <w:p w14:paraId="4B7B6967"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i/>
          <w:iCs/>
          <w:sz w:val="24"/>
          <w:szCs w:val="24"/>
          <w:lang w:eastAsia="en-GB"/>
        </w:rPr>
        <w:t>Level 2</w:t>
      </w:r>
      <w:r w:rsidRPr="00B8791B">
        <w:rPr>
          <w:rFonts w:ascii="Times New Roman" w:eastAsia="Times New Roman" w:hAnsi="Times New Roman" w:cs="Times New Roman"/>
          <w:sz w:val="24"/>
          <w:szCs w:val="24"/>
          <w:lang w:eastAsia="en-GB"/>
        </w:rPr>
        <w:t> activities did not necessarily require significant collaboration between research and community partners but may still be important elements of community engagement, especially for the types of clinical and translational research studies most commonly funded by NIH. These activities are listed in </w:t>
      </w:r>
      <w:hyperlink r:id="rId22" w:anchor="t1" w:history="1">
        <w:r w:rsidRPr="00B8791B">
          <w:rPr>
            <w:rFonts w:ascii="Times New Roman" w:eastAsia="Times New Roman" w:hAnsi="Times New Roman" w:cs="Times New Roman"/>
            <w:color w:val="005274"/>
            <w:sz w:val="24"/>
            <w:szCs w:val="24"/>
            <w:lang w:eastAsia="en-GB"/>
          </w:rPr>
          <w:t>Table 1</w:t>
        </w:r>
      </w:hyperlink>
      <w:r w:rsidRPr="00B8791B">
        <w:rPr>
          <w:rFonts w:ascii="Times New Roman" w:eastAsia="Times New Roman" w:hAnsi="Times New Roman" w:cs="Times New Roman"/>
          <w:sz w:val="24"/>
          <w:szCs w:val="24"/>
          <w:lang w:eastAsia="en-GB"/>
        </w:rPr>
        <w:t xml:space="preserve">. Many Level 2 activities were derived from conferences and communications directed toward CTSA community engagement programs and therefore reflect ways that community engagement is being operationalized across the </w:t>
      </w:r>
      <w:r w:rsidRPr="00B8791B">
        <w:rPr>
          <w:rFonts w:ascii="Times New Roman" w:eastAsia="Times New Roman" w:hAnsi="Times New Roman" w:cs="Times New Roman"/>
          <w:sz w:val="24"/>
          <w:szCs w:val="24"/>
          <w:lang w:eastAsia="en-GB"/>
        </w:rPr>
        <w:lastRenderedPageBreak/>
        <w:t>country. Investigators could also describe additional examples of community engagement not assessed in close‐ended survey questions.</w:t>
      </w:r>
    </w:p>
    <w:p w14:paraId="58876471" w14:textId="77777777" w:rsidR="00B8791B" w:rsidRPr="00B8791B" w:rsidRDefault="00B8791B" w:rsidP="00B8791B">
      <w:pPr>
        <w:spacing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b/>
          <w:bCs/>
          <w:sz w:val="24"/>
          <w:szCs w:val="24"/>
          <w:lang w:eastAsia="en-GB"/>
        </w:rPr>
        <w:t>Table 1. </w:t>
      </w:r>
      <w:r w:rsidRPr="00B8791B">
        <w:rPr>
          <w:rFonts w:ascii="Times New Roman" w:eastAsia="Times New Roman" w:hAnsi="Times New Roman" w:cs="Times New Roman"/>
          <w:sz w:val="24"/>
          <w:szCs w:val="24"/>
          <w:lang w:eastAsia="en-GB"/>
        </w:rPr>
        <w:t>Number and percent of studies reporting each type of community engagement activity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122</w:t>
      </w:r>
      <w:proofErr w:type="gramStart"/>
      <w:r w:rsidRPr="00B8791B">
        <w:rPr>
          <w:rFonts w:ascii="Times New Roman" w:eastAsia="Times New Roman" w:hAnsi="Times New Roman" w:cs="Times New Roman"/>
          <w:sz w:val="24"/>
          <w:szCs w:val="24"/>
          <w:lang w:eastAsia="en-GB"/>
        </w:rPr>
        <w:t>).*</w:t>
      </w:r>
      <w:proofErr w:type="gramEnd"/>
    </w:p>
    <w:tbl>
      <w:tblPr>
        <w:tblW w:w="10350" w:type="dxa"/>
        <w:tblBorders>
          <w:top w:val="single" w:sz="6" w:space="0" w:color="9E9E9E"/>
          <w:left w:val="single" w:sz="6" w:space="0" w:color="9E9E9E"/>
          <w:bottom w:val="single" w:sz="6" w:space="0" w:color="9E9E9E"/>
          <w:right w:val="single" w:sz="6" w:space="0" w:color="9E9E9E"/>
        </w:tblBorders>
        <w:tblCellMar>
          <w:top w:w="15" w:type="dxa"/>
          <w:left w:w="15" w:type="dxa"/>
          <w:bottom w:w="15" w:type="dxa"/>
          <w:right w:w="15" w:type="dxa"/>
        </w:tblCellMar>
        <w:tblLook w:val="04A0" w:firstRow="1" w:lastRow="0" w:firstColumn="1" w:lastColumn="0" w:noHBand="0" w:noVBand="1"/>
      </w:tblPr>
      <w:tblGrid>
        <w:gridCol w:w="5117"/>
        <w:gridCol w:w="1656"/>
        <w:gridCol w:w="1606"/>
        <w:gridCol w:w="1971"/>
      </w:tblGrid>
      <w:tr w:rsidR="00B8791B" w:rsidRPr="00B8791B" w14:paraId="6E40233B" w14:textId="77777777" w:rsidTr="00B8791B">
        <w:trPr>
          <w:tblHeader/>
        </w:trPr>
        <w:tc>
          <w:tcPr>
            <w:tcW w:w="0" w:type="auto"/>
            <w:tcBorders>
              <w:top w:val="nil"/>
              <w:left w:val="nil"/>
              <w:bottom w:val="nil"/>
              <w:right w:val="nil"/>
            </w:tcBorders>
            <w:shd w:val="clear" w:color="auto" w:fill="EEEEEE"/>
            <w:tcMar>
              <w:top w:w="120" w:type="dxa"/>
              <w:left w:w="120" w:type="dxa"/>
              <w:bottom w:w="120" w:type="dxa"/>
              <w:right w:w="120" w:type="dxa"/>
            </w:tcMar>
            <w:hideMark/>
          </w:tcPr>
          <w:p w14:paraId="5D251C97" w14:textId="77777777" w:rsidR="00B8791B" w:rsidRPr="00B8791B" w:rsidRDefault="00B8791B" w:rsidP="00B8791B">
            <w:pPr>
              <w:spacing w:after="0" w:line="240" w:lineRule="auto"/>
              <w:rPr>
                <w:rFonts w:ascii="Times New Roman" w:eastAsia="Times New Roman" w:hAnsi="Times New Roman" w:cs="Times New Roman"/>
                <w:sz w:val="24"/>
                <w:szCs w:val="24"/>
                <w:lang w:eastAsia="en-GB"/>
              </w:rPr>
            </w:pP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73C6A904" w14:textId="77777777" w:rsidR="00B8791B" w:rsidRPr="00B8791B" w:rsidRDefault="00B8791B" w:rsidP="00B8791B">
            <w:pPr>
              <w:spacing w:after="225" w:line="360" w:lineRule="atLeast"/>
              <w:rPr>
                <w:rFonts w:ascii="Times New Roman" w:eastAsia="Times New Roman" w:hAnsi="Times New Roman" w:cs="Times New Roman"/>
                <w:b/>
                <w:bCs/>
                <w:color w:val="000000"/>
                <w:sz w:val="24"/>
                <w:szCs w:val="24"/>
                <w:lang w:eastAsia="en-GB"/>
              </w:rPr>
            </w:pPr>
            <w:r w:rsidRPr="00B8791B">
              <w:rPr>
                <w:rFonts w:ascii="Times New Roman" w:eastAsia="Times New Roman" w:hAnsi="Times New Roman" w:cs="Times New Roman"/>
                <w:b/>
                <w:bCs/>
                <w:color w:val="000000"/>
                <w:sz w:val="24"/>
                <w:szCs w:val="24"/>
                <w:lang w:eastAsia="en-GB"/>
              </w:rPr>
              <w:t>Yes Number (%)</w:t>
            </w: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274EE854" w14:textId="77777777" w:rsidR="00B8791B" w:rsidRPr="00B8791B" w:rsidRDefault="00B8791B" w:rsidP="00B8791B">
            <w:pPr>
              <w:spacing w:after="225" w:line="360" w:lineRule="atLeast"/>
              <w:rPr>
                <w:rFonts w:ascii="Times New Roman" w:eastAsia="Times New Roman" w:hAnsi="Times New Roman" w:cs="Times New Roman"/>
                <w:b/>
                <w:bCs/>
                <w:color w:val="000000"/>
                <w:sz w:val="24"/>
                <w:szCs w:val="24"/>
                <w:lang w:eastAsia="en-GB"/>
              </w:rPr>
            </w:pPr>
            <w:r w:rsidRPr="00B8791B">
              <w:rPr>
                <w:rFonts w:ascii="Times New Roman" w:eastAsia="Times New Roman" w:hAnsi="Times New Roman" w:cs="Times New Roman"/>
                <w:b/>
                <w:bCs/>
                <w:color w:val="000000"/>
                <w:sz w:val="24"/>
                <w:szCs w:val="24"/>
                <w:lang w:eastAsia="en-GB"/>
              </w:rPr>
              <w:t>No Number (%)</w:t>
            </w:r>
          </w:p>
        </w:tc>
        <w:tc>
          <w:tcPr>
            <w:tcW w:w="0" w:type="auto"/>
            <w:tcBorders>
              <w:top w:val="nil"/>
              <w:left w:val="nil"/>
              <w:bottom w:val="nil"/>
              <w:right w:val="nil"/>
            </w:tcBorders>
            <w:shd w:val="clear" w:color="auto" w:fill="EEEEEE"/>
            <w:tcMar>
              <w:top w:w="120" w:type="dxa"/>
              <w:left w:w="120" w:type="dxa"/>
              <w:bottom w:w="120" w:type="dxa"/>
              <w:right w:w="120" w:type="dxa"/>
            </w:tcMar>
            <w:hideMark/>
          </w:tcPr>
          <w:p w14:paraId="1933AB52" w14:textId="77777777" w:rsidR="00B8791B" w:rsidRPr="00B8791B" w:rsidRDefault="00B8791B" w:rsidP="00B8791B">
            <w:pPr>
              <w:spacing w:after="225" w:line="360" w:lineRule="atLeast"/>
              <w:rPr>
                <w:rFonts w:ascii="Times New Roman" w:eastAsia="Times New Roman" w:hAnsi="Times New Roman" w:cs="Times New Roman"/>
                <w:b/>
                <w:bCs/>
                <w:color w:val="000000"/>
                <w:sz w:val="24"/>
                <w:szCs w:val="24"/>
                <w:lang w:eastAsia="en-GB"/>
              </w:rPr>
            </w:pPr>
            <w:r w:rsidRPr="00B8791B">
              <w:rPr>
                <w:rFonts w:ascii="Times New Roman" w:eastAsia="Times New Roman" w:hAnsi="Times New Roman" w:cs="Times New Roman"/>
                <w:b/>
                <w:bCs/>
                <w:color w:val="000000"/>
                <w:sz w:val="24"/>
                <w:szCs w:val="24"/>
                <w:lang w:eastAsia="en-GB"/>
              </w:rPr>
              <w:t>Not sure Number (%)</w:t>
            </w:r>
          </w:p>
        </w:tc>
      </w:tr>
      <w:tr w:rsidR="00B8791B" w:rsidRPr="00B8791B" w14:paraId="35596A2C" w14:textId="77777777" w:rsidTr="00B8791B">
        <w:tc>
          <w:tcPr>
            <w:tcW w:w="0" w:type="auto"/>
            <w:gridSpan w:val="4"/>
            <w:tcMar>
              <w:top w:w="180" w:type="dxa"/>
              <w:left w:w="180" w:type="dxa"/>
              <w:bottom w:w="0" w:type="dxa"/>
              <w:right w:w="180" w:type="dxa"/>
            </w:tcMar>
            <w:hideMark/>
          </w:tcPr>
          <w:p w14:paraId="2D948259"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b/>
                <w:bCs/>
                <w:color w:val="000000"/>
                <w:sz w:val="18"/>
                <w:szCs w:val="18"/>
                <w:lang w:eastAsia="en-GB"/>
              </w:rPr>
              <w:t>Level 1 activities</w:t>
            </w:r>
          </w:p>
        </w:tc>
      </w:tr>
      <w:tr w:rsidR="00B8791B" w:rsidRPr="00B8791B" w14:paraId="41038FBD" w14:textId="77777777" w:rsidTr="00B8791B">
        <w:tc>
          <w:tcPr>
            <w:tcW w:w="0" w:type="auto"/>
            <w:tcMar>
              <w:top w:w="180" w:type="dxa"/>
              <w:left w:w="180" w:type="dxa"/>
              <w:bottom w:w="0" w:type="dxa"/>
              <w:right w:w="180" w:type="dxa"/>
            </w:tcMar>
            <w:hideMark/>
          </w:tcPr>
          <w:p w14:paraId="424AEBA8"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Advisory board, group, or committee of community representatives</w:t>
            </w:r>
          </w:p>
        </w:tc>
        <w:tc>
          <w:tcPr>
            <w:tcW w:w="0" w:type="auto"/>
            <w:tcMar>
              <w:top w:w="180" w:type="dxa"/>
              <w:left w:w="180" w:type="dxa"/>
              <w:bottom w:w="0" w:type="dxa"/>
              <w:right w:w="180" w:type="dxa"/>
            </w:tcMar>
            <w:hideMark/>
          </w:tcPr>
          <w:p w14:paraId="4F3F656C"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13 (10.7)</w:t>
            </w:r>
          </w:p>
        </w:tc>
        <w:tc>
          <w:tcPr>
            <w:tcW w:w="0" w:type="auto"/>
            <w:tcMar>
              <w:top w:w="180" w:type="dxa"/>
              <w:left w:w="180" w:type="dxa"/>
              <w:bottom w:w="0" w:type="dxa"/>
              <w:right w:w="180" w:type="dxa"/>
            </w:tcMar>
            <w:hideMark/>
          </w:tcPr>
          <w:p w14:paraId="4E22AE75"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103 (84.4)</w:t>
            </w:r>
          </w:p>
        </w:tc>
        <w:tc>
          <w:tcPr>
            <w:tcW w:w="0" w:type="auto"/>
            <w:tcMar>
              <w:top w:w="180" w:type="dxa"/>
              <w:left w:w="180" w:type="dxa"/>
              <w:bottom w:w="0" w:type="dxa"/>
              <w:right w:w="180" w:type="dxa"/>
            </w:tcMar>
            <w:hideMark/>
          </w:tcPr>
          <w:p w14:paraId="238BB09F"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6 (4.9)</w:t>
            </w:r>
          </w:p>
        </w:tc>
      </w:tr>
      <w:tr w:rsidR="00B8791B" w:rsidRPr="00B8791B" w14:paraId="1C3A7AC2" w14:textId="77777777" w:rsidTr="00B8791B">
        <w:tc>
          <w:tcPr>
            <w:tcW w:w="0" w:type="auto"/>
            <w:tcMar>
              <w:top w:w="180" w:type="dxa"/>
              <w:left w:w="180" w:type="dxa"/>
              <w:bottom w:w="0" w:type="dxa"/>
              <w:right w:w="180" w:type="dxa"/>
            </w:tcMar>
            <w:hideMark/>
          </w:tcPr>
          <w:p w14:paraId="40AE268B"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[If no] Input from community representatives at any time during study</w:t>
            </w:r>
          </w:p>
        </w:tc>
        <w:tc>
          <w:tcPr>
            <w:tcW w:w="0" w:type="auto"/>
            <w:tcMar>
              <w:top w:w="180" w:type="dxa"/>
              <w:left w:w="180" w:type="dxa"/>
              <w:bottom w:w="0" w:type="dxa"/>
              <w:right w:w="180" w:type="dxa"/>
            </w:tcMar>
            <w:hideMark/>
          </w:tcPr>
          <w:p w14:paraId="74097703"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8 (6.6)</w:t>
            </w:r>
          </w:p>
        </w:tc>
        <w:tc>
          <w:tcPr>
            <w:tcW w:w="0" w:type="auto"/>
            <w:tcMar>
              <w:top w:w="180" w:type="dxa"/>
              <w:left w:w="180" w:type="dxa"/>
              <w:bottom w:w="0" w:type="dxa"/>
              <w:right w:w="180" w:type="dxa"/>
            </w:tcMar>
            <w:hideMark/>
          </w:tcPr>
          <w:p w14:paraId="2A27AA19"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99 (81.1)</w:t>
            </w:r>
          </w:p>
        </w:tc>
        <w:tc>
          <w:tcPr>
            <w:tcW w:w="0" w:type="auto"/>
            <w:tcMar>
              <w:top w:w="180" w:type="dxa"/>
              <w:left w:w="180" w:type="dxa"/>
              <w:bottom w:w="0" w:type="dxa"/>
              <w:right w:w="180" w:type="dxa"/>
            </w:tcMar>
            <w:hideMark/>
          </w:tcPr>
          <w:p w14:paraId="4EB54C3C"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 (0.8)</w:t>
            </w:r>
          </w:p>
        </w:tc>
      </w:tr>
      <w:tr w:rsidR="00B8791B" w:rsidRPr="00B8791B" w14:paraId="08D6FA79" w14:textId="77777777" w:rsidTr="00B8791B">
        <w:tc>
          <w:tcPr>
            <w:tcW w:w="0" w:type="auto"/>
            <w:gridSpan w:val="4"/>
            <w:tcMar>
              <w:top w:w="180" w:type="dxa"/>
              <w:left w:w="180" w:type="dxa"/>
              <w:bottom w:w="0" w:type="dxa"/>
              <w:right w:w="180" w:type="dxa"/>
            </w:tcMar>
            <w:hideMark/>
          </w:tcPr>
          <w:p w14:paraId="0A84199B"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b/>
                <w:bCs/>
                <w:color w:val="000000"/>
                <w:sz w:val="18"/>
                <w:szCs w:val="18"/>
                <w:lang w:eastAsia="en-GB"/>
              </w:rPr>
              <w:t>Level 2 activities</w:t>
            </w:r>
          </w:p>
        </w:tc>
      </w:tr>
      <w:tr w:rsidR="00B8791B" w:rsidRPr="00B8791B" w14:paraId="7BBC2278" w14:textId="77777777" w:rsidTr="00B8791B">
        <w:tc>
          <w:tcPr>
            <w:tcW w:w="0" w:type="auto"/>
            <w:tcMar>
              <w:top w:w="180" w:type="dxa"/>
              <w:left w:w="180" w:type="dxa"/>
              <w:bottom w:w="0" w:type="dxa"/>
              <w:right w:w="180" w:type="dxa"/>
            </w:tcMar>
            <w:hideMark/>
          </w:tcPr>
          <w:p w14:paraId="3A53990C"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Focus groups or other methods to get input from community representatives</w:t>
            </w:r>
          </w:p>
        </w:tc>
        <w:tc>
          <w:tcPr>
            <w:tcW w:w="0" w:type="auto"/>
            <w:tcMar>
              <w:top w:w="180" w:type="dxa"/>
              <w:left w:w="180" w:type="dxa"/>
              <w:bottom w:w="0" w:type="dxa"/>
              <w:right w:w="180" w:type="dxa"/>
            </w:tcMar>
            <w:hideMark/>
          </w:tcPr>
          <w:p w14:paraId="342337D4"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10 (8.2)</w:t>
            </w:r>
          </w:p>
        </w:tc>
        <w:tc>
          <w:tcPr>
            <w:tcW w:w="0" w:type="auto"/>
            <w:tcMar>
              <w:top w:w="180" w:type="dxa"/>
              <w:left w:w="180" w:type="dxa"/>
              <w:bottom w:w="0" w:type="dxa"/>
              <w:right w:w="180" w:type="dxa"/>
            </w:tcMar>
            <w:hideMark/>
          </w:tcPr>
          <w:p w14:paraId="46218B05"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107(87.7)</w:t>
            </w:r>
          </w:p>
        </w:tc>
        <w:tc>
          <w:tcPr>
            <w:tcW w:w="0" w:type="auto"/>
            <w:tcMar>
              <w:top w:w="180" w:type="dxa"/>
              <w:left w:w="180" w:type="dxa"/>
              <w:bottom w:w="0" w:type="dxa"/>
              <w:right w:w="180" w:type="dxa"/>
            </w:tcMar>
            <w:hideMark/>
          </w:tcPr>
          <w:p w14:paraId="0FDF11D7"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3 (2.5)</w:t>
            </w:r>
          </w:p>
        </w:tc>
      </w:tr>
      <w:tr w:rsidR="00B8791B" w:rsidRPr="00B8791B" w14:paraId="606E8CC3" w14:textId="77777777" w:rsidTr="00B8791B">
        <w:tc>
          <w:tcPr>
            <w:tcW w:w="0" w:type="auto"/>
            <w:tcMar>
              <w:top w:w="180" w:type="dxa"/>
              <w:left w:w="180" w:type="dxa"/>
              <w:bottom w:w="0" w:type="dxa"/>
              <w:right w:w="180" w:type="dxa"/>
            </w:tcMar>
            <w:hideMark/>
          </w:tcPr>
          <w:p w14:paraId="7B834CBA"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Memorandum of understanding/agreement with nonuniversity affiliated organization</w:t>
            </w:r>
          </w:p>
        </w:tc>
        <w:tc>
          <w:tcPr>
            <w:tcW w:w="0" w:type="auto"/>
            <w:tcMar>
              <w:top w:w="180" w:type="dxa"/>
              <w:left w:w="180" w:type="dxa"/>
              <w:bottom w:w="0" w:type="dxa"/>
              <w:right w:w="180" w:type="dxa"/>
            </w:tcMar>
            <w:hideMark/>
          </w:tcPr>
          <w:p w14:paraId="77237494"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13 (10.7)</w:t>
            </w:r>
          </w:p>
        </w:tc>
        <w:tc>
          <w:tcPr>
            <w:tcW w:w="0" w:type="auto"/>
            <w:tcMar>
              <w:top w:w="180" w:type="dxa"/>
              <w:left w:w="180" w:type="dxa"/>
              <w:bottom w:w="0" w:type="dxa"/>
              <w:right w:w="180" w:type="dxa"/>
            </w:tcMar>
            <w:hideMark/>
          </w:tcPr>
          <w:p w14:paraId="263C3918"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101 (82.8)</w:t>
            </w:r>
          </w:p>
        </w:tc>
        <w:tc>
          <w:tcPr>
            <w:tcW w:w="0" w:type="auto"/>
            <w:tcMar>
              <w:top w:w="180" w:type="dxa"/>
              <w:left w:w="180" w:type="dxa"/>
              <w:bottom w:w="0" w:type="dxa"/>
              <w:right w:w="180" w:type="dxa"/>
            </w:tcMar>
            <w:hideMark/>
          </w:tcPr>
          <w:p w14:paraId="6F6713C6"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5(4.1)</w:t>
            </w:r>
          </w:p>
        </w:tc>
      </w:tr>
      <w:tr w:rsidR="00B8791B" w:rsidRPr="00B8791B" w14:paraId="7E30B22C" w14:textId="77777777" w:rsidTr="00B8791B">
        <w:tc>
          <w:tcPr>
            <w:tcW w:w="0" w:type="auto"/>
            <w:tcMar>
              <w:top w:w="180" w:type="dxa"/>
              <w:left w:w="180" w:type="dxa"/>
              <w:bottom w:w="0" w:type="dxa"/>
              <w:right w:w="180" w:type="dxa"/>
            </w:tcMar>
            <w:hideMark/>
          </w:tcPr>
          <w:p w14:paraId="0C1AFC2B"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Data collection activities somewhere other than main medical center or university campus</w:t>
            </w:r>
          </w:p>
        </w:tc>
        <w:tc>
          <w:tcPr>
            <w:tcW w:w="0" w:type="auto"/>
            <w:tcMar>
              <w:top w:w="180" w:type="dxa"/>
              <w:left w:w="180" w:type="dxa"/>
              <w:bottom w:w="0" w:type="dxa"/>
              <w:right w:w="180" w:type="dxa"/>
            </w:tcMar>
            <w:hideMark/>
          </w:tcPr>
          <w:p w14:paraId="0248C39C"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30 (24.6)</w:t>
            </w:r>
          </w:p>
        </w:tc>
        <w:tc>
          <w:tcPr>
            <w:tcW w:w="0" w:type="auto"/>
            <w:tcMar>
              <w:top w:w="180" w:type="dxa"/>
              <w:left w:w="180" w:type="dxa"/>
              <w:bottom w:w="0" w:type="dxa"/>
              <w:right w:w="180" w:type="dxa"/>
            </w:tcMar>
            <w:hideMark/>
          </w:tcPr>
          <w:p w14:paraId="3C84DDD0"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90 (73.8)</w:t>
            </w:r>
          </w:p>
        </w:tc>
        <w:tc>
          <w:tcPr>
            <w:tcW w:w="0" w:type="auto"/>
            <w:tcMar>
              <w:top w:w="180" w:type="dxa"/>
              <w:left w:w="180" w:type="dxa"/>
              <w:bottom w:w="0" w:type="dxa"/>
              <w:right w:w="180" w:type="dxa"/>
            </w:tcMar>
            <w:hideMark/>
          </w:tcPr>
          <w:p w14:paraId="503E3980"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 (0.8)</w:t>
            </w:r>
          </w:p>
        </w:tc>
      </w:tr>
      <w:tr w:rsidR="00B8791B" w:rsidRPr="00B8791B" w14:paraId="237081B1" w14:textId="77777777" w:rsidTr="00B8791B">
        <w:tc>
          <w:tcPr>
            <w:tcW w:w="0" w:type="auto"/>
            <w:tcMar>
              <w:top w:w="180" w:type="dxa"/>
              <w:left w:w="180" w:type="dxa"/>
              <w:bottom w:w="0" w:type="dxa"/>
              <w:right w:w="180" w:type="dxa"/>
            </w:tcMar>
            <w:hideMark/>
          </w:tcPr>
          <w:p w14:paraId="2D30378C"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Special events or recognition for study participants</w:t>
            </w:r>
          </w:p>
        </w:tc>
        <w:tc>
          <w:tcPr>
            <w:tcW w:w="0" w:type="auto"/>
            <w:tcMar>
              <w:top w:w="180" w:type="dxa"/>
              <w:left w:w="180" w:type="dxa"/>
              <w:bottom w:w="0" w:type="dxa"/>
              <w:right w:w="180" w:type="dxa"/>
            </w:tcMar>
            <w:hideMark/>
          </w:tcPr>
          <w:p w14:paraId="2DCFCF8D"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11 (9.0)</w:t>
            </w:r>
          </w:p>
        </w:tc>
        <w:tc>
          <w:tcPr>
            <w:tcW w:w="0" w:type="auto"/>
            <w:tcMar>
              <w:top w:w="180" w:type="dxa"/>
              <w:left w:w="180" w:type="dxa"/>
              <w:bottom w:w="0" w:type="dxa"/>
              <w:right w:w="180" w:type="dxa"/>
            </w:tcMar>
            <w:hideMark/>
          </w:tcPr>
          <w:p w14:paraId="185A17F6"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104(85.2)</w:t>
            </w:r>
          </w:p>
        </w:tc>
        <w:tc>
          <w:tcPr>
            <w:tcW w:w="0" w:type="auto"/>
            <w:tcMar>
              <w:top w:w="180" w:type="dxa"/>
              <w:left w:w="180" w:type="dxa"/>
              <w:bottom w:w="0" w:type="dxa"/>
              <w:right w:w="180" w:type="dxa"/>
            </w:tcMar>
            <w:hideMark/>
          </w:tcPr>
          <w:p w14:paraId="5355F3A2"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4 (3.3)</w:t>
            </w:r>
          </w:p>
        </w:tc>
      </w:tr>
      <w:tr w:rsidR="00B8791B" w:rsidRPr="00B8791B" w14:paraId="467F8046" w14:textId="77777777" w:rsidTr="00B8791B">
        <w:tc>
          <w:tcPr>
            <w:tcW w:w="0" w:type="auto"/>
            <w:tcMar>
              <w:top w:w="180" w:type="dxa"/>
              <w:left w:w="180" w:type="dxa"/>
              <w:bottom w:w="180" w:type="dxa"/>
              <w:right w:w="180" w:type="dxa"/>
            </w:tcMar>
            <w:hideMark/>
          </w:tcPr>
          <w:p w14:paraId="2E2C3619"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Study findings shared with community representatives*</w:t>
            </w:r>
          </w:p>
        </w:tc>
        <w:tc>
          <w:tcPr>
            <w:tcW w:w="0" w:type="auto"/>
            <w:tcMar>
              <w:top w:w="180" w:type="dxa"/>
              <w:left w:w="180" w:type="dxa"/>
              <w:bottom w:w="180" w:type="dxa"/>
              <w:right w:w="180" w:type="dxa"/>
            </w:tcMar>
            <w:hideMark/>
          </w:tcPr>
          <w:p w14:paraId="71242BE7"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26(21.3)</w:t>
            </w:r>
          </w:p>
        </w:tc>
        <w:tc>
          <w:tcPr>
            <w:tcW w:w="0" w:type="auto"/>
            <w:tcMar>
              <w:top w:w="180" w:type="dxa"/>
              <w:left w:w="180" w:type="dxa"/>
              <w:bottom w:w="180" w:type="dxa"/>
              <w:right w:w="180" w:type="dxa"/>
            </w:tcMar>
            <w:hideMark/>
          </w:tcPr>
          <w:p w14:paraId="13B5406C"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78 (63.9)</w:t>
            </w:r>
          </w:p>
        </w:tc>
        <w:tc>
          <w:tcPr>
            <w:tcW w:w="0" w:type="auto"/>
            <w:tcMar>
              <w:top w:w="180" w:type="dxa"/>
              <w:left w:w="180" w:type="dxa"/>
              <w:bottom w:w="180" w:type="dxa"/>
              <w:right w:w="180" w:type="dxa"/>
            </w:tcMar>
            <w:hideMark/>
          </w:tcPr>
          <w:p w14:paraId="2B751A52" w14:textId="77777777" w:rsidR="00B8791B" w:rsidRPr="00B8791B" w:rsidRDefault="00B8791B" w:rsidP="00B8791B">
            <w:pPr>
              <w:spacing w:after="225" w:line="360" w:lineRule="atLeast"/>
              <w:rPr>
                <w:rFonts w:ascii="Times New Roman" w:eastAsia="Times New Roman" w:hAnsi="Times New Roman" w:cs="Times New Roman"/>
                <w:color w:val="000000"/>
                <w:sz w:val="18"/>
                <w:szCs w:val="18"/>
                <w:lang w:eastAsia="en-GB"/>
              </w:rPr>
            </w:pPr>
            <w:r w:rsidRPr="00B8791B">
              <w:rPr>
                <w:rFonts w:ascii="Times New Roman" w:eastAsia="Times New Roman" w:hAnsi="Times New Roman" w:cs="Times New Roman"/>
                <w:color w:val="000000"/>
                <w:sz w:val="18"/>
                <w:szCs w:val="18"/>
                <w:lang w:eastAsia="en-GB"/>
              </w:rPr>
              <w:t>9 (7.4)</w:t>
            </w:r>
          </w:p>
        </w:tc>
      </w:tr>
    </w:tbl>
    <w:p w14:paraId="2468D805" w14:textId="77777777" w:rsidR="00B8791B" w:rsidRPr="00B8791B" w:rsidRDefault="00B8791B" w:rsidP="00B8791B">
      <w:pPr>
        <w:numPr>
          <w:ilvl w:val="0"/>
          <w:numId w:val="1"/>
        </w:numPr>
        <w:spacing w:before="100" w:beforeAutospacing="1" w:after="100" w:afterAutospacing="1" w:line="39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*All categories do not sum to 100% due to skip patterns or missing data.</w:t>
      </w:r>
    </w:p>
    <w:p w14:paraId="65340271" w14:textId="2ABF08B5" w:rsidR="00B8791B" w:rsidRDefault="00B8791B" w:rsidP="00B8791B">
      <w:pPr>
        <w:numPr>
          <w:ilvl w:val="0"/>
          <w:numId w:val="1"/>
        </w:numPr>
        <w:spacing w:before="100" w:beforeAutospacing="1" w:after="100" w:afterAutospacing="1" w:line="39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*Five respondents selected “not applicable—there have not been any findings to date.”</w:t>
      </w:r>
    </w:p>
    <w:p w14:paraId="7DBDDCCB" w14:textId="77777777" w:rsidR="00013179" w:rsidRPr="00B8791B" w:rsidRDefault="00013179" w:rsidP="00013179">
      <w:pPr>
        <w:spacing w:before="100" w:beforeAutospacing="1" w:after="100" w:afterAutospacing="1" w:line="390" w:lineRule="atLeast"/>
        <w:ind w:left="720"/>
        <w:rPr>
          <w:rFonts w:ascii="Times New Roman" w:eastAsia="Times New Roman" w:hAnsi="Times New Roman" w:cs="Times New Roman"/>
          <w:sz w:val="24"/>
          <w:szCs w:val="24"/>
          <w:lang w:eastAsia="en-GB"/>
        </w:rPr>
      </w:pPr>
    </w:p>
    <w:p w14:paraId="174EA5F6" w14:textId="77777777" w:rsidR="00B8791B" w:rsidRPr="00B8791B" w:rsidRDefault="00B8791B" w:rsidP="00B8791B">
      <w:pPr>
        <w:spacing w:before="180" w:after="180" w:line="240" w:lineRule="auto"/>
        <w:outlineLvl w:val="2"/>
        <w:rPr>
          <w:rFonts w:ascii="Arial" w:eastAsia="Times New Roman" w:hAnsi="Arial" w:cs="Arial"/>
          <w:color w:val="1F1F1F"/>
          <w:sz w:val="33"/>
          <w:szCs w:val="33"/>
          <w:lang w:eastAsia="en-GB"/>
        </w:rPr>
      </w:pPr>
      <w:r w:rsidRPr="00B8791B">
        <w:rPr>
          <w:rFonts w:ascii="Arial" w:eastAsia="Times New Roman" w:hAnsi="Arial" w:cs="Arial"/>
          <w:color w:val="1F1F1F"/>
          <w:sz w:val="33"/>
          <w:szCs w:val="33"/>
          <w:lang w:eastAsia="en-GB"/>
        </w:rPr>
        <w:lastRenderedPageBreak/>
        <w:t>Procedure</w:t>
      </w:r>
    </w:p>
    <w:p w14:paraId="3F4179FA"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Investigators were invited to complete a separate online survey for each of their studies in the sample. A hyperlink to the survey was distributed through e‐mail messages to each principal investigator (or co‐investigator if contact information was not available for the principal investigator). E‐mail addresses were obtained manually from the university’ s online directory. E‐mails were personalized with the investigator’ s name and the title of the study included in the sample. For investigators with multiple studies, the e‐mail invitation listed all studies and requested a separate survey be completed for each one. Respondent tracking was conducted manually by linking the study title and principal investigator's name from each survey to the original sample. Two reminder messages with another link to the survey were e‐mailed to nonrespondents after the initial invitation. All analyses were conducted using Microsoft Excel 2003.</w:t>
      </w:r>
    </w:p>
    <w:p w14:paraId="4DF13AB8" w14:textId="77777777" w:rsidR="00B8791B" w:rsidRPr="00B8791B" w:rsidRDefault="00B8791B" w:rsidP="00B8791B">
      <w:pPr>
        <w:spacing w:before="180" w:after="180" w:line="240" w:lineRule="auto"/>
        <w:outlineLvl w:val="1"/>
        <w:rPr>
          <w:rFonts w:ascii="Arial" w:eastAsia="Times New Roman" w:hAnsi="Arial" w:cs="Arial"/>
          <w:b/>
          <w:bCs/>
          <w:color w:val="00A185"/>
          <w:sz w:val="39"/>
          <w:szCs w:val="39"/>
          <w:lang w:eastAsia="en-GB"/>
        </w:rPr>
      </w:pPr>
      <w:r w:rsidRPr="00B8791B">
        <w:rPr>
          <w:rFonts w:ascii="Arial" w:eastAsia="Times New Roman" w:hAnsi="Arial" w:cs="Arial"/>
          <w:b/>
          <w:bCs/>
          <w:color w:val="00A185"/>
          <w:sz w:val="39"/>
          <w:szCs w:val="39"/>
          <w:lang w:eastAsia="en-GB"/>
        </w:rPr>
        <w:t>Results</w:t>
      </w:r>
    </w:p>
    <w:p w14:paraId="3A6688F3" w14:textId="77777777" w:rsidR="00B8791B" w:rsidRPr="00B8791B" w:rsidRDefault="00B8791B" w:rsidP="00B8791B">
      <w:pPr>
        <w:spacing w:before="180" w:after="180" w:line="240" w:lineRule="auto"/>
        <w:outlineLvl w:val="2"/>
        <w:rPr>
          <w:rFonts w:ascii="Arial" w:eastAsia="Times New Roman" w:hAnsi="Arial" w:cs="Arial"/>
          <w:color w:val="1F1F1F"/>
          <w:sz w:val="33"/>
          <w:szCs w:val="33"/>
          <w:lang w:eastAsia="en-GB"/>
        </w:rPr>
      </w:pPr>
      <w:r w:rsidRPr="00B8791B">
        <w:rPr>
          <w:rFonts w:ascii="Arial" w:eastAsia="Times New Roman" w:hAnsi="Arial" w:cs="Arial"/>
          <w:color w:val="1F1F1F"/>
          <w:sz w:val="33"/>
          <w:szCs w:val="33"/>
          <w:lang w:eastAsia="en-GB"/>
        </w:rPr>
        <w:t>Respondents</w:t>
      </w:r>
    </w:p>
    <w:p w14:paraId="0AA09F88"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A total of 480 studies led by 308 unique principal investigators were contacted to participate in the study </w:t>
      </w:r>
      <w:r w:rsidRPr="00B8791B">
        <w:rPr>
          <w:rFonts w:ascii="Times New Roman" w:eastAsia="Times New Roman" w:hAnsi="Times New Roman" w:cs="Times New Roman"/>
          <w:i/>
          <w:iCs/>
          <w:sz w:val="24"/>
          <w:szCs w:val="24"/>
          <w:lang w:eastAsia="en-GB"/>
        </w:rPr>
        <w:t>(</w:t>
      </w:r>
      <w:hyperlink r:id="rId23" w:anchor="f1" w:history="1">
        <w:r w:rsidRPr="00B8791B">
          <w:rPr>
            <w:rFonts w:ascii="Times New Roman" w:eastAsia="Times New Roman" w:hAnsi="Times New Roman" w:cs="Times New Roman"/>
            <w:b/>
            <w:bCs/>
            <w:i/>
            <w:iCs/>
            <w:color w:val="005274"/>
            <w:sz w:val="24"/>
            <w:szCs w:val="24"/>
            <w:u w:val="single"/>
            <w:lang w:eastAsia="en-GB"/>
          </w:rPr>
          <w:t>Figure 1</w:t>
        </w:r>
      </w:hyperlink>
      <w:r w:rsidRPr="00B8791B">
        <w:rPr>
          <w:rFonts w:ascii="Times New Roman" w:eastAsia="Times New Roman" w:hAnsi="Times New Roman" w:cs="Times New Roman"/>
          <w:i/>
          <w:iCs/>
          <w:sz w:val="24"/>
          <w:szCs w:val="24"/>
          <w:lang w:eastAsia="en-GB"/>
        </w:rPr>
        <w:t>).</w:t>
      </w:r>
      <w:r w:rsidRPr="00B8791B">
        <w:rPr>
          <w:rFonts w:ascii="Times New Roman" w:eastAsia="Times New Roman" w:hAnsi="Times New Roman" w:cs="Times New Roman"/>
          <w:sz w:val="24"/>
          <w:szCs w:val="24"/>
          <w:lang w:eastAsia="en-GB"/>
        </w:rPr>
        <w:t> Responses were received for 40.4% (194/480) of the studies, including submitted surveys and responses e‐mailed directly to research staff. These responses represented about half (50.6%, 156/308) of the unique principal investigators.</w:t>
      </w:r>
    </w:p>
    <w:p w14:paraId="4F14E24C"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The final number of complete, eligible survey responses was 122 (</w:t>
      </w:r>
      <w:hyperlink r:id="rId24" w:anchor="f1" w:history="1">
        <w:r w:rsidRPr="00B8791B">
          <w:rPr>
            <w:rFonts w:ascii="Times New Roman" w:eastAsia="Times New Roman" w:hAnsi="Times New Roman" w:cs="Times New Roman"/>
            <w:b/>
            <w:bCs/>
            <w:i/>
            <w:iCs/>
            <w:color w:val="005274"/>
            <w:sz w:val="24"/>
            <w:szCs w:val="24"/>
            <w:u w:val="single"/>
            <w:lang w:eastAsia="en-GB"/>
          </w:rPr>
          <w:t>Figure 1</w:t>
        </w:r>
      </w:hyperlink>
      <w:r w:rsidRPr="00B8791B">
        <w:rPr>
          <w:rFonts w:ascii="Times New Roman" w:eastAsia="Times New Roman" w:hAnsi="Times New Roman" w:cs="Times New Roman"/>
          <w:sz w:val="24"/>
          <w:szCs w:val="24"/>
          <w:lang w:eastAsia="en-GB"/>
        </w:rPr>
        <w:t>). Almost all (95.9%) surveys were completed by the principal investigator. A large proportion of studies (48.4%) were described as basic or preclinical research. Fewer were classified as clinical or clinical trials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9), survey research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9), intervention research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9), or cohort studies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7). The remaining studies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25) were described using less frequent terms provided in the survey (e.g., dissemination research, case control study) or in response to the open‐ended “other” option (e.g., multidisciplinary research, observational study).</w:t>
      </w:r>
    </w:p>
    <w:p w14:paraId="6F3A58CB" w14:textId="77777777" w:rsidR="00B8791B" w:rsidRPr="00B8791B" w:rsidRDefault="00B8791B" w:rsidP="00B8791B">
      <w:pPr>
        <w:spacing w:before="180" w:after="180" w:line="240" w:lineRule="auto"/>
        <w:outlineLvl w:val="2"/>
        <w:rPr>
          <w:rFonts w:ascii="Arial" w:eastAsia="Times New Roman" w:hAnsi="Arial" w:cs="Arial"/>
          <w:color w:val="1F1F1F"/>
          <w:sz w:val="33"/>
          <w:szCs w:val="33"/>
          <w:lang w:eastAsia="en-GB"/>
        </w:rPr>
      </w:pPr>
      <w:r w:rsidRPr="00B8791B">
        <w:rPr>
          <w:rFonts w:ascii="Arial" w:eastAsia="Times New Roman" w:hAnsi="Arial" w:cs="Arial"/>
          <w:color w:val="1F1F1F"/>
          <w:sz w:val="33"/>
          <w:szCs w:val="33"/>
          <w:lang w:eastAsia="en-GB"/>
        </w:rPr>
        <w:t>Community engagement activities</w:t>
      </w:r>
    </w:p>
    <w:p w14:paraId="2C6D661F"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Overall, 42.6% (52/122) of studies reported any community engagement. Of these, 17.2% (21/122) reported Level 1 community engagement activities and 39.3% (48/122) reported Level 2 activities (</w:t>
      </w:r>
      <w:hyperlink r:id="rId25" w:anchor="t1" w:history="1">
        <w:r w:rsidRPr="00B8791B">
          <w:rPr>
            <w:rFonts w:ascii="Times New Roman" w:eastAsia="Times New Roman" w:hAnsi="Times New Roman" w:cs="Times New Roman"/>
            <w:b/>
            <w:bCs/>
            <w:i/>
            <w:iCs/>
            <w:color w:val="005274"/>
            <w:sz w:val="24"/>
            <w:szCs w:val="24"/>
            <w:u w:val="single"/>
            <w:lang w:eastAsia="en-GB"/>
          </w:rPr>
          <w:t>Table 1</w:t>
        </w:r>
      </w:hyperlink>
      <w:r w:rsidRPr="00B8791B">
        <w:rPr>
          <w:rFonts w:ascii="Times New Roman" w:eastAsia="Times New Roman" w:hAnsi="Times New Roman" w:cs="Times New Roman"/>
          <w:sz w:val="24"/>
          <w:szCs w:val="24"/>
          <w:lang w:eastAsia="en-GB"/>
        </w:rPr>
        <w:t>). For Level 1,13 studies had an advisory board, group, or committee of community representatives for the study. Of the studies without a community board, an additional eight reported obtaining input from community representatives at some time during the study. The most commonly reported Level 2 activities were collecting data in a location other than the main university center or campus (24.8%), and sharing study findings with community representatives (23.0%).</w:t>
      </w:r>
    </w:p>
    <w:p w14:paraId="7BF38F32"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lastRenderedPageBreak/>
        <w:t>Of the studies with Level 1 engagement, the most common research step in which community representatives were involved was “recruiting and retaining study participants”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10) and the least common was “translating findings into practice or policy” (</w:t>
      </w:r>
      <w:r w:rsidRPr="00B8791B">
        <w:rPr>
          <w:rFonts w:ascii="Times New Roman" w:eastAsia="Times New Roman" w:hAnsi="Times New Roman" w:cs="Times New Roman"/>
          <w:i/>
          <w:iCs/>
          <w:sz w:val="24"/>
          <w:szCs w:val="24"/>
          <w:lang w:eastAsia="en-GB"/>
        </w:rPr>
        <w:t>n</w:t>
      </w:r>
      <w:r w:rsidRPr="00B8791B">
        <w:rPr>
          <w:rFonts w:ascii="Times New Roman" w:eastAsia="Times New Roman" w:hAnsi="Times New Roman" w:cs="Times New Roman"/>
          <w:sz w:val="24"/>
          <w:szCs w:val="24"/>
          <w:lang w:eastAsia="en-GB"/>
        </w:rPr>
        <w:t>= 1) (</w:t>
      </w:r>
      <w:hyperlink r:id="rId26" w:anchor="f2" w:history="1">
        <w:r w:rsidRPr="00B8791B">
          <w:rPr>
            <w:rFonts w:ascii="Times New Roman" w:eastAsia="Times New Roman" w:hAnsi="Times New Roman" w:cs="Times New Roman"/>
            <w:b/>
            <w:bCs/>
            <w:i/>
            <w:iCs/>
            <w:color w:val="005274"/>
            <w:sz w:val="24"/>
            <w:szCs w:val="24"/>
            <w:u w:val="single"/>
            <w:lang w:eastAsia="en-GB"/>
          </w:rPr>
          <w:t>Figure 2</w:t>
        </w:r>
      </w:hyperlink>
      <w:r w:rsidRPr="00B8791B">
        <w:rPr>
          <w:rFonts w:ascii="Times New Roman" w:eastAsia="Times New Roman" w:hAnsi="Times New Roman" w:cs="Times New Roman"/>
          <w:sz w:val="24"/>
          <w:szCs w:val="24"/>
          <w:lang w:eastAsia="en-GB"/>
        </w:rPr>
        <w:t>). Eight studies provided research‐related training for community representatives, five required the online Collaborative IRB Training Initiative (CITI) course, and four provided a stipend or other form of payment for community representatives.</w:t>
      </w:r>
    </w:p>
    <w:p w14:paraId="49C96C7F" w14:textId="77777777" w:rsidR="00B8791B" w:rsidRPr="00B8791B" w:rsidRDefault="00B8791B" w:rsidP="00B8791B">
      <w:pPr>
        <w:spacing w:after="0"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noProof/>
          <w:color w:val="005274"/>
          <w:sz w:val="24"/>
          <w:szCs w:val="24"/>
          <w:lang w:eastAsia="en-GB"/>
        </w:rPr>
        <w:drawing>
          <wp:inline distT="0" distB="0" distL="0" distR="0" wp14:anchorId="597A0FCF" wp14:editId="3ABD5B68">
            <wp:extent cx="3429000" cy="1905000"/>
            <wp:effectExtent l="0" t="0" r="0" b="0"/>
            <wp:docPr id="6" name="Picture 6" descr="imag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429000" cy="1905000"/>
                    </a:xfrm>
                    <a:prstGeom prst="rect">
                      <a:avLst/>
                    </a:prstGeom>
                    <a:noFill/>
                    <a:ln>
                      <a:noFill/>
                    </a:ln>
                  </pic:spPr>
                </pic:pic>
              </a:graphicData>
            </a:graphic>
          </wp:inline>
        </w:drawing>
      </w:r>
    </w:p>
    <w:p w14:paraId="68F7D286" w14:textId="6F79FCEC" w:rsidR="00B8791B" w:rsidRPr="00B8791B" w:rsidRDefault="00B8791B" w:rsidP="00B8791B">
      <w:pPr>
        <w:spacing w:after="0"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b/>
          <w:bCs/>
          <w:color w:val="212121"/>
          <w:sz w:val="24"/>
          <w:szCs w:val="24"/>
          <w:lang w:eastAsia="en-GB"/>
        </w:rPr>
        <w:t>Figure 2</w:t>
      </w:r>
    </w:p>
    <w:p w14:paraId="0654590B" w14:textId="77777777" w:rsidR="00B8791B" w:rsidRPr="00B8791B" w:rsidRDefault="00B8791B" w:rsidP="00B8791B">
      <w:pPr>
        <w:spacing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Number of studies reporting community involvement in steps of the research process.</w:t>
      </w:r>
    </w:p>
    <w:p w14:paraId="6CE89FDC" w14:textId="77777777" w:rsidR="00B8791B" w:rsidRPr="00B8791B" w:rsidRDefault="00B8791B" w:rsidP="00B8791B">
      <w:pPr>
        <w:spacing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Studies with Level 1 engagement were significantly less likely to be described as basic or preclinical research compared to all other studies (19.0% vs. 54.5%, χ</w:t>
      </w:r>
      <w:r w:rsidRPr="00B8791B">
        <w:rPr>
          <w:rFonts w:ascii="Times New Roman" w:eastAsia="Times New Roman" w:hAnsi="Times New Roman" w:cs="Times New Roman"/>
          <w:sz w:val="18"/>
          <w:szCs w:val="18"/>
          <w:vertAlign w:val="superscript"/>
          <w:lang w:eastAsia="en-GB"/>
        </w:rPr>
        <w:t>2</w:t>
      </w:r>
      <w:r w:rsidRPr="00B8791B">
        <w:rPr>
          <w:rFonts w:ascii="Times New Roman" w:eastAsia="Times New Roman" w:hAnsi="Times New Roman" w:cs="Times New Roman"/>
          <w:sz w:val="24"/>
          <w:szCs w:val="24"/>
          <w:lang w:eastAsia="en-GB"/>
        </w:rPr>
        <w:t>= 8.728, </w:t>
      </w:r>
      <w:r w:rsidRPr="00B8791B">
        <w:rPr>
          <w:rFonts w:ascii="Times New Roman" w:eastAsia="Times New Roman" w:hAnsi="Times New Roman" w:cs="Times New Roman"/>
          <w:i/>
          <w:iCs/>
          <w:sz w:val="24"/>
          <w:szCs w:val="24"/>
          <w:lang w:eastAsia="en-GB"/>
        </w:rPr>
        <w:t>p</w:t>
      </w:r>
      <w:r w:rsidRPr="00B8791B">
        <w:rPr>
          <w:rFonts w:ascii="Times New Roman" w:eastAsia="Times New Roman" w:hAnsi="Times New Roman" w:cs="Times New Roman"/>
          <w:sz w:val="24"/>
          <w:szCs w:val="24"/>
          <w:lang w:eastAsia="en-GB"/>
        </w:rPr>
        <w:t>= 0.003). However, these studies were distributed across a range of investigators and colleges. Only three investigators had two studies with Level 1 engagement; the rest were unique investigators. There was not a dominant college or departmental affiliation for studies with Level 1 engagement; for example, affiliations included the College of Public Health, Human Development and Family Science, Nursing, School of Communication, Neuroscience, Obstetrics and Gynecology, Ophthalmology, and Psychiatry, among others.</w:t>
      </w:r>
    </w:p>
    <w:p w14:paraId="3349A2D9" w14:textId="77777777" w:rsidR="00B8791B" w:rsidRPr="00B8791B" w:rsidRDefault="00B8791B" w:rsidP="00B8791B">
      <w:pPr>
        <w:spacing w:before="180" w:after="180" w:line="240" w:lineRule="auto"/>
        <w:outlineLvl w:val="1"/>
        <w:rPr>
          <w:rFonts w:ascii="Arial" w:eastAsia="Times New Roman" w:hAnsi="Arial" w:cs="Arial"/>
          <w:b/>
          <w:bCs/>
          <w:color w:val="00A185"/>
          <w:sz w:val="39"/>
          <w:szCs w:val="39"/>
          <w:lang w:eastAsia="en-GB"/>
        </w:rPr>
      </w:pPr>
      <w:r w:rsidRPr="00B8791B">
        <w:rPr>
          <w:rFonts w:ascii="Arial" w:eastAsia="Times New Roman" w:hAnsi="Arial" w:cs="Arial"/>
          <w:b/>
          <w:bCs/>
          <w:color w:val="00A185"/>
          <w:sz w:val="39"/>
          <w:szCs w:val="39"/>
          <w:lang w:eastAsia="en-GB"/>
        </w:rPr>
        <w:t>Discussion</w:t>
      </w:r>
    </w:p>
    <w:p w14:paraId="2AF93646"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Overall, less than half of NIH‐funded studies reported any type of community engagement activities. Fewer than one‐fifth reported Level 1 community engagement activities, defined as having a community advisory group or obtaining input from community representatives at some point during the study (not including focus groups). Of those, few involved community representatives in multiple steps of the research process.</w:t>
      </w:r>
    </w:p>
    <w:p w14:paraId="35A3F44C"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 xml:space="preserve">Level 2 engagement activities that did not necessarily involve community representatives directly in the research process were also relatively uncommon in this study. Data were collected somewhere other than the main university campus in about one‐fourth of all studies; however, data were collected at another university as opposed to a community‐based setting in about half of those. Findings were shared with community representatives in only about </w:t>
      </w:r>
      <w:r w:rsidRPr="00B8791B">
        <w:rPr>
          <w:rFonts w:ascii="Times New Roman" w:eastAsia="Times New Roman" w:hAnsi="Times New Roman" w:cs="Times New Roman"/>
          <w:sz w:val="24"/>
          <w:szCs w:val="24"/>
          <w:lang w:eastAsia="en-GB"/>
        </w:rPr>
        <w:lastRenderedPageBreak/>
        <w:t>one‐fifth of studies. Sharing study findings with communities involves a minimum level of community engagement and should be relevant to most health‐related studies.</w:t>
      </w:r>
    </w:p>
    <w:p w14:paraId="6DDFCB6B"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A recent study found that a majority of studies funded by the National Heart, Lung, and Blood Institute in 2006 addressed earlier phases of the translational continuum.</w:t>
      </w:r>
      <w:hyperlink r:id="rId29" w:anchor="b14" w:history="1">
        <w:r w:rsidRPr="00B8791B">
          <w:rPr>
            <w:rFonts w:ascii="Times New Roman" w:eastAsia="Times New Roman" w:hAnsi="Times New Roman" w:cs="Times New Roman"/>
            <w:color w:val="000000"/>
            <w:sz w:val="18"/>
            <w:szCs w:val="18"/>
            <w:u w:val="single"/>
            <w:vertAlign w:val="superscript"/>
            <w:lang w:eastAsia="en-GB"/>
          </w:rPr>
          <w:t>14</w:t>
        </w:r>
      </w:hyperlink>
      <w:r w:rsidRPr="00B8791B">
        <w:rPr>
          <w:rFonts w:ascii="Times New Roman" w:eastAsia="Times New Roman" w:hAnsi="Times New Roman" w:cs="Times New Roman"/>
          <w:sz w:val="24"/>
          <w:szCs w:val="24"/>
          <w:lang w:eastAsia="en-GB"/>
        </w:rPr>
        <w:t> It is possible that community engagement activities listed in the survey were not appropriate for basic research studies or those in early phases of the translational continuum. In the current study, fewer than 20% of studies with Level 1 engagement were described as basic research, compared to more than half of other studies.</w:t>
      </w:r>
    </w:p>
    <w:p w14:paraId="3D8BB079"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However, in its recent best practices document,</w:t>
      </w:r>
      <w:hyperlink r:id="rId30" w:anchor="b12" w:history="1">
        <w:r w:rsidRPr="00B8791B">
          <w:rPr>
            <w:rFonts w:ascii="Times New Roman" w:eastAsia="Times New Roman" w:hAnsi="Times New Roman" w:cs="Times New Roman"/>
            <w:color w:val="000000"/>
            <w:sz w:val="18"/>
            <w:szCs w:val="18"/>
            <w:u w:val="single"/>
            <w:vertAlign w:val="superscript"/>
            <w:lang w:eastAsia="en-GB"/>
          </w:rPr>
          <w:t>12</w:t>
        </w:r>
      </w:hyperlink>
      <w:r w:rsidRPr="00B8791B">
        <w:rPr>
          <w:rFonts w:ascii="Times New Roman" w:eastAsia="Times New Roman" w:hAnsi="Times New Roman" w:cs="Times New Roman"/>
          <w:sz w:val="24"/>
          <w:szCs w:val="24"/>
          <w:lang w:eastAsia="en-GB"/>
        </w:rPr>
        <w:t> NIH adhered to a fairly traditional definition of community engagement, describing the need for “strong collaborative partnerships, based on mutual understanding and trust, between communities and local academic institutions” (p. 4). This document did not differentiate types of community engagement that may be more or less appropriate for different types of research. A broader definition of community‐engaged scholarship that includes community‐oriented teaching (e.g., service‐learning) and service (e.g., outreach, advocacy) in addition to community‐based research</w:t>
      </w:r>
      <w:hyperlink r:id="rId31" w:anchor="b15" w:history="1">
        <w:r w:rsidRPr="00B8791B">
          <w:rPr>
            <w:rFonts w:ascii="Times New Roman" w:eastAsia="Times New Roman" w:hAnsi="Times New Roman" w:cs="Times New Roman"/>
            <w:color w:val="000000"/>
            <w:sz w:val="18"/>
            <w:szCs w:val="18"/>
            <w:u w:val="single"/>
            <w:vertAlign w:val="superscript"/>
            <w:lang w:eastAsia="en-GB"/>
          </w:rPr>
          <w:t>15</w:t>
        </w:r>
      </w:hyperlink>
      <w:r w:rsidRPr="00B8791B">
        <w:rPr>
          <w:rFonts w:ascii="Times New Roman" w:eastAsia="Times New Roman" w:hAnsi="Times New Roman" w:cs="Times New Roman"/>
          <w:sz w:val="24"/>
          <w:szCs w:val="24"/>
          <w:lang w:eastAsia="en-GB"/>
        </w:rPr>
        <w:t> maybe necessary for achieving some level of community engagement in a wider range of NIH‐funded studies.</w:t>
      </w:r>
    </w:p>
    <w:p w14:paraId="32FDDB50"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Strengths of this study included a response rate from principal investigators that was over 50% and a focus on NIH‐funded research, which makes the findings maximally applicable for CTSA community engagement programs. The survey also provides baseline data about the prevalence of community engagement in NIH‐funded research that may contribute to the evaluation of the CTSA.</w:t>
      </w:r>
    </w:p>
    <w:p w14:paraId="4FD35F3B"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This study had several limitations. First, inclusion criteria involved only studies completed by December 31, 2008. Because NIH funding for CBPR has increased in recent years, some current studies with strong community engagement were likely excluded. Second, the survey did not include all possible definitions of “community engagement in research.” It focused on relatively traditional definitions of community participation based on CBPR principles and strategies</w:t>
      </w:r>
      <w:hyperlink r:id="rId32" w:anchor="b9" w:history="1">
        <w:r w:rsidRPr="00B8791B">
          <w:rPr>
            <w:rFonts w:ascii="Times New Roman" w:eastAsia="Times New Roman" w:hAnsi="Times New Roman" w:cs="Times New Roman"/>
            <w:color w:val="000000"/>
            <w:sz w:val="18"/>
            <w:szCs w:val="18"/>
            <w:u w:val="single"/>
            <w:vertAlign w:val="superscript"/>
            <w:lang w:eastAsia="en-GB"/>
          </w:rPr>
          <w:t>9</w:t>
        </w:r>
      </w:hyperlink>
      <w:r w:rsidRPr="00B8791B">
        <w:rPr>
          <w:rFonts w:ascii="Times New Roman" w:eastAsia="Times New Roman" w:hAnsi="Times New Roman" w:cs="Times New Roman"/>
          <w:sz w:val="24"/>
          <w:szCs w:val="24"/>
          <w:lang w:eastAsia="en-GB"/>
        </w:rPr>
        <w:t> despite broad definitions of “community” and “engagement.” Other institutional‐level strategies to support community engagement were also not assessed in this study, such as community advisory boards for specific diseases (e.g., cancer, AIDS) or initiatives to make faculty tenure and promotion procedures more supportive for community‐engaged research. A final limitation was that the quality of reported community engagement activities was not assessed. The distinctions made in this article between levels of engagement were based on the types of activities in each category rather than confirmed evidence from the studies themselves.</w:t>
      </w:r>
    </w:p>
    <w:p w14:paraId="7AF94C19" w14:textId="77777777" w:rsidR="00B8791B" w:rsidRPr="00B8791B" w:rsidRDefault="00B8791B" w:rsidP="00B8791B">
      <w:pPr>
        <w:spacing w:before="180" w:after="180" w:line="240" w:lineRule="auto"/>
        <w:outlineLvl w:val="1"/>
        <w:rPr>
          <w:rFonts w:ascii="Arial" w:eastAsia="Times New Roman" w:hAnsi="Arial" w:cs="Arial"/>
          <w:b/>
          <w:bCs/>
          <w:color w:val="00A185"/>
          <w:sz w:val="39"/>
          <w:szCs w:val="39"/>
          <w:lang w:eastAsia="en-GB"/>
        </w:rPr>
      </w:pPr>
      <w:r w:rsidRPr="00B8791B">
        <w:rPr>
          <w:rFonts w:ascii="Arial" w:eastAsia="Times New Roman" w:hAnsi="Arial" w:cs="Arial"/>
          <w:b/>
          <w:bCs/>
          <w:color w:val="00A185"/>
          <w:sz w:val="39"/>
          <w:szCs w:val="39"/>
          <w:lang w:eastAsia="en-GB"/>
        </w:rPr>
        <w:t>Conclusion</w:t>
      </w:r>
    </w:p>
    <w:p w14:paraId="48E949FA"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lastRenderedPageBreak/>
        <w:t>Although much has been written about principles of community‐based participatory research</w:t>
      </w:r>
      <w:hyperlink r:id="rId33" w:anchor="b9" w:history="1">
        <w:r w:rsidRPr="00B8791B">
          <w:rPr>
            <w:rFonts w:ascii="Times New Roman" w:eastAsia="Times New Roman" w:hAnsi="Times New Roman" w:cs="Times New Roman"/>
            <w:color w:val="000000"/>
            <w:sz w:val="18"/>
            <w:szCs w:val="18"/>
            <w:u w:val="single"/>
            <w:vertAlign w:val="superscript"/>
            <w:lang w:eastAsia="en-GB"/>
          </w:rPr>
          <w:t>9</w:t>
        </w:r>
      </w:hyperlink>
      <w:r w:rsidRPr="00B8791B">
        <w:rPr>
          <w:rFonts w:ascii="Times New Roman" w:eastAsia="Times New Roman" w:hAnsi="Times New Roman" w:cs="Times New Roman"/>
          <w:sz w:val="24"/>
          <w:szCs w:val="24"/>
          <w:lang w:eastAsia="en-GB"/>
        </w:rPr>
        <w:t>’</w:t>
      </w:r>
      <w:hyperlink r:id="rId34" w:anchor="b13" w:history="1">
        <w:r w:rsidRPr="00B8791B">
          <w:rPr>
            <w:rFonts w:ascii="Times New Roman" w:eastAsia="Times New Roman" w:hAnsi="Times New Roman" w:cs="Times New Roman"/>
            <w:color w:val="000000"/>
            <w:sz w:val="18"/>
            <w:szCs w:val="18"/>
            <w:u w:val="single"/>
            <w:vertAlign w:val="superscript"/>
            <w:lang w:eastAsia="en-GB"/>
          </w:rPr>
          <w:t>13</w:t>
        </w:r>
      </w:hyperlink>
      <w:r w:rsidRPr="00B8791B">
        <w:rPr>
          <w:rFonts w:ascii="Times New Roman" w:eastAsia="Times New Roman" w:hAnsi="Times New Roman" w:cs="Times New Roman"/>
          <w:sz w:val="24"/>
          <w:szCs w:val="24"/>
          <w:lang w:eastAsia="en-GB"/>
        </w:rPr>
        <w:t>’</w:t>
      </w:r>
      <w:hyperlink r:id="rId35" w:anchor="b16" w:history="1">
        <w:r w:rsidRPr="00B8791B">
          <w:rPr>
            <w:rFonts w:ascii="Times New Roman" w:eastAsia="Times New Roman" w:hAnsi="Times New Roman" w:cs="Times New Roman"/>
            <w:color w:val="000000"/>
            <w:sz w:val="18"/>
            <w:szCs w:val="18"/>
            <w:u w:val="single"/>
            <w:vertAlign w:val="superscript"/>
            <w:lang w:eastAsia="en-GB"/>
          </w:rPr>
          <w:t>16</w:t>
        </w:r>
      </w:hyperlink>
      <w:r w:rsidRPr="00B8791B">
        <w:rPr>
          <w:rFonts w:ascii="Times New Roman" w:eastAsia="Times New Roman" w:hAnsi="Times New Roman" w:cs="Times New Roman"/>
          <w:sz w:val="24"/>
          <w:szCs w:val="24"/>
          <w:lang w:eastAsia="en-GB"/>
        </w:rPr>
        <w:t> and other scholarly community engagement activities,</w:t>
      </w:r>
      <w:hyperlink r:id="rId36" w:anchor="b15" w:history="1">
        <w:r w:rsidRPr="00B8791B">
          <w:rPr>
            <w:rFonts w:ascii="Times New Roman" w:eastAsia="Times New Roman" w:hAnsi="Times New Roman" w:cs="Times New Roman"/>
            <w:color w:val="000000"/>
            <w:sz w:val="18"/>
            <w:szCs w:val="18"/>
            <w:u w:val="single"/>
            <w:vertAlign w:val="superscript"/>
            <w:lang w:eastAsia="en-GB"/>
          </w:rPr>
          <w:t>15</w:t>
        </w:r>
      </w:hyperlink>
      <w:r w:rsidRPr="00B8791B">
        <w:rPr>
          <w:rFonts w:ascii="Times New Roman" w:eastAsia="Times New Roman" w:hAnsi="Times New Roman" w:cs="Times New Roman"/>
          <w:sz w:val="24"/>
          <w:szCs w:val="24"/>
          <w:lang w:eastAsia="en-GB"/>
        </w:rPr>
        <w:t> it is challenging to define and assess community engagement in NIH‐funded research. This study provides a baseline measurement of community engagement in NIH‐funded research at a large Midwestern university with an NIH‐funded CTSA. The prevalence of any type of community engagement in research was relatively low given that NIH has not specified community engagement as more appropriate or important for some types of research compared to others. CTSAs should consider clarifying whether community engagement programs should strive to increase the number of authentic CBPR studies, increase less intensive community engagement activities in all NIH‐funded research, or both. If increasing the number of CBPR studies is a primary goal, the proportion of funds allocated to CBPR studies may need to be increased as well. However, if some type of community outreach or engagement is desired for all NIH‐funded studies, a broader definition of community‐engaged scholarship that includes teaching and service as well as research may be required.</w:t>
      </w:r>
    </w:p>
    <w:p w14:paraId="38C7CF11" w14:textId="77777777" w:rsidR="00B8791B" w:rsidRPr="00B8791B" w:rsidRDefault="00B8791B" w:rsidP="00B8791B">
      <w:pPr>
        <w:spacing w:before="180" w:after="180" w:line="240" w:lineRule="auto"/>
        <w:outlineLvl w:val="1"/>
        <w:rPr>
          <w:rFonts w:ascii="Arial" w:eastAsia="Times New Roman" w:hAnsi="Arial" w:cs="Arial"/>
          <w:b/>
          <w:bCs/>
          <w:color w:val="00A185"/>
          <w:sz w:val="39"/>
          <w:szCs w:val="39"/>
          <w:lang w:eastAsia="en-GB"/>
        </w:rPr>
      </w:pPr>
      <w:r w:rsidRPr="00B8791B">
        <w:rPr>
          <w:rFonts w:ascii="Arial" w:eastAsia="Times New Roman" w:hAnsi="Arial" w:cs="Arial"/>
          <w:b/>
          <w:bCs/>
          <w:color w:val="00A185"/>
          <w:sz w:val="39"/>
          <w:szCs w:val="39"/>
          <w:lang w:eastAsia="en-GB"/>
        </w:rPr>
        <w:t>Acknowledgements</w:t>
      </w:r>
    </w:p>
    <w:p w14:paraId="645F9172" w14:textId="77777777" w:rsidR="00B8791B" w:rsidRPr="00B8791B" w:rsidRDefault="00B8791B" w:rsidP="00B8791B">
      <w:pPr>
        <w:spacing w:before="75" w:after="240" w:line="360" w:lineRule="atLeast"/>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The project described was supported by Award Number UL1RR025755 from the National Center for Research Resources, funded by the Office of the Director, National Institutes of Health (OD) and supported by the NIH Roadmap for Medical Research. The content is solely the responsibility of the authors and does not necessarily represent the official views of the National Center for Research Resources or the National Institutes of Health.</w:t>
      </w:r>
    </w:p>
    <w:p w14:paraId="415BAD30" w14:textId="77777777" w:rsidR="00B8791B" w:rsidRPr="00B8791B" w:rsidRDefault="00B8791B" w:rsidP="00B8791B">
      <w:pPr>
        <w:shd w:val="clear" w:color="auto" w:fill="005274"/>
        <w:spacing w:after="0" w:line="240" w:lineRule="auto"/>
        <w:outlineLvl w:val="1"/>
        <w:rPr>
          <w:rFonts w:ascii="Arial" w:eastAsia="Times New Roman" w:hAnsi="Arial" w:cs="Arial"/>
          <w:b/>
          <w:bCs/>
          <w:color w:val="00A185"/>
          <w:sz w:val="36"/>
          <w:szCs w:val="36"/>
          <w:lang w:eastAsia="en-GB"/>
        </w:rPr>
      </w:pPr>
      <w:r w:rsidRPr="00B8791B">
        <w:rPr>
          <w:rFonts w:ascii="Arial" w:eastAsia="Times New Roman" w:hAnsi="Arial" w:cs="Arial"/>
          <w:b/>
          <w:bCs/>
          <w:color w:val="00A185"/>
          <w:sz w:val="36"/>
          <w:szCs w:val="36"/>
          <w:lang w:eastAsia="en-GB"/>
        </w:rPr>
        <w:t>References</w:t>
      </w:r>
    </w:p>
    <w:p w14:paraId="750FDE0E" w14:textId="77777777" w:rsidR="00B8791B" w:rsidRPr="00B8791B" w:rsidRDefault="00B8791B" w:rsidP="00B8791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1 Westfall JM, Mold J, Fagnan L. Practice‐based research</w:t>
      </w:r>
      <w:proofErr w:type="gramStart"/>
      <w:r w:rsidRPr="00B8791B">
        <w:rPr>
          <w:rFonts w:ascii="Times New Roman" w:eastAsia="Times New Roman" w:hAnsi="Times New Roman" w:cs="Times New Roman"/>
          <w:sz w:val="24"/>
          <w:szCs w:val="24"/>
          <w:lang w:eastAsia="en-GB"/>
        </w:rPr>
        <w:t>—”blue</w:t>
      </w:r>
      <w:proofErr w:type="gramEnd"/>
      <w:r w:rsidRPr="00B8791B">
        <w:rPr>
          <w:rFonts w:ascii="Times New Roman" w:eastAsia="Times New Roman" w:hAnsi="Times New Roman" w:cs="Times New Roman"/>
          <w:sz w:val="24"/>
          <w:szCs w:val="24"/>
          <w:lang w:eastAsia="en-GB"/>
        </w:rPr>
        <w:t xml:space="preserve"> highways” on the NIH roadmap. </w:t>
      </w:r>
      <w:r w:rsidRPr="00B8791B">
        <w:rPr>
          <w:rFonts w:ascii="Times New Roman" w:eastAsia="Times New Roman" w:hAnsi="Times New Roman" w:cs="Times New Roman"/>
          <w:i/>
          <w:iCs/>
          <w:sz w:val="24"/>
          <w:szCs w:val="24"/>
          <w:lang w:eastAsia="en-GB"/>
        </w:rPr>
        <w:t>JAMA.</w:t>
      </w:r>
      <w:r w:rsidRPr="00B8791B">
        <w:rPr>
          <w:rFonts w:ascii="Times New Roman" w:eastAsia="Times New Roman" w:hAnsi="Times New Roman" w:cs="Times New Roman"/>
          <w:sz w:val="24"/>
          <w:szCs w:val="24"/>
          <w:lang w:eastAsia="en-GB"/>
        </w:rPr>
        <w:t> 2007; </w:t>
      </w:r>
      <w:r w:rsidRPr="00B8791B">
        <w:rPr>
          <w:rFonts w:ascii="Times New Roman" w:eastAsia="Times New Roman" w:hAnsi="Times New Roman" w:cs="Times New Roman"/>
          <w:b/>
          <w:bCs/>
          <w:sz w:val="24"/>
          <w:szCs w:val="24"/>
          <w:lang w:eastAsia="en-GB"/>
        </w:rPr>
        <w:t>297</w:t>
      </w:r>
      <w:r w:rsidRPr="00B8791B">
        <w:rPr>
          <w:rFonts w:ascii="Times New Roman" w:eastAsia="Times New Roman" w:hAnsi="Times New Roman" w:cs="Times New Roman"/>
          <w:sz w:val="24"/>
          <w:szCs w:val="24"/>
          <w:lang w:eastAsia="en-GB"/>
        </w:rPr>
        <w:t>(4): 403– 406.</w:t>
      </w:r>
    </w:p>
    <w:p w14:paraId="7CC6B432" w14:textId="77777777" w:rsidR="00B8791B" w:rsidRPr="00B8791B" w:rsidRDefault="000F57BA" w:rsidP="00B8791B">
      <w:pPr>
        <w:spacing w:before="100" w:beforeAutospacing="1" w:after="100" w:afterAutospacing="1" w:line="240" w:lineRule="auto"/>
        <w:ind w:left="720"/>
        <w:rPr>
          <w:rFonts w:ascii="Times New Roman" w:eastAsia="Times New Roman" w:hAnsi="Times New Roman" w:cs="Times New Roman"/>
          <w:sz w:val="24"/>
          <w:szCs w:val="24"/>
          <w:lang w:eastAsia="en-GB"/>
        </w:rPr>
      </w:pPr>
      <w:hyperlink r:id="rId37" w:history="1">
        <w:r w:rsidR="00B8791B" w:rsidRPr="00B8791B">
          <w:rPr>
            <w:rFonts w:ascii="Times New Roman" w:eastAsia="Times New Roman" w:hAnsi="Times New Roman" w:cs="Times New Roman"/>
            <w:color w:val="0000FF"/>
            <w:sz w:val="24"/>
            <w:szCs w:val="24"/>
            <w:u w:val="single"/>
            <w:lang w:eastAsia="en-GB"/>
          </w:rPr>
          <w:t>Crossref</w:t>
        </w:r>
      </w:hyperlink>
      <w:r w:rsidR="00B8791B" w:rsidRPr="00B8791B">
        <w:rPr>
          <w:rFonts w:ascii="Times New Roman" w:eastAsia="Times New Roman" w:hAnsi="Times New Roman" w:cs="Times New Roman"/>
          <w:sz w:val="24"/>
          <w:szCs w:val="24"/>
          <w:lang w:eastAsia="en-GB"/>
        </w:rPr>
        <w:t> </w:t>
      </w:r>
      <w:hyperlink r:id="rId38" w:history="1">
        <w:r w:rsidR="00B8791B" w:rsidRPr="00B8791B">
          <w:rPr>
            <w:rFonts w:ascii="Times New Roman" w:eastAsia="Times New Roman" w:hAnsi="Times New Roman" w:cs="Times New Roman"/>
            <w:color w:val="0000FF"/>
            <w:sz w:val="24"/>
            <w:szCs w:val="24"/>
            <w:u w:val="single"/>
            <w:lang w:eastAsia="en-GB"/>
          </w:rPr>
          <w:t>CAS</w:t>
        </w:r>
      </w:hyperlink>
      <w:r w:rsidR="00B8791B" w:rsidRPr="00B8791B">
        <w:rPr>
          <w:rFonts w:ascii="Times New Roman" w:eastAsia="Times New Roman" w:hAnsi="Times New Roman" w:cs="Times New Roman"/>
          <w:sz w:val="24"/>
          <w:szCs w:val="24"/>
          <w:lang w:eastAsia="en-GB"/>
        </w:rPr>
        <w:t> </w:t>
      </w:r>
      <w:hyperlink r:id="rId39"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40" w:history="1">
        <w:r w:rsidR="00B8791B" w:rsidRPr="00B8791B">
          <w:rPr>
            <w:rFonts w:ascii="Times New Roman" w:eastAsia="Times New Roman" w:hAnsi="Times New Roman" w:cs="Times New Roman"/>
            <w:color w:val="0000FF"/>
            <w:sz w:val="24"/>
            <w:szCs w:val="24"/>
            <w:u w:val="single"/>
            <w:lang w:eastAsia="en-GB"/>
          </w:rPr>
          <w:t>Web of Science®</w:t>
        </w:r>
      </w:hyperlink>
      <w:hyperlink r:id="rId41"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6DFBDEC4"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2 Seifer SD, Shore N, Holmes SL. </w:t>
      </w:r>
      <w:r w:rsidRPr="00B8791B">
        <w:rPr>
          <w:rFonts w:ascii="Times New Roman" w:eastAsia="Times New Roman" w:hAnsi="Times New Roman" w:cs="Times New Roman"/>
          <w:i/>
          <w:iCs/>
          <w:sz w:val="24"/>
          <w:szCs w:val="24"/>
          <w:lang w:eastAsia="en-GB"/>
        </w:rPr>
        <w:t>Developing and Sustaining Community‐University Partnerships for Health Research: Infrastructure Requirements</w:t>
      </w:r>
      <w:r w:rsidRPr="00B8791B">
        <w:rPr>
          <w:rFonts w:ascii="Times New Roman" w:eastAsia="Times New Roman" w:hAnsi="Times New Roman" w:cs="Times New Roman"/>
          <w:sz w:val="24"/>
          <w:szCs w:val="24"/>
          <w:lang w:eastAsia="en-GB"/>
        </w:rPr>
        <w:t xml:space="preserve">. </w:t>
      </w:r>
      <w:proofErr w:type="gramStart"/>
      <w:r w:rsidRPr="00B8791B">
        <w:rPr>
          <w:rFonts w:ascii="Times New Roman" w:eastAsia="Times New Roman" w:hAnsi="Times New Roman" w:cs="Times New Roman"/>
          <w:sz w:val="24"/>
          <w:szCs w:val="24"/>
          <w:lang w:eastAsia="en-GB"/>
        </w:rPr>
        <w:t>Seattle ,</w:t>
      </w:r>
      <w:proofErr w:type="gramEnd"/>
      <w:r w:rsidRPr="00B8791B">
        <w:rPr>
          <w:rFonts w:ascii="Times New Roman" w:eastAsia="Times New Roman" w:hAnsi="Times New Roman" w:cs="Times New Roman"/>
          <w:sz w:val="24"/>
          <w:szCs w:val="24"/>
          <w:lang w:eastAsia="en-GB"/>
        </w:rPr>
        <w:t xml:space="preserve"> WA : Community Campus Partnerships for Health; 2003.</w:t>
      </w:r>
    </w:p>
    <w:p w14:paraId="729E081A"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42"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33A9B3E0"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3 Viswanathan M, Ammerman A, Eng E, Garlehner G, Lohr KN, Griffith D, Rhodes S, Samuel‐Hodge C, Maty S, Lux L, Webb L, Sutton SF, Swinson T, Jackman A, Whitener L. Community‐based participatory research: assessing the evidence. </w:t>
      </w:r>
      <w:r w:rsidRPr="00B8791B">
        <w:rPr>
          <w:rFonts w:ascii="Times New Roman" w:eastAsia="Times New Roman" w:hAnsi="Times New Roman" w:cs="Times New Roman"/>
          <w:i/>
          <w:iCs/>
          <w:sz w:val="24"/>
          <w:szCs w:val="24"/>
          <w:lang w:eastAsia="en-GB"/>
        </w:rPr>
        <w:t>Evid Rep Technol Assess (Summ).</w:t>
      </w:r>
      <w:r w:rsidRPr="00B8791B">
        <w:rPr>
          <w:rFonts w:ascii="Times New Roman" w:eastAsia="Times New Roman" w:hAnsi="Times New Roman" w:cs="Times New Roman"/>
          <w:sz w:val="24"/>
          <w:szCs w:val="24"/>
          <w:lang w:eastAsia="en-GB"/>
        </w:rPr>
        <w:t> 2004; </w:t>
      </w:r>
      <w:r w:rsidRPr="00B8791B">
        <w:rPr>
          <w:rFonts w:ascii="Times New Roman" w:eastAsia="Times New Roman" w:hAnsi="Times New Roman" w:cs="Times New Roman"/>
          <w:b/>
          <w:bCs/>
          <w:sz w:val="24"/>
          <w:szCs w:val="24"/>
          <w:lang w:eastAsia="en-GB"/>
        </w:rPr>
        <w:t>99</w:t>
      </w:r>
      <w:r w:rsidRPr="00B8791B">
        <w:rPr>
          <w:rFonts w:ascii="Times New Roman" w:eastAsia="Times New Roman" w:hAnsi="Times New Roman" w:cs="Times New Roman"/>
          <w:sz w:val="24"/>
          <w:szCs w:val="24"/>
          <w:lang w:eastAsia="en-GB"/>
        </w:rPr>
        <w:t>: 1– 8.</w:t>
      </w:r>
    </w:p>
    <w:p w14:paraId="1066578B"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43"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44"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413927B1"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4 Education Network to Advance Cancer Clinical Trials (ENACCT), Community‐Campus Partnerships for Health (CCPH). </w:t>
      </w:r>
      <w:r w:rsidRPr="00B8791B">
        <w:rPr>
          <w:rFonts w:ascii="Times New Roman" w:eastAsia="Times New Roman" w:hAnsi="Times New Roman" w:cs="Times New Roman"/>
          <w:i/>
          <w:iCs/>
          <w:sz w:val="24"/>
          <w:szCs w:val="24"/>
          <w:lang w:eastAsia="en-GB"/>
        </w:rPr>
        <w:t>Communities as Partners in Cancer Clinical Trials: Changing Research, Practice, and Policy</w:t>
      </w:r>
      <w:r w:rsidRPr="00B8791B">
        <w:rPr>
          <w:rFonts w:ascii="Times New Roman" w:eastAsia="Times New Roman" w:hAnsi="Times New Roman" w:cs="Times New Roman"/>
          <w:sz w:val="24"/>
          <w:szCs w:val="24"/>
          <w:lang w:eastAsia="en-GB"/>
        </w:rPr>
        <w:t xml:space="preserve">. Silver </w:t>
      </w:r>
      <w:proofErr w:type="gramStart"/>
      <w:r w:rsidRPr="00B8791B">
        <w:rPr>
          <w:rFonts w:ascii="Times New Roman" w:eastAsia="Times New Roman" w:hAnsi="Times New Roman" w:cs="Times New Roman"/>
          <w:sz w:val="24"/>
          <w:szCs w:val="24"/>
          <w:lang w:eastAsia="en-GB"/>
        </w:rPr>
        <w:t>Spring ,</w:t>
      </w:r>
      <w:proofErr w:type="gramEnd"/>
      <w:r w:rsidRPr="00B8791B">
        <w:rPr>
          <w:rFonts w:ascii="Times New Roman" w:eastAsia="Times New Roman" w:hAnsi="Times New Roman" w:cs="Times New Roman"/>
          <w:sz w:val="24"/>
          <w:szCs w:val="24"/>
          <w:lang w:eastAsia="en-GB"/>
        </w:rPr>
        <w:t xml:space="preserve"> MD : Education Network to Advance Cancer Clinical Trials (ENACCT), Community‐Campus Partnerships for Health (CCPH); 2008.</w:t>
      </w:r>
    </w:p>
    <w:p w14:paraId="48B493FB"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45"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529DE67D"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5 Sung NS, Crowley WF, Genel M, Salber P, Sandy L, Sherwood LM, Johnson SB, Catanese V, Tilson H, Getz K, Larson EL, Scheinberg D, Reece EA, Slavkin H, Dobs A, Grebb J, Martinez RA, Kom A, Rimoin D. Central challenges facing the national clinical research enterprise. </w:t>
      </w:r>
      <w:r w:rsidRPr="00B8791B">
        <w:rPr>
          <w:rFonts w:ascii="Times New Roman" w:eastAsia="Times New Roman" w:hAnsi="Times New Roman" w:cs="Times New Roman"/>
          <w:i/>
          <w:iCs/>
          <w:sz w:val="24"/>
          <w:szCs w:val="24"/>
          <w:lang w:eastAsia="en-GB"/>
        </w:rPr>
        <w:t>JAMA.</w:t>
      </w:r>
      <w:r w:rsidRPr="00B8791B">
        <w:rPr>
          <w:rFonts w:ascii="Times New Roman" w:eastAsia="Times New Roman" w:hAnsi="Times New Roman" w:cs="Times New Roman"/>
          <w:sz w:val="24"/>
          <w:szCs w:val="24"/>
          <w:lang w:eastAsia="en-GB"/>
        </w:rPr>
        <w:t> 2003; </w:t>
      </w:r>
      <w:r w:rsidRPr="00B8791B">
        <w:rPr>
          <w:rFonts w:ascii="Times New Roman" w:eastAsia="Times New Roman" w:hAnsi="Times New Roman" w:cs="Times New Roman"/>
          <w:b/>
          <w:bCs/>
          <w:sz w:val="24"/>
          <w:szCs w:val="24"/>
          <w:lang w:eastAsia="en-GB"/>
        </w:rPr>
        <w:t>289</w:t>
      </w:r>
      <w:r w:rsidRPr="00B8791B">
        <w:rPr>
          <w:rFonts w:ascii="Times New Roman" w:eastAsia="Times New Roman" w:hAnsi="Times New Roman" w:cs="Times New Roman"/>
          <w:sz w:val="24"/>
          <w:szCs w:val="24"/>
          <w:lang w:eastAsia="en-GB"/>
        </w:rPr>
        <w:t>(10): 1278– 1287.</w:t>
      </w:r>
    </w:p>
    <w:p w14:paraId="0EA02F3E"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46" w:history="1">
        <w:r w:rsidR="00B8791B" w:rsidRPr="00B8791B">
          <w:rPr>
            <w:rFonts w:ascii="Times New Roman" w:eastAsia="Times New Roman" w:hAnsi="Times New Roman" w:cs="Times New Roman"/>
            <w:color w:val="0000FF"/>
            <w:sz w:val="24"/>
            <w:szCs w:val="24"/>
            <w:u w:val="single"/>
            <w:lang w:eastAsia="en-GB"/>
          </w:rPr>
          <w:t>Crossref</w:t>
        </w:r>
      </w:hyperlink>
      <w:r w:rsidR="00B8791B" w:rsidRPr="00B8791B">
        <w:rPr>
          <w:rFonts w:ascii="Times New Roman" w:eastAsia="Times New Roman" w:hAnsi="Times New Roman" w:cs="Times New Roman"/>
          <w:sz w:val="24"/>
          <w:szCs w:val="24"/>
          <w:lang w:eastAsia="en-GB"/>
        </w:rPr>
        <w:t> </w:t>
      </w:r>
      <w:hyperlink r:id="rId47"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48" w:history="1">
        <w:r w:rsidR="00B8791B" w:rsidRPr="00B8791B">
          <w:rPr>
            <w:rFonts w:ascii="Times New Roman" w:eastAsia="Times New Roman" w:hAnsi="Times New Roman" w:cs="Times New Roman"/>
            <w:color w:val="0000FF"/>
            <w:sz w:val="24"/>
            <w:szCs w:val="24"/>
            <w:u w:val="single"/>
            <w:lang w:eastAsia="en-GB"/>
          </w:rPr>
          <w:t>Web of Science®</w:t>
        </w:r>
      </w:hyperlink>
      <w:hyperlink r:id="rId49"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32410B3B"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6 Hubbard G, Kidd L, Donaghy E. Involving people affected by cancer in research: a review of literature. </w:t>
      </w:r>
      <w:r w:rsidRPr="00B8791B">
        <w:rPr>
          <w:rFonts w:ascii="Times New Roman" w:eastAsia="Times New Roman" w:hAnsi="Times New Roman" w:cs="Times New Roman"/>
          <w:i/>
          <w:iCs/>
          <w:sz w:val="24"/>
          <w:szCs w:val="24"/>
          <w:lang w:eastAsia="en-GB"/>
        </w:rPr>
        <w:t>Eur J Cancer Care.</w:t>
      </w:r>
      <w:r w:rsidRPr="00B8791B">
        <w:rPr>
          <w:rFonts w:ascii="Times New Roman" w:eastAsia="Times New Roman" w:hAnsi="Times New Roman" w:cs="Times New Roman"/>
          <w:sz w:val="24"/>
          <w:szCs w:val="24"/>
          <w:lang w:eastAsia="en-GB"/>
        </w:rPr>
        <w:t> 2008; </w:t>
      </w:r>
      <w:r w:rsidRPr="00B8791B">
        <w:rPr>
          <w:rFonts w:ascii="Times New Roman" w:eastAsia="Times New Roman" w:hAnsi="Times New Roman" w:cs="Times New Roman"/>
          <w:b/>
          <w:bCs/>
          <w:sz w:val="24"/>
          <w:szCs w:val="24"/>
          <w:lang w:eastAsia="en-GB"/>
        </w:rPr>
        <w:t>17</w:t>
      </w:r>
      <w:r w:rsidRPr="00B8791B">
        <w:rPr>
          <w:rFonts w:ascii="Times New Roman" w:eastAsia="Times New Roman" w:hAnsi="Times New Roman" w:cs="Times New Roman"/>
          <w:sz w:val="24"/>
          <w:szCs w:val="24"/>
          <w:lang w:eastAsia="en-GB"/>
        </w:rPr>
        <w:t>(3): 233– 244.</w:t>
      </w:r>
    </w:p>
    <w:p w14:paraId="0458A8A2"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50" w:history="1">
        <w:r w:rsidR="00B8791B" w:rsidRPr="00B8791B">
          <w:rPr>
            <w:rFonts w:ascii="Times New Roman" w:eastAsia="Times New Roman" w:hAnsi="Times New Roman" w:cs="Times New Roman"/>
            <w:color w:val="0000FF"/>
            <w:sz w:val="24"/>
            <w:szCs w:val="24"/>
            <w:u w:val="single"/>
            <w:lang w:eastAsia="en-GB"/>
          </w:rPr>
          <w:t>Wiley Online Library</w:t>
        </w:r>
      </w:hyperlink>
      <w:r w:rsidR="00B8791B" w:rsidRPr="00B8791B">
        <w:rPr>
          <w:rFonts w:ascii="Times New Roman" w:eastAsia="Times New Roman" w:hAnsi="Times New Roman" w:cs="Times New Roman"/>
          <w:sz w:val="24"/>
          <w:szCs w:val="24"/>
          <w:lang w:eastAsia="en-GB"/>
        </w:rPr>
        <w:t> </w:t>
      </w:r>
      <w:hyperlink r:id="rId51" w:history="1">
        <w:r w:rsidR="00B8791B" w:rsidRPr="00B8791B">
          <w:rPr>
            <w:rFonts w:ascii="Times New Roman" w:eastAsia="Times New Roman" w:hAnsi="Times New Roman" w:cs="Times New Roman"/>
            <w:color w:val="0000FF"/>
            <w:sz w:val="24"/>
            <w:szCs w:val="24"/>
            <w:u w:val="single"/>
            <w:lang w:eastAsia="en-GB"/>
          </w:rPr>
          <w:t>CAS</w:t>
        </w:r>
      </w:hyperlink>
      <w:r w:rsidR="00B8791B" w:rsidRPr="00B8791B">
        <w:rPr>
          <w:rFonts w:ascii="Times New Roman" w:eastAsia="Times New Roman" w:hAnsi="Times New Roman" w:cs="Times New Roman"/>
          <w:sz w:val="24"/>
          <w:szCs w:val="24"/>
          <w:lang w:eastAsia="en-GB"/>
        </w:rPr>
        <w:t> </w:t>
      </w:r>
      <w:hyperlink r:id="rId52"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53" w:history="1">
        <w:r w:rsidR="00B8791B" w:rsidRPr="00B8791B">
          <w:rPr>
            <w:rFonts w:ascii="Times New Roman" w:eastAsia="Times New Roman" w:hAnsi="Times New Roman" w:cs="Times New Roman"/>
            <w:color w:val="0000FF"/>
            <w:sz w:val="24"/>
            <w:szCs w:val="24"/>
            <w:u w:val="single"/>
            <w:lang w:eastAsia="en-GB"/>
          </w:rPr>
          <w:t>Web of Science®</w:t>
        </w:r>
      </w:hyperlink>
      <w:hyperlink r:id="rId54"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584A0C4B"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7 Green LW. Community‐based participatory research perspective on partnerships. In: </w:t>
      </w:r>
      <w:r w:rsidRPr="00B8791B">
        <w:rPr>
          <w:rFonts w:ascii="Times New Roman" w:eastAsia="Times New Roman" w:hAnsi="Times New Roman" w:cs="Times New Roman"/>
          <w:i/>
          <w:iCs/>
          <w:sz w:val="24"/>
          <w:szCs w:val="24"/>
          <w:lang w:eastAsia="en-GB"/>
        </w:rPr>
        <w:t>Community‐university Partnerships: Translating Evidence into Action. Proceedings of a National Symposium Jointly Sponsored by Community‐Campus Partnerships for Health and HUD's Office of University Partnerships</w:t>
      </w:r>
      <w:r w:rsidRPr="00B8791B">
        <w:rPr>
          <w:rFonts w:ascii="Times New Roman" w:eastAsia="Times New Roman" w:hAnsi="Times New Roman" w:cs="Times New Roman"/>
          <w:sz w:val="24"/>
          <w:szCs w:val="24"/>
          <w:lang w:eastAsia="en-GB"/>
        </w:rPr>
        <w:t xml:space="preserve">. San </w:t>
      </w:r>
      <w:proofErr w:type="gramStart"/>
      <w:r w:rsidRPr="00B8791B">
        <w:rPr>
          <w:rFonts w:ascii="Times New Roman" w:eastAsia="Times New Roman" w:hAnsi="Times New Roman" w:cs="Times New Roman"/>
          <w:sz w:val="24"/>
          <w:szCs w:val="24"/>
          <w:lang w:eastAsia="en-GB"/>
        </w:rPr>
        <w:t>Diego ,</w:t>
      </w:r>
      <w:proofErr w:type="gramEnd"/>
      <w:r w:rsidRPr="00B8791B">
        <w:rPr>
          <w:rFonts w:ascii="Times New Roman" w:eastAsia="Times New Roman" w:hAnsi="Times New Roman" w:cs="Times New Roman"/>
          <w:sz w:val="24"/>
          <w:szCs w:val="24"/>
          <w:lang w:eastAsia="en-GB"/>
        </w:rPr>
        <w:t xml:space="preserve"> CA ; 2003.</w:t>
      </w:r>
    </w:p>
    <w:p w14:paraId="2BC670FD"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55"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76E96848"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8 Lindenmeyer A, Heamshaw H, Sturt J, Ormerod R, Aitchison G. Assessment of the benefits of user involvement in health research from the Warwick diabetes care research user group: a qualitative case study. </w:t>
      </w:r>
      <w:r w:rsidRPr="00B8791B">
        <w:rPr>
          <w:rFonts w:ascii="Times New Roman" w:eastAsia="Times New Roman" w:hAnsi="Times New Roman" w:cs="Times New Roman"/>
          <w:i/>
          <w:iCs/>
          <w:sz w:val="24"/>
          <w:szCs w:val="24"/>
          <w:lang w:eastAsia="en-GB"/>
        </w:rPr>
        <w:t>Health Expect.</w:t>
      </w:r>
      <w:r w:rsidRPr="00B8791B">
        <w:rPr>
          <w:rFonts w:ascii="Times New Roman" w:eastAsia="Times New Roman" w:hAnsi="Times New Roman" w:cs="Times New Roman"/>
          <w:sz w:val="24"/>
          <w:szCs w:val="24"/>
          <w:lang w:eastAsia="en-GB"/>
        </w:rPr>
        <w:t> 2007; </w:t>
      </w:r>
      <w:r w:rsidRPr="00B8791B">
        <w:rPr>
          <w:rFonts w:ascii="Times New Roman" w:eastAsia="Times New Roman" w:hAnsi="Times New Roman" w:cs="Times New Roman"/>
          <w:b/>
          <w:bCs/>
          <w:sz w:val="24"/>
          <w:szCs w:val="24"/>
          <w:lang w:eastAsia="en-GB"/>
        </w:rPr>
        <w:t>10</w:t>
      </w:r>
      <w:r w:rsidRPr="00B8791B">
        <w:rPr>
          <w:rFonts w:ascii="Times New Roman" w:eastAsia="Times New Roman" w:hAnsi="Times New Roman" w:cs="Times New Roman"/>
          <w:sz w:val="24"/>
          <w:szCs w:val="24"/>
          <w:lang w:eastAsia="en-GB"/>
        </w:rPr>
        <w:t>(3): 268– 277.</w:t>
      </w:r>
    </w:p>
    <w:p w14:paraId="73529235"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56" w:history="1">
        <w:r w:rsidR="00B8791B" w:rsidRPr="00B8791B">
          <w:rPr>
            <w:rFonts w:ascii="Times New Roman" w:eastAsia="Times New Roman" w:hAnsi="Times New Roman" w:cs="Times New Roman"/>
            <w:color w:val="0000FF"/>
            <w:sz w:val="24"/>
            <w:szCs w:val="24"/>
            <w:u w:val="single"/>
            <w:lang w:eastAsia="en-GB"/>
          </w:rPr>
          <w:t>Wiley Online Library</w:t>
        </w:r>
      </w:hyperlink>
      <w:r w:rsidR="00B8791B" w:rsidRPr="00B8791B">
        <w:rPr>
          <w:rFonts w:ascii="Times New Roman" w:eastAsia="Times New Roman" w:hAnsi="Times New Roman" w:cs="Times New Roman"/>
          <w:sz w:val="24"/>
          <w:szCs w:val="24"/>
          <w:lang w:eastAsia="en-GB"/>
        </w:rPr>
        <w:t> </w:t>
      </w:r>
      <w:hyperlink r:id="rId57" w:history="1">
        <w:r w:rsidR="00B8791B" w:rsidRPr="00B8791B">
          <w:rPr>
            <w:rFonts w:ascii="Times New Roman" w:eastAsia="Times New Roman" w:hAnsi="Times New Roman" w:cs="Times New Roman"/>
            <w:color w:val="0000FF"/>
            <w:sz w:val="24"/>
            <w:szCs w:val="24"/>
            <w:u w:val="single"/>
            <w:lang w:eastAsia="en-GB"/>
          </w:rPr>
          <w:t>CAS</w:t>
        </w:r>
      </w:hyperlink>
      <w:r w:rsidR="00B8791B" w:rsidRPr="00B8791B">
        <w:rPr>
          <w:rFonts w:ascii="Times New Roman" w:eastAsia="Times New Roman" w:hAnsi="Times New Roman" w:cs="Times New Roman"/>
          <w:sz w:val="24"/>
          <w:szCs w:val="24"/>
          <w:lang w:eastAsia="en-GB"/>
        </w:rPr>
        <w:t> </w:t>
      </w:r>
      <w:hyperlink r:id="rId58"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59" w:history="1">
        <w:r w:rsidR="00B8791B" w:rsidRPr="00B8791B">
          <w:rPr>
            <w:rFonts w:ascii="Times New Roman" w:eastAsia="Times New Roman" w:hAnsi="Times New Roman" w:cs="Times New Roman"/>
            <w:color w:val="0000FF"/>
            <w:sz w:val="24"/>
            <w:szCs w:val="24"/>
            <w:u w:val="single"/>
            <w:lang w:eastAsia="en-GB"/>
          </w:rPr>
          <w:t>Web of Science®</w:t>
        </w:r>
      </w:hyperlink>
      <w:hyperlink r:id="rId60"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41BFE56D"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9 Israel BA, Eng E, Schulz AJ, Parker EA. Introduction to methods in community‐based participatory research for health. In: BA Israel, E Eng, AJ Schulz, EA Parker, eds. </w:t>
      </w:r>
      <w:r w:rsidRPr="00B8791B">
        <w:rPr>
          <w:rFonts w:ascii="Times New Roman" w:eastAsia="Times New Roman" w:hAnsi="Times New Roman" w:cs="Times New Roman"/>
          <w:i/>
          <w:iCs/>
          <w:sz w:val="24"/>
          <w:szCs w:val="24"/>
          <w:lang w:eastAsia="en-GB"/>
        </w:rPr>
        <w:t>Methods in Community‐Based Participatory Research for Health</w:t>
      </w:r>
      <w:r w:rsidRPr="00B8791B">
        <w:rPr>
          <w:rFonts w:ascii="Times New Roman" w:eastAsia="Times New Roman" w:hAnsi="Times New Roman" w:cs="Times New Roman"/>
          <w:sz w:val="24"/>
          <w:szCs w:val="24"/>
          <w:lang w:eastAsia="en-GB"/>
        </w:rPr>
        <w:t xml:space="preserve">. San </w:t>
      </w:r>
      <w:proofErr w:type="gramStart"/>
      <w:r w:rsidRPr="00B8791B">
        <w:rPr>
          <w:rFonts w:ascii="Times New Roman" w:eastAsia="Times New Roman" w:hAnsi="Times New Roman" w:cs="Times New Roman"/>
          <w:sz w:val="24"/>
          <w:szCs w:val="24"/>
          <w:lang w:eastAsia="en-GB"/>
        </w:rPr>
        <w:t>Francisco ,</w:t>
      </w:r>
      <w:proofErr w:type="gramEnd"/>
      <w:r w:rsidRPr="00B8791B">
        <w:rPr>
          <w:rFonts w:ascii="Times New Roman" w:eastAsia="Times New Roman" w:hAnsi="Times New Roman" w:cs="Times New Roman"/>
          <w:sz w:val="24"/>
          <w:szCs w:val="24"/>
          <w:lang w:eastAsia="en-GB"/>
        </w:rPr>
        <w:t xml:space="preserve"> CA : Jossey‐Bass; 2005: 2– 26.</w:t>
      </w:r>
    </w:p>
    <w:p w14:paraId="79D16F45"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61"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72A6A0C0"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10 Paskett ED, Katz ML, DeGraffinreid CR, Tatum CM. Participation in cancer trials: recruitment of underserved populations. </w:t>
      </w:r>
      <w:r w:rsidRPr="00B8791B">
        <w:rPr>
          <w:rFonts w:ascii="Times New Roman" w:eastAsia="Times New Roman" w:hAnsi="Times New Roman" w:cs="Times New Roman"/>
          <w:i/>
          <w:iCs/>
          <w:sz w:val="24"/>
          <w:szCs w:val="24"/>
          <w:lang w:eastAsia="en-GB"/>
        </w:rPr>
        <w:t>Clin Adv Hematol Oncol.</w:t>
      </w:r>
      <w:r w:rsidRPr="00B8791B">
        <w:rPr>
          <w:rFonts w:ascii="Times New Roman" w:eastAsia="Times New Roman" w:hAnsi="Times New Roman" w:cs="Times New Roman"/>
          <w:sz w:val="24"/>
          <w:szCs w:val="24"/>
          <w:lang w:eastAsia="en-GB"/>
        </w:rPr>
        <w:t> 2003; </w:t>
      </w:r>
      <w:r w:rsidRPr="00B8791B">
        <w:rPr>
          <w:rFonts w:ascii="Times New Roman" w:eastAsia="Times New Roman" w:hAnsi="Times New Roman" w:cs="Times New Roman"/>
          <w:b/>
          <w:bCs/>
          <w:sz w:val="24"/>
          <w:szCs w:val="24"/>
          <w:lang w:eastAsia="en-GB"/>
        </w:rPr>
        <w:t>1</w:t>
      </w:r>
      <w:r w:rsidRPr="00B8791B">
        <w:rPr>
          <w:rFonts w:ascii="Times New Roman" w:eastAsia="Times New Roman" w:hAnsi="Times New Roman" w:cs="Times New Roman"/>
          <w:sz w:val="24"/>
          <w:szCs w:val="24"/>
          <w:lang w:eastAsia="en-GB"/>
        </w:rPr>
        <w:t> (10): 607– 613.</w:t>
      </w:r>
    </w:p>
    <w:p w14:paraId="7D71DB29"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62"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63"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13F1A603"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11 National Center for Research Resources. </w:t>
      </w:r>
      <w:r w:rsidRPr="00B8791B">
        <w:rPr>
          <w:rFonts w:ascii="Times New Roman" w:eastAsia="Times New Roman" w:hAnsi="Times New Roman" w:cs="Times New Roman"/>
          <w:i/>
          <w:iCs/>
          <w:sz w:val="24"/>
          <w:szCs w:val="24"/>
          <w:lang w:eastAsia="en-GB"/>
        </w:rPr>
        <w:t>Clinical and Trans/ational Science Awards. Advancing Scientific Discoveries Nationwide to improve Health. Progress report 2006–2008</w:t>
      </w:r>
      <w:r w:rsidRPr="00B8791B">
        <w:rPr>
          <w:rFonts w:ascii="Times New Roman" w:eastAsia="Times New Roman" w:hAnsi="Times New Roman" w:cs="Times New Roman"/>
          <w:sz w:val="24"/>
          <w:szCs w:val="24"/>
          <w:lang w:eastAsia="en-GB"/>
        </w:rPr>
        <w:t xml:space="preserve">. </w:t>
      </w:r>
      <w:proofErr w:type="gramStart"/>
      <w:r w:rsidRPr="00B8791B">
        <w:rPr>
          <w:rFonts w:ascii="Times New Roman" w:eastAsia="Times New Roman" w:hAnsi="Times New Roman" w:cs="Times New Roman"/>
          <w:sz w:val="24"/>
          <w:szCs w:val="24"/>
          <w:lang w:eastAsia="en-GB"/>
        </w:rPr>
        <w:t>Bethesda ,</w:t>
      </w:r>
      <w:proofErr w:type="gramEnd"/>
      <w:r w:rsidRPr="00B8791B">
        <w:rPr>
          <w:rFonts w:ascii="Times New Roman" w:eastAsia="Times New Roman" w:hAnsi="Times New Roman" w:cs="Times New Roman"/>
          <w:sz w:val="24"/>
          <w:szCs w:val="24"/>
          <w:lang w:eastAsia="en-GB"/>
        </w:rPr>
        <w:t xml:space="preserve"> MD : National Institutes of Health; NIH Publication No. 09‐7404; 2009.</w:t>
      </w:r>
    </w:p>
    <w:p w14:paraId="387A8D25"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64"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508585EE"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12 The Clinical and Translational Science Award (CTSA) Consortium's Community Engagement Key Function Committee, CTSA Community Engagement Workshop Planning Committee. </w:t>
      </w:r>
      <w:r w:rsidRPr="00B8791B">
        <w:rPr>
          <w:rFonts w:ascii="Times New Roman" w:eastAsia="Times New Roman" w:hAnsi="Times New Roman" w:cs="Times New Roman"/>
          <w:i/>
          <w:iCs/>
          <w:sz w:val="24"/>
          <w:szCs w:val="24"/>
          <w:lang w:eastAsia="en-GB"/>
        </w:rPr>
        <w:t>Researchers and Their Communities: The Challenge of Meaningful Community Engagement</w:t>
      </w:r>
      <w:r w:rsidRPr="00B8791B">
        <w:rPr>
          <w:rFonts w:ascii="Times New Roman" w:eastAsia="Times New Roman" w:hAnsi="Times New Roman" w:cs="Times New Roman"/>
          <w:sz w:val="24"/>
          <w:szCs w:val="24"/>
          <w:lang w:eastAsia="en-GB"/>
        </w:rPr>
        <w:t xml:space="preserve">. </w:t>
      </w:r>
      <w:proofErr w:type="gramStart"/>
      <w:r w:rsidRPr="00B8791B">
        <w:rPr>
          <w:rFonts w:ascii="Times New Roman" w:eastAsia="Times New Roman" w:hAnsi="Times New Roman" w:cs="Times New Roman"/>
          <w:sz w:val="24"/>
          <w:szCs w:val="24"/>
          <w:lang w:eastAsia="en-GB"/>
        </w:rPr>
        <w:t>Bethesda ,</w:t>
      </w:r>
      <w:proofErr w:type="gramEnd"/>
      <w:r w:rsidRPr="00B8791B">
        <w:rPr>
          <w:rFonts w:ascii="Times New Roman" w:eastAsia="Times New Roman" w:hAnsi="Times New Roman" w:cs="Times New Roman"/>
          <w:sz w:val="24"/>
          <w:szCs w:val="24"/>
          <w:lang w:eastAsia="en-GB"/>
        </w:rPr>
        <w:t xml:space="preserve"> MD : National Center for Research Resources; 2009.</w:t>
      </w:r>
    </w:p>
    <w:p w14:paraId="2D6FCBDC"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65"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34EC8CF1"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13 Israel BA, Schulz AJ, Parker EA, Becker AB, Allen AJ III, Guzman JR. Critical issues in developing and following CBPR principles. In: M Minkler, N Wallerstein, eds. </w:t>
      </w:r>
      <w:r w:rsidRPr="00B8791B">
        <w:rPr>
          <w:rFonts w:ascii="Times New Roman" w:eastAsia="Times New Roman" w:hAnsi="Times New Roman" w:cs="Times New Roman"/>
          <w:i/>
          <w:iCs/>
          <w:sz w:val="24"/>
          <w:szCs w:val="24"/>
          <w:lang w:eastAsia="en-GB"/>
        </w:rPr>
        <w:t>Community‐Based Participatory Research for Health: From Process to Outcomes</w:t>
      </w:r>
      <w:r w:rsidRPr="00B8791B">
        <w:rPr>
          <w:rFonts w:ascii="Times New Roman" w:eastAsia="Times New Roman" w:hAnsi="Times New Roman" w:cs="Times New Roman"/>
          <w:sz w:val="24"/>
          <w:szCs w:val="24"/>
          <w:lang w:eastAsia="en-GB"/>
        </w:rPr>
        <w:t xml:space="preserve">. 2nd ed. San </w:t>
      </w:r>
      <w:proofErr w:type="gramStart"/>
      <w:r w:rsidRPr="00B8791B">
        <w:rPr>
          <w:rFonts w:ascii="Times New Roman" w:eastAsia="Times New Roman" w:hAnsi="Times New Roman" w:cs="Times New Roman"/>
          <w:sz w:val="24"/>
          <w:szCs w:val="24"/>
          <w:lang w:eastAsia="en-GB"/>
        </w:rPr>
        <w:t>Frandsco ,</w:t>
      </w:r>
      <w:proofErr w:type="gramEnd"/>
      <w:r w:rsidRPr="00B8791B">
        <w:rPr>
          <w:rFonts w:ascii="Times New Roman" w:eastAsia="Times New Roman" w:hAnsi="Times New Roman" w:cs="Times New Roman"/>
          <w:sz w:val="24"/>
          <w:szCs w:val="24"/>
          <w:lang w:eastAsia="en-GB"/>
        </w:rPr>
        <w:t xml:space="preserve"> CA : Jossey‐Bass; 2008: 47– 66.</w:t>
      </w:r>
    </w:p>
    <w:p w14:paraId="71E7C11B"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66" w:history="1">
        <w:r w:rsidR="00B8791B" w:rsidRPr="00B8791B">
          <w:rPr>
            <w:rFonts w:ascii="Times New Roman" w:eastAsia="Times New Roman" w:hAnsi="Times New Roman" w:cs="Times New Roman"/>
            <w:color w:val="0000FF"/>
            <w:sz w:val="24"/>
            <w:szCs w:val="24"/>
            <w:u w:val="single"/>
            <w:lang w:eastAsia="en-GB"/>
          </w:rPr>
          <w:t>Web of Science®</w:t>
        </w:r>
      </w:hyperlink>
      <w:hyperlink r:id="rId67"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62E8148E"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14 Kleinman MS, Mold JW. Defining the components of the research pipeline. </w:t>
      </w:r>
      <w:r w:rsidRPr="00B8791B">
        <w:rPr>
          <w:rFonts w:ascii="Times New Roman" w:eastAsia="Times New Roman" w:hAnsi="Times New Roman" w:cs="Times New Roman"/>
          <w:i/>
          <w:iCs/>
          <w:sz w:val="24"/>
          <w:szCs w:val="24"/>
          <w:lang w:eastAsia="en-GB"/>
        </w:rPr>
        <w:t>Clin Transl Sci.</w:t>
      </w:r>
      <w:r w:rsidRPr="00B8791B">
        <w:rPr>
          <w:rFonts w:ascii="Times New Roman" w:eastAsia="Times New Roman" w:hAnsi="Times New Roman" w:cs="Times New Roman"/>
          <w:sz w:val="24"/>
          <w:szCs w:val="24"/>
          <w:lang w:eastAsia="en-GB"/>
        </w:rPr>
        <w:t> 2009; </w:t>
      </w:r>
      <w:r w:rsidRPr="00B8791B">
        <w:rPr>
          <w:rFonts w:ascii="Times New Roman" w:eastAsia="Times New Roman" w:hAnsi="Times New Roman" w:cs="Times New Roman"/>
          <w:b/>
          <w:bCs/>
          <w:sz w:val="24"/>
          <w:szCs w:val="24"/>
          <w:lang w:eastAsia="en-GB"/>
        </w:rPr>
        <w:t>2</w:t>
      </w:r>
      <w:r w:rsidRPr="00B8791B">
        <w:rPr>
          <w:rFonts w:ascii="Times New Roman" w:eastAsia="Times New Roman" w:hAnsi="Times New Roman" w:cs="Times New Roman"/>
          <w:sz w:val="24"/>
          <w:szCs w:val="24"/>
          <w:lang w:eastAsia="en-GB"/>
        </w:rPr>
        <w:t>(4): 312– 314.</w:t>
      </w:r>
    </w:p>
    <w:p w14:paraId="7C696D37"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68" w:history="1">
        <w:r w:rsidR="00B8791B" w:rsidRPr="00B8791B">
          <w:rPr>
            <w:rFonts w:ascii="Times New Roman" w:eastAsia="Times New Roman" w:hAnsi="Times New Roman" w:cs="Times New Roman"/>
            <w:color w:val="0000FF"/>
            <w:sz w:val="24"/>
            <w:szCs w:val="24"/>
            <w:u w:val="single"/>
            <w:lang w:eastAsia="en-GB"/>
          </w:rPr>
          <w:t>Wiley Online Library</w:t>
        </w:r>
      </w:hyperlink>
      <w:r w:rsidR="00B8791B" w:rsidRPr="00B8791B">
        <w:rPr>
          <w:rFonts w:ascii="Times New Roman" w:eastAsia="Times New Roman" w:hAnsi="Times New Roman" w:cs="Times New Roman"/>
          <w:sz w:val="24"/>
          <w:szCs w:val="24"/>
          <w:lang w:eastAsia="en-GB"/>
        </w:rPr>
        <w:t> </w:t>
      </w:r>
      <w:hyperlink r:id="rId69"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70" w:history="1">
        <w:r w:rsidR="00B8791B" w:rsidRPr="00B8791B">
          <w:rPr>
            <w:rFonts w:ascii="Times New Roman" w:eastAsia="Times New Roman" w:hAnsi="Times New Roman" w:cs="Times New Roman"/>
            <w:color w:val="0000FF"/>
            <w:sz w:val="24"/>
            <w:szCs w:val="24"/>
            <w:u w:val="single"/>
            <w:lang w:eastAsia="en-GB"/>
          </w:rPr>
          <w:t>Web of Science®</w:t>
        </w:r>
      </w:hyperlink>
      <w:hyperlink r:id="rId71"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738FCAD1"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t>15 Calleson DC, Jordan C, Seifer SD. Community‐engaged scholarship: is faculty work in communities a true academic enterprise? </w:t>
      </w:r>
      <w:r w:rsidRPr="00B8791B">
        <w:rPr>
          <w:rFonts w:ascii="Times New Roman" w:eastAsia="Times New Roman" w:hAnsi="Times New Roman" w:cs="Times New Roman"/>
          <w:i/>
          <w:iCs/>
          <w:sz w:val="24"/>
          <w:szCs w:val="24"/>
          <w:lang w:eastAsia="en-GB"/>
        </w:rPr>
        <w:t>Acad Med.</w:t>
      </w:r>
      <w:r w:rsidRPr="00B8791B">
        <w:rPr>
          <w:rFonts w:ascii="Times New Roman" w:eastAsia="Times New Roman" w:hAnsi="Times New Roman" w:cs="Times New Roman"/>
          <w:sz w:val="24"/>
          <w:szCs w:val="24"/>
          <w:lang w:eastAsia="en-GB"/>
        </w:rPr>
        <w:t> 2005; </w:t>
      </w:r>
      <w:r w:rsidRPr="00B8791B">
        <w:rPr>
          <w:rFonts w:ascii="Times New Roman" w:eastAsia="Times New Roman" w:hAnsi="Times New Roman" w:cs="Times New Roman"/>
          <w:b/>
          <w:bCs/>
          <w:sz w:val="24"/>
          <w:szCs w:val="24"/>
          <w:lang w:eastAsia="en-GB"/>
        </w:rPr>
        <w:t>80</w:t>
      </w:r>
      <w:r w:rsidRPr="00B8791B">
        <w:rPr>
          <w:rFonts w:ascii="Times New Roman" w:eastAsia="Times New Roman" w:hAnsi="Times New Roman" w:cs="Times New Roman"/>
          <w:sz w:val="24"/>
          <w:szCs w:val="24"/>
          <w:lang w:eastAsia="en-GB"/>
        </w:rPr>
        <w:t>(4): 317– 321.</w:t>
      </w:r>
    </w:p>
    <w:p w14:paraId="6E64AD3B"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72" w:history="1">
        <w:r w:rsidR="00B8791B" w:rsidRPr="00B8791B">
          <w:rPr>
            <w:rFonts w:ascii="Times New Roman" w:eastAsia="Times New Roman" w:hAnsi="Times New Roman" w:cs="Times New Roman"/>
            <w:color w:val="0000FF"/>
            <w:sz w:val="24"/>
            <w:szCs w:val="24"/>
            <w:u w:val="single"/>
            <w:lang w:eastAsia="en-GB"/>
          </w:rPr>
          <w:t>Crossref</w:t>
        </w:r>
      </w:hyperlink>
      <w:r w:rsidR="00B8791B" w:rsidRPr="00B8791B">
        <w:rPr>
          <w:rFonts w:ascii="Times New Roman" w:eastAsia="Times New Roman" w:hAnsi="Times New Roman" w:cs="Times New Roman"/>
          <w:sz w:val="24"/>
          <w:szCs w:val="24"/>
          <w:lang w:eastAsia="en-GB"/>
        </w:rPr>
        <w:t> </w:t>
      </w:r>
      <w:hyperlink r:id="rId73" w:history="1">
        <w:r w:rsidR="00B8791B" w:rsidRPr="00B8791B">
          <w:rPr>
            <w:rFonts w:ascii="Times New Roman" w:eastAsia="Times New Roman" w:hAnsi="Times New Roman" w:cs="Times New Roman"/>
            <w:color w:val="0000FF"/>
            <w:sz w:val="24"/>
            <w:szCs w:val="24"/>
            <w:u w:val="single"/>
            <w:lang w:eastAsia="en-GB"/>
          </w:rPr>
          <w:t>PubMed</w:t>
        </w:r>
      </w:hyperlink>
      <w:r w:rsidR="00B8791B" w:rsidRPr="00B8791B">
        <w:rPr>
          <w:rFonts w:ascii="Times New Roman" w:eastAsia="Times New Roman" w:hAnsi="Times New Roman" w:cs="Times New Roman"/>
          <w:sz w:val="24"/>
          <w:szCs w:val="24"/>
          <w:lang w:eastAsia="en-GB"/>
        </w:rPr>
        <w:t> </w:t>
      </w:r>
      <w:hyperlink r:id="rId74" w:history="1">
        <w:r w:rsidR="00B8791B" w:rsidRPr="00B8791B">
          <w:rPr>
            <w:rFonts w:ascii="Times New Roman" w:eastAsia="Times New Roman" w:hAnsi="Times New Roman" w:cs="Times New Roman"/>
            <w:color w:val="0000FF"/>
            <w:sz w:val="24"/>
            <w:szCs w:val="24"/>
            <w:u w:val="single"/>
            <w:lang w:eastAsia="en-GB"/>
          </w:rPr>
          <w:t>Web of Science®</w:t>
        </w:r>
      </w:hyperlink>
      <w:hyperlink r:id="rId75"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2756B3A3" w14:textId="77777777" w:rsidR="00B8791B" w:rsidRPr="00B8791B" w:rsidRDefault="00B8791B" w:rsidP="00B8791B">
      <w:pPr>
        <w:numPr>
          <w:ilvl w:val="0"/>
          <w:numId w:val="2"/>
        </w:numPr>
        <w:pBdr>
          <w:top w:val="single" w:sz="6" w:space="11" w:color="D4D1C8"/>
        </w:pBdr>
        <w:spacing w:before="225" w:after="100" w:afterAutospacing="1" w:line="240" w:lineRule="auto"/>
        <w:rPr>
          <w:rFonts w:ascii="Times New Roman" w:eastAsia="Times New Roman" w:hAnsi="Times New Roman" w:cs="Times New Roman"/>
          <w:sz w:val="24"/>
          <w:szCs w:val="24"/>
          <w:lang w:eastAsia="en-GB"/>
        </w:rPr>
      </w:pPr>
      <w:r w:rsidRPr="00B8791B">
        <w:rPr>
          <w:rFonts w:ascii="Times New Roman" w:eastAsia="Times New Roman" w:hAnsi="Times New Roman" w:cs="Times New Roman"/>
          <w:sz w:val="24"/>
          <w:szCs w:val="24"/>
          <w:lang w:eastAsia="en-GB"/>
        </w:rPr>
        <w:lastRenderedPageBreak/>
        <w:t>16 Wallerstein N, Duran B, Minkler M, Foley K. Developing and maintaining partnerships with communities. In: BA Israel, E Eng, AJ Schulz, EA Parker eds. </w:t>
      </w:r>
      <w:r w:rsidRPr="00B8791B">
        <w:rPr>
          <w:rFonts w:ascii="Times New Roman" w:eastAsia="Times New Roman" w:hAnsi="Times New Roman" w:cs="Times New Roman"/>
          <w:i/>
          <w:iCs/>
          <w:sz w:val="24"/>
          <w:szCs w:val="24"/>
          <w:lang w:eastAsia="en-GB"/>
        </w:rPr>
        <w:t>Methods in Community‐Based Participatory Research for Health</w:t>
      </w:r>
      <w:r w:rsidRPr="00B8791B">
        <w:rPr>
          <w:rFonts w:ascii="Times New Roman" w:eastAsia="Times New Roman" w:hAnsi="Times New Roman" w:cs="Times New Roman"/>
          <w:sz w:val="24"/>
          <w:szCs w:val="24"/>
          <w:lang w:eastAsia="en-GB"/>
        </w:rPr>
        <w:t xml:space="preserve">. San </w:t>
      </w:r>
      <w:proofErr w:type="gramStart"/>
      <w:r w:rsidRPr="00B8791B">
        <w:rPr>
          <w:rFonts w:ascii="Times New Roman" w:eastAsia="Times New Roman" w:hAnsi="Times New Roman" w:cs="Times New Roman"/>
          <w:sz w:val="24"/>
          <w:szCs w:val="24"/>
          <w:lang w:eastAsia="en-GB"/>
        </w:rPr>
        <w:t>Francisco ,</w:t>
      </w:r>
      <w:proofErr w:type="gramEnd"/>
      <w:r w:rsidRPr="00B8791B">
        <w:rPr>
          <w:rFonts w:ascii="Times New Roman" w:eastAsia="Times New Roman" w:hAnsi="Times New Roman" w:cs="Times New Roman"/>
          <w:sz w:val="24"/>
          <w:szCs w:val="24"/>
          <w:lang w:eastAsia="en-GB"/>
        </w:rPr>
        <w:t xml:space="preserve"> CA : Jossey‐Bass; 2005: 31– 51.</w:t>
      </w:r>
    </w:p>
    <w:p w14:paraId="443629CA" w14:textId="77777777" w:rsidR="00B8791B" w:rsidRPr="00B8791B" w:rsidRDefault="000F57BA" w:rsidP="00B8791B">
      <w:pPr>
        <w:pBdr>
          <w:top w:val="single" w:sz="6" w:space="11" w:color="D4D1C8"/>
        </w:pBdr>
        <w:spacing w:before="225" w:after="100" w:afterAutospacing="1" w:line="240" w:lineRule="auto"/>
        <w:ind w:left="720"/>
        <w:rPr>
          <w:rFonts w:ascii="Times New Roman" w:eastAsia="Times New Roman" w:hAnsi="Times New Roman" w:cs="Times New Roman"/>
          <w:sz w:val="24"/>
          <w:szCs w:val="24"/>
          <w:lang w:eastAsia="en-GB"/>
        </w:rPr>
      </w:pPr>
      <w:hyperlink r:id="rId76" w:tgtFrame="_blank" w:history="1">
        <w:r w:rsidR="00B8791B" w:rsidRPr="00B8791B">
          <w:rPr>
            <w:rFonts w:ascii="Times New Roman" w:eastAsia="Times New Roman" w:hAnsi="Times New Roman" w:cs="Times New Roman"/>
            <w:color w:val="0000FF"/>
            <w:sz w:val="24"/>
            <w:szCs w:val="24"/>
            <w:u w:val="single"/>
            <w:lang w:eastAsia="en-GB"/>
          </w:rPr>
          <w:t>Google Scholar</w:t>
        </w:r>
      </w:hyperlink>
    </w:p>
    <w:p w14:paraId="5ED39020" w14:textId="77777777" w:rsidR="00B8791B" w:rsidRPr="00B8791B" w:rsidRDefault="00B8791B" w:rsidP="00B8791B">
      <w:pPr>
        <w:rPr>
          <w:rFonts w:ascii="Times New Roman" w:hAnsi="Times New Roman" w:cs="Times New Roman"/>
          <w:sz w:val="24"/>
          <w:szCs w:val="24"/>
        </w:rPr>
      </w:pPr>
    </w:p>
    <w:p w14:paraId="6FFFFB3F" w14:textId="4A568A96" w:rsidR="00B8791B" w:rsidRDefault="00B8791B" w:rsidP="00B8791B">
      <w:pPr>
        <w:rPr>
          <w:rFonts w:ascii="Times New Roman" w:hAnsi="Times New Roman" w:cs="Times New Roman"/>
          <w:sz w:val="36"/>
          <w:szCs w:val="36"/>
        </w:rPr>
      </w:pPr>
    </w:p>
    <w:p w14:paraId="750F6924" w14:textId="6B41834F" w:rsidR="00B8791B" w:rsidRDefault="00B8791B" w:rsidP="00B8791B">
      <w:pPr>
        <w:rPr>
          <w:rFonts w:ascii="Times New Roman" w:hAnsi="Times New Roman" w:cs="Times New Roman"/>
          <w:sz w:val="36"/>
          <w:szCs w:val="36"/>
        </w:rPr>
      </w:pPr>
    </w:p>
    <w:p w14:paraId="4B576A01" w14:textId="738A8F63" w:rsidR="00B8791B" w:rsidRDefault="00B8791B" w:rsidP="00B8791B">
      <w:pPr>
        <w:rPr>
          <w:rFonts w:ascii="Times New Roman" w:hAnsi="Times New Roman" w:cs="Times New Roman"/>
          <w:sz w:val="36"/>
          <w:szCs w:val="36"/>
        </w:rPr>
      </w:pPr>
    </w:p>
    <w:p w14:paraId="25ABBFCE" w14:textId="77777777" w:rsidR="00B8791B" w:rsidRDefault="00B8791B" w:rsidP="00B8791B">
      <w:pPr>
        <w:rPr>
          <w:rFonts w:ascii="Times New Roman" w:hAnsi="Times New Roman" w:cs="Times New Roman"/>
          <w:sz w:val="36"/>
          <w:szCs w:val="36"/>
        </w:rPr>
      </w:pPr>
    </w:p>
    <w:p w14:paraId="72E87EF2" w14:textId="77777777" w:rsidR="00B8791B" w:rsidRDefault="00B8791B" w:rsidP="00B8791B">
      <w:pPr>
        <w:rPr>
          <w:rFonts w:ascii="Times New Roman" w:hAnsi="Times New Roman" w:cs="Times New Roman"/>
          <w:sz w:val="36"/>
          <w:szCs w:val="36"/>
        </w:rPr>
      </w:pPr>
    </w:p>
    <w:p w14:paraId="360193B9" w14:textId="77777777" w:rsidR="00C34492" w:rsidRDefault="00C34492"/>
    <w:sectPr w:rsidR="00C34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35697A"/>
    <w:multiLevelType w:val="multilevel"/>
    <w:tmpl w:val="9726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A27A84"/>
    <w:multiLevelType w:val="multilevel"/>
    <w:tmpl w:val="C20E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B8C"/>
    <w:rsid w:val="00013179"/>
    <w:rsid w:val="000F57BA"/>
    <w:rsid w:val="008C3B8C"/>
    <w:rsid w:val="00B8791B"/>
    <w:rsid w:val="00C34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F4D3"/>
  <w15:chartTrackingRefBased/>
  <w15:docId w15:val="{C9712E4E-7714-49F9-9CD6-5A8923FDE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954164">
      <w:bodyDiv w:val="1"/>
      <w:marLeft w:val="0"/>
      <w:marRight w:val="0"/>
      <w:marTop w:val="0"/>
      <w:marBottom w:val="0"/>
      <w:divBdr>
        <w:top w:val="none" w:sz="0" w:space="0" w:color="auto"/>
        <w:left w:val="none" w:sz="0" w:space="0" w:color="auto"/>
        <w:bottom w:val="none" w:sz="0" w:space="0" w:color="auto"/>
        <w:right w:val="none" w:sz="0" w:space="0" w:color="auto"/>
      </w:divBdr>
      <w:divsChild>
        <w:div w:id="428041876">
          <w:marLeft w:val="0"/>
          <w:marRight w:val="0"/>
          <w:marTop w:val="0"/>
          <w:marBottom w:val="0"/>
          <w:divBdr>
            <w:top w:val="none" w:sz="0" w:space="0" w:color="auto"/>
            <w:left w:val="none" w:sz="0" w:space="0" w:color="auto"/>
            <w:bottom w:val="none" w:sz="0" w:space="0" w:color="auto"/>
            <w:right w:val="none" w:sz="0" w:space="0" w:color="auto"/>
          </w:divBdr>
          <w:divsChild>
            <w:div w:id="1690837325">
              <w:marLeft w:val="0"/>
              <w:marRight w:val="0"/>
              <w:marTop w:val="0"/>
              <w:marBottom w:val="0"/>
              <w:divBdr>
                <w:top w:val="none" w:sz="0" w:space="0" w:color="auto"/>
                <w:left w:val="none" w:sz="0" w:space="0" w:color="auto"/>
                <w:bottom w:val="none" w:sz="0" w:space="0" w:color="auto"/>
                <w:right w:val="none" w:sz="0" w:space="0" w:color="auto"/>
              </w:divBdr>
            </w:div>
          </w:divsChild>
        </w:div>
        <w:div w:id="1738891111">
          <w:marLeft w:val="0"/>
          <w:marRight w:val="0"/>
          <w:marTop w:val="0"/>
          <w:marBottom w:val="0"/>
          <w:divBdr>
            <w:top w:val="none" w:sz="0" w:space="0" w:color="auto"/>
            <w:left w:val="none" w:sz="0" w:space="0" w:color="auto"/>
            <w:bottom w:val="none" w:sz="0" w:space="0" w:color="auto"/>
            <w:right w:val="none" w:sz="0" w:space="0" w:color="auto"/>
          </w:divBdr>
          <w:divsChild>
            <w:div w:id="1691176651">
              <w:marLeft w:val="0"/>
              <w:marRight w:val="0"/>
              <w:marTop w:val="0"/>
              <w:marBottom w:val="0"/>
              <w:divBdr>
                <w:top w:val="none" w:sz="0" w:space="0" w:color="auto"/>
                <w:left w:val="none" w:sz="0" w:space="0" w:color="auto"/>
                <w:bottom w:val="none" w:sz="0" w:space="0" w:color="auto"/>
                <w:right w:val="none" w:sz="0" w:space="0" w:color="auto"/>
              </w:divBdr>
            </w:div>
          </w:divsChild>
        </w:div>
        <w:div w:id="458039205">
          <w:marLeft w:val="0"/>
          <w:marRight w:val="0"/>
          <w:marTop w:val="0"/>
          <w:marBottom w:val="420"/>
          <w:divBdr>
            <w:top w:val="none" w:sz="0" w:space="0" w:color="auto"/>
            <w:left w:val="none" w:sz="0" w:space="0" w:color="auto"/>
            <w:bottom w:val="none" w:sz="0" w:space="0" w:color="auto"/>
            <w:right w:val="none" w:sz="0" w:space="0" w:color="auto"/>
          </w:divBdr>
        </w:div>
        <w:div w:id="1093936809">
          <w:marLeft w:val="0"/>
          <w:marRight w:val="0"/>
          <w:marTop w:val="0"/>
          <w:marBottom w:val="450"/>
          <w:divBdr>
            <w:top w:val="none" w:sz="0" w:space="0" w:color="auto"/>
            <w:left w:val="none" w:sz="0" w:space="0" w:color="auto"/>
            <w:bottom w:val="none" w:sz="0" w:space="0" w:color="auto"/>
            <w:right w:val="none" w:sz="0" w:space="0" w:color="auto"/>
          </w:divBdr>
          <w:divsChild>
            <w:div w:id="944574683">
              <w:marLeft w:val="0"/>
              <w:marRight w:val="0"/>
              <w:marTop w:val="225"/>
              <w:marBottom w:val="0"/>
              <w:divBdr>
                <w:top w:val="none" w:sz="0" w:space="0" w:color="auto"/>
                <w:left w:val="none" w:sz="0" w:space="0" w:color="auto"/>
                <w:bottom w:val="none" w:sz="0" w:space="0" w:color="auto"/>
                <w:right w:val="none" w:sz="0" w:space="0" w:color="auto"/>
              </w:divBdr>
            </w:div>
            <w:div w:id="704335646">
              <w:marLeft w:val="0"/>
              <w:marRight w:val="0"/>
              <w:marTop w:val="0"/>
              <w:marBottom w:val="0"/>
              <w:divBdr>
                <w:top w:val="none" w:sz="0" w:space="0" w:color="auto"/>
                <w:left w:val="none" w:sz="0" w:space="0" w:color="auto"/>
                <w:bottom w:val="none" w:sz="0" w:space="0" w:color="auto"/>
                <w:right w:val="none" w:sz="0" w:space="0" w:color="auto"/>
              </w:divBdr>
            </w:div>
          </w:divsChild>
        </w:div>
        <w:div w:id="262688928">
          <w:marLeft w:val="0"/>
          <w:marRight w:val="0"/>
          <w:marTop w:val="0"/>
          <w:marBottom w:val="0"/>
          <w:divBdr>
            <w:top w:val="none" w:sz="0" w:space="0" w:color="auto"/>
            <w:left w:val="none" w:sz="0" w:space="0" w:color="auto"/>
            <w:bottom w:val="none" w:sz="0" w:space="0" w:color="auto"/>
            <w:right w:val="none" w:sz="0" w:space="0" w:color="auto"/>
          </w:divBdr>
          <w:divsChild>
            <w:div w:id="659383710">
              <w:marLeft w:val="0"/>
              <w:marRight w:val="0"/>
              <w:marTop w:val="0"/>
              <w:marBottom w:val="0"/>
              <w:divBdr>
                <w:top w:val="none" w:sz="0" w:space="0" w:color="auto"/>
                <w:left w:val="none" w:sz="0" w:space="0" w:color="auto"/>
                <w:bottom w:val="none" w:sz="0" w:space="0" w:color="auto"/>
                <w:right w:val="none" w:sz="0" w:space="0" w:color="auto"/>
              </w:divBdr>
            </w:div>
          </w:divsChild>
        </w:div>
        <w:div w:id="775029434">
          <w:marLeft w:val="0"/>
          <w:marRight w:val="0"/>
          <w:marTop w:val="0"/>
          <w:marBottom w:val="420"/>
          <w:divBdr>
            <w:top w:val="none" w:sz="0" w:space="0" w:color="auto"/>
            <w:left w:val="none" w:sz="0" w:space="0" w:color="auto"/>
            <w:bottom w:val="none" w:sz="0" w:space="0" w:color="auto"/>
            <w:right w:val="none" w:sz="0" w:space="0" w:color="auto"/>
          </w:divBdr>
        </w:div>
        <w:div w:id="1087729576">
          <w:marLeft w:val="0"/>
          <w:marRight w:val="0"/>
          <w:marTop w:val="0"/>
          <w:marBottom w:val="0"/>
          <w:divBdr>
            <w:top w:val="none" w:sz="0" w:space="0" w:color="auto"/>
            <w:left w:val="none" w:sz="0" w:space="0" w:color="auto"/>
            <w:bottom w:val="none" w:sz="0" w:space="0" w:color="auto"/>
            <w:right w:val="none" w:sz="0" w:space="0" w:color="auto"/>
          </w:divBdr>
        </w:div>
        <w:div w:id="289172971">
          <w:marLeft w:val="0"/>
          <w:marRight w:val="0"/>
          <w:marTop w:val="480"/>
          <w:marBottom w:val="360"/>
          <w:divBdr>
            <w:top w:val="none" w:sz="0" w:space="0" w:color="auto"/>
            <w:left w:val="none" w:sz="0" w:space="0" w:color="auto"/>
            <w:bottom w:val="none" w:sz="0" w:space="0" w:color="auto"/>
            <w:right w:val="none" w:sz="0" w:space="0" w:color="auto"/>
          </w:divBdr>
          <w:divsChild>
            <w:div w:id="982081953">
              <w:marLeft w:val="0"/>
              <w:marRight w:val="0"/>
              <w:marTop w:val="0"/>
              <w:marBottom w:val="0"/>
              <w:divBdr>
                <w:top w:val="none" w:sz="0" w:space="0" w:color="auto"/>
                <w:left w:val="none" w:sz="0" w:space="0" w:color="auto"/>
                <w:bottom w:val="none" w:sz="0" w:space="0" w:color="auto"/>
                <w:right w:val="none" w:sz="0" w:space="0" w:color="auto"/>
              </w:divBdr>
            </w:div>
            <w:div w:id="2042239368">
              <w:marLeft w:val="0"/>
              <w:marRight w:val="0"/>
              <w:marTop w:val="0"/>
              <w:marBottom w:val="0"/>
              <w:divBdr>
                <w:top w:val="single" w:sz="6" w:space="18" w:color="005274"/>
                <w:left w:val="single" w:sz="6" w:space="18" w:color="005274"/>
                <w:bottom w:val="single" w:sz="6" w:space="18" w:color="005274"/>
                <w:right w:val="single" w:sz="6" w:space="18" w:color="005274"/>
              </w:divBdr>
              <w:divsChild>
                <w:div w:id="1426997498">
                  <w:marLeft w:val="0"/>
                  <w:marRight w:val="0"/>
                  <w:marTop w:val="0"/>
                  <w:marBottom w:val="0"/>
                  <w:divBdr>
                    <w:top w:val="none" w:sz="0" w:space="0" w:color="auto"/>
                    <w:left w:val="none" w:sz="0" w:space="0" w:color="auto"/>
                    <w:bottom w:val="none" w:sz="0" w:space="0" w:color="auto"/>
                    <w:right w:val="none" w:sz="0" w:space="0" w:color="auto"/>
                  </w:divBdr>
                </w:div>
                <w:div w:id="1444182037">
                  <w:marLeft w:val="0"/>
                  <w:marRight w:val="0"/>
                  <w:marTop w:val="0"/>
                  <w:marBottom w:val="0"/>
                  <w:divBdr>
                    <w:top w:val="none" w:sz="0" w:space="0" w:color="auto"/>
                    <w:left w:val="none" w:sz="0" w:space="0" w:color="auto"/>
                    <w:bottom w:val="none" w:sz="0" w:space="0" w:color="auto"/>
                    <w:right w:val="none" w:sz="0" w:space="0" w:color="auto"/>
                  </w:divBdr>
                </w:div>
                <w:div w:id="1591817181">
                  <w:marLeft w:val="0"/>
                  <w:marRight w:val="0"/>
                  <w:marTop w:val="0"/>
                  <w:marBottom w:val="0"/>
                  <w:divBdr>
                    <w:top w:val="none" w:sz="0" w:space="0" w:color="auto"/>
                    <w:left w:val="none" w:sz="0" w:space="0" w:color="auto"/>
                    <w:bottom w:val="none" w:sz="0" w:space="0" w:color="auto"/>
                    <w:right w:val="none" w:sz="0" w:space="0" w:color="auto"/>
                  </w:divBdr>
                </w:div>
                <w:div w:id="710035571">
                  <w:marLeft w:val="0"/>
                  <w:marRight w:val="0"/>
                  <w:marTop w:val="0"/>
                  <w:marBottom w:val="0"/>
                  <w:divBdr>
                    <w:top w:val="none" w:sz="0" w:space="0" w:color="auto"/>
                    <w:left w:val="none" w:sz="0" w:space="0" w:color="auto"/>
                    <w:bottom w:val="none" w:sz="0" w:space="0" w:color="auto"/>
                    <w:right w:val="none" w:sz="0" w:space="0" w:color="auto"/>
                  </w:divBdr>
                </w:div>
                <w:div w:id="2086146298">
                  <w:marLeft w:val="0"/>
                  <w:marRight w:val="0"/>
                  <w:marTop w:val="0"/>
                  <w:marBottom w:val="0"/>
                  <w:divBdr>
                    <w:top w:val="none" w:sz="0" w:space="0" w:color="auto"/>
                    <w:left w:val="none" w:sz="0" w:space="0" w:color="auto"/>
                    <w:bottom w:val="none" w:sz="0" w:space="0" w:color="auto"/>
                    <w:right w:val="none" w:sz="0" w:space="0" w:color="auto"/>
                  </w:divBdr>
                </w:div>
                <w:div w:id="1393187858">
                  <w:marLeft w:val="0"/>
                  <w:marRight w:val="0"/>
                  <w:marTop w:val="0"/>
                  <w:marBottom w:val="0"/>
                  <w:divBdr>
                    <w:top w:val="none" w:sz="0" w:space="0" w:color="auto"/>
                    <w:left w:val="none" w:sz="0" w:space="0" w:color="auto"/>
                    <w:bottom w:val="none" w:sz="0" w:space="0" w:color="auto"/>
                    <w:right w:val="none" w:sz="0" w:space="0" w:color="auto"/>
                  </w:divBdr>
                </w:div>
                <w:div w:id="1307197663">
                  <w:marLeft w:val="0"/>
                  <w:marRight w:val="0"/>
                  <w:marTop w:val="0"/>
                  <w:marBottom w:val="0"/>
                  <w:divBdr>
                    <w:top w:val="none" w:sz="0" w:space="0" w:color="auto"/>
                    <w:left w:val="none" w:sz="0" w:space="0" w:color="auto"/>
                    <w:bottom w:val="none" w:sz="0" w:space="0" w:color="auto"/>
                    <w:right w:val="none" w:sz="0" w:space="0" w:color="auto"/>
                  </w:divBdr>
                </w:div>
                <w:div w:id="1341391711">
                  <w:marLeft w:val="0"/>
                  <w:marRight w:val="0"/>
                  <w:marTop w:val="0"/>
                  <w:marBottom w:val="0"/>
                  <w:divBdr>
                    <w:top w:val="none" w:sz="0" w:space="0" w:color="auto"/>
                    <w:left w:val="none" w:sz="0" w:space="0" w:color="auto"/>
                    <w:bottom w:val="none" w:sz="0" w:space="0" w:color="auto"/>
                    <w:right w:val="none" w:sz="0" w:space="0" w:color="auto"/>
                  </w:divBdr>
                </w:div>
                <w:div w:id="1689141021">
                  <w:marLeft w:val="0"/>
                  <w:marRight w:val="0"/>
                  <w:marTop w:val="0"/>
                  <w:marBottom w:val="0"/>
                  <w:divBdr>
                    <w:top w:val="none" w:sz="0" w:space="0" w:color="auto"/>
                    <w:left w:val="none" w:sz="0" w:space="0" w:color="auto"/>
                    <w:bottom w:val="none" w:sz="0" w:space="0" w:color="auto"/>
                    <w:right w:val="none" w:sz="0" w:space="0" w:color="auto"/>
                  </w:divBdr>
                </w:div>
                <w:div w:id="1705642267">
                  <w:marLeft w:val="0"/>
                  <w:marRight w:val="0"/>
                  <w:marTop w:val="0"/>
                  <w:marBottom w:val="0"/>
                  <w:divBdr>
                    <w:top w:val="none" w:sz="0" w:space="0" w:color="auto"/>
                    <w:left w:val="none" w:sz="0" w:space="0" w:color="auto"/>
                    <w:bottom w:val="none" w:sz="0" w:space="0" w:color="auto"/>
                    <w:right w:val="none" w:sz="0" w:space="0" w:color="auto"/>
                  </w:divBdr>
                </w:div>
                <w:div w:id="1644240365">
                  <w:marLeft w:val="0"/>
                  <w:marRight w:val="0"/>
                  <w:marTop w:val="0"/>
                  <w:marBottom w:val="0"/>
                  <w:divBdr>
                    <w:top w:val="none" w:sz="0" w:space="0" w:color="auto"/>
                    <w:left w:val="none" w:sz="0" w:space="0" w:color="auto"/>
                    <w:bottom w:val="none" w:sz="0" w:space="0" w:color="auto"/>
                    <w:right w:val="none" w:sz="0" w:space="0" w:color="auto"/>
                  </w:divBdr>
                </w:div>
                <w:div w:id="388265769">
                  <w:marLeft w:val="0"/>
                  <w:marRight w:val="0"/>
                  <w:marTop w:val="0"/>
                  <w:marBottom w:val="0"/>
                  <w:divBdr>
                    <w:top w:val="none" w:sz="0" w:space="0" w:color="auto"/>
                    <w:left w:val="none" w:sz="0" w:space="0" w:color="auto"/>
                    <w:bottom w:val="none" w:sz="0" w:space="0" w:color="auto"/>
                    <w:right w:val="none" w:sz="0" w:space="0" w:color="auto"/>
                  </w:divBdr>
                </w:div>
                <w:div w:id="130951183">
                  <w:marLeft w:val="0"/>
                  <w:marRight w:val="0"/>
                  <w:marTop w:val="0"/>
                  <w:marBottom w:val="0"/>
                  <w:divBdr>
                    <w:top w:val="none" w:sz="0" w:space="0" w:color="auto"/>
                    <w:left w:val="none" w:sz="0" w:space="0" w:color="auto"/>
                    <w:bottom w:val="none" w:sz="0" w:space="0" w:color="auto"/>
                    <w:right w:val="none" w:sz="0" w:space="0" w:color="auto"/>
                  </w:divBdr>
                </w:div>
                <w:div w:id="1526481911">
                  <w:marLeft w:val="0"/>
                  <w:marRight w:val="0"/>
                  <w:marTop w:val="0"/>
                  <w:marBottom w:val="0"/>
                  <w:divBdr>
                    <w:top w:val="none" w:sz="0" w:space="0" w:color="auto"/>
                    <w:left w:val="none" w:sz="0" w:space="0" w:color="auto"/>
                    <w:bottom w:val="none" w:sz="0" w:space="0" w:color="auto"/>
                    <w:right w:val="none" w:sz="0" w:space="0" w:color="auto"/>
                  </w:divBdr>
                </w:div>
                <w:div w:id="1970671497">
                  <w:marLeft w:val="0"/>
                  <w:marRight w:val="0"/>
                  <w:marTop w:val="0"/>
                  <w:marBottom w:val="0"/>
                  <w:divBdr>
                    <w:top w:val="none" w:sz="0" w:space="0" w:color="auto"/>
                    <w:left w:val="none" w:sz="0" w:space="0" w:color="auto"/>
                    <w:bottom w:val="none" w:sz="0" w:space="0" w:color="auto"/>
                    <w:right w:val="none" w:sz="0" w:space="0" w:color="auto"/>
                  </w:divBdr>
                </w:div>
                <w:div w:id="16169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cpt.onlinelibrary.wiley.com/doi/full/10.1111/j.1752-8062.2010.00179.x" TargetMode="External"/><Relationship Id="rId21" Type="http://schemas.openxmlformats.org/officeDocument/2006/relationships/image" Target="media/image1.gif"/><Relationship Id="rId42" Type="http://schemas.openxmlformats.org/officeDocument/2006/relationships/hyperlink" Target="http://scholar.google.com/scholar_lookup?hl=en&amp;publication_year=2003&amp;author=SD+Seifer&amp;author=N+Shore&amp;author=SL+Holmes&amp;title=Developing+and+Sustaining+Community%E2%80%90University+Partnerships+for+Health+Research%3A+Infrastructure+Requirements" TargetMode="External"/><Relationship Id="rId47" Type="http://schemas.openxmlformats.org/officeDocument/2006/relationships/hyperlink" Target="https://ascpt.onlinelibrary.wiley.com/servlet/linkout?suffix=null&amp;dbid=8&amp;doi=10.1111%2Fj.1752-8062.2010.00179.x&amp;key=12633190" TargetMode="External"/><Relationship Id="rId63" Type="http://schemas.openxmlformats.org/officeDocument/2006/relationships/hyperlink" Target="http://scholar.google.com/scholar_lookup?hl=en&amp;volume=1&amp;publication_year=2003&amp;pages=607-613&amp;journal=Clin+Adv+Hematol+Oncol.&amp;issue=10&amp;author=ED+Paskett&amp;author=ML+Katz&amp;author=CR+DeGraffinreid&amp;author=CM+Tatum&amp;title=Participation+in+cancer+trials%3A+recruitment+of+underserved+populations" TargetMode="External"/><Relationship Id="rId68" Type="http://schemas.openxmlformats.org/officeDocument/2006/relationships/hyperlink" Target="https://ascpt.onlinelibrary.wiley.com/doi/10.1111/j.1752-8062.2009.00119.x" TargetMode="External"/><Relationship Id="rId16" Type="http://schemas.openxmlformats.org/officeDocument/2006/relationships/hyperlink" Target="https://ascpt.onlinelibrary.wiley.com/doi/full/10.1111/j.1752-8062.2010.00179.x" TargetMode="External"/><Relationship Id="rId11" Type="http://schemas.openxmlformats.org/officeDocument/2006/relationships/hyperlink" Target="https://ascpt.onlinelibrary.wiley.com/doi/full/10.1111/j.1752-8062.2010.00179.x" TargetMode="External"/><Relationship Id="rId24" Type="http://schemas.openxmlformats.org/officeDocument/2006/relationships/hyperlink" Target="https://ascpt.onlinelibrary.wiley.com/doi/full/10.1111/j.1752-8062.2010.00179.x" TargetMode="External"/><Relationship Id="rId32" Type="http://schemas.openxmlformats.org/officeDocument/2006/relationships/hyperlink" Target="https://ascpt.onlinelibrary.wiley.com/doi/full/10.1111/j.1752-8062.2010.00179.x" TargetMode="External"/><Relationship Id="rId37" Type="http://schemas.openxmlformats.org/officeDocument/2006/relationships/hyperlink" Target="https://ascpt.onlinelibrary.wiley.com/servlet/linkout?suffix=null&amp;dbid=16&amp;doi=10.1111%2Fj.1752-8062.2010.00179.x&amp;key=10.1001%2Fjama.297.4.403" TargetMode="External"/><Relationship Id="rId40" Type="http://schemas.openxmlformats.org/officeDocument/2006/relationships/hyperlink" Target="https://ascpt.onlinelibrary.wiley.com/servlet/linkout?suffix=null&amp;dbid=128&amp;doi=10.1111%2Fj.1752-8062.2010.00179.x&amp;key=000243645400027" TargetMode="External"/><Relationship Id="rId45" Type="http://schemas.openxmlformats.org/officeDocument/2006/relationships/hyperlink" Target="http://scholar.google.com/scholar?hl=en&amp;q=%0A+Education+Network+to+Advance+Cancer+Clinical+Trials+%28ENACCT%29%2C+Community%E2%80%90Campus+Partnerships+for+Health+%28CCPH%29.+Communities+as+Partners+in+Cancer+Clinical+Trials%3A+Changing+Research%2C+Practice%2C+and+Policy.+%0A+Silver+Spring%0A+%2C+%0A+MD%0A+%3A+Education+Network+to+Advance+Cancer+Clinical+Trials+%28ENACCT%29%2C+Community%E2%80%90Campus+Partnerships+for+Health+%28CCPH%29%3B+2008.%0A" TargetMode="External"/><Relationship Id="rId53" Type="http://schemas.openxmlformats.org/officeDocument/2006/relationships/hyperlink" Target="https://ascpt.onlinelibrary.wiley.com/servlet/linkout?suffix=null&amp;dbid=128&amp;doi=10.1111%2Fj.1752-8062.2010.00179.x&amp;key=000255060100002" TargetMode="External"/><Relationship Id="rId58" Type="http://schemas.openxmlformats.org/officeDocument/2006/relationships/hyperlink" Target="https://ascpt.onlinelibrary.wiley.com/servlet/linkout?suffix=null&amp;dbid=8&amp;doi=10.1111%2Fj.1752-8062.2010.00179.x&amp;key=17678515" TargetMode="External"/><Relationship Id="rId66" Type="http://schemas.openxmlformats.org/officeDocument/2006/relationships/hyperlink" Target="https://ascpt.onlinelibrary.wiley.com/servlet/linkout?suffix=null&amp;dbid=128&amp;doi=10.1111%2Fj.1752-8062.2010.00179.x&amp;key=000269665800006" TargetMode="External"/><Relationship Id="rId74" Type="http://schemas.openxmlformats.org/officeDocument/2006/relationships/hyperlink" Target="https://ascpt.onlinelibrary.wiley.com/servlet/linkout?suffix=null&amp;dbid=128&amp;doi=10.1111%2Fj.1752-8062.2010.00179.x&amp;key=000227924700002" TargetMode="External"/><Relationship Id="rId5" Type="http://schemas.openxmlformats.org/officeDocument/2006/relationships/hyperlink" Target="https://ascpt.onlinelibrary.wiley.com/doi/full/10.1111/j.1752-8062.2010.00179.x" TargetMode="External"/><Relationship Id="rId61" Type="http://schemas.openxmlformats.org/officeDocument/2006/relationships/hyperlink" Target="http://scholar.google.com/scholar_lookup?hl=en&amp;publication_year=2005&amp;pages=2-26&amp;author=BA+Israel&amp;author=E+Eng&amp;author=AJ+Schulz&amp;author=EA+Parker&amp;title=Methods+in+Community%E2%80%90Based+Participatory+Research+for+Health" TargetMode="External"/><Relationship Id="rId19" Type="http://schemas.openxmlformats.org/officeDocument/2006/relationships/hyperlink" Target="https://ascpt.onlinelibrary.wiley.com/doi/full/10.1111/j.1752-8062.2010.00179.x" TargetMode="External"/><Relationship Id="rId14" Type="http://schemas.openxmlformats.org/officeDocument/2006/relationships/hyperlink" Target="https://ascpt.onlinelibrary.wiley.com/doi/full/10.1111/j.1752-8062.2010.00179.x" TargetMode="External"/><Relationship Id="rId22" Type="http://schemas.openxmlformats.org/officeDocument/2006/relationships/hyperlink" Target="https://ascpt.onlinelibrary.wiley.com/doi/full/10.1111/j.1752-8062.2010.00179.x" TargetMode="External"/><Relationship Id="rId27" Type="http://schemas.openxmlformats.org/officeDocument/2006/relationships/hyperlink" Target="https://ascpt.onlinelibrary.wiley.com/cms/asset/e422d038-eab1-4a84-bc92-4578dd22eb51/cts_179_f2.gif" TargetMode="External"/><Relationship Id="rId30" Type="http://schemas.openxmlformats.org/officeDocument/2006/relationships/hyperlink" Target="https://ascpt.onlinelibrary.wiley.com/doi/full/10.1111/j.1752-8062.2010.00179.x" TargetMode="External"/><Relationship Id="rId35" Type="http://schemas.openxmlformats.org/officeDocument/2006/relationships/hyperlink" Target="https://ascpt.onlinelibrary.wiley.com/doi/full/10.1111/j.1752-8062.2010.00179.x" TargetMode="External"/><Relationship Id="rId43" Type="http://schemas.openxmlformats.org/officeDocument/2006/relationships/hyperlink" Target="https://ascpt.onlinelibrary.wiley.com/servlet/linkout?suffix=null&amp;dbid=8&amp;doi=10.1111%2Fj.1752-8062.2010.00179.x&amp;key=15460504" TargetMode="External"/><Relationship Id="rId48" Type="http://schemas.openxmlformats.org/officeDocument/2006/relationships/hyperlink" Target="https://ascpt.onlinelibrary.wiley.com/servlet/linkout?suffix=null&amp;dbid=128&amp;doi=10.1111%2Fj.1752-8062.2010.00179.x&amp;key=000181466500030" TargetMode="External"/><Relationship Id="rId56" Type="http://schemas.openxmlformats.org/officeDocument/2006/relationships/hyperlink" Target="https://ascpt.onlinelibrary.wiley.com/doi/10.1111/j.1369-7625.2007.00451.x" TargetMode="External"/><Relationship Id="rId64" Type="http://schemas.openxmlformats.org/officeDocument/2006/relationships/hyperlink" Target="http://scholar.google.com/scholar?hl=en&amp;q=%0A+National+Center+for+Research+Resources.+Clinical+and+Trans%2Fational+Science+Awards.+Advancing+Scientific+Discoveries+Nationwide+to+improve+Health.+Progress+report+2006%E2%80%932008.+%0A+Bethesda%0A+%2C+%0A+MD%0A+%3A+National+Institutes+of+Health%3B+NIH+Publication+No.+09%E2%80%907404%3B+2009.%0A" TargetMode="External"/><Relationship Id="rId69" Type="http://schemas.openxmlformats.org/officeDocument/2006/relationships/hyperlink" Target="https://ascpt.onlinelibrary.wiley.com/servlet/linkout?suffix=null&amp;dbid=8&amp;doi=10.1111%2Fj.1752-8062.2010.00179.x&amp;key=20443910" TargetMode="External"/><Relationship Id="rId77" Type="http://schemas.openxmlformats.org/officeDocument/2006/relationships/fontTable" Target="fontTable.xml"/><Relationship Id="rId8" Type="http://schemas.openxmlformats.org/officeDocument/2006/relationships/hyperlink" Target="https://ascpt.onlinelibrary.wiley.com/doi/full/10.1111/j.1752-8062.2010.00179.x" TargetMode="External"/><Relationship Id="rId51" Type="http://schemas.openxmlformats.org/officeDocument/2006/relationships/hyperlink" Target="https://ascpt.onlinelibrary.wiley.com/servlet/linkout?suffix=null&amp;dbid=32&amp;doi=10.1111%2Fj.1752-8062.2010.00179.x&amp;key=1%3ASTN%3A280%3ADC%252BD1c3lvFGjsw%253D%253D" TargetMode="External"/><Relationship Id="rId72" Type="http://schemas.openxmlformats.org/officeDocument/2006/relationships/hyperlink" Target="https://ascpt.onlinelibrary.wiley.com/servlet/linkout?suffix=null&amp;dbid=16&amp;doi=10.1111%2Fj.1752-8062.2010.00179.x&amp;key=10.1097%2F00001888-200504000-00002" TargetMode="External"/><Relationship Id="rId3" Type="http://schemas.openxmlformats.org/officeDocument/2006/relationships/settings" Target="settings.xml"/><Relationship Id="rId12" Type="http://schemas.openxmlformats.org/officeDocument/2006/relationships/hyperlink" Target="https://ascpt.onlinelibrary.wiley.com/doi/full/10.1111/j.1752-8062.2010.00179.x" TargetMode="External"/><Relationship Id="rId17" Type="http://schemas.openxmlformats.org/officeDocument/2006/relationships/hyperlink" Target="https://ascpt.onlinelibrary.wiley.com/doi/full/10.1111/j.1752-8062.2010.00179.x" TargetMode="External"/><Relationship Id="rId25" Type="http://schemas.openxmlformats.org/officeDocument/2006/relationships/hyperlink" Target="https://ascpt.onlinelibrary.wiley.com/doi/full/10.1111/j.1752-8062.2010.00179.x" TargetMode="External"/><Relationship Id="rId33" Type="http://schemas.openxmlformats.org/officeDocument/2006/relationships/hyperlink" Target="https://ascpt.onlinelibrary.wiley.com/doi/full/10.1111/j.1752-8062.2010.00179.x" TargetMode="External"/><Relationship Id="rId38" Type="http://schemas.openxmlformats.org/officeDocument/2006/relationships/hyperlink" Target="https://ascpt.onlinelibrary.wiley.com/servlet/linkout?suffix=null&amp;dbid=32&amp;doi=10.1111%2Fj.1752-8062.2010.00179.x&amp;key=1%3ACAS%3A528%3ADC%252BD2sXhtVSmtrw%253D" TargetMode="External"/><Relationship Id="rId46" Type="http://schemas.openxmlformats.org/officeDocument/2006/relationships/hyperlink" Target="https://ascpt.onlinelibrary.wiley.com/servlet/linkout?suffix=null&amp;dbid=16&amp;doi=10.1111%2Fj.1752-8062.2010.00179.x&amp;key=10.1001%2Fjama.289.10.1278" TargetMode="External"/><Relationship Id="rId59" Type="http://schemas.openxmlformats.org/officeDocument/2006/relationships/hyperlink" Target="https://ascpt.onlinelibrary.wiley.com/servlet/linkout?suffix=null&amp;dbid=128&amp;doi=10.1111%2Fj.1752-8062.2010.00179.x&amp;key=000248996500007" TargetMode="External"/><Relationship Id="rId67" Type="http://schemas.openxmlformats.org/officeDocument/2006/relationships/hyperlink" Target="http://scholar.google.com/scholar_lookup?hl=en&amp;publication_year=2008&amp;pages=47-66&amp;author=BA+Israel&amp;author=AJ+Schulz&amp;author=EA+Parker&amp;author=AB+Becker&amp;author=AJ+Allen&amp;author=JR+Guzman&amp;title=Community%E2%80%90Based+Participatory+Research+for+Health%3A+From+Process+to+Outcomes" TargetMode="External"/><Relationship Id="rId20" Type="http://schemas.openxmlformats.org/officeDocument/2006/relationships/hyperlink" Target="https://ascpt.onlinelibrary.wiley.com/cms/asset/57759aa0-871b-4e74-8487-1ddf6b3766ef/cts_179_f1.gif" TargetMode="External"/><Relationship Id="rId41" Type="http://schemas.openxmlformats.org/officeDocument/2006/relationships/hyperlink" Target="http://scholar.google.com/scholar_lookup?hl=en&amp;volume=297&amp;publication_year=2007&amp;pages=403-406&amp;journal=JAMA.&amp;issue=4&amp;author=JM+Westfall&amp;author=J+Mold&amp;author=L+Fagnan&amp;title=Practice%E2%80%90based+research%E2%80%94%E2%80%9Dblue+highways%E2%80%9D+on+the+NIH+roadmap" TargetMode="External"/><Relationship Id="rId54" Type="http://schemas.openxmlformats.org/officeDocument/2006/relationships/hyperlink" Target="http://scholar.google.com/scholar_lookup?hl=en&amp;volume=17&amp;publication_year=2008&amp;pages=233-244&amp;journal=Eur+J+Cancer+Care.&amp;issue=3&amp;author=G+Hubbard&amp;author=L+Kidd&amp;author=E+Donaghy&amp;title=Involving+people+affected+by+cancer+in+research%3A+a+review+of+literature" TargetMode="External"/><Relationship Id="rId62" Type="http://schemas.openxmlformats.org/officeDocument/2006/relationships/hyperlink" Target="https://ascpt.onlinelibrary.wiley.com/servlet/linkout?suffix=null&amp;dbid=8&amp;doi=10.1111%2Fj.1752-8062.2010.00179.x&amp;key=16258457" TargetMode="External"/><Relationship Id="rId70" Type="http://schemas.openxmlformats.org/officeDocument/2006/relationships/hyperlink" Target="https://ascpt.onlinelibrary.wiley.com/servlet/linkout?suffix=null&amp;dbid=128&amp;doi=10.1111%2Fj.1752-8062.2010.00179.x&amp;key=000272843400015" TargetMode="External"/><Relationship Id="rId75" Type="http://schemas.openxmlformats.org/officeDocument/2006/relationships/hyperlink" Target="http://scholar.google.com/scholar_lookup?hl=en&amp;volume=80&amp;publication_year=2005&amp;pages=317-321&amp;journal=Acad+Med.&amp;issue=4&amp;author=DC+Calleson&amp;author=C+Jordan&amp;author=SD+Seifer&amp;title=Community%E2%80%90engaged+scholarship%3A+is+faculty+work+in+communities+a+true+academic+enterprise%3F" TargetMode="External"/><Relationship Id="rId1" Type="http://schemas.openxmlformats.org/officeDocument/2006/relationships/numbering" Target="numbering.xml"/><Relationship Id="rId6" Type="http://schemas.openxmlformats.org/officeDocument/2006/relationships/hyperlink" Target="https://ascpt.onlinelibrary.wiley.com/doi/full/10.1111/j.1752-8062.2010.00179.x" TargetMode="External"/><Relationship Id="rId15" Type="http://schemas.openxmlformats.org/officeDocument/2006/relationships/hyperlink" Target="https://ascpt.onlinelibrary.wiley.com/doi/full/10.1111/j.1752-8062.2010.00179.x" TargetMode="External"/><Relationship Id="rId23" Type="http://schemas.openxmlformats.org/officeDocument/2006/relationships/hyperlink" Target="https://ascpt.onlinelibrary.wiley.com/doi/full/10.1111/j.1752-8062.2010.00179.x" TargetMode="External"/><Relationship Id="rId28" Type="http://schemas.openxmlformats.org/officeDocument/2006/relationships/image" Target="media/image2.gif"/><Relationship Id="rId36" Type="http://schemas.openxmlformats.org/officeDocument/2006/relationships/hyperlink" Target="https://ascpt.onlinelibrary.wiley.com/doi/full/10.1111/j.1752-8062.2010.00179.x" TargetMode="External"/><Relationship Id="rId49" Type="http://schemas.openxmlformats.org/officeDocument/2006/relationships/hyperlink" Target="http://scholar.google.com/scholar_lookup?hl=en&amp;volume=289&amp;publication_year=2003&amp;pages=1278-1287&amp;journal=JAMA.&amp;issue=10&amp;author=NS+Sung&amp;author=WF+Crowley&amp;author=M+Genel&amp;author=P+Salber&amp;author=L+Sandy&amp;author=LM+Sherwood&amp;author=SB+Johnson&amp;author=V+Catanese&amp;author=H+Tilson&amp;author=K+Getz&amp;author=EL+Larson&amp;author=D+Scheinberg&amp;author=EA+Reece&amp;author=H+Slavkin&amp;author=A+Dobs&amp;author=J+Grebb&amp;author=RA+Martinez&amp;author=A+Kom&amp;author=D+Rimoin&amp;title=Central+challenges+facing+the+national+clinical+research+enterprise" TargetMode="External"/><Relationship Id="rId57" Type="http://schemas.openxmlformats.org/officeDocument/2006/relationships/hyperlink" Target="https://ascpt.onlinelibrary.wiley.com/servlet/linkout?suffix=null&amp;dbid=32&amp;doi=10.1111%2Fj.1752-8062.2010.00179.x&amp;key=1%3ASTN%3A280%3ADC%252BD2svlvFansg%253D%253D" TargetMode="External"/><Relationship Id="rId10" Type="http://schemas.openxmlformats.org/officeDocument/2006/relationships/hyperlink" Target="https://ascpt.onlinelibrary.wiley.com/doi/full/10.1111/j.1752-8062.2010.00179.x" TargetMode="External"/><Relationship Id="rId31" Type="http://schemas.openxmlformats.org/officeDocument/2006/relationships/hyperlink" Target="https://ascpt.onlinelibrary.wiley.com/doi/full/10.1111/j.1752-8062.2010.00179.x" TargetMode="External"/><Relationship Id="rId44" Type="http://schemas.openxmlformats.org/officeDocument/2006/relationships/hyperlink" Target="http://scholar.google.com/scholar_lookup?hl=en&amp;volume=99&amp;publication_year=2004&amp;pages=1-8&amp;journal=Evid+Rep+Technol+Assess+%28Summ%29.&amp;author=M+Viswanathan&amp;author=A+Ammerman&amp;author=E+Eng&amp;author=G+Garlehner&amp;author=KN+Lohr&amp;author=D+Griffith&amp;author=S+Rhodes&amp;author=C+Samuel%E2%80%90Hodge&amp;author=S+Maty&amp;author=L+Lux&amp;author=L+Webb&amp;author=SF+Sutton&amp;author=T+Swinson&amp;author=A+Jackman&amp;author=L+Whitener&amp;title=Community%E2%80%90based+participatory+research%3A+assessing+the+evidence" TargetMode="External"/><Relationship Id="rId52" Type="http://schemas.openxmlformats.org/officeDocument/2006/relationships/hyperlink" Target="https://ascpt.onlinelibrary.wiley.com/servlet/linkout?suffix=null&amp;dbid=8&amp;doi=10.1111%2Fj.1752-8062.2010.00179.x&amp;key=18419626" TargetMode="External"/><Relationship Id="rId60" Type="http://schemas.openxmlformats.org/officeDocument/2006/relationships/hyperlink" Target="http://scholar.google.com/scholar_lookup?hl=en&amp;volume=10&amp;publication_year=2007&amp;pages=268-277&amp;journal=Health+Expect.&amp;issue=3&amp;author=A+Lindenmeyer&amp;author=H+Heamshaw&amp;author=J+Sturt&amp;author=R+Ormerod&amp;author=G+Aitchison&amp;title=Assessment+of+the+benefits+of+user+involvement+in+health+research+from+the+Warwick+diabetes+care+research+user+group%3A+a+qualitative+case+study" TargetMode="External"/><Relationship Id="rId65" Type="http://schemas.openxmlformats.org/officeDocument/2006/relationships/hyperlink" Target="http://scholar.google.com/scholar?hl=en&amp;q=%0A+The+Clinical+and+Translational+Science+Award+%28CTSA%29+Consortium%27s+Community+Engagement+Key+Function+Committee%2C+CTSA+Community+Engagement+Workshop+Planning+Committee.+Researchers+and+Their+Communities%3A+The+Challenge+of+Meaningful+Community+Engagement.+%0A+Bethesda%0A+%2C+%0A+MD%0A+%3A+National+Center+for+Research+Resources%3B+2009.%0A" TargetMode="External"/><Relationship Id="rId73" Type="http://schemas.openxmlformats.org/officeDocument/2006/relationships/hyperlink" Target="https://ascpt.onlinelibrary.wiley.com/servlet/linkout?suffix=null&amp;dbid=8&amp;doi=10.1111%2Fj.1752-8062.2010.00179.x&amp;key=15793012"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cpt.onlinelibrary.wiley.com/doi/full/10.1111/j.1752-8062.2010.00179.x" TargetMode="External"/><Relationship Id="rId13" Type="http://schemas.openxmlformats.org/officeDocument/2006/relationships/hyperlink" Target="https://ascpt.onlinelibrary.wiley.com/doi/full/10.1111/j.1752-8062.2010.00179.x" TargetMode="External"/><Relationship Id="rId18" Type="http://schemas.openxmlformats.org/officeDocument/2006/relationships/hyperlink" Target="https://ascpt.onlinelibrary.wiley.com/doi/full/10.1111/j.1752-8062.2010.00179.x" TargetMode="External"/><Relationship Id="rId39" Type="http://schemas.openxmlformats.org/officeDocument/2006/relationships/hyperlink" Target="https://ascpt.onlinelibrary.wiley.com/servlet/linkout?suffix=null&amp;dbid=8&amp;doi=10.1111%2Fj.1752-8062.2010.00179.x&amp;key=17244837" TargetMode="External"/><Relationship Id="rId34" Type="http://schemas.openxmlformats.org/officeDocument/2006/relationships/hyperlink" Target="https://ascpt.onlinelibrary.wiley.com/doi/full/10.1111/j.1752-8062.2010.00179.x" TargetMode="External"/><Relationship Id="rId50" Type="http://schemas.openxmlformats.org/officeDocument/2006/relationships/hyperlink" Target="https://ascpt.onlinelibrary.wiley.com/doi/10.1111/j.1365-2354.2007.00842.x" TargetMode="External"/><Relationship Id="rId55" Type="http://schemas.openxmlformats.org/officeDocument/2006/relationships/hyperlink" Target="http://scholar.google.com/scholar_lookup?hl=en&amp;publication_year=2003&amp;author=LW+Green&amp;title=Community%E2%80%90university+Partnerships%3A+Translating+Evidence+into+Action.+Proceedings+of+a+National+Symposium+Jointly+Sponsored+by+Community%E2%80%90Campus+Partnerships+for+Health+and+HUD%27s+Office+of+University+Partnerships" TargetMode="External"/><Relationship Id="rId76" Type="http://schemas.openxmlformats.org/officeDocument/2006/relationships/hyperlink" Target="http://scholar.google.com/scholar_lookup?hl=en&amp;publication_year=2005&amp;pages=31-51&amp;author=N+Wallerstein&amp;author=B+Duran&amp;author=M+Minkler&amp;author=K+Foley&amp;title=Methods+in+Community%E2%80%90Based+Participatory+Research+for+Health" TargetMode="External"/><Relationship Id="rId7" Type="http://schemas.openxmlformats.org/officeDocument/2006/relationships/hyperlink" Target="https://ascpt.onlinelibrary.wiley.com/doi/full/10.1111/j.1752-8062.2010.00179.x" TargetMode="External"/><Relationship Id="rId71" Type="http://schemas.openxmlformats.org/officeDocument/2006/relationships/hyperlink" Target="http://scholar.google.com/scholar_lookup?hl=en&amp;volume=2&amp;publication_year=2009&amp;pages=312-314&amp;journal=Clin+Transl+Sci.&amp;issue=4&amp;author=MS+Kleinman&amp;author=JW+Mold&amp;title=Defining+the+components+of+the+research+pipeline" TargetMode="External"/><Relationship Id="rId2" Type="http://schemas.openxmlformats.org/officeDocument/2006/relationships/styles" Target="styles.xml"/><Relationship Id="rId29" Type="http://schemas.openxmlformats.org/officeDocument/2006/relationships/hyperlink" Target="https://ascpt.onlinelibrary.wiley.com/doi/full/10.1111/j.1752-8062.2010.0017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5041</Words>
  <Characters>28738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Matei David</dc:creator>
  <cp:keywords/>
  <dc:description/>
  <cp:lastModifiedBy>Matei David</cp:lastModifiedBy>
  <cp:revision>5</cp:revision>
  <dcterms:created xsi:type="dcterms:W3CDTF">2020-12-13T16:50:00Z</dcterms:created>
  <dcterms:modified xsi:type="dcterms:W3CDTF">2020-12-13T17:08:00Z</dcterms:modified>
</cp:coreProperties>
</file>