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C634A17" wp14:paraId="23538429" wp14:textId="028B8739">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C634A17" w:rsidR="138E8303">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Name: </w:t>
      </w:r>
      <w:r w:rsidRPr="1C634A17" w:rsidR="138E8303">
        <w:rPr>
          <w:rFonts w:ascii="Arial" w:hAnsi="Arial" w:eastAsia="Arial" w:cs="Arial"/>
          <w:b w:val="0"/>
          <w:bCs w:val="0"/>
          <w:i w:val="0"/>
          <w:iCs w:val="0"/>
          <w:caps w:val="0"/>
          <w:smallCaps w:val="0"/>
          <w:noProof w:val="0"/>
          <w:color w:val="000000" w:themeColor="text1" w:themeTint="FF" w:themeShade="FF"/>
          <w:sz w:val="22"/>
          <w:szCs w:val="22"/>
          <w:lang w:val="en-GB"/>
        </w:rPr>
        <w:t>Moin Mahmood</w:t>
      </w:r>
    </w:p>
    <w:p xmlns:wp14="http://schemas.microsoft.com/office/word/2010/wordml" w:rsidP="1C634A17" wp14:paraId="30C61B31" wp14:textId="2D7AFB70">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C634A17" w:rsidR="138E8303">
        <w:rPr>
          <w:rFonts w:ascii="Arial" w:hAnsi="Arial" w:eastAsia="Arial" w:cs="Arial"/>
          <w:b w:val="1"/>
          <w:bCs w:val="1"/>
          <w:i w:val="0"/>
          <w:iCs w:val="0"/>
          <w:caps w:val="0"/>
          <w:smallCaps w:val="0"/>
          <w:noProof w:val="0"/>
          <w:color w:val="000000" w:themeColor="text1" w:themeTint="FF" w:themeShade="FF"/>
          <w:sz w:val="22"/>
          <w:szCs w:val="22"/>
          <w:lang w:val="en-GB"/>
        </w:rPr>
        <w:t xml:space="preserve">Student Id Number: </w:t>
      </w:r>
      <w:r w:rsidRPr="1C634A17" w:rsidR="138E8303">
        <w:rPr>
          <w:rFonts w:ascii="Arial" w:hAnsi="Arial" w:eastAsia="Arial" w:cs="Arial"/>
          <w:b w:val="0"/>
          <w:bCs w:val="0"/>
          <w:i w:val="0"/>
          <w:iCs w:val="0"/>
          <w:caps w:val="0"/>
          <w:smallCaps w:val="0"/>
          <w:noProof w:val="0"/>
          <w:color w:val="000000" w:themeColor="text1" w:themeTint="FF" w:themeShade="FF"/>
          <w:sz w:val="22"/>
          <w:szCs w:val="22"/>
          <w:lang w:val="en-GB"/>
        </w:rPr>
        <w:t>2308921</w:t>
      </w:r>
    </w:p>
    <w:p xmlns:wp14="http://schemas.microsoft.com/office/word/2010/wordml" w:rsidP="1C634A17" wp14:paraId="2A06B4EF" wp14:textId="0DDBCF9F">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C634A17" w:rsidR="138E8303">
        <w:rPr>
          <w:rFonts w:ascii="Arial" w:hAnsi="Arial" w:eastAsia="Arial" w:cs="Arial"/>
          <w:b w:val="1"/>
          <w:bCs w:val="1"/>
          <w:i w:val="0"/>
          <w:iCs w:val="0"/>
          <w:caps w:val="0"/>
          <w:smallCaps w:val="0"/>
          <w:noProof w:val="0"/>
          <w:color w:val="000000" w:themeColor="text1" w:themeTint="FF" w:themeShade="FF"/>
          <w:sz w:val="22"/>
          <w:szCs w:val="22"/>
          <w:lang w:val="en-GB"/>
        </w:rPr>
        <w:t xml:space="preserve">Programme: </w:t>
      </w:r>
      <w:r w:rsidRPr="1C634A17" w:rsidR="138E8303">
        <w:rPr>
          <w:rFonts w:ascii="Arial" w:hAnsi="Arial" w:eastAsia="Arial" w:cs="Arial"/>
          <w:b w:val="0"/>
          <w:bCs w:val="0"/>
          <w:i w:val="0"/>
          <w:iCs w:val="0"/>
          <w:caps w:val="0"/>
          <w:smallCaps w:val="0"/>
          <w:noProof w:val="0"/>
          <w:color w:val="000000" w:themeColor="text1" w:themeTint="FF" w:themeShade="FF"/>
          <w:sz w:val="22"/>
          <w:szCs w:val="22"/>
          <w:lang w:val="en-GB"/>
        </w:rPr>
        <w:t>BA (Hons) Leadership and Management Skills in the Workplace</w:t>
      </w:r>
    </w:p>
    <w:p xmlns:wp14="http://schemas.microsoft.com/office/word/2010/wordml" w:rsidP="1C634A17" wp14:paraId="31F7F37C" wp14:textId="085F0B02">
      <w:pPr>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C634A17" w:rsidR="138E8303">
        <w:rPr>
          <w:rFonts w:ascii="Arial" w:hAnsi="Arial" w:eastAsia="Arial" w:cs="Arial"/>
          <w:b w:val="1"/>
          <w:bCs w:val="1"/>
          <w:i w:val="0"/>
          <w:iCs w:val="0"/>
          <w:caps w:val="0"/>
          <w:smallCaps w:val="0"/>
          <w:noProof w:val="0"/>
          <w:color w:val="000000" w:themeColor="text1" w:themeTint="FF" w:themeShade="FF"/>
          <w:sz w:val="22"/>
          <w:szCs w:val="22"/>
          <w:lang w:val="en-GB"/>
        </w:rPr>
        <w:t>Module Title &amp; Code:</w:t>
      </w:r>
      <w:r w:rsidRPr="1C634A17" w:rsidR="138E8303">
        <w:rPr>
          <w:rFonts w:ascii="Arial" w:hAnsi="Arial" w:eastAsia="Arial" w:cs="Arial"/>
          <w:b w:val="0"/>
          <w:bCs w:val="0"/>
          <w:i w:val="0"/>
          <w:iCs w:val="0"/>
          <w:caps w:val="0"/>
          <w:smallCaps w:val="0"/>
          <w:noProof w:val="0"/>
          <w:color w:val="000000" w:themeColor="text1" w:themeTint="FF" w:themeShade="FF"/>
          <w:sz w:val="22"/>
          <w:szCs w:val="22"/>
          <w:lang w:val="en-GB"/>
        </w:rPr>
        <w:t xml:space="preserve"> Understanding and engaging Stakeholders</w:t>
      </w:r>
    </w:p>
    <w:p xmlns:wp14="http://schemas.microsoft.com/office/word/2010/wordml" w:rsidP="1C634A17" wp14:paraId="3D83D576" wp14:textId="68AE1ADF">
      <w:pPr>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C634A17" w:rsidR="138E8303">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1C634A17" w:rsidR="1FEF0D8F">
        <w:rPr>
          <w:rFonts w:ascii="Arial" w:hAnsi="Arial" w:eastAsia="Arial" w:cs="Arial"/>
          <w:b w:val="0"/>
          <w:bCs w:val="0"/>
          <w:i w:val="0"/>
          <w:iCs w:val="0"/>
          <w:caps w:val="0"/>
          <w:smallCaps w:val="0"/>
          <w:noProof w:val="0"/>
          <w:color w:val="000000" w:themeColor="text1" w:themeTint="FF" w:themeShade="FF"/>
          <w:sz w:val="22"/>
          <w:szCs w:val="22"/>
          <w:lang w:val="en-GB"/>
        </w:rPr>
        <w:t>Understanding the importance of stakeholder engagement in successful commencement and completion of project</w:t>
      </w:r>
      <w:r w:rsidRPr="1C634A17" w:rsidR="252E3268">
        <w:rPr>
          <w:rFonts w:ascii="Arial" w:hAnsi="Arial" w:eastAsia="Arial" w:cs="Arial"/>
          <w:b w:val="0"/>
          <w:bCs w:val="0"/>
          <w:i w:val="0"/>
          <w:iCs w:val="0"/>
          <w:caps w:val="0"/>
          <w:smallCaps w:val="0"/>
          <w:noProof w:val="0"/>
          <w:color w:val="000000" w:themeColor="text1" w:themeTint="FF" w:themeShade="FF"/>
          <w:sz w:val="22"/>
          <w:szCs w:val="22"/>
          <w:lang w:val="en-GB"/>
        </w:rPr>
        <w:t xml:space="preserve"> (4000 words)</w:t>
      </w:r>
    </w:p>
    <w:p xmlns:wp14="http://schemas.microsoft.com/office/word/2010/wordml" w:rsidP="1C634A17" wp14:paraId="20A171C7" wp14:textId="72D01BB5">
      <w:pPr>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C634A17" w:rsidR="138E8303">
        <w:rPr>
          <w:rFonts w:ascii="Arial" w:hAnsi="Arial" w:eastAsia="Arial" w:cs="Arial"/>
          <w:b w:val="1"/>
          <w:bCs w:val="1"/>
          <w:i w:val="0"/>
          <w:iCs w:val="0"/>
          <w:caps w:val="0"/>
          <w:smallCaps w:val="0"/>
          <w:noProof w:val="0"/>
          <w:color w:val="000000" w:themeColor="text1" w:themeTint="FF" w:themeShade="FF"/>
          <w:sz w:val="22"/>
          <w:szCs w:val="22"/>
          <w:lang w:val="en-GB"/>
        </w:rPr>
        <w:t>Submission Deadline:</w:t>
      </w:r>
      <w:r w:rsidRPr="1C634A17" w:rsidR="138E83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C634A17" w:rsidR="647C9991">
        <w:rPr>
          <w:rFonts w:ascii="Arial" w:hAnsi="Arial" w:eastAsia="Arial" w:cs="Arial"/>
          <w:b w:val="0"/>
          <w:bCs w:val="0"/>
          <w:i w:val="0"/>
          <w:iCs w:val="0"/>
          <w:caps w:val="0"/>
          <w:smallCaps w:val="0"/>
          <w:noProof w:val="0"/>
          <w:color w:val="000000" w:themeColor="text1" w:themeTint="FF" w:themeShade="FF"/>
          <w:sz w:val="22"/>
          <w:szCs w:val="22"/>
          <w:lang w:val="en-GB"/>
        </w:rPr>
        <w:t>02/04</w:t>
      </w:r>
      <w:r w:rsidRPr="1C634A17" w:rsidR="138E8303">
        <w:rPr>
          <w:rFonts w:ascii="Arial" w:hAnsi="Arial" w:eastAsia="Arial" w:cs="Arial"/>
          <w:b w:val="0"/>
          <w:bCs w:val="0"/>
          <w:i w:val="0"/>
          <w:iCs w:val="0"/>
          <w:caps w:val="0"/>
          <w:smallCaps w:val="0"/>
          <w:noProof w:val="0"/>
          <w:color w:val="000000" w:themeColor="text1" w:themeTint="FF" w:themeShade="FF"/>
          <w:sz w:val="22"/>
          <w:szCs w:val="22"/>
          <w:lang w:val="en-GB"/>
        </w:rPr>
        <w:t>/2026</w:t>
      </w:r>
    </w:p>
    <w:p xmlns:wp14="http://schemas.microsoft.com/office/word/2010/wordml" w:rsidP="1C634A17" wp14:paraId="5E5787A5" wp14:textId="11532119">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7CBE5854" w14:textId="05C335FB">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64FEC7CF" w14:textId="0138673A">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5408E439" w14:textId="27BE6E27">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0F2DA589" w14:textId="225AD2B1">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6C1CACC9" w14:textId="171AD652">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78155757" w14:textId="2D906D73">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3D443334" w14:textId="169FF780">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5852B5B5" w14:textId="67CAC9BF">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5B8FC9AB" w14:textId="645C0A97">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781D81EE" w14:textId="342BA65D">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1840CDC0" w14:textId="150C0123">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36061DBD" w14:textId="27704473">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6B07B639" w14:textId="10FE76B1">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42DFB235" w14:textId="1B0642DD">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263447F1" w14:textId="4DD1F75B">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1F885B12" w14:textId="75A24623">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01A58A17" w14:textId="71EC106B">
      <w:pPr>
        <w:spacing w:line="360" w:lineRule="auto"/>
        <w:jc w:val="center"/>
        <w:rPr>
          <w:rFonts w:ascii="Arial" w:hAnsi="Arial" w:eastAsia="Arial" w:cs="Arial" w:asciiTheme="minorAscii" w:hAnsiTheme="minorAscii" w:eastAsiaTheme="minorAscii" w:cstheme="minorAscii"/>
          <w:sz w:val="22"/>
          <w:szCs w:val="22"/>
        </w:rPr>
      </w:pPr>
    </w:p>
    <w:p w:rsidR="1C634A17" w:rsidP="1C634A17" w:rsidRDefault="1C634A17" w14:paraId="330C531B" w14:textId="2DE624C0">
      <w:pPr>
        <w:spacing w:line="360" w:lineRule="auto"/>
        <w:jc w:val="center"/>
        <w:rPr>
          <w:rFonts w:ascii="Arial" w:hAnsi="Arial" w:eastAsia="Arial" w:cs="Arial"/>
          <w:sz w:val="22"/>
          <w:szCs w:val="22"/>
        </w:rPr>
      </w:pPr>
    </w:p>
    <w:p w:rsidR="4CDF2C43" w:rsidP="1C634A17" w:rsidRDefault="4CDF2C43" w14:paraId="06103F92" w14:textId="14AB03F7">
      <w:pPr>
        <w:pStyle w:val="Normal"/>
        <w:spacing w:line="360" w:lineRule="auto"/>
        <w:jc w:val="center"/>
        <w:rPr>
          <w:rFonts w:ascii="Arial" w:hAnsi="Arial" w:eastAsia="Arial" w:cs="Arial"/>
          <w:b w:val="1"/>
          <w:bCs w:val="1"/>
          <w:noProof w:val="0"/>
          <w:sz w:val="22"/>
          <w:szCs w:val="22"/>
          <w:u w:val="single"/>
          <w:lang w:val="en-GB"/>
        </w:rPr>
      </w:pPr>
      <w:r w:rsidRPr="1C634A17" w:rsidR="4CDF2C43">
        <w:rPr>
          <w:rFonts w:ascii="Arial" w:hAnsi="Arial" w:eastAsia="Arial" w:cs="Arial"/>
          <w:b w:val="1"/>
          <w:bCs w:val="1"/>
          <w:noProof w:val="0"/>
          <w:sz w:val="22"/>
          <w:szCs w:val="22"/>
          <w:u w:val="single"/>
          <w:lang w:val="en-GB"/>
        </w:rPr>
        <w:t>Stakeholder Engagement Report: Launch of a New Wearable Health Device by Fitbit</w:t>
      </w:r>
    </w:p>
    <w:p w:rsidR="1C634A17" w:rsidP="1C634A17" w:rsidRDefault="1C634A17" w14:paraId="572FAF44" w14:textId="4169FFFF">
      <w:pPr>
        <w:spacing w:line="360" w:lineRule="auto"/>
        <w:jc w:val="center"/>
        <w:rPr>
          <w:rFonts w:ascii="Arial" w:hAnsi="Arial" w:eastAsia="Arial" w:cs="Arial"/>
          <w:sz w:val="22"/>
          <w:szCs w:val="22"/>
        </w:rPr>
      </w:pPr>
    </w:p>
    <w:p w:rsidR="4CDF2C43" w:rsidP="1C634A17" w:rsidRDefault="4CDF2C43" w14:paraId="329B0F30" w14:textId="184B193C">
      <w:pPr>
        <w:pStyle w:val="Normal"/>
        <w:spacing w:line="360" w:lineRule="auto"/>
        <w:rPr>
          <w:rFonts w:ascii="Arial" w:hAnsi="Arial" w:eastAsia="Arial" w:cs="Arial"/>
          <w:b w:val="1"/>
          <w:bCs w:val="1"/>
          <w:noProof w:val="0"/>
          <w:sz w:val="22"/>
          <w:szCs w:val="22"/>
          <w:u w:val="single"/>
          <w:lang w:val="en-GB"/>
        </w:rPr>
      </w:pPr>
      <w:r w:rsidRPr="1C634A17" w:rsidR="4CDF2C43">
        <w:rPr>
          <w:rFonts w:ascii="Arial" w:hAnsi="Arial" w:eastAsia="Arial" w:cs="Arial"/>
          <w:b w:val="1"/>
          <w:bCs w:val="1"/>
          <w:noProof w:val="0"/>
          <w:sz w:val="22"/>
          <w:szCs w:val="22"/>
          <w:u w:val="single"/>
          <w:lang w:val="en-GB"/>
        </w:rPr>
        <w:t>Executive Summary</w:t>
      </w:r>
      <w:r w:rsidRPr="1C634A17" w:rsidR="189A3502">
        <w:rPr>
          <w:rFonts w:ascii="Arial" w:hAnsi="Arial" w:eastAsia="Arial" w:cs="Arial"/>
          <w:b w:val="1"/>
          <w:bCs w:val="1"/>
          <w:noProof w:val="0"/>
          <w:sz w:val="22"/>
          <w:szCs w:val="22"/>
          <w:u w:val="single"/>
          <w:lang w:val="en-GB"/>
        </w:rPr>
        <w:t xml:space="preserve"> </w:t>
      </w:r>
    </w:p>
    <w:p w:rsidR="4CDF2C43" w:rsidP="1C634A17" w:rsidRDefault="4CDF2C43" w14:paraId="2AD93BA8" w14:textId="48EE0B7B">
      <w:pPr>
        <w:spacing w:before="240" w:beforeAutospacing="off" w:after="240" w:afterAutospacing="off" w:line="360" w:lineRule="auto"/>
        <w:jc w:val="left"/>
        <w:rPr>
          <w:rFonts w:ascii="Arial" w:hAnsi="Arial" w:eastAsia="Arial" w:cs="Arial"/>
          <w:noProof w:val="0"/>
          <w:sz w:val="22"/>
          <w:szCs w:val="22"/>
          <w:lang w:val="en-GB"/>
        </w:rPr>
      </w:pPr>
      <w:r w:rsidRPr="1C634A17" w:rsidR="4CDF2C43">
        <w:rPr>
          <w:rFonts w:ascii="Arial" w:hAnsi="Arial" w:eastAsia="Arial" w:cs="Arial"/>
          <w:noProof w:val="0"/>
          <w:sz w:val="22"/>
          <w:szCs w:val="22"/>
          <w:lang w:val="en-GB"/>
        </w:rPr>
        <w:t>This report critically evaluates stakeholder engagement strategies for the launch of a new wearable health device by Fitbit</w:t>
      </w:r>
      <w:r w:rsidRPr="1C634A17" w:rsidR="1B975975">
        <w:rPr>
          <w:rFonts w:ascii="Arial" w:hAnsi="Arial" w:eastAsia="Arial" w:cs="Arial"/>
          <w:noProof w:val="0"/>
          <w:sz w:val="22"/>
          <w:szCs w:val="22"/>
          <w:lang w:val="en-GB"/>
        </w:rPr>
        <w:t xml:space="preserve"> (Fitbit</w:t>
      </w:r>
      <w:r w:rsidRPr="1C634A17" w:rsidR="758E8DD0">
        <w:rPr>
          <w:rFonts w:ascii="Arial" w:hAnsi="Arial" w:eastAsia="Arial" w:cs="Arial"/>
          <w:noProof w:val="0"/>
          <w:sz w:val="22"/>
          <w:szCs w:val="22"/>
          <w:lang w:val="en-GB"/>
        </w:rPr>
        <w:t xml:space="preserve"> </w:t>
      </w:r>
      <w:r w:rsidRPr="1C634A17" w:rsidR="1B975975">
        <w:rPr>
          <w:rFonts w:ascii="Arial" w:hAnsi="Arial" w:eastAsia="Arial" w:cs="Arial"/>
          <w:noProof w:val="0"/>
          <w:sz w:val="22"/>
          <w:szCs w:val="22"/>
          <w:lang w:val="en-GB"/>
        </w:rPr>
        <w:t>,2024)</w:t>
      </w:r>
      <w:r w:rsidRPr="1C634A17" w:rsidR="4CDF2C43">
        <w:rPr>
          <w:rFonts w:ascii="Arial" w:hAnsi="Arial" w:eastAsia="Arial" w:cs="Arial"/>
          <w:noProof w:val="0"/>
          <w:sz w:val="22"/>
          <w:szCs w:val="22"/>
          <w:lang w:val="en-GB"/>
        </w:rPr>
        <w:t xml:space="preserve">. The proposed device will </w:t>
      </w:r>
      <w:r w:rsidRPr="1C634A17" w:rsidR="4CDF2C43">
        <w:rPr>
          <w:rFonts w:ascii="Arial" w:hAnsi="Arial" w:eastAsia="Arial" w:cs="Arial"/>
          <w:noProof w:val="0"/>
          <w:sz w:val="22"/>
          <w:szCs w:val="22"/>
          <w:lang w:val="en-GB"/>
        </w:rPr>
        <w:t>monitor</w:t>
      </w:r>
      <w:r w:rsidRPr="1C634A17" w:rsidR="4CDF2C43">
        <w:rPr>
          <w:rFonts w:ascii="Arial" w:hAnsi="Arial" w:eastAsia="Arial" w:cs="Arial"/>
          <w:noProof w:val="0"/>
          <w:sz w:val="22"/>
          <w:szCs w:val="22"/>
          <w:lang w:val="en-GB"/>
        </w:rPr>
        <w:t xml:space="preserve"> heart rate, blood oxygen levels, and sleep patterns. Given the technical complexity of wearable health devices and the regulatory environment in the United Kingdom, effective stakeholder engagement is essential for successful project delivery.</w:t>
      </w:r>
    </w:p>
    <w:p w:rsidR="4CDF2C43" w:rsidP="1C634A17" w:rsidRDefault="4CDF2C43" w14:paraId="42156DD7" w14:textId="764A82F1">
      <w:pPr>
        <w:spacing w:before="240" w:beforeAutospacing="off" w:after="240" w:afterAutospacing="off" w:line="360" w:lineRule="auto"/>
        <w:jc w:val="left"/>
        <w:rPr>
          <w:rFonts w:ascii="Arial" w:hAnsi="Arial" w:eastAsia="Arial" w:cs="Arial"/>
          <w:noProof w:val="0"/>
          <w:sz w:val="22"/>
          <w:szCs w:val="22"/>
          <w:lang w:val="en-GB"/>
        </w:rPr>
      </w:pPr>
      <w:r w:rsidRPr="1C634A17" w:rsidR="4CDF2C43">
        <w:rPr>
          <w:rFonts w:ascii="Arial" w:hAnsi="Arial" w:eastAsia="Arial" w:cs="Arial"/>
          <w:noProof w:val="0"/>
          <w:sz w:val="22"/>
          <w:szCs w:val="22"/>
          <w:lang w:val="en-GB"/>
        </w:rPr>
        <w:t xml:space="preserve">The report begins with an overview of Fitbit, outlining its operations, competitive position, and strategic direction. A situational analysis is then conducted using SWOT and PESTLE frameworks to assess internal capabilities and external influences. SMART </w:t>
      </w:r>
      <w:r w:rsidRPr="1C634A17" w:rsidR="4CDF2C43">
        <w:rPr>
          <w:rFonts w:ascii="Arial" w:hAnsi="Arial" w:eastAsia="Arial" w:cs="Arial"/>
          <w:noProof w:val="0"/>
          <w:sz w:val="22"/>
          <w:szCs w:val="22"/>
          <w:lang w:val="en-GB"/>
        </w:rPr>
        <w:t>objectives</w:t>
      </w:r>
      <w:r w:rsidRPr="1C634A17" w:rsidR="4CDF2C43">
        <w:rPr>
          <w:rFonts w:ascii="Arial" w:hAnsi="Arial" w:eastAsia="Arial" w:cs="Arial"/>
          <w:noProof w:val="0"/>
          <w:sz w:val="22"/>
          <w:szCs w:val="22"/>
          <w:lang w:val="en-GB"/>
        </w:rPr>
        <w:t xml:space="preserve"> are developed to provide clear direction for the project.</w:t>
      </w:r>
    </w:p>
    <w:p w:rsidR="4CDF2C43" w:rsidP="1C634A17" w:rsidRDefault="4CDF2C43" w14:paraId="4BE2971B" w14:textId="254A167A">
      <w:pPr>
        <w:spacing w:before="240" w:beforeAutospacing="off" w:after="240" w:afterAutospacing="off" w:line="360" w:lineRule="auto"/>
        <w:jc w:val="left"/>
        <w:rPr>
          <w:rFonts w:ascii="Arial" w:hAnsi="Arial" w:eastAsia="Arial" w:cs="Arial"/>
          <w:noProof w:val="0"/>
          <w:sz w:val="22"/>
          <w:szCs w:val="22"/>
          <w:lang w:val="en-GB"/>
        </w:rPr>
      </w:pPr>
      <w:r w:rsidRPr="1C634A17" w:rsidR="4CDF2C43">
        <w:rPr>
          <w:rFonts w:ascii="Arial" w:hAnsi="Arial" w:eastAsia="Arial" w:cs="Arial"/>
          <w:noProof w:val="0"/>
          <w:sz w:val="22"/>
          <w:szCs w:val="22"/>
          <w:lang w:val="en-GB"/>
        </w:rPr>
        <w:t xml:space="preserve">Key stakeholders are </w:t>
      </w:r>
      <w:r w:rsidRPr="1C634A17" w:rsidR="4CDF2C43">
        <w:rPr>
          <w:rFonts w:ascii="Arial" w:hAnsi="Arial" w:eastAsia="Arial" w:cs="Arial"/>
          <w:noProof w:val="0"/>
          <w:sz w:val="22"/>
          <w:szCs w:val="22"/>
          <w:lang w:val="en-GB"/>
        </w:rPr>
        <w:t>identified</w:t>
      </w:r>
      <w:r w:rsidRPr="1C634A17" w:rsidR="4CDF2C43">
        <w:rPr>
          <w:rFonts w:ascii="Arial" w:hAnsi="Arial" w:eastAsia="Arial" w:cs="Arial"/>
          <w:noProof w:val="0"/>
          <w:sz w:val="22"/>
          <w:szCs w:val="22"/>
          <w:lang w:val="en-GB"/>
        </w:rPr>
        <w:t xml:space="preserve"> and categorised into internal and external groups. Their roles, responsibilities, benefits, and challenges are critically analysed to highlight their importance in the project lifecycle. The report applies stakeholder engagement frameworks including Mendelow’s Matrix, RACI Matrix, communication planning, and engagement strategies.</w:t>
      </w:r>
    </w:p>
    <w:p w:rsidR="4CDF2C43" w:rsidP="1C634A17" w:rsidRDefault="4CDF2C43" w14:paraId="7C8E9E0A" w14:textId="0C0D847E">
      <w:pPr>
        <w:spacing w:before="240" w:beforeAutospacing="off" w:after="240" w:afterAutospacing="off" w:line="360" w:lineRule="auto"/>
        <w:jc w:val="left"/>
        <w:rPr>
          <w:rFonts w:ascii="Arial" w:hAnsi="Arial" w:eastAsia="Arial" w:cs="Arial"/>
          <w:noProof w:val="0"/>
          <w:sz w:val="22"/>
          <w:szCs w:val="22"/>
          <w:lang w:val="en-GB"/>
        </w:rPr>
      </w:pPr>
      <w:r w:rsidRPr="1C634A17" w:rsidR="4CDF2C43">
        <w:rPr>
          <w:rFonts w:ascii="Arial" w:hAnsi="Arial" w:eastAsia="Arial" w:cs="Arial"/>
          <w:noProof w:val="0"/>
          <w:sz w:val="22"/>
          <w:szCs w:val="22"/>
          <w:lang w:val="en-GB"/>
        </w:rPr>
        <w:t>A critical evaluation of stakeholder engagement is undertaken using the Four Cs model</w:t>
      </w:r>
      <w:r w:rsidRPr="1C634A17" w:rsidR="78BC3A61">
        <w:rPr>
          <w:rFonts w:ascii="Arial" w:hAnsi="Arial" w:eastAsia="Arial" w:cs="Arial"/>
          <w:noProof w:val="0"/>
          <w:sz w:val="22"/>
          <w:szCs w:val="22"/>
          <w:lang w:val="en-GB"/>
        </w:rPr>
        <w:t xml:space="preserve"> </w:t>
      </w:r>
      <w:r w:rsidRPr="1C634A17" w:rsidR="4CDF2C43">
        <w:rPr>
          <w:rFonts w:ascii="Arial" w:hAnsi="Arial" w:eastAsia="Arial" w:cs="Arial"/>
          <w:noProof w:val="0"/>
          <w:sz w:val="22"/>
          <w:szCs w:val="22"/>
          <w:lang w:val="en-GB"/>
        </w:rPr>
        <w:t xml:space="preserve">communication, coordination, cooperation, and collaboration (Ellis et al., 1991). This section also explores conflict management strategies and the role of the project manager in </w:t>
      </w:r>
      <w:r w:rsidRPr="1C634A17" w:rsidR="4CDF2C43">
        <w:rPr>
          <w:rFonts w:ascii="Arial" w:hAnsi="Arial" w:eastAsia="Arial" w:cs="Arial"/>
          <w:noProof w:val="0"/>
          <w:sz w:val="22"/>
          <w:szCs w:val="22"/>
          <w:lang w:val="en-GB"/>
        </w:rPr>
        <w:t>maintaining</w:t>
      </w:r>
      <w:r w:rsidRPr="1C634A17" w:rsidR="4CDF2C43">
        <w:rPr>
          <w:rFonts w:ascii="Arial" w:hAnsi="Arial" w:eastAsia="Arial" w:cs="Arial"/>
          <w:noProof w:val="0"/>
          <w:sz w:val="22"/>
          <w:szCs w:val="22"/>
          <w:lang w:val="en-GB"/>
        </w:rPr>
        <w:t xml:space="preserve"> alignment among stakeholders with competing interests.</w:t>
      </w:r>
    </w:p>
    <w:p w:rsidR="4CDF2C43" w:rsidP="1C634A17" w:rsidRDefault="4CDF2C43" w14:paraId="2926D334" w14:textId="6A817608">
      <w:pPr>
        <w:spacing w:before="240" w:beforeAutospacing="off" w:after="240" w:afterAutospacing="off" w:line="360" w:lineRule="auto"/>
        <w:jc w:val="left"/>
        <w:rPr>
          <w:rFonts w:ascii="Arial" w:hAnsi="Arial" w:eastAsia="Arial" w:cs="Arial"/>
          <w:noProof w:val="0"/>
          <w:sz w:val="22"/>
          <w:szCs w:val="22"/>
          <w:lang w:val="en-GB"/>
        </w:rPr>
      </w:pPr>
      <w:r w:rsidRPr="1C634A17" w:rsidR="4CDF2C43">
        <w:rPr>
          <w:rFonts w:ascii="Arial" w:hAnsi="Arial" w:eastAsia="Arial" w:cs="Arial"/>
          <w:noProof w:val="0"/>
          <w:sz w:val="22"/>
          <w:szCs w:val="22"/>
          <w:lang w:val="en-GB"/>
        </w:rPr>
        <w:t>Finally, the report evaluates the impact of stakeholder engagement on organisational performance and provides practical recommendations for improvement. The findings suggest that effective stakeholder engagement enhances decision-making, reduces risk, and improves overall project outcomes.</w:t>
      </w:r>
    </w:p>
    <w:p w:rsidR="48A39C18" w:rsidP="1C634A17" w:rsidRDefault="48A39C18" w14:paraId="38187784" w14:textId="2A799E92">
      <w:pPr>
        <w:pStyle w:val="Normal"/>
        <w:spacing w:line="360" w:lineRule="auto"/>
        <w:rPr>
          <w:rFonts w:ascii="Arial" w:hAnsi="Arial" w:eastAsia="Arial" w:cs="Arial"/>
          <w:b w:val="1"/>
          <w:bCs w:val="1"/>
          <w:noProof w:val="0"/>
          <w:sz w:val="22"/>
          <w:szCs w:val="22"/>
          <w:u w:val="single"/>
          <w:lang w:val="en-GB"/>
        </w:rPr>
      </w:pPr>
      <w:r w:rsidRPr="1C634A17" w:rsidR="48A39C18">
        <w:rPr>
          <w:rFonts w:ascii="Arial" w:hAnsi="Arial" w:eastAsia="Arial" w:cs="Arial"/>
          <w:b w:val="1"/>
          <w:bCs w:val="1"/>
          <w:noProof w:val="0"/>
          <w:sz w:val="22"/>
          <w:szCs w:val="22"/>
          <w:u w:val="single"/>
          <w:lang w:val="en-GB"/>
        </w:rPr>
        <w:t xml:space="preserve">Introduction to Fitbit </w:t>
      </w:r>
    </w:p>
    <w:p w:rsidR="48A39C18" w:rsidP="1C634A17" w:rsidRDefault="48A39C18" w14:paraId="2A33BAB9" w14:textId="50A1DA61">
      <w:pPr>
        <w:spacing w:before="240" w:beforeAutospacing="off" w:after="240" w:afterAutospacing="off" w:line="360" w:lineRule="auto"/>
        <w:jc w:val="left"/>
        <w:rPr>
          <w:rFonts w:ascii="Arial" w:hAnsi="Arial" w:eastAsia="Arial" w:cs="Arial"/>
          <w:noProof w:val="0"/>
          <w:sz w:val="22"/>
          <w:szCs w:val="22"/>
          <w:lang w:val="en-GB"/>
        </w:rPr>
      </w:pPr>
      <w:r w:rsidRPr="1C634A17" w:rsidR="48A39C18">
        <w:rPr>
          <w:rFonts w:ascii="Arial" w:hAnsi="Arial" w:eastAsia="Arial" w:cs="Arial"/>
          <w:noProof w:val="0"/>
          <w:sz w:val="22"/>
          <w:szCs w:val="22"/>
          <w:lang w:val="en-GB"/>
        </w:rPr>
        <w:t xml:space="preserve">Fitbit is a leading global provider of wearable health technology, founded in 2007 and </w:t>
      </w:r>
      <w:r w:rsidRPr="1C634A17" w:rsidR="48A39C18">
        <w:rPr>
          <w:rFonts w:ascii="Arial" w:hAnsi="Arial" w:eastAsia="Arial" w:cs="Arial"/>
          <w:noProof w:val="0"/>
          <w:sz w:val="22"/>
          <w:szCs w:val="22"/>
          <w:lang w:val="en-GB"/>
        </w:rPr>
        <w:t>acquired</w:t>
      </w:r>
      <w:r w:rsidRPr="1C634A17" w:rsidR="48A39C18">
        <w:rPr>
          <w:rFonts w:ascii="Arial" w:hAnsi="Arial" w:eastAsia="Arial" w:cs="Arial"/>
          <w:noProof w:val="0"/>
          <w:sz w:val="22"/>
          <w:szCs w:val="22"/>
          <w:lang w:val="en-GB"/>
        </w:rPr>
        <w:t xml:space="preserve"> by Google in 2021. The company designs and manufactures wearable devices such as fitness trackers and smartwatches that allow users to </w:t>
      </w:r>
      <w:r w:rsidRPr="1C634A17" w:rsidR="48A39C18">
        <w:rPr>
          <w:rFonts w:ascii="Arial" w:hAnsi="Arial" w:eastAsia="Arial" w:cs="Arial"/>
          <w:noProof w:val="0"/>
          <w:sz w:val="22"/>
          <w:szCs w:val="22"/>
          <w:lang w:val="en-GB"/>
        </w:rPr>
        <w:t>monitor</w:t>
      </w:r>
      <w:r w:rsidRPr="1C634A17" w:rsidR="48A39C18">
        <w:rPr>
          <w:rFonts w:ascii="Arial" w:hAnsi="Arial" w:eastAsia="Arial" w:cs="Arial"/>
          <w:noProof w:val="0"/>
          <w:sz w:val="22"/>
          <w:szCs w:val="22"/>
          <w:lang w:val="en-GB"/>
        </w:rPr>
        <w:t xml:space="preserve"> key health metrics, including heart rate, physical activity, and sleep patterns.</w:t>
      </w:r>
    </w:p>
    <w:p w:rsidR="48A39C18" w:rsidP="1C634A17" w:rsidRDefault="48A39C18" w14:paraId="11937582" w14:textId="6460CDFF">
      <w:pPr>
        <w:pStyle w:val="Normal"/>
        <w:spacing w:before="240" w:beforeAutospacing="off" w:after="240" w:afterAutospacing="off" w:line="360" w:lineRule="auto"/>
        <w:jc w:val="left"/>
        <w:rPr>
          <w:rFonts w:ascii="Arial" w:hAnsi="Arial" w:eastAsia="Arial" w:cs="Arial"/>
          <w:noProof w:val="0"/>
          <w:sz w:val="22"/>
          <w:szCs w:val="22"/>
          <w:lang w:val="en-GB"/>
        </w:rPr>
      </w:pPr>
      <w:r w:rsidRPr="1C634A17" w:rsidR="48A39C18">
        <w:rPr>
          <w:rFonts w:ascii="Arial" w:hAnsi="Arial" w:eastAsia="Arial" w:cs="Arial"/>
          <w:noProof w:val="0"/>
          <w:sz w:val="22"/>
          <w:szCs w:val="22"/>
          <w:lang w:val="en-GB"/>
        </w:rPr>
        <w:t xml:space="preserve">Fitbit </w:t>
      </w:r>
      <w:r w:rsidRPr="1C634A17" w:rsidR="48A39C18">
        <w:rPr>
          <w:rFonts w:ascii="Arial" w:hAnsi="Arial" w:eastAsia="Arial" w:cs="Arial"/>
          <w:noProof w:val="0"/>
          <w:sz w:val="22"/>
          <w:szCs w:val="22"/>
          <w:lang w:val="en-GB"/>
        </w:rPr>
        <w:t>operates</w:t>
      </w:r>
      <w:r w:rsidRPr="1C634A17" w:rsidR="48A39C18">
        <w:rPr>
          <w:rFonts w:ascii="Arial" w:hAnsi="Arial" w:eastAsia="Arial" w:cs="Arial"/>
          <w:noProof w:val="0"/>
          <w:sz w:val="22"/>
          <w:szCs w:val="22"/>
          <w:lang w:val="en-GB"/>
        </w:rPr>
        <w:t xml:space="preserve"> in a highly competitive global market, particularly in the United Kingdom, where demand for health monitoring devices has increased significantly</w:t>
      </w:r>
      <w:r w:rsidRPr="1C634A17" w:rsidR="74A13EEF">
        <w:rPr>
          <w:rFonts w:ascii="Arial" w:hAnsi="Arial" w:eastAsia="Arial" w:cs="Arial"/>
          <w:noProof w:val="0"/>
          <w:sz w:val="22"/>
          <w:szCs w:val="22"/>
          <w:lang w:val="en-GB"/>
        </w:rPr>
        <w:t xml:space="preserve"> (</w:t>
      </w:r>
      <w:r w:rsidRPr="1C634A17" w:rsidR="74A13EEF">
        <w:rPr>
          <w:rFonts w:ascii="Arial" w:hAnsi="Arial" w:eastAsia="Arial" w:cs="Arial"/>
          <w:noProof w:val="0"/>
          <w:sz w:val="22"/>
          <w:szCs w:val="22"/>
          <w:lang w:val="en-GB"/>
        </w:rPr>
        <w:t>World Health Organization</w:t>
      </w:r>
      <w:r w:rsidRPr="1C634A17" w:rsidR="7ACA8AC1">
        <w:rPr>
          <w:rFonts w:ascii="Arial" w:hAnsi="Arial" w:eastAsia="Arial" w:cs="Arial"/>
          <w:noProof w:val="0"/>
          <w:sz w:val="22"/>
          <w:szCs w:val="22"/>
          <w:lang w:val="en-GB"/>
        </w:rPr>
        <w:t xml:space="preserve">, </w:t>
      </w:r>
      <w:r w:rsidRPr="1C634A17" w:rsidR="74A13EEF">
        <w:rPr>
          <w:rFonts w:ascii="Arial" w:hAnsi="Arial" w:eastAsia="Arial" w:cs="Arial"/>
          <w:noProof w:val="0"/>
          <w:sz w:val="22"/>
          <w:szCs w:val="22"/>
          <w:lang w:val="en-GB"/>
        </w:rPr>
        <w:t xml:space="preserve">2022). </w:t>
      </w:r>
      <w:r w:rsidRPr="1C634A17" w:rsidR="48A39C18">
        <w:rPr>
          <w:rFonts w:ascii="Arial" w:hAnsi="Arial" w:eastAsia="Arial" w:cs="Arial"/>
          <w:noProof w:val="0"/>
          <w:sz w:val="22"/>
          <w:szCs w:val="22"/>
          <w:lang w:val="en-GB"/>
        </w:rPr>
        <w:t>The company’s integration with Google has enhanced its technological capabilities, particularly in artificial intelligence and data analytics, enabling more personalised health insights (Deloitte, 2023).</w:t>
      </w:r>
    </w:p>
    <w:p w:rsidR="48A39C18" w:rsidP="1C634A17" w:rsidRDefault="48A39C18" w14:paraId="50637ACF" w14:textId="6934F1F2">
      <w:pPr>
        <w:spacing w:before="240" w:beforeAutospacing="off" w:after="240" w:afterAutospacing="off" w:line="360" w:lineRule="auto"/>
        <w:jc w:val="left"/>
        <w:rPr>
          <w:rFonts w:ascii="Arial" w:hAnsi="Arial" w:eastAsia="Arial" w:cs="Arial"/>
          <w:noProof w:val="0"/>
          <w:sz w:val="22"/>
          <w:szCs w:val="22"/>
          <w:lang w:val="en-GB"/>
        </w:rPr>
      </w:pPr>
      <w:r w:rsidRPr="1C634A17" w:rsidR="48A39C18">
        <w:rPr>
          <w:rFonts w:ascii="Arial" w:hAnsi="Arial" w:eastAsia="Arial" w:cs="Arial"/>
          <w:noProof w:val="0"/>
          <w:sz w:val="22"/>
          <w:szCs w:val="22"/>
          <w:lang w:val="en-GB"/>
        </w:rPr>
        <w:t>This report focuses on a new project involving the development and launch of a wearable device capable of tracking heart rate, blood oxygen levels, and sleep patterns. The device is intended to meet increasing demand for preventative healthcare solutions, particularly in a post-pandemic context where individuals are more health-conscious (Statista, 2024).</w:t>
      </w:r>
    </w:p>
    <w:p w:rsidR="48A39C18" w:rsidP="1C634A17" w:rsidRDefault="48A39C18" w14:paraId="446C0607" w14:textId="4C7D7772">
      <w:pPr>
        <w:spacing w:before="240" w:beforeAutospacing="off" w:after="240" w:afterAutospacing="off" w:line="360" w:lineRule="auto"/>
        <w:jc w:val="left"/>
        <w:rPr>
          <w:rFonts w:ascii="Arial" w:hAnsi="Arial" w:eastAsia="Arial" w:cs="Arial"/>
          <w:noProof w:val="0"/>
          <w:sz w:val="22"/>
          <w:szCs w:val="22"/>
          <w:lang w:val="en-GB"/>
        </w:rPr>
      </w:pPr>
      <w:r w:rsidRPr="1C634A17" w:rsidR="48A39C18">
        <w:rPr>
          <w:rFonts w:ascii="Arial" w:hAnsi="Arial" w:eastAsia="Arial" w:cs="Arial"/>
          <w:noProof w:val="0"/>
          <w:sz w:val="22"/>
          <w:szCs w:val="22"/>
          <w:lang w:val="en-GB"/>
        </w:rPr>
        <w:t xml:space="preserve">The project must be completed within six months, requiring efficient planning and effective stakeholder engagement. </w:t>
      </w:r>
      <w:r w:rsidRPr="1C634A17" w:rsidR="48A39C18">
        <w:rPr>
          <w:rFonts w:ascii="Arial" w:hAnsi="Arial" w:eastAsia="Arial" w:cs="Arial"/>
          <w:noProof w:val="0"/>
          <w:sz w:val="22"/>
          <w:szCs w:val="22"/>
          <w:lang w:val="en-GB"/>
        </w:rPr>
        <w:t>As project manager, the focus</w:t>
      </w:r>
      <w:r w:rsidRPr="1C634A17" w:rsidR="48A39C18">
        <w:rPr>
          <w:rFonts w:ascii="Arial" w:hAnsi="Arial" w:eastAsia="Arial" w:cs="Arial"/>
          <w:noProof w:val="0"/>
          <w:sz w:val="22"/>
          <w:szCs w:val="22"/>
          <w:lang w:val="en-GB"/>
        </w:rPr>
        <w:t xml:space="preserve"> is on ensuring that all stakeholders contribute positively to the project while minimising potential conflicts and risks.</w:t>
      </w:r>
    </w:p>
    <w:p w:rsidR="340D72D9" w:rsidP="1C634A17" w:rsidRDefault="340D72D9" w14:paraId="3BC102DA" w14:textId="1926AE36">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1C634A17" w:rsidR="340D72D9">
        <w:rPr>
          <w:rFonts w:ascii="Arial" w:hAnsi="Arial" w:eastAsia="Arial" w:cs="Arial"/>
          <w:b w:val="1"/>
          <w:bCs w:val="1"/>
          <w:noProof w:val="0"/>
          <w:sz w:val="22"/>
          <w:szCs w:val="22"/>
          <w:u w:val="single"/>
          <w:lang w:val="en-GB"/>
        </w:rPr>
        <w:t>Situational Analysis (SWOT, PESTLE, SMART)</w:t>
      </w:r>
    </w:p>
    <w:p w:rsidR="340D72D9" w:rsidP="1C634A17" w:rsidRDefault="340D72D9" w14:paraId="5ED8FE12" w14:textId="6A942AA1">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1C634A17" w:rsidR="340D72D9">
        <w:rPr>
          <w:rFonts w:ascii="Arial" w:hAnsi="Arial" w:eastAsia="Arial" w:cs="Arial"/>
          <w:b w:val="1"/>
          <w:bCs w:val="1"/>
          <w:noProof w:val="0"/>
          <w:sz w:val="22"/>
          <w:szCs w:val="22"/>
          <w:u w:val="single"/>
          <w:lang w:val="en-GB"/>
        </w:rPr>
        <w:t>SWOT</w:t>
      </w:r>
    </w:p>
    <w:tbl>
      <w:tblPr>
        <w:tblStyle w:val="TableGrid"/>
        <w:bidiVisual w:val="0"/>
        <w:tblW w:w="0" w:type="auto"/>
        <w:tblLook w:val="06A0" w:firstRow="1" w:lastRow="0" w:firstColumn="1" w:lastColumn="0" w:noHBand="1" w:noVBand="1"/>
      </w:tblPr>
      <w:tblGrid>
        <w:gridCol w:w="4707"/>
        <w:gridCol w:w="4427"/>
      </w:tblGrid>
      <w:tr w:rsidR="1C634A17" w:rsidTr="1C634A17" w14:paraId="716414DD">
        <w:trPr>
          <w:trHeight w:val="300"/>
        </w:trPr>
        <w:tc>
          <w:tcPr>
            <w:tcW w:w="4707" w:type="dxa"/>
            <w:tcMar/>
          </w:tcPr>
          <w:p w:rsidR="1C634A17" w:rsidP="1C634A17" w:rsidRDefault="1C634A17" w14:paraId="30028496" w14:textId="37E4A78A">
            <w:pPr>
              <w:spacing w:before="0" w:beforeAutospacing="off" w:after="0" w:afterAutospacing="off" w:line="360" w:lineRule="auto"/>
              <w:jc w:val="center"/>
              <w:rPr>
                <w:b w:val="1"/>
                <w:bCs w:val="1"/>
                <w:sz w:val="22"/>
                <w:szCs w:val="22"/>
              </w:rPr>
            </w:pPr>
            <w:r w:rsidRPr="1C634A17" w:rsidR="1C634A17">
              <w:rPr>
                <w:b w:val="1"/>
                <w:bCs w:val="1"/>
                <w:sz w:val="22"/>
                <w:szCs w:val="22"/>
              </w:rPr>
              <w:t>Strengths</w:t>
            </w:r>
          </w:p>
        </w:tc>
        <w:tc>
          <w:tcPr>
            <w:tcW w:w="4427" w:type="dxa"/>
            <w:tcMar/>
          </w:tcPr>
          <w:p w:rsidR="1C634A17" w:rsidP="1C634A17" w:rsidRDefault="1C634A17" w14:paraId="57448C43" w14:textId="7F4A79A9">
            <w:pPr>
              <w:spacing w:before="0" w:beforeAutospacing="off" w:after="0" w:afterAutospacing="off" w:line="360" w:lineRule="auto"/>
              <w:jc w:val="center"/>
              <w:rPr>
                <w:b w:val="1"/>
                <w:bCs w:val="1"/>
                <w:sz w:val="22"/>
                <w:szCs w:val="22"/>
              </w:rPr>
            </w:pPr>
            <w:r w:rsidRPr="1C634A17" w:rsidR="1C634A17">
              <w:rPr>
                <w:b w:val="1"/>
                <w:bCs w:val="1"/>
                <w:sz w:val="22"/>
                <w:szCs w:val="22"/>
              </w:rPr>
              <w:t>Weaknesses</w:t>
            </w:r>
          </w:p>
        </w:tc>
      </w:tr>
      <w:tr w:rsidR="1C634A17" w:rsidTr="1C634A17" w14:paraId="76CB3536">
        <w:trPr>
          <w:trHeight w:val="465"/>
        </w:trPr>
        <w:tc>
          <w:tcPr>
            <w:tcW w:w="4707" w:type="dxa"/>
            <w:tcMar/>
          </w:tcPr>
          <w:p w:rsidR="1C634A17" w:rsidP="1C634A17" w:rsidRDefault="1C634A17" w14:paraId="1DD90D3D" w14:textId="7B3706FC">
            <w:pPr>
              <w:spacing w:before="0" w:beforeAutospacing="off" w:after="0" w:afterAutospacing="off" w:line="360" w:lineRule="auto"/>
              <w:rPr>
                <w:sz w:val="22"/>
                <w:szCs w:val="22"/>
              </w:rPr>
            </w:pPr>
            <w:r w:rsidRPr="1C634A17" w:rsidR="1C634A17">
              <w:rPr>
                <w:sz w:val="22"/>
                <w:szCs w:val="22"/>
              </w:rPr>
              <w:t>Strong global brand and customer loyalty</w:t>
            </w:r>
          </w:p>
        </w:tc>
        <w:tc>
          <w:tcPr>
            <w:tcW w:w="4427" w:type="dxa"/>
            <w:tcMar/>
          </w:tcPr>
          <w:p w:rsidR="1C634A17" w:rsidP="1C634A17" w:rsidRDefault="1C634A17" w14:paraId="7E47FA38" w14:textId="03BFDFBB">
            <w:pPr>
              <w:spacing w:before="0" w:beforeAutospacing="off" w:after="0" w:afterAutospacing="off" w:line="360" w:lineRule="auto"/>
              <w:rPr>
                <w:sz w:val="22"/>
                <w:szCs w:val="22"/>
              </w:rPr>
            </w:pPr>
            <w:r w:rsidRPr="1C634A17" w:rsidR="1C634A17">
              <w:rPr>
                <w:sz w:val="22"/>
                <w:szCs w:val="22"/>
              </w:rPr>
              <w:t>Concerns over data privacy</w:t>
            </w:r>
          </w:p>
        </w:tc>
      </w:tr>
      <w:tr w:rsidR="1C634A17" w:rsidTr="1C634A17" w14:paraId="55A2FC5F">
        <w:trPr>
          <w:trHeight w:val="600"/>
        </w:trPr>
        <w:tc>
          <w:tcPr>
            <w:tcW w:w="4707" w:type="dxa"/>
            <w:tcMar/>
          </w:tcPr>
          <w:p w:rsidR="1C634A17" w:rsidP="1C634A17" w:rsidRDefault="1C634A17" w14:paraId="59E26EEE" w14:textId="356A937A">
            <w:pPr>
              <w:spacing w:before="0" w:beforeAutospacing="off" w:after="0" w:afterAutospacing="off" w:line="360" w:lineRule="auto"/>
              <w:rPr>
                <w:sz w:val="22"/>
                <w:szCs w:val="22"/>
              </w:rPr>
            </w:pPr>
            <w:r w:rsidRPr="1C634A17" w:rsidR="1C634A17">
              <w:rPr>
                <w:sz w:val="22"/>
                <w:szCs w:val="22"/>
              </w:rPr>
              <w:t>Backing of Google (advanced AI &amp; analytics)</w:t>
            </w:r>
          </w:p>
        </w:tc>
        <w:tc>
          <w:tcPr>
            <w:tcW w:w="4427" w:type="dxa"/>
            <w:tcMar/>
          </w:tcPr>
          <w:p w:rsidR="1C634A17" w:rsidP="1C634A17" w:rsidRDefault="1C634A17" w14:paraId="66136B18" w14:textId="25520C61">
            <w:pPr>
              <w:spacing w:before="0" w:beforeAutospacing="off" w:after="0" w:afterAutospacing="off" w:line="360" w:lineRule="auto"/>
              <w:rPr>
                <w:sz w:val="22"/>
                <w:szCs w:val="22"/>
              </w:rPr>
            </w:pPr>
            <w:r w:rsidRPr="1C634A17" w:rsidR="1C634A17">
              <w:rPr>
                <w:sz w:val="22"/>
                <w:szCs w:val="22"/>
              </w:rPr>
              <w:t>Dependence on hardware sales</w:t>
            </w:r>
          </w:p>
        </w:tc>
      </w:tr>
      <w:tr w:rsidR="1C634A17" w:rsidTr="1C634A17" w14:paraId="1F62E682">
        <w:trPr>
          <w:trHeight w:val="450"/>
        </w:trPr>
        <w:tc>
          <w:tcPr>
            <w:tcW w:w="4707" w:type="dxa"/>
            <w:tcMar/>
          </w:tcPr>
          <w:p w:rsidR="1C634A17" w:rsidP="1C634A17" w:rsidRDefault="1C634A17" w14:paraId="01D86100" w14:textId="2EA372D6">
            <w:pPr>
              <w:spacing w:before="0" w:beforeAutospacing="off" w:after="0" w:afterAutospacing="off" w:line="360" w:lineRule="auto"/>
              <w:rPr>
                <w:sz w:val="22"/>
                <w:szCs w:val="22"/>
              </w:rPr>
            </w:pPr>
            <w:r w:rsidRPr="1C634A17" w:rsidR="1C634A17">
              <w:rPr>
                <w:sz w:val="22"/>
                <w:szCs w:val="22"/>
              </w:rPr>
              <w:t xml:space="preserve">Established </w:t>
            </w:r>
            <w:r w:rsidRPr="1C634A17" w:rsidR="1C634A17">
              <w:rPr>
                <w:sz w:val="22"/>
                <w:szCs w:val="22"/>
              </w:rPr>
              <w:t>expertise</w:t>
            </w:r>
            <w:r w:rsidRPr="1C634A17" w:rsidR="1C634A17">
              <w:rPr>
                <w:sz w:val="22"/>
                <w:szCs w:val="22"/>
              </w:rPr>
              <w:t xml:space="preserve"> in wearables</w:t>
            </w:r>
          </w:p>
        </w:tc>
        <w:tc>
          <w:tcPr>
            <w:tcW w:w="4427" w:type="dxa"/>
            <w:tcMar/>
          </w:tcPr>
          <w:p w:rsidR="1C634A17" w:rsidP="1C634A17" w:rsidRDefault="1C634A17" w14:paraId="1E8859A3" w14:textId="416E97D7">
            <w:pPr>
              <w:spacing w:before="0" w:beforeAutospacing="off" w:after="0" w:afterAutospacing="off" w:line="360" w:lineRule="auto"/>
              <w:rPr>
                <w:sz w:val="22"/>
                <w:szCs w:val="22"/>
              </w:rPr>
            </w:pPr>
            <w:r w:rsidRPr="1C634A17" w:rsidR="1C634A17">
              <w:rPr>
                <w:sz w:val="22"/>
                <w:szCs w:val="22"/>
              </w:rPr>
              <w:t>Limited innovation vs Apple</w:t>
            </w:r>
          </w:p>
        </w:tc>
      </w:tr>
      <w:tr w:rsidR="1C634A17" w:rsidTr="1C634A17" w14:paraId="35A8278A">
        <w:trPr>
          <w:trHeight w:val="300"/>
        </w:trPr>
        <w:tc>
          <w:tcPr>
            <w:tcW w:w="4707" w:type="dxa"/>
            <w:tcMar/>
            <w:vAlign w:val="center"/>
          </w:tcPr>
          <w:p w:rsidR="1C634A17" w:rsidP="1C634A17" w:rsidRDefault="1C634A17" w14:paraId="44C099AE" w14:textId="6D934311">
            <w:pPr>
              <w:spacing w:before="0" w:beforeAutospacing="off" w:after="0" w:afterAutospacing="off" w:line="360" w:lineRule="auto"/>
              <w:jc w:val="center"/>
              <w:rPr>
                <w:b w:val="1"/>
                <w:bCs w:val="1"/>
                <w:sz w:val="22"/>
                <w:szCs w:val="22"/>
              </w:rPr>
            </w:pPr>
            <w:r w:rsidRPr="1C634A17" w:rsidR="1C634A17">
              <w:rPr>
                <w:b w:val="1"/>
                <w:bCs w:val="1"/>
                <w:sz w:val="22"/>
                <w:szCs w:val="22"/>
              </w:rPr>
              <w:t>Opportunities</w:t>
            </w:r>
          </w:p>
        </w:tc>
        <w:tc>
          <w:tcPr>
            <w:tcW w:w="4427" w:type="dxa"/>
            <w:tcMar/>
            <w:vAlign w:val="center"/>
          </w:tcPr>
          <w:p w:rsidR="1C634A17" w:rsidP="1C634A17" w:rsidRDefault="1C634A17" w14:paraId="531DDB13" w14:textId="6C876480">
            <w:pPr>
              <w:spacing w:before="0" w:beforeAutospacing="off" w:after="0" w:afterAutospacing="off" w:line="360" w:lineRule="auto"/>
              <w:jc w:val="center"/>
              <w:rPr>
                <w:b w:val="1"/>
                <w:bCs w:val="1"/>
                <w:sz w:val="22"/>
                <w:szCs w:val="22"/>
              </w:rPr>
            </w:pPr>
            <w:r w:rsidRPr="1C634A17" w:rsidR="1C634A17">
              <w:rPr>
                <w:b w:val="1"/>
                <w:bCs w:val="1"/>
                <w:sz w:val="22"/>
                <w:szCs w:val="22"/>
              </w:rPr>
              <w:t>Threats</w:t>
            </w:r>
          </w:p>
        </w:tc>
      </w:tr>
      <w:tr w:rsidR="1C634A17" w:rsidTr="1C634A17" w14:paraId="44AE822D">
        <w:trPr>
          <w:trHeight w:val="630"/>
        </w:trPr>
        <w:tc>
          <w:tcPr>
            <w:tcW w:w="4707" w:type="dxa"/>
            <w:tcMar/>
            <w:vAlign w:val="center"/>
          </w:tcPr>
          <w:p w:rsidR="1C634A17" w:rsidP="1C634A17" w:rsidRDefault="1C634A17" w14:paraId="6E60F236" w14:textId="1D7F4250">
            <w:pPr>
              <w:spacing w:before="0" w:beforeAutospacing="off" w:after="0" w:afterAutospacing="off" w:line="360" w:lineRule="auto"/>
              <w:rPr>
                <w:sz w:val="22"/>
                <w:szCs w:val="22"/>
              </w:rPr>
            </w:pPr>
            <w:r w:rsidRPr="1C634A17" w:rsidR="1C634A17">
              <w:rPr>
                <w:sz w:val="22"/>
                <w:szCs w:val="22"/>
              </w:rPr>
              <w:t>Growth in digital health and remote monitoring</w:t>
            </w:r>
          </w:p>
        </w:tc>
        <w:tc>
          <w:tcPr>
            <w:tcW w:w="4427" w:type="dxa"/>
            <w:tcMar/>
            <w:vAlign w:val="center"/>
          </w:tcPr>
          <w:p w:rsidR="1C634A17" w:rsidP="1C634A17" w:rsidRDefault="1C634A17" w14:paraId="2C67DBCB" w14:textId="161831CA">
            <w:pPr>
              <w:spacing w:before="0" w:beforeAutospacing="off" w:after="0" w:afterAutospacing="off" w:line="360" w:lineRule="auto"/>
              <w:rPr>
                <w:sz w:val="22"/>
                <w:szCs w:val="22"/>
              </w:rPr>
            </w:pPr>
            <w:r w:rsidRPr="1C634A17" w:rsidR="1C634A17">
              <w:rPr>
                <w:sz w:val="22"/>
                <w:szCs w:val="22"/>
              </w:rPr>
              <w:t>Strong competition</w:t>
            </w:r>
            <w:r w:rsidRPr="1C634A17" w:rsidR="1C634A17">
              <w:rPr>
                <w:sz w:val="22"/>
                <w:szCs w:val="22"/>
              </w:rPr>
              <w:t xml:space="preserve"> from Apple &amp; Garmin</w:t>
            </w:r>
          </w:p>
        </w:tc>
      </w:tr>
      <w:tr w:rsidR="1C634A17" w:rsidTr="1C634A17" w14:paraId="27214E12">
        <w:trPr>
          <w:trHeight w:val="435"/>
        </w:trPr>
        <w:tc>
          <w:tcPr>
            <w:tcW w:w="4707" w:type="dxa"/>
            <w:tcMar/>
            <w:vAlign w:val="center"/>
          </w:tcPr>
          <w:p w:rsidR="1C634A17" w:rsidP="1C634A17" w:rsidRDefault="1C634A17" w14:paraId="0EA8C24C" w14:textId="16D8DDC1">
            <w:pPr>
              <w:spacing w:before="0" w:beforeAutospacing="off" w:after="0" w:afterAutospacing="off" w:line="360" w:lineRule="auto"/>
              <w:rPr>
                <w:sz w:val="22"/>
                <w:szCs w:val="22"/>
              </w:rPr>
            </w:pPr>
            <w:r w:rsidRPr="1C634A17" w:rsidR="1C634A17">
              <w:rPr>
                <w:sz w:val="22"/>
                <w:szCs w:val="22"/>
              </w:rPr>
              <w:t>NHS integration opportunities</w:t>
            </w:r>
          </w:p>
        </w:tc>
        <w:tc>
          <w:tcPr>
            <w:tcW w:w="4427" w:type="dxa"/>
            <w:tcMar/>
            <w:vAlign w:val="center"/>
          </w:tcPr>
          <w:p w:rsidR="1C634A17" w:rsidP="1C634A17" w:rsidRDefault="1C634A17" w14:paraId="3D2362EF" w14:textId="422A41D7">
            <w:pPr>
              <w:spacing w:before="0" w:beforeAutospacing="off" w:after="0" w:afterAutospacing="off" w:line="360" w:lineRule="auto"/>
              <w:rPr>
                <w:sz w:val="22"/>
                <w:szCs w:val="22"/>
              </w:rPr>
            </w:pPr>
            <w:r w:rsidRPr="1C634A17" w:rsidR="1C634A17">
              <w:rPr>
                <w:sz w:val="22"/>
                <w:szCs w:val="22"/>
              </w:rPr>
              <w:t>Strict GDPR and health regulations</w:t>
            </w:r>
          </w:p>
        </w:tc>
      </w:tr>
      <w:tr w:rsidR="1C634A17" w:rsidTr="1C634A17" w14:paraId="0221563E">
        <w:trPr>
          <w:trHeight w:val="510"/>
        </w:trPr>
        <w:tc>
          <w:tcPr>
            <w:tcW w:w="4707" w:type="dxa"/>
            <w:tcMar/>
            <w:vAlign w:val="center"/>
          </w:tcPr>
          <w:p w:rsidR="1C634A17" w:rsidP="1C634A17" w:rsidRDefault="1C634A17" w14:paraId="104935B2" w14:textId="451A6816">
            <w:pPr>
              <w:spacing w:before="0" w:beforeAutospacing="off" w:after="0" w:afterAutospacing="off" w:line="360" w:lineRule="auto"/>
              <w:rPr>
                <w:sz w:val="22"/>
                <w:szCs w:val="22"/>
              </w:rPr>
            </w:pPr>
            <w:r w:rsidRPr="1C634A17" w:rsidR="1C634A17">
              <w:rPr>
                <w:sz w:val="22"/>
                <w:szCs w:val="22"/>
              </w:rPr>
              <w:t>Increased consumer health awareness</w:t>
            </w:r>
          </w:p>
        </w:tc>
        <w:tc>
          <w:tcPr>
            <w:tcW w:w="4427" w:type="dxa"/>
            <w:tcMar/>
            <w:vAlign w:val="center"/>
          </w:tcPr>
          <w:p w:rsidR="1C634A17" w:rsidP="1C634A17" w:rsidRDefault="1C634A17" w14:paraId="64A81B6E" w14:textId="2E58038F">
            <w:pPr>
              <w:spacing w:before="0" w:beforeAutospacing="off" w:after="0" w:afterAutospacing="off" w:line="360" w:lineRule="auto"/>
              <w:rPr>
                <w:sz w:val="22"/>
                <w:szCs w:val="22"/>
              </w:rPr>
            </w:pPr>
            <w:r w:rsidRPr="1C634A17" w:rsidR="1C634A17">
              <w:rPr>
                <w:sz w:val="22"/>
                <w:szCs w:val="22"/>
              </w:rPr>
              <w:t>Rapid technological change</w:t>
            </w:r>
          </w:p>
        </w:tc>
      </w:tr>
    </w:tbl>
    <w:p w:rsidR="6B464C21" w:rsidP="1C634A17" w:rsidRDefault="6B464C21" w14:paraId="24DAF1B5" w14:textId="1CA58B23">
      <w:pPr>
        <w:spacing w:before="240" w:beforeAutospacing="off" w:after="240" w:afterAutospacing="off" w:line="360" w:lineRule="auto"/>
        <w:jc w:val="left"/>
        <w:rPr>
          <w:rFonts w:ascii="Arial" w:hAnsi="Arial" w:eastAsia="Arial" w:cs="Arial"/>
          <w:noProof w:val="0"/>
          <w:sz w:val="22"/>
          <w:szCs w:val="22"/>
          <w:lang w:val="en-GB"/>
        </w:rPr>
      </w:pPr>
      <w:r w:rsidRPr="1C634A17" w:rsidR="6B464C21">
        <w:rPr>
          <w:rFonts w:ascii="Arial" w:hAnsi="Arial" w:eastAsia="Arial" w:cs="Arial"/>
          <w:noProof w:val="0"/>
          <w:sz w:val="22"/>
          <w:szCs w:val="22"/>
          <w:lang w:val="en-GB"/>
        </w:rPr>
        <w:t xml:space="preserve">The SWOT analysis highlights Fitbit’s strong position in the wearable technology market, particularly due to its integration with Google, which enhances its technological capabilities. This strength allows Fitbit to </w:t>
      </w:r>
      <w:r w:rsidRPr="1C634A17" w:rsidR="6B464C21">
        <w:rPr>
          <w:rFonts w:ascii="Arial" w:hAnsi="Arial" w:eastAsia="Arial" w:cs="Arial"/>
          <w:noProof w:val="0"/>
          <w:sz w:val="22"/>
          <w:szCs w:val="22"/>
          <w:lang w:val="en-GB"/>
        </w:rPr>
        <w:t>leverage</w:t>
      </w:r>
      <w:r w:rsidRPr="1C634A17" w:rsidR="6B464C21">
        <w:rPr>
          <w:rFonts w:ascii="Arial" w:hAnsi="Arial" w:eastAsia="Arial" w:cs="Arial"/>
          <w:noProof w:val="0"/>
          <w:sz w:val="22"/>
          <w:szCs w:val="22"/>
          <w:lang w:val="en-GB"/>
        </w:rPr>
        <w:t xml:space="preserve"> big data and artificial intelligence to improve product functionality (Johnson et al., 2020).</w:t>
      </w:r>
    </w:p>
    <w:p w:rsidR="6B464C21" w:rsidP="1C634A17" w:rsidRDefault="6B464C21" w14:paraId="49742896" w14:textId="1A8E789E">
      <w:pPr>
        <w:spacing w:before="240" w:beforeAutospacing="off" w:after="240" w:afterAutospacing="off" w:line="360" w:lineRule="auto"/>
        <w:jc w:val="left"/>
        <w:rPr>
          <w:rFonts w:ascii="Arial" w:hAnsi="Arial" w:eastAsia="Arial" w:cs="Arial"/>
          <w:noProof w:val="0"/>
          <w:sz w:val="22"/>
          <w:szCs w:val="22"/>
          <w:lang w:val="en-GB"/>
        </w:rPr>
      </w:pPr>
      <w:r w:rsidRPr="1C634A17" w:rsidR="6B464C21">
        <w:rPr>
          <w:rFonts w:ascii="Arial" w:hAnsi="Arial" w:eastAsia="Arial" w:cs="Arial"/>
          <w:noProof w:val="0"/>
          <w:sz w:val="22"/>
          <w:szCs w:val="22"/>
          <w:lang w:val="en-GB"/>
        </w:rPr>
        <w:t xml:space="preserve">However, weaknesses such as data privacy concerns are particularly significant in the healthcare sector. Consumers are increasingly aware of how their data is used, and any perceived misuse could damage trust (Lupton, 2016). This </w:t>
      </w:r>
      <w:r w:rsidRPr="1C634A17" w:rsidR="6B464C21">
        <w:rPr>
          <w:rFonts w:ascii="Arial" w:hAnsi="Arial" w:eastAsia="Arial" w:cs="Arial"/>
          <w:noProof w:val="0"/>
          <w:sz w:val="22"/>
          <w:szCs w:val="22"/>
          <w:lang w:val="en-GB"/>
        </w:rPr>
        <w:t>represents</w:t>
      </w:r>
      <w:r w:rsidRPr="1C634A17" w:rsidR="6B464C21">
        <w:rPr>
          <w:rFonts w:ascii="Arial" w:hAnsi="Arial" w:eastAsia="Arial" w:cs="Arial"/>
          <w:noProof w:val="0"/>
          <w:sz w:val="22"/>
          <w:szCs w:val="22"/>
          <w:lang w:val="en-GB"/>
        </w:rPr>
        <w:t xml:space="preserve"> a critical challenge for stakeholder engagement, particularly with customers and regulators.</w:t>
      </w:r>
    </w:p>
    <w:p w:rsidR="6B464C21" w:rsidP="1C634A17" w:rsidRDefault="6B464C21" w14:paraId="44674B28" w14:textId="012F3B9F">
      <w:pPr>
        <w:spacing w:before="240" w:beforeAutospacing="off" w:after="240" w:afterAutospacing="off" w:line="360" w:lineRule="auto"/>
        <w:jc w:val="left"/>
        <w:rPr>
          <w:rFonts w:ascii="Arial" w:hAnsi="Arial" w:eastAsia="Arial" w:cs="Arial"/>
          <w:noProof w:val="0"/>
          <w:sz w:val="22"/>
          <w:szCs w:val="22"/>
          <w:lang w:val="en-GB"/>
        </w:rPr>
      </w:pPr>
      <w:r w:rsidRPr="1C634A17" w:rsidR="6B464C21">
        <w:rPr>
          <w:rFonts w:ascii="Arial" w:hAnsi="Arial" w:eastAsia="Arial" w:cs="Arial"/>
          <w:noProof w:val="0"/>
          <w:sz w:val="22"/>
          <w:szCs w:val="22"/>
          <w:lang w:val="en-GB"/>
        </w:rPr>
        <w:t xml:space="preserve">Opportunities in the digital health market are </w:t>
      </w:r>
      <w:r w:rsidRPr="1C634A17" w:rsidR="6B464C21">
        <w:rPr>
          <w:rFonts w:ascii="Arial" w:hAnsi="Arial" w:eastAsia="Arial" w:cs="Arial"/>
          <w:noProof w:val="0"/>
          <w:sz w:val="22"/>
          <w:szCs w:val="22"/>
          <w:lang w:val="en-GB"/>
        </w:rPr>
        <w:t>substantial</w:t>
      </w:r>
      <w:r w:rsidRPr="1C634A17" w:rsidR="6B464C21">
        <w:rPr>
          <w:rFonts w:ascii="Arial" w:hAnsi="Arial" w:eastAsia="Arial" w:cs="Arial"/>
          <w:noProof w:val="0"/>
          <w:sz w:val="22"/>
          <w:szCs w:val="22"/>
          <w:lang w:val="en-GB"/>
        </w:rPr>
        <w:t>, especially with increasing NHS interest in digital solutions. However, threats from competitors such as Apple highlight the need for continuous innovation. This suggests that Fitbit must engage stakeholder</w:t>
      </w:r>
      <w:r w:rsidRPr="1C634A17" w:rsidR="1C4812C5">
        <w:rPr>
          <w:rFonts w:ascii="Arial" w:hAnsi="Arial" w:eastAsia="Arial" w:cs="Arial"/>
          <w:noProof w:val="0"/>
          <w:sz w:val="22"/>
          <w:szCs w:val="22"/>
          <w:lang w:val="en-GB"/>
        </w:rPr>
        <w:t>’</w:t>
      </w:r>
      <w:r w:rsidRPr="1C634A17" w:rsidR="6B464C21">
        <w:rPr>
          <w:rFonts w:ascii="Arial" w:hAnsi="Arial" w:eastAsia="Arial" w:cs="Arial"/>
          <w:noProof w:val="0"/>
          <w:sz w:val="22"/>
          <w:szCs w:val="22"/>
          <w:lang w:val="en-GB"/>
        </w:rPr>
        <w:t>s effectively to remain competitive.</w:t>
      </w:r>
    </w:p>
    <w:p w:rsidR="6B464C21" w:rsidP="1C634A17" w:rsidRDefault="6B464C21" w14:paraId="1E7FC39B" w14:textId="4A8729BA">
      <w:pPr>
        <w:spacing w:line="360" w:lineRule="auto"/>
        <w:jc w:val="left"/>
        <w:rPr>
          <w:rFonts w:ascii="Arial" w:hAnsi="Arial" w:eastAsia="Arial" w:cs="Arial" w:asciiTheme="minorAscii" w:hAnsiTheme="minorAscii" w:eastAsiaTheme="minorAscii" w:cstheme="minorAscii"/>
          <w:b w:val="1"/>
          <w:bCs w:val="1"/>
          <w:sz w:val="22"/>
          <w:szCs w:val="22"/>
          <w:u w:val="single"/>
        </w:rPr>
      </w:pPr>
      <w:r w:rsidRPr="1C634A17" w:rsidR="6B464C21">
        <w:rPr>
          <w:rFonts w:ascii="Arial" w:hAnsi="Arial" w:eastAsia="Arial" w:cs="Arial" w:asciiTheme="minorAscii" w:hAnsiTheme="minorAscii" w:eastAsiaTheme="minorAscii" w:cstheme="minorAscii"/>
          <w:b w:val="1"/>
          <w:bCs w:val="1"/>
          <w:sz w:val="22"/>
          <w:szCs w:val="22"/>
          <w:u w:val="single"/>
        </w:rPr>
        <w:t xml:space="preserve">Pestle Analysis </w:t>
      </w:r>
    </w:p>
    <w:tbl>
      <w:tblPr>
        <w:tblStyle w:val="TableGrid"/>
        <w:bidiVisual w:val="0"/>
        <w:tblW w:w="0" w:type="auto"/>
        <w:tblLook w:val="06A0" w:firstRow="1" w:lastRow="0" w:firstColumn="1" w:lastColumn="0" w:noHBand="1" w:noVBand="1"/>
      </w:tblPr>
      <w:tblGrid>
        <w:gridCol w:w="2430"/>
        <w:gridCol w:w="4575"/>
      </w:tblGrid>
      <w:tr w:rsidR="1C634A17" w:rsidTr="1C634A17" w14:paraId="182FE56B">
        <w:trPr>
          <w:trHeight w:val="300"/>
        </w:trPr>
        <w:tc>
          <w:tcPr>
            <w:tcW w:w="2430" w:type="dxa"/>
            <w:tcMar/>
          </w:tcPr>
          <w:p w:rsidR="1C634A17" w:rsidP="1C634A17" w:rsidRDefault="1C634A17" w14:paraId="726BAEF7" w14:textId="04E1BA7E">
            <w:pPr>
              <w:spacing w:before="0" w:beforeAutospacing="off" w:after="0" w:afterAutospacing="off" w:line="360" w:lineRule="auto"/>
              <w:jc w:val="center"/>
              <w:rPr>
                <w:b w:val="1"/>
                <w:bCs w:val="1"/>
                <w:sz w:val="22"/>
                <w:szCs w:val="22"/>
              </w:rPr>
            </w:pPr>
            <w:r w:rsidRPr="1C634A17" w:rsidR="1C634A17">
              <w:rPr>
                <w:b w:val="1"/>
                <w:bCs w:val="1"/>
                <w:sz w:val="22"/>
                <w:szCs w:val="22"/>
              </w:rPr>
              <w:t>Factor</w:t>
            </w:r>
          </w:p>
        </w:tc>
        <w:tc>
          <w:tcPr>
            <w:tcW w:w="4575" w:type="dxa"/>
            <w:tcMar/>
          </w:tcPr>
          <w:p w:rsidR="1C634A17" w:rsidP="1C634A17" w:rsidRDefault="1C634A17" w14:paraId="6A2418D6" w14:textId="174A8B06">
            <w:pPr>
              <w:spacing w:before="0" w:beforeAutospacing="off" w:after="0" w:afterAutospacing="off" w:line="360" w:lineRule="auto"/>
              <w:jc w:val="center"/>
              <w:rPr>
                <w:b w:val="1"/>
                <w:bCs w:val="1"/>
                <w:sz w:val="22"/>
                <w:szCs w:val="22"/>
              </w:rPr>
            </w:pPr>
            <w:r w:rsidRPr="1C634A17" w:rsidR="1C634A17">
              <w:rPr>
                <w:b w:val="1"/>
                <w:bCs w:val="1"/>
                <w:sz w:val="22"/>
                <w:szCs w:val="22"/>
              </w:rPr>
              <w:t>Key Issues</w:t>
            </w:r>
          </w:p>
        </w:tc>
      </w:tr>
      <w:tr w:rsidR="1C634A17" w:rsidTr="1C634A17" w14:paraId="6A293970">
        <w:trPr>
          <w:trHeight w:val="450"/>
        </w:trPr>
        <w:tc>
          <w:tcPr>
            <w:tcW w:w="2430" w:type="dxa"/>
            <w:tcMar/>
          </w:tcPr>
          <w:p w:rsidR="1C634A17" w:rsidP="1C634A17" w:rsidRDefault="1C634A17" w14:paraId="1411E650" w14:textId="3791A0B8">
            <w:pPr>
              <w:spacing w:before="0" w:beforeAutospacing="off" w:after="0" w:afterAutospacing="off" w:line="360" w:lineRule="auto"/>
              <w:rPr>
                <w:sz w:val="22"/>
                <w:szCs w:val="22"/>
              </w:rPr>
            </w:pPr>
            <w:r w:rsidRPr="1C634A17" w:rsidR="1C634A17">
              <w:rPr>
                <w:sz w:val="22"/>
                <w:szCs w:val="22"/>
              </w:rPr>
              <w:t>Political</w:t>
            </w:r>
          </w:p>
        </w:tc>
        <w:tc>
          <w:tcPr>
            <w:tcW w:w="4575" w:type="dxa"/>
            <w:tcMar/>
          </w:tcPr>
          <w:p w:rsidR="1C634A17" w:rsidP="1C634A17" w:rsidRDefault="1C634A17" w14:paraId="50BCF251" w14:textId="2D40FAA3">
            <w:pPr>
              <w:spacing w:before="0" w:beforeAutospacing="off" w:after="0" w:afterAutospacing="off" w:line="360" w:lineRule="auto"/>
              <w:rPr>
                <w:sz w:val="22"/>
                <w:szCs w:val="22"/>
              </w:rPr>
            </w:pPr>
            <w:r w:rsidRPr="1C634A17" w:rsidR="1C634A17">
              <w:rPr>
                <w:sz w:val="22"/>
                <w:szCs w:val="22"/>
              </w:rPr>
              <w:t>NHS support for digital healthcare</w:t>
            </w:r>
          </w:p>
        </w:tc>
      </w:tr>
      <w:tr w:rsidR="1C634A17" w:rsidTr="1C634A17" w14:paraId="709BD543">
        <w:trPr>
          <w:trHeight w:val="420"/>
        </w:trPr>
        <w:tc>
          <w:tcPr>
            <w:tcW w:w="2430" w:type="dxa"/>
            <w:tcMar/>
          </w:tcPr>
          <w:p w:rsidR="1C634A17" w:rsidP="1C634A17" w:rsidRDefault="1C634A17" w14:paraId="0429886C" w14:textId="37FDEB6A">
            <w:pPr>
              <w:spacing w:before="0" w:beforeAutospacing="off" w:after="0" w:afterAutospacing="off" w:line="360" w:lineRule="auto"/>
              <w:rPr>
                <w:sz w:val="22"/>
                <w:szCs w:val="22"/>
              </w:rPr>
            </w:pPr>
            <w:r w:rsidRPr="1C634A17" w:rsidR="1C634A17">
              <w:rPr>
                <w:sz w:val="22"/>
                <w:szCs w:val="22"/>
              </w:rPr>
              <w:t>Economic</w:t>
            </w:r>
          </w:p>
        </w:tc>
        <w:tc>
          <w:tcPr>
            <w:tcW w:w="4575" w:type="dxa"/>
            <w:tcMar/>
          </w:tcPr>
          <w:p w:rsidR="1C634A17" w:rsidP="1C634A17" w:rsidRDefault="1C634A17" w14:paraId="5BB839E3" w14:textId="77AC4D70">
            <w:pPr>
              <w:spacing w:before="0" w:beforeAutospacing="off" w:after="0" w:afterAutospacing="off" w:line="360" w:lineRule="auto"/>
              <w:rPr>
                <w:sz w:val="22"/>
                <w:szCs w:val="22"/>
              </w:rPr>
            </w:pPr>
            <w:r w:rsidRPr="1C634A17" w:rsidR="1C634A17">
              <w:rPr>
                <w:sz w:val="22"/>
                <w:szCs w:val="22"/>
              </w:rPr>
              <w:t>Reduced consumer spending power</w:t>
            </w:r>
          </w:p>
        </w:tc>
      </w:tr>
      <w:tr w:rsidR="1C634A17" w:rsidTr="1C634A17" w14:paraId="5874BFA4">
        <w:trPr>
          <w:trHeight w:val="420"/>
        </w:trPr>
        <w:tc>
          <w:tcPr>
            <w:tcW w:w="2430" w:type="dxa"/>
            <w:tcMar/>
          </w:tcPr>
          <w:p w:rsidR="1C634A17" w:rsidP="1C634A17" w:rsidRDefault="1C634A17" w14:paraId="7E22504B" w14:textId="1A529A87">
            <w:pPr>
              <w:spacing w:before="0" w:beforeAutospacing="off" w:after="0" w:afterAutospacing="off" w:line="360" w:lineRule="auto"/>
              <w:rPr>
                <w:sz w:val="22"/>
                <w:szCs w:val="22"/>
              </w:rPr>
            </w:pPr>
            <w:r w:rsidRPr="1C634A17" w:rsidR="1C634A17">
              <w:rPr>
                <w:sz w:val="22"/>
                <w:szCs w:val="22"/>
              </w:rPr>
              <w:t>Social</w:t>
            </w:r>
          </w:p>
        </w:tc>
        <w:tc>
          <w:tcPr>
            <w:tcW w:w="4575" w:type="dxa"/>
            <w:tcMar/>
          </w:tcPr>
          <w:p w:rsidR="1C634A17" w:rsidP="1C634A17" w:rsidRDefault="1C634A17" w14:paraId="64A9FDBC" w14:textId="23FC1F59">
            <w:pPr>
              <w:spacing w:before="0" w:beforeAutospacing="off" w:after="0" w:afterAutospacing="off" w:line="360" w:lineRule="auto"/>
              <w:rPr>
                <w:sz w:val="22"/>
                <w:szCs w:val="22"/>
              </w:rPr>
            </w:pPr>
            <w:r w:rsidRPr="1C634A17" w:rsidR="1C634A17">
              <w:rPr>
                <w:sz w:val="22"/>
                <w:szCs w:val="22"/>
              </w:rPr>
              <w:t>Increased focus on health post-COVID</w:t>
            </w:r>
          </w:p>
        </w:tc>
      </w:tr>
      <w:tr w:rsidR="1C634A17" w:rsidTr="1C634A17" w14:paraId="1103DD12">
        <w:trPr>
          <w:trHeight w:val="420"/>
        </w:trPr>
        <w:tc>
          <w:tcPr>
            <w:tcW w:w="2430" w:type="dxa"/>
            <w:tcMar/>
          </w:tcPr>
          <w:p w:rsidR="1C634A17" w:rsidP="1C634A17" w:rsidRDefault="1C634A17" w14:paraId="0C61C4C6" w14:textId="064153D7">
            <w:pPr>
              <w:spacing w:before="0" w:beforeAutospacing="off" w:after="0" w:afterAutospacing="off" w:line="360" w:lineRule="auto"/>
              <w:rPr>
                <w:sz w:val="22"/>
                <w:szCs w:val="22"/>
              </w:rPr>
            </w:pPr>
            <w:r w:rsidRPr="1C634A17" w:rsidR="1C634A17">
              <w:rPr>
                <w:sz w:val="22"/>
                <w:szCs w:val="22"/>
              </w:rPr>
              <w:t>Technological</w:t>
            </w:r>
          </w:p>
        </w:tc>
        <w:tc>
          <w:tcPr>
            <w:tcW w:w="4575" w:type="dxa"/>
            <w:tcMar/>
          </w:tcPr>
          <w:p w:rsidR="1C634A17" w:rsidP="1C634A17" w:rsidRDefault="1C634A17" w14:paraId="6BE4605C" w14:textId="17F78F68">
            <w:pPr>
              <w:spacing w:before="0" w:beforeAutospacing="off" w:after="0" w:afterAutospacing="off" w:line="360" w:lineRule="auto"/>
              <w:rPr>
                <w:sz w:val="22"/>
                <w:szCs w:val="22"/>
              </w:rPr>
            </w:pPr>
            <w:r w:rsidRPr="1C634A17" w:rsidR="1C634A17">
              <w:rPr>
                <w:sz w:val="22"/>
                <w:szCs w:val="22"/>
              </w:rPr>
              <w:t>Rapid innovation in wearables</w:t>
            </w:r>
          </w:p>
        </w:tc>
      </w:tr>
      <w:tr w:rsidR="1C634A17" w:rsidTr="1C634A17" w14:paraId="76219A7C">
        <w:trPr>
          <w:trHeight w:val="405"/>
        </w:trPr>
        <w:tc>
          <w:tcPr>
            <w:tcW w:w="2430" w:type="dxa"/>
            <w:tcMar/>
          </w:tcPr>
          <w:p w:rsidR="1C634A17" w:rsidP="1C634A17" w:rsidRDefault="1C634A17" w14:paraId="3CBE0F43" w14:textId="2DB39C49">
            <w:pPr>
              <w:spacing w:before="0" w:beforeAutospacing="off" w:after="0" w:afterAutospacing="off" w:line="360" w:lineRule="auto"/>
              <w:rPr>
                <w:sz w:val="22"/>
                <w:szCs w:val="22"/>
              </w:rPr>
            </w:pPr>
            <w:r w:rsidRPr="1C634A17" w:rsidR="1C634A17">
              <w:rPr>
                <w:sz w:val="22"/>
                <w:szCs w:val="22"/>
              </w:rPr>
              <w:t>Legal</w:t>
            </w:r>
          </w:p>
        </w:tc>
        <w:tc>
          <w:tcPr>
            <w:tcW w:w="4575" w:type="dxa"/>
            <w:tcMar/>
          </w:tcPr>
          <w:p w:rsidR="1C634A17" w:rsidP="1C634A17" w:rsidRDefault="1C634A17" w14:paraId="18C93744" w14:textId="5FD977F8">
            <w:pPr>
              <w:spacing w:before="0" w:beforeAutospacing="off" w:after="0" w:afterAutospacing="off" w:line="360" w:lineRule="auto"/>
              <w:rPr>
                <w:sz w:val="22"/>
                <w:szCs w:val="22"/>
              </w:rPr>
            </w:pPr>
            <w:r w:rsidRPr="1C634A17" w:rsidR="1C634A17">
              <w:rPr>
                <w:sz w:val="22"/>
                <w:szCs w:val="22"/>
              </w:rPr>
              <w:t>GDPR and medical device compliance</w:t>
            </w:r>
          </w:p>
        </w:tc>
      </w:tr>
      <w:tr w:rsidR="1C634A17" w:rsidTr="1C634A17" w14:paraId="62A7A5FD">
        <w:trPr>
          <w:trHeight w:val="405"/>
        </w:trPr>
        <w:tc>
          <w:tcPr>
            <w:tcW w:w="2430" w:type="dxa"/>
            <w:tcMar/>
          </w:tcPr>
          <w:p w:rsidR="1C634A17" w:rsidP="1C634A17" w:rsidRDefault="1C634A17" w14:paraId="47028BD7" w14:textId="43EB393A">
            <w:pPr>
              <w:spacing w:before="0" w:beforeAutospacing="off" w:after="0" w:afterAutospacing="off" w:line="360" w:lineRule="auto"/>
              <w:rPr>
                <w:sz w:val="22"/>
                <w:szCs w:val="22"/>
              </w:rPr>
            </w:pPr>
            <w:r w:rsidRPr="1C634A17" w:rsidR="1C634A17">
              <w:rPr>
                <w:sz w:val="22"/>
                <w:szCs w:val="22"/>
              </w:rPr>
              <w:t>Environmental</w:t>
            </w:r>
          </w:p>
        </w:tc>
        <w:tc>
          <w:tcPr>
            <w:tcW w:w="4575" w:type="dxa"/>
            <w:tcMar/>
          </w:tcPr>
          <w:p w:rsidR="1C634A17" w:rsidP="1C634A17" w:rsidRDefault="1C634A17" w14:paraId="26CDC643" w14:textId="5BEE3BAD">
            <w:pPr>
              <w:spacing w:before="0" w:beforeAutospacing="off" w:after="0" w:afterAutospacing="off" w:line="360" w:lineRule="auto"/>
              <w:rPr>
                <w:sz w:val="22"/>
                <w:szCs w:val="22"/>
              </w:rPr>
            </w:pPr>
            <w:r w:rsidRPr="1C634A17" w:rsidR="1C634A17">
              <w:rPr>
                <w:sz w:val="22"/>
                <w:szCs w:val="22"/>
              </w:rPr>
              <w:t>Demand for sustainable products</w:t>
            </w:r>
          </w:p>
        </w:tc>
      </w:tr>
    </w:tbl>
    <w:p w:rsidR="4A45DC38" w:rsidP="1C634A17" w:rsidRDefault="4A45DC38" w14:paraId="1C694388" w14:textId="4E5AB418">
      <w:pPr>
        <w:spacing w:before="240" w:beforeAutospacing="off" w:after="240" w:afterAutospacing="off" w:line="360" w:lineRule="auto"/>
        <w:jc w:val="left"/>
        <w:rPr>
          <w:rFonts w:ascii="Arial" w:hAnsi="Arial" w:eastAsia="Arial" w:cs="Arial"/>
          <w:noProof w:val="0"/>
          <w:sz w:val="22"/>
          <w:szCs w:val="22"/>
          <w:lang w:val="en-GB"/>
        </w:rPr>
      </w:pPr>
      <w:r w:rsidRPr="1C634A17" w:rsidR="4A45DC38">
        <w:rPr>
          <w:rFonts w:ascii="Arial" w:hAnsi="Arial" w:eastAsia="Arial" w:cs="Arial"/>
          <w:noProof w:val="0"/>
          <w:sz w:val="22"/>
          <w:szCs w:val="22"/>
          <w:lang w:val="en-GB"/>
        </w:rPr>
        <w:t xml:space="preserve">The PESTLE analysis </w:t>
      </w:r>
      <w:r w:rsidRPr="1C634A17" w:rsidR="4A45DC38">
        <w:rPr>
          <w:rFonts w:ascii="Arial" w:hAnsi="Arial" w:eastAsia="Arial" w:cs="Arial"/>
          <w:noProof w:val="0"/>
          <w:sz w:val="22"/>
          <w:szCs w:val="22"/>
          <w:lang w:val="en-GB"/>
        </w:rPr>
        <w:t>demonstrates</w:t>
      </w:r>
      <w:r w:rsidRPr="1C634A17" w:rsidR="4A45DC38">
        <w:rPr>
          <w:rFonts w:ascii="Arial" w:hAnsi="Arial" w:eastAsia="Arial" w:cs="Arial"/>
          <w:noProof w:val="0"/>
          <w:sz w:val="22"/>
          <w:szCs w:val="22"/>
          <w:lang w:val="en-GB"/>
        </w:rPr>
        <w:t xml:space="preserve"> that external factors significantly influence the project. Legal factors are particularly important, as compliance with GDPR and medical regulations is essential for market entry. Failure to meet these requirements could delay or prevent product launch (Kotler et al., 2021).</w:t>
      </w:r>
    </w:p>
    <w:p w:rsidR="4A45DC38" w:rsidP="1C634A17" w:rsidRDefault="4A45DC38" w14:paraId="6DC26CB6" w14:textId="0431346B">
      <w:pPr>
        <w:spacing w:before="240" w:beforeAutospacing="off" w:after="240" w:afterAutospacing="off" w:line="360" w:lineRule="auto"/>
        <w:jc w:val="left"/>
        <w:rPr>
          <w:rFonts w:ascii="Arial" w:hAnsi="Arial" w:eastAsia="Arial" w:cs="Arial"/>
          <w:noProof w:val="0"/>
          <w:sz w:val="22"/>
          <w:szCs w:val="22"/>
          <w:lang w:val="en-GB"/>
        </w:rPr>
      </w:pPr>
      <w:r w:rsidRPr="1C634A17" w:rsidR="4A45DC38">
        <w:rPr>
          <w:rFonts w:ascii="Arial" w:hAnsi="Arial" w:eastAsia="Arial" w:cs="Arial"/>
          <w:noProof w:val="0"/>
          <w:sz w:val="22"/>
          <w:szCs w:val="22"/>
          <w:lang w:val="en-GB"/>
        </w:rPr>
        <w:t xml:space="preserve">Technological factors also present both opportunities and challenges. While innovation enables new features, it also requires continuous investment. This creates pressure on internal stakeholders such as the development team. </w:t>
      </w:r>
    </w:p>
    <w:p w:rsidR="7FDF5E9A" w:rsidP="1C634A17" w:rsidRDefault="7FDF5E9A" w14:paraId="1AC2C9C5" w14:textId="7A2DAD21">
      <w:pPr>
        <w:pStyle w:val="Normal"/>
        <w:spacing w:before="240" w:beforeAutospacing="off" w:after="240" w:afterAutospacing="off" w:line="360" w:lineRule="auto"/>
        <w:jc w:val="left"/>
        <w:rPr>
          <w:rFonts w:ascii="Arial" w:hAnsi="Arial" w:eastAsia="Arial" w:cs="Arial"/>
          <w:noProof w:val="0"/>
          <w:sz w:val="22"/>
          <w:szCs w:val="22"/>
          <w:lang w:val="en-GB"/>
        </w:rPr>
      </w:pPr>
      <w:r w:rsidRPr="1C634A17" w:rsidR="7FDF5E9A">
        <w:rPr>
          <w:rFonts w:ascii="Arial" w:hAnsi="Arial" w:eastAsia="Arial" w:cs="Arial"/>
          <w:noProof w:val="0"/>
          <w:sz w:val="22"/>
          <w:szCs w:val="22"/>
          <w:lang w:val="en-GB"/>
        </w:rPr>
        <w:t xml:space="preserve">Economic factors, such as reduced consumer spending, may </w:t>
      </w:r>
      <w:r w:rsidRPr="1C634A17" w:rsidR="7FDF5E9A">
        <w:rPr>
          <w:rFonts w:ascii="Arial" w:hAnsi="Arial" w:eastAsia="Arial" w:cs="Arial"/>
          <w:noProof w:val="0"/>
          <w:sz w:val="22"/>
          <w:szCs w:val="22"/>
          <w:lang w:val="en-GB"/>
        </w:rPr>
        <w:t>impact</w:t>
      </w:r>
      <w:r w:rsidRPr="1C634A17" w:rsidR="7FDF5E9A">
        <w:rPr>
          <w:rFonts w:ascii="Arial" w:hAnsi="Arial" w:eastAsia="Arial" w:cs="Arial"/>
          <w:noProof w:val="0"/>
          <w:sz w:val="22"/>
          <w:szCs w:val="22"/>
          <w:lang w:val="en-GB"/>
        </w:rPr>
        <w:t xml:space="preserve"> product demand, highlighting the importance of effective marketing and pricing strategies.</w:t>
      </w:r>
    </w:p>
    <w:p w:rsidR="0A1AB6EE" w:rsidP="1C634A17" w:rsidRDefault="0A1AB6EE" w14:paraId="331CCD2E" w14:textId="3DE158F2">
      <w:pPr>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1C634A17" w:rsidR="0A1AB6EE">
        <w:rPr>
          <w:rFonts w:ascii="Arial" w:hAnsi="Arial" w:eastAsia="Arial" w:cs="Arial"/>
          <w:b w:val="1"/>
          <w:bCs w:val="1"/>
          <w:noProof w:val="0"/>
          <w:sz w:val="22"/>
          <w:szCs w:val="22"/>
          <w:u w:val="single"/>
          <w:lang w:val="en-GB"/>
        </w:rPr>
        <w:t xml:space="preserve">SMART Objectives </w:t>
      </w:r>
    </w:p>
    <w:p w:rsidR="6449CAAF" w:rsidP="1C634A17" w:rsidRDefault="6449CAAF" w14:paraId="79D84A68" w14:textId="2C8DDD7D">
      <w:pPr>
        <w:pStyle w:val="ListParagraph"/>
        <w:numPr>
          <w:ilvl w:val="0"/>
          <w:numId w:val="6"/>
        </w:numPr>
        <w:spacing w:before="240" w:beforeAutospacing="off" w:after="240" w:afterAutospacing="off" w:line="360" w:lineRule="auto"/>
        <w:jc w:val="left"/>
        <w:rPr>
          <w:rFonts w:ascii="Arial" w:hAnsi="Arial" w:eastAsia="Arial" w:cs="Arial"/>
          <w:noProof w:val="0"/>
          <w:sz w:val="22"/>
          <w:szCs w:val="22"/>
          <w:lang w:val="en-GB"/>
        </w:rPr>
      </w:pPr>
      <w:r w:rsidRPr="1C634A17" w:rsidR="6449CAAF">
        <w:rPr>
          <w:rFonts w:ascii="Arial" w:hAnsi="Arial" w:eastAsia="Arial" w:cs="Arial"/>
          <w:noProof w:val="0"/>
          <w:sz w:val="22"/>
          <w:szCs w:val="22"/>
          <w:lang w:val="en-GB"/>
        </w:rPr>
        <w:t xml:space="preserve">Launch the wearable device within six months </w:t>
      </w:r>
    </w:p>
    <w:p w:rsidR="6449CAAF" w:rsidP="1C634A17" w:rsidRDefault="6449CAAF" w14:paraId="632B1D1F" w14:textId="007AF8C7">
      <w:pPr>
        <w:pStyle w:val="ListParagraph"/>
        <w:numPr>
          <w:ilvl w:val="0"/>
          <w:numId w:val="6"/>
        </w:numPr>
        <w:spacing w:before="0" w:beforeAutospacing="off" w:after="0" w:afterAutospacing="off" w:line="360" w:lineRule="auto"/>
        <w:jc w:val="left"/>
        <w:rPr>
          <w:rFonts w:ascii="Arial" w:hAnsi="Arial" w:eastAsia="Arial" w:cs="Arial"/>
          <w:noProof w:val="0"/>
          <w:sz w:val="22"/>
          <w:szCs w:val="22"/>
          <w:lang w:val="en-GB"/>
        </w:rPr>
      </w:pPr>
      <w:r w:rsidRPr="1C634A17" w:rsidR="6449CAAF">
        <w:rPr>
          <w:rFonts w:ascii="Arial" w:hAnsi="Arial" w:eastAsia="Arial" w:cs="Arial"/>
          <w:noProof w:val="0"/>
          <w:sz w:val="22"/>
          <w:szCs w:val="22"/>
          <w:lang w:val="en-GB"/>
        </w:rPr>
        <w:t xml:space="preserve">Achieve 500,000 sales within the first year </w:t>
      </w:r>
    </w:p>
    <w:p w:rsidR="6449CAAF" w:rsidP="1C634A17" w:rsidRDefault="6449CAAF" w14:paraId="127DDC40" w14:textId="5525BAE7">
      <w:pPr>
        <w:pStyle w:val="ListParagraph"/>
        <w:numPr>
          <w:ilvl w:val="0"/>
          <w:numId w:val="6"/>
        </w:numPr>
        <w:spacing w:before="0" w:beforeAutospacing="off" w:after="0" w:afterAutospacing="off" w:line="360" w:lineRule="auto"/>
        <w:jc w:val="left"/>
        <w:rPr>
          <w:rFonts w:ascii="Arial" w:hAnsi="Arial" w:eastAsia="Arial" w:cs="Arial"/>
          <w:noProof w:val="0"/>
          <w:sz w:val="22"/>
          <w:szCs w:val="22"/>
          <w:lang w:val="en-GB"/>
        </w:rPr>
      </w:pPr>
      <w:r w:rsidRPr="1C634A17" w:rsidR="6449CAAF">
        <w:rPr>
          <w:rFonts w:ascii="Arial" w:hAnsi="Arial" w:eastAsia="Arial" w:cs="Arial"/>
          <w:noProof w:val="0"/>
          <w:sz w:val="22"/>
          <w:szCs w:val="22"/>
          <w:lang w:val="en-GB"/>
        </w:rPr>
        <w:t xml:space="preserve">Ensure full compliance with UK regulatory standards </w:t>
      </w:r>
    </w:p>
    <w:p w:rsidR="6449CAAF" w:rsidP="1C634A17" w:rsidRDefault="6449CAAF" w14:paraId="01BB88A8" w14:textId="4B8C9A60">
      <w:pPr>
        <w:pStyle w:val="ListParagraph"/>
        <w:numPr>
          <w:ilvl w:val="0"/>
          <w:numId w:val="6"/>
        </w:numPr>
        <w:spacing w:before="0" w:beforeAutospacing="off" w:after="0" w:afterAutospacing="off" w:line="360" w:lineRule="auto"/>
        <w:jc w:val="left"/>
        <w:rPr>
          <w:rFonts w:ascii="Arial" w:hAnsi="Arial" w:eastAsia="Arial" w:cs="Arial"/>
          <w:noProof w:val="0"/>
          <w:sz w:val="22"/>
          <w:szCs w:val="22"/>
          <w:lang w:val="en-GB"/>
        </w:rPr>
      </w:pPr>
      <w:r w:rsidRPr="1C634A17" w:rsidR="6449CAAF">
        <w:rPr>
          <w:rFonts w:ascii="Arial" w:hAnsi="Arial" w:eastAsia="Arial" w:cs="Arial"/>
          <w:noProof w:val="0"/>
          <w:sz w:val="22"/>
          <w:szCs w:val="22"/>
          <w:lang w:val="en-GB"/>
        </w:rPr>
        <w:t xml:space="preserve">Achieve at least 90% customer satisfaction </w:t>
      </w:r>
    </w:p>
    <w:p w:rsidR="6449CAAF" w:rsidP="1C634A17" w:rsidRDefault="6449CAAF" w14:paraId="6A45F50B" w14:textId="02F66D37">
      <w:pPr>
        <w:pStyle w:val="Normal"/>
        <w:spacing w:before="240" w:beforeAutospacing="off" w:after="240" w:afterAutospacing="off" w:line="360" w:lineRule="auto"/>
        <w:ind w:left="0"/>
        <w:jc w:val="left"/>
        <w:rPr>
          <w:rFonts w:ascii="Arial" w:hAnsi="Arial" w:eastAsia="Arial" w:cs="Arial"/>
          <w:noProof w:val="0"/>
          <w:sz w:val="22"/>
          <w:szCs w:val="22"/>
          <w:lang w:val="en-GB"/>
        </w:rPr>
      </w:pPr>
      <w:r w:rsidRPr="1C634A17" w:rsidR="6449CAAF">
        <w:rPr>
          <w:rFonts w:ascii="Arial" w:hAnsi="Arial" w:eastAsia="Arial" w:cs="Arial"/>
          <w:noProof w:val="0"/>
          <w:sz w:val="22"/>
          <w:szCs w:val="22"/>
          <w:lang w:val="en-GB"/>
        </w:rPr>
        <w:t xml:space="preserve">These </w:t>
      </w:r>
      <w:r w:rsidRPr="1C634A17" w:rsidR="6449CAAF">
        <w:rPr>
          <w:rFonts w:ascii="Arial" w:hAnsi="Arial" w:eastAsia="Arial" w:cs="Arial"/>
          <w:noProof w:val="0"/>
          <w:sz w:val="22"/>
          <w:szCs w:val="22"/>
          <w:lang w:val="en-GB"/>
        </w:rPr>
        <w:t>objectives</w:t>
      </w:r>
      <w:r w:rsidRPr="1C634A17" w:rsidR="6449CAAF">
        <w:rPr>
          <w:rFonts w:ascii="Arial" w:hAnsi="Arial" w:eastAsia="Arial" w:cs="Arial"/>
          <w:noProof w:val="0"/>
          <w:sz w:val="22"/>
          <w:szCs w:val="22"/>
          <w:lang w:val="en-GB"/>
        </w:rPr>
        <w:t xml:space="preserve"> provide a clear framework for measuring project success and align with Fitbit’s strategic goals.</w:t>
      </w:r>
    </w:p>
    <w:p w:rsidR="1C634A17" w:rsidP="1C634A17" w:rsidRDefault="1C634A17" w14:paraId="06692AC5" w14:textId="2C0B57D8">
      <w:pPr>
        <w:pStyle w:val="Normal"/>
        <w:spacing w:line="360" w:lineRule="auto"/>
        <w:rPr>
          <w:rFonts w:ascii="Arial" w:hAnsi="Arial" w:eastAsia="Arial" w:cs="Arial" w:asciiTheme="minorAscii" w:hAnsiTheme="minorAscii" w:eastAsiaTheme="minorAscii" w:cstheme="minorAscii"/>
          <w:b w:val="1"/>
          <w:bCs w:val="1"/>
          <w:noProof w:val="0"/>
          <w:sz w:val="22"/>
          <w:szCs w:val="22"/>
          <w:u w:val="single"/>
          <w:lang w:val="en-GB"/>
        </w:rPr>
      </w:pPr>
    </w:p>
    <w:p w:rsidR="2A77C0A7" w:rsidP="1C634A17" w:rsidRDefault="2A77C0A7" w14:paraId="3D0AE4CA" w14:textId="3A6F3455">
      <w:pPr>
        <w:pStyle w:val="Normal"/>
        <w:spacing w:line="360" w:lineRule="auto"/>
        <w:rPr>
          <w:rFonts w:ascii="Arial" w:hAnsi="Arial" w:eastAsia="Arial" w:cs="Arial" w:asciiTheme="minorAscii" w:hAnsiTheme="minorAscii" w:eastAsiaTheme="minorAscii" w:cstheme="minorAscii"/>
          <w:b w:val="1"/>
          <w:bCs w:val="1"/>
          <w:noProof w:val="0"/>
          <w:sz w:val="22"/>
          <w:szCs w:val="22"/>
          <w:u w:val="single"/>
          <w:lang w:val="en-GB"/>
        </w:rPr>
      </w:pPr>
      <w:r w:rsidRPr="1C634A17" w:rsidR="2A77C0A7">
        <w:rPr>
          <w:rFonts w:ascii="Arial" w:hAnsi="Arial" w:eastAsia="Arial" w:cs="Arial" w:asciiTheme="minorAscii" w:hAnsiTheme="minorAscii" w:eastAsiaTheme="minorAscii" w:cstheme="minorAscii"/>
          <w:b w:val="1"/>
          <w:bCs w:val="1"/>
          <w:noProof w:val="0"/>
          <w:sz w:val="22"/>
          <w:szCs w:val="22"/>
          <w:u w:val="single"/>
          <w:lang w:val="en-GB"/>
        </w:rPr>
        <w:t xml:space="preserve">Key Stakeholders </w:t>
      </w:r>
    </w:p>
    <w:p w:rsidR="2A77C0A7" w:rsidP="1C634A17" w:rsidRDefault="2A77C0A7" w14:paraId="2AFD0BE5" w14:textId="080AD261">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Stakeholders are defined as individuals or groups who can affect or are affected by organisational </w:t>
      </w:r>
      <w:r w:rsidRPr="1C634A17" w:rsidR="2A77C0A7">
        <w:rPr>
          <w:rFonts w:ascii="Arial" w:hAnsi="Arial" w:eastAsia="Arial" w:cs="Arial" w:asciiTheme="minorAscii" w:hAnsiTheme="minorAscii" w:eastAsiaTheme="minorAscii" w:cstheme="minorAscii"/>
          <w:noProof w:val="0"/>
          <w:sz w:val="22"/>
          <w:szCs w:val="22"/>
          <w:lang w:val="en-GB"/>
        </w:rPr>
        <w:t>objectives</w:t>
      </w:r>
      <w:r w:rsidRPr="1C634A17" w:rsidR="2A77C0A7">
        <w:rPr>
          <w:rFonts w:ascii="Arial" w:hAnsi="Arial" w:eastAsia="Arial" w:cs="Arial" w:asciiTheme="minorAscii" w:hAnsiTheme="minorAscii" w:eastAsiaTheme="minorAscii" w:cstheme="minorAscii"/>
          <w:noProof w:val="0"/>
          <w:sz w:val="22"/>
          <w:szCs w:val="22"/>
          <w:lang w:val="en-GB"/>
        </w:rPr>
        <w:t xml:space="preserve"> (Freeman, 1984).</w:t>
      </w:r>
    </w:p>
    <w:p w:rsidR="2A77C0A7" w:rsidP="1C634A17" w:rsidRDefault="2A77C0A7" w14:paraId="128FC0C0" w14:textId="3C6654A6">
      <w:pPr>
        <w:pStyle w:val="Normal"/>
        <w:spacing w:line="360" w:lineRule="auto"/>
        <w:rPr>
          <w:rFonts w:ascii="Arial" w:hAnsi="Arial" w:eastAsia="Arial" w:cs="Arial" w:asciiTheme="minorAscii" w:hAnsiTheme="minorAscii" w:eastAsiaTheme="minorAscii" w:cstheme="minorAscii"/>
          <w:noProof w:val="0"/>
          <w:sz w:val="22"/>
          <w:szCs w:val="22"/>
          <w:u w:val="single"/>
          <w:lang w:val="en-GB"/>
        </w:rPr>
      </w:pPr>
      <w:r w:rsidRPr="1C634A17" w:rsidR="2A77C0A7">
        <w:rPr>
          <w:rFonts w:ascii="Arial" w:hAnsi="Arial" w:eastAsia="Arial" w:cs="Arial" w:asciiTheme="minorAscii" w:hAnsiTheme="minorAscii" w:eastAsiaTheme="minorAscii" w:cstheme="minorAscii"/>
          <w:noProof w:val="0"/>
          <w:sz w:val="22"/>
          <w:szCs w:val="22"/>
          <w:u w:val="single"/>
          <w:lang w:val="en-GB"/>
        </w:rPr>
        <w:t>Internal Stakeholders</w:t>
      </w:r>
    </w:p>
    <w:p w:rsidR="2A77C0A7" w:rsidP="1C634A17" w:rsidRDefault="2A77C0A7" w14:paraId="2A9B3F3A" w14:textId="2AB97F37">
      <w:pPr>
        <w:pStyle w:val="ListParagraph"/>
        <w:numPr>
          <w:ilvl w:val="0"/>
          <w:numId w:val="4"/>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Product development team </w:t>
      </w:r>
    </w:p>
    <w:p w:rsidR="2A77C0A7" w:rsidP="1C634A17" w:rsidRDefault="2A77C0A7" w14:paraId="34AAE41C" w14:textId="4D55BCF6">
      <w:pPr>
        <w:pStyle w:val="ListParagraph"/>
        <w:numPr>
          <w:ilvl w:val="0"/>
          <w:numId w:val="4"/>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Engineering and design teams </w:t>
      </w:r>
    </w:p>
    <w:p w:rsidR="2A77C0A7" w:rsidP="1C634A17" w:rsidRDefault="2A77C0A7" w14:paraId="41E30885" w14:textId="6DE13F7D">
      <w:pPr>
        <w:pStyle w:val="ListParagraph"/>
        <w:numPr>
          <w:ilvl w:val="0"/>
          <w:numId w:val="4"/>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Marketing and sales departments </w:t>
      </w:r>
    </w:p>
    <w:p w:rsidR="2A77C0A7" w:rsidP="1C634A17" w:rsidRDefault="2A77C0A7" w14:paraId="334DC561" w14:textId="6BD6059B">
      <w:pPr>
        <w:pStyle w:val="ListParagraph"/>
        <w:numPr>
          <w:ilvl w:val="0"/>
          <w:numId w:val="4"/>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Senior management </w:t>
      </w:r>
    </w:p>
    <w:p w:rsidR="2A77C0A7" w:rsidP="1C634A17" w:rsidRDefault="2A77C0A7" w14:paraId="17BF5633" w14:textId="79312C1E">
      <w:pPr>
        <w:pStyle w:val="ListParagraph"/>
        <w:numPr>
          <w:ilvl w:val="0"/>
          <w:numId w:val="4"/>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Customer support teams </w:t>
      </w:r>
    </w:p>
    <w:p w:rsidR="35D55859" w:rsidP="1C634A17" w:rsidRDefault="35D55859" w14:paraId="6F4A9DA2" w14:textId="50316928">
      <w:pPr>
        <w:spacing w:before="240" w:beforeAutospacing="off" w:after="240" w:afterAutospacing="off" w:line="360" w:lineRule="auto"/>
        <w:rPr>
          <w:rFonts w:ascii="Arial" w:hAnsi="Arial" w:eastAsia="Arial" w:cs="Arial"/>
          <w:noProof w:val="0"/>
          <w:sz w:val="22"/>
          <w:szCs w:val="22"/>
          <w:lang w:val="en-GB"/>
        </w:rPr>
      </w:pPr>
      <w:r w:rsidRPr="1C634A17" w:rsidR="35D55859">
        <w:rPr>
          <w:rFonts w:ascii="Arial" w:hAnsi="Arial" w:eastAsia="Arial" w:cs="Arial"/>
          <w:noProof w:val="0"/>
          <w:sz w:val="22"/>
          <w:szCs w:val="22"/>
          <w:lang w:val="en-GB"/>
        </w:rPr>
        <w:t xml:space="preserve">Internal </w:t>
      </w:r>
      <w:r w:rsidRPr="1C634A17" w:rsidR="3BDAA79C">
        <w:rPr>
          <w:rFonts w:ascii="Arial" w:hAnsi="Arial" w:eastAsia="Arial" w:cs="Arial"/>
          <w:noProof w:val="0"/>
          <w:sz w:val="22"/>
          <w:szCs w:val="22"/>
          <w:lang w:val="en-GB"/>
        </w:rPr>
        <w:t>stakeholders</w:t>
      </w:r>
      <w:r w:rsidRPr="1C634A17" w:rsidR="35D55859">
        <w:rPr>
          <w:rFonts w:ascii="Arial" w:hAnsi="Arial" w:eastAsia="Arial" w:cs="Arial"/>
          <w:noProof w:val="0"/>
          <w:sz w:val="22"/>
          <w:szCs w:val="22"/>
          <w:lang w:val="en-GB"/>
        </w:rPr>
        <w:t xml:space="preserve"> include the product development team, engineering and design teams, marketing and sales departments, senior management, and customer support teams. These </w:t>
      </w:r>
      <w:r w:rsidRPr="1C634A17" w:rsidR="35D55859">
        <w:rPr>
          <w:rFonts w:ascii="Arial" w:hAnsi="Arial" w:eastAsia="Arial" w:cs="Arial"/>
          <w:noProof w:val="0"/>
          <w:sz w:val="22"/>
          <w:szCs w:val="22"/>
          <w:lang w:val="en-GB"/>
        </w:rPr>
        <w:t>stakeholder</w:t>
      </w:r>
      <w:r w:rsidRPr="1C634A17" w:rsidR="416FC06E">
        <w:rPr>
          <w:rFonts w:ascii="Arial" w:hAnsi="Arial" w:eastAsia="Arial" w:cs="Arial"/>
          <w:noProof w:val="0"/>
          <w:sz w:val="22"/>
          <w:szCs w:val="22"/>
          <w:lang w:val="en-GB"/>
        </w:rPr>
        <w:t>’</w:t>
      </w:r>
      <w:r w:rsidRPr="1C634A17" w:rsidR="35D55859">
        <w:rPr>
          <w:rFonts w:ascii="Arial" w:hAnsi="Arial" w:eastAsia="Arial" w:cs="Arial"/>
          <w:noProof w:val="0"/>
          <w:sz w:val="22"/>
          <w:szCs w:val="22"/>
          <w:lang w:val="en-GB"/>
        </w:rPr>
        <w:t>s</w:t>
      </w:r>
      <w:r w:rsidRPr="1C634A17" w:rsidR="35D55859">
        <w:rPr>
          <w:rFonts w:ascii="Arial" w:hAnsi="Arial" w:eastAsia="Arial" w:cs="Arial"/>
          <w:noProof w:val="0"/>
          <w:sz w:val="22"/>
          <w:szCs w:val="22"/>
          <w:lang w:val="en-GB"/>
        </w:rPr>
        <w:t xml:space="preserve"> are directly involved in the execution of the project and play a critical role in ensuring its success.</w:t>
      </w:r>
    </w:p>
    <w:p w:rsidR="35D55859" w:rsidP="1C634A17" w:rsidRDefault="35D55859" w14:paraId="22028328" w14:textId="5DF55CC5">
      <w:pPr>
        <w:spacing w:before="240" w:beforeAutospacing="off" w:after="240" w:afterAutospacing="off" w:line="360" w:lineRule="auto"/>
        <w:rPr>
          <w:rFonts w:ascii="Arial" w:hAnsi="Arial" w:eastAsia="Arial" w:cs="Arial"/>
          <w:noProof w:val="0"/>
          <w:sz w:val="22"/>
          <w:szCs w:val="22"/>
          <w:lang w:val="en-GB"/>
        </w:rPr>
      </w:pPr>
      <w:r w:rsidRPr="1C634A17" w:rsidR="35D55859">
        <w:rPr>
          <w:rFonts w:ascii="Arial" w:hAnsi="Arial" w:eastAsia="Arial" w:cs="Arial"/>
          <w:noProof w:val="0"/>
          <w:sz w:val="22"/>
          <w:szCs w:val="22"/>
          <w:lang w:val="en-GB"/>
        </w:rPr>
        <w:t xml:space="preserve">The product development team </w:t>
      </w:r>
      <w:r w:rsidRPr="1C634A17" w:rsidR="35D55859">
        <w:rPr>
          <w:rFonts w:ascii="Arial" w:hAnsi="Arial" w:eastAsia="Arial" w:cs="Arial"/>
          <w:noProof w:val="0"/>
          <w:sz w:val="22"/>
          <w:szCs w:val="22"/>
          <w:lang w:val="en-GB"/>
        </w:rPr>
        <w:t>is responsible for</w:t>
      </w:r>
      <w:r w:rsidRPr="1C634A17" w:rsidR="35D55859">
        <w:rPr>
          <w:rFonts w:ascii="Arial" w:hAnsi="Arial" w:eastAsia="Arial" w:cs="Arial"/>
          <w:noProof w:val="0"/>
          <w:sz w:val="22"/>
          <w:szCs w:val="22"/>
          <w:lang w:val="en-GB"/>
        </w:rPr>
        <w:t xml:space="preserve"> designing and testing the device, while the marketing team ensures that the product meets customer needs and is effectively promoted. Senior management provides strategic direction and </w:t>
      </w:r>
      <w:r w:rsidRPr="1C634A17" w:rsidR="35D55859">
        <w:rPr>
          <w:rFonts w:ascii="Arial" w:hAnsi="Arial" w:eastAsia="Arial" w:cs="Arial"/>
          <w:noProof w:val="0"/>
          <w:sz w:val="22"/>
          <w:szCs w:val="22"/>
          <w:lang w:val="en-GB"/>
        </w:rPr>
        <w:t>allocates</w:t>
      </w:r>
      <w:r w:rsidRPr="1C634A17" w:rsidR="35D55859">
        <w:rPr>
          <w:rFonts w:ascii="Arial" w:hAnsi="Arial" w:eastAsia="Arial" w:cs="Arial"/>
          <w:noProof w:val="0"/>
          <w:sz w:val="22"/>
          <w:szCs w:val="22"/>
          <w:lang w:val="en-GB"/>
        </w:rPr>
        <w:t xml:space="preserve"> resources, while customer support teams handle post-launch interactions with customers.</w:t>
      </w:r>
    </w:p>
    <w:p w:rsidR="2A77C0A7" w:rsidP="1C634A17" w:rsidRDefault="2A77C0A7" w14:paraId="72FCC896" w14:textId="0385F95C">
      <w:pPr>
        <w:pStyle w:val="Normal"/>
        <w:spacing w:line="360" w:lineRule="auto"/>
        <w:rPr>
          <w:rFonts w:ascii="Arial" w:hAnsi="Arial" w:eastAsia="Arial" w:cs="Arial" w:asciiTheme="minorAscii" w:hAnsiTheme="minorAscii" w:eastAsiaTheme="minorAscii" w:cstheme="minorAscii"/>
          <w:noProof w:val="0"/>
          <w:sz w:val="22"/>
          <w:szCs w:val="22"/>
          <w:u w:val="single"/>
          <w:lang w:val="en-GB"/>
        </w:rPr>
      </w:pPr>
      <w:r w:rsidRPr="1C634A17" w:rsidR="2A77C0A7">
        <w:rPr>
          <w:rFonts w:ascii="Arial" w:hAnsi="Arial" w:eastAsia="Arial" w:cs="Arial" w:asciiTheme="minorAscii" w:hAnsiTheme="minorAscii" w:eastAsiaTheme="minorAscii" w:cstheme="minorAscii"/>
          <w:noProof w:val="0"/>
          <w:sz w:val="22"/>
          <w:szCs w:val="22"/>
          <w:u w:val="single"/>
          <w:lang w:val="en-GB"/>
        </w:rPr>
        <w:t>External Stakeholders</w:t>
      </w:r>
    </w:p>
    <w:p w:rsidR="2A77C0A7" w:rsidP="1C634A17" w:rsidRDefault="2A77C0A7" w14:paraId="77BD5677" w14:textId="5B829A5C">
      <w:pPr>
        <w:pStyle w:val="ListParagraph"/>
        <w:numPr>
          <w:ilvl w:val="0"/>
          <w:numId w:val="5"/>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Customers </w:t>
      </w:r>
    </w:p>
    <w:p w:rsidR="2A77C0A7" w:rsidP="1C634A17" w:rsidRDefault="2A77C0A7" w14:paraId="5FB9E312" w14:textId="242630BF">
      <w:pPr>
        <w:pStyle w:val="ListParagraph"/>
        <w:numPr>
          <w:ilvl w:val="0"/>
          <w:numId w:val="5"/>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Healthcare professionals </w:t>
      </w:r>
    </w:p>
    <w:p w:rsidR="2A77C0A7" w:rsidP="1C634A17" w:rsidRDefault="2A77C0A7" w14:paraId="7D190BAC" w14:textId="7D9EEC36">
      <w:pPr>
        <w:pStyle w:val="ListParagraph"/>
        <w:numPr>
          <w:ilvl w:val="0"/>
          <w:numId w:val="5"/>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Regulatory bodies (MHRA) </w:t>
      </w:r>
    </w:p>
    <w:p w:rsidR="2A77C0A7" w:rsidP="1C634A17" w:rsidRDefault="2A77C0A7" w14:paraId="445D3F5F" w14:textId="059ED2FA">
      <w:pPr>
        <w:pStyle w:val="ListParagraph"/>
        <w:numPr>
          <w:ilvl w:val="0"/>
          <w:numId w:val="5"/>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Suppliers </w:t>
      </w:r>
    </w:p>
    <w:p w:rsidR="2A77C0A7" w:rsidP="1C634A17" w:rsidRDefault="2A77C0A7" w14:paraId="2388A802" w14:textId="4FF3F88C">
      <w:pPr>
        <w:pStyle w:val="ListParagraph"/>
        <w:numPr>
          <w:ilvl w:val="0"/>
          <w:numId w:val="5"/>
        </w:numPr>
        <w:spacing w:line="360" w:lineRule="auto"/>
        <w:rPr>
          <w:rFonts w:ascii="Arial" w:hAnsi="Arial" w:eastAsia="Arial" w:cs="Arial" w:asciiTheme="minorAscii" w:hAnsiTheme="minorAscii" w:eastAsiaTheme="minorAscii" w:cstheme="minorAscii"/>
          <w:noProof w:val="0"/>
          <w:sz w:val="22"/>
          <w:szCs w:val="22"/>
          <w:lang w:val="en-GB"/>
        </w:rPr>
      </w:pPr>
      <w:r w:rsidRPr="1C634A17" w:rsidR="2A77C0A7">
        <w:rPr>
          <w:rFonts w:ascii="Arial" w:hAnsi="Arial" w:eastAsia="Arial" w:cs="Arial" w:asciiTheme="minorAscii" w:hAnsiTheme="minorAscii" w:eastAsiaTheme="minorAscii" w:cstheme="minorAscii"/>
          <w:noProof w:val="0"/>
          <w:sz w:val="22"/>
          <w:szCs w:val="22"/>
          <w:lang w:val="en-GB"/>
        </w:rPr>
        <w:t xml:space="preserve">Investors </w:t>
      </w:r>
    </w:p>
    <w:p w:rsidR="5B5C8142" w:rsidP="1C634A17" w:rsidRDefault="5B5C8142" w14:paraId="49A1474A" w14:textId="19193297">
      <w:pPr>
        <w:spacing w:before="240" w:beforeAutospacing="off" w:after="240" w:afterAutospacing="off" w:line="360" w:lineRule="auto"/>
        <w:rPr>
          <w:rFonts w:ascii="Arial" w:hAnsi="Arial" w:eastAsia="Arial" w:cs="Arial"/>
          <w:noProof w:val="0"/>
          <w:sz w:val="22"/>
          <w:szCs w:val="22"/>
          <w:lang w:val="en-GB"/>
        </w:rPr>
      </w:pPr>
      <w:r w:rsidRPr="1C634A17" w:rsidR="5B5C8142">
        <w:rPr>
          <w:rFonts w:ascii="Arial" w:hAnsi="Arial" w:eastAsia="Arial" w:cs="Arial"/>
          <w:noProof w:val="0"/>
          <w:sz w:val="22"/>
          <w:szCs w:val="22"/>
          <w:lang w:val="en-GB"/>
        </w:rPr>
        <w:t>External stakeholders include customers, healthcare professionals, regulatory bodies such as the MHRA, suppliers, and investors. These stakeholders influence the project indirectly but significantly.</w:t>
      </w:r>
    </w:p>
    <w:p w:rsidR="5B5C8142" w:rsidP="1C634A17" w:rsidRDefault="5B5C8142" w14:paraId="0905D7D0" w14:textId="57E690C5">
      <w:pPr>
        <w:spacing w:before="240" w:beforeAutospacing="off" w:after="240" w:afterAutospacing="off" w:line="360" w:lineRule="auto"/>
        <w:rPr>
          <w:rFonts w:ascii="Arial" w:hAnsi="Arial" w:eastAsia="Arial" w:cs="Arial"/>
          <w:noProof w:val="0"/>
          <w:sz w:val="22"/>
          <w:szCs w:val="22"/>
          <w:lang w:val="en-GB"/>
        </w:rPr>
      </w:pPr>
      <w:r w:rsidRPr="1C634A17" w:rsidR="5B5C8142">
        <w:rPr>
          <w:rFonts w:ascii="Arial" w:hAnsi="Arial" w:eastAsia="Arial" w:cs="Arial"/>
          <w:noProof w:val="0"/>
          <w:sz w:val="22"/>
          <w:szCs w:val="22"/>
          <w:lang w:val="en-GB"/>
        </w:rPr>
        <w:t xml:space="preserve">Customers </w:t>
      </w:r>
      <w:r w:rsidRPr="1C634A17" w:rsidR="5B5C8142">
        <w:rPr>
          <w:rFonts w:ascii="Arial" w:hAnsi="Arial" w:eastAsia="Arial" w:cs="Arial"/>
          <w:noProof w:val="0"/>
          <w:sz w:val="22"/>
          <w:szCs w:val="22"/>
          <w:lang w:val="en-GB"/>
        </w:rPr>
        <w:t>determine</w:t>
      </w:r>
      <w:r w:rsidRPr="1C634A17" w:rsidR="5B5C8142">
        <w:rPr>
          <w:rFonts w:ascii="Arial" w:hAnsi="Arial" w:eastAsia="Arial" w:cs="Arial"/>
          <w:noProof w:val="0"/>
          <w:sz w:val="22"/>
          <w:szCs w:val="22"/>
          <w:lang w:val="en-GB"/>
        </w:rPr>
        <w:t xml:space="preserve"> the success of the product through their purchasing decisions, while healthcare professionals provide validation and credibility. Regulatory bodies ensure that the product meets legal requirements, and suppliers provide essential components.</w:t>
      </w:r>
    </w:p>
    <w:p w:rsidR="5B5C8142" w:rsidP="1C634A17" w:rsidRDefault="5B5C8142" w14:paraId="6C3C5CC7" w14:textId="059B9C5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5B5C8142">
        <w:rPr>
          <w:rFonts w:ascii="Arial" w:hAnsi="Arial" w:eastAsia="Arial" w:cs="Arial" w:asciiTheme="minorAscii" w:hAnsiTheme="minorAscii" w:eastAsiaTheme="minorAscii" w:cstheme="minorAscii"/>
          <w:noProof w:val="0"/>
          <w:sz w:val="22"/>
          <w:szCs w:val="22"/>
          <w:lang w:val="en-GB"/>
        </w:rPr>
        <w:t>The diversity of stakeholders highlights the complexity of stakeholder management. Different stakeholders have different priorities, which may lead to conflicts. For example, investors may prioritise profitability, while regulators focus on safety and compliance.</w:t>
      </w:r>
    </w:p>
    <w:p w:rsidR="5B5C8142" w:rsidP="1C634A17" w:rsidRDefault="5B5C8142" w14:paraId="46BD7CFE" w14:textId="0F0C261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5B5C8142">
        <w:rPr>
          <w:rFonts w:ascii="Arial" w:hAnsi="Arial" w:eastAsia="Arial" w:cs="Arial" w:asciiTheme="minorAscii" w:hAnsiTheme="minorAscii" w:eastAsiaTheme="minorAscii" w:cstheme="minorAscii"/>
          <w:noProof w:val="0"/>
          <w:sz w:val="22"/>
          <w:szCs w:val="22"/>
          <w:lang w:val="en-GB"/>
        </w:rPr>
        <w:t>Therefore, the project manager must carefully balance stakeholder interests to ensure project success</w:t>
      </w:r>
      <w:r w:rsidRPr="1C634A17" w:rsidR="0C9D3580">
        <w:rPr>
          <w:rFonts w:ascii="Arial" w:hAnsi="Arial" w:eastAsia="Arial" w:cs="Arial" w:asciiTheme="minorAscii" w:hAnsiTheme="minorAscii" w:eastAsiaTheme="minorAscii" w:cstheme="minorAscii"/>
          <w:noProof w:val="0"/>
          <w:sz w:val="22"/>
          <w:szCs w:val="22"/>
          <w:lang w:val="en-GB"/>
        </w:rPr>
        <w:t xml:space="preserve"> (West</w:t>
      </w:r>
      <w:r w:rsidRPr="1C634A17" w:rsidR="7D391044">
        <w:rPr>
          <w:rFonts w:ascii="Arial" w:hAnsi="Arial" w:eastAsia="Arial" w:cs="Arial" w:asciiTheme="minorAscii" w:hAnsiTheme="minorAscii" w:eastAsiaTheme="minorAscii" w:cstheme="minorAscii"/>
          <w:noProof w:val="0"/>
          <w:sz w:val="22"/>
          <w:szCs w:val="22"/>
          <w:lang w:val="en-GB"/>
        </w:rPr>
        <w:t xml:space="preserve"> </w:t>
      </w:r>
      <w:r w:rsidRPr="1C634A17" w:rsidR="0C9D3580">
        <w:rPr>
          <w:rFonts w:ascii="Arial" w:hAnsi="Arial" w:eastAsia="Arial" w:cs="Arial" w:asciiTheme="minorAscii" w:hAnsiTheme="minorAscii" w:eastAsiaTheme="minorAscii" w:cstheme="minorAscii"/>
          <w:noProof w:val="0"/>
          <w:sz w:val="22"/>
          <w:szCs w:val="22"/>
          <w:lang w:val="en-GB"/>
        </w:rPr>
        <w:t xml:space="preserve">,2012). </w:t>
      </w:r>
    </w:p>
    <w:p w:rsidR="5B5C8142" w:rsidP="1C634A17" w:rsidRDefault="5B5C8142" w14:paraId="51AEFAEC" w14:textId="4F5F7126">
      <w:pPr>
        <w:pStyle w:val="Normal"/>
        <w:spacing w:line="360" w:lineRule="auto"/>
        <w:rPr>
          <w:rFonts w:ascii="Arial" w:hAnsi="Arial" w:eastAsia="Arial" w:cs="Arial" w:asciiTheme="minorAscii" w:hAnsiTheme="minorAscii" w:eastAsiaTheme="minorAscii" w:cstheme="minorAscii"/>
          <w:b w:val="1"/>
          <w:bCs w:val="1"/>
          <w:noProof w:val="0"/>
          <w:sz w:val="22"/>
          <w:szCs w:val="22"/>
          <w:u w:val="single"/>
          <w:lang w:val="en-GB"/>
        </w:rPr>
      </w:pPr>
      <w:r w:rsidRPr="1C634A17" w:rsidR="5B5C8142">
        <w:rPr>
          <w:rFonts w:ascii="Arial" w:hAnsi="Arial" w:eastAsia="Arial" w:cs="Arial" w:asciiTheme="minorAscii" w:hAnsiTheme="minorAscii" w:eastAsiaTheme="minorAscii" w:cstheme="minorAscii"/>
          <w:b w:val="1"/>
          <w:bCs w:val="1"/>
          <w:noProof w:val="0"/>
          <w:sz w:val="22"/>
          <w:szCs w:val="22"/>
          <w:u w:val="single"/>
          <w:lang w:val="en-GB"/>
        </w:rPr>
        <w:t xml:space="preserve">Roles, Responsibilities, Benefits and Challenges </w:t>
      </w:r>
    </w:p>
    <w:p w:rsidR="5B5C8142" w:rsidP="1C634A17" w:rsidRDefault="5B5C8142" w14:paraId="1DA19886" w14:textId="3656A94F">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C634A17" w:rsidR="5B5C8142">
        <w:rPr>
          <w:rFonts w:ascii="Arial" w:hAnsi="Arial" w:eastAsia="Arial" w:cs="Arial" w:asciiTheme="minorAscii" w:hAnsiTheme="minorAscii" w:eastAsiaTheme="minorAscii" w:cstheme="minorAscii"/>
          <w:noProof w:val="0"/>
          <w:sz w:val="22"/>
          <w:szCs w:val="22"/>
          <w:lang w:val="en-GB"/>
        </w:rPr>
        <w:t xml:space="preserve">Each stakeholder group contributes to the project in </w:t>
      </w:r>
      <w:r w:rsidRPr="1C634A17" w:rsidR="5B5C8142">
        <w:rPr>
          <w:rFonts w:ascii="Arial" w:hAnsi="Arial" w:eastAsia="Arial" w:cs="Arial" w:asciiTheme="minorAscii" w:hAnsiTheme="minorAscii" w:eastAsiaTheme="minorAscii" w:cstheme="minorAscii"/>
          <w:noProof w:val="0"/>
          <w:sz w:val="22"/>
          <w:szCs w:val="22"/>
          <w:lang w:val="en-GB"/>
        </w:rPr>
        <w:t>different ways</w:t>
      </w:r>
      <w:r w:rsidRPr="1C634A17" w:rsidR="5B5C8142">
        <w:rPr>
          <w:rFonts w:ascii="Arial" w:hAnsi="Arial" w:eastAsia="Arial" w:cs="Arial" w:asciiTheme="minorAscii" w:hAnsiTheme="minorAscii" w:eastAsiaTheme="minorAscii" w:cstheme="minorAscii"/>
          <w:noProof w:val="0"/>
          <w:sz w:val="22"/>
          <w:szCs w:val="22"/>
          <w:lang w:val="en-GB"/>
        </w:rPr>
        <w:t xml:space="preserve">, bringing both benefits and challenges. The product development team </w:t>
      </w:r>
      <w:r w:rsidRPr="1C634A17" w:rsidR="5B5C8142">
        <w:rPr>
          <w:rFonts w:ascii="Arial" w:hAnsi="Arial" w:eastAsia="Arial" w:cs="Arial" w:asciiTheme="minorAscii" w:hAnsiTheme="minorAscii" w:eastAsiaTheme="minorAscii" w:cstheme="minorAscii"/>
          <w:noProof w:val="0"/>
          <w:sz w:val="22"/>
          <w:szCs w:val="22"/>
          <w:lang w:val="en-GB"/>
        </w:rPr>
        <w:t>is responsible for</w:t>
      </w:r>
      <w:r w:rsidRPr="1C634A17" w:rsidR="5B5C8142">
        <w:rPr>
          <w:rFonts w:ascii="Arial" w:hAnsi="Arial" w:eastAsia="Arial" w:cs="Arial" w:asciiTheme="minorAscii" w:hAnsiTheme="minorAscii" w:eastAsiaTheme="minorAscii" w:cstheme="minorAscii"/>
          <w:noProof w:val="0"/>
          <w:sz w:val="22"/>
          <w:szCs w:val="22"/>
          <w:lang w:val="en-GB"/>
        </w:rPr>
        <w:t xml:space="preserve"> designing and testing the device. Their </w:t>
      </w:r>
      <w:r w:rsidRPr="1C634A17" w:rsidR="5B5C8142">
        <w:rPr>
          <w:rFonts w:ascii="Arial" w:hAnsi="Arial" w:eastAsia="Arial" w:cs="Arial" w:asciiTheme="minorAscii" w:hAnsiTheme="minorAscii" w:eastAsiaTheme="minorAscii" w:cstheme="minorAscii"/>
          <w:noProof w:val="0"/>
          <w:sz w:val="22"/>
          <w:szCs w:val="22"/>
          <w:lang w:val="en-GB"/>
        </w:rPr>
        <w:t>expertise</w:t>
      </w:r>
      <w:r w:rsidRPr="1C634A17" w:rsidR="5B5C8142">
        <w:rPr>
          <w:rFonts w:ascii="Arial" w:hAnsi="Arial" w:eastAsia="Arial" w:cs="Arial" w:asciiTheme="minorAscii" w:hAnsiTheme="minorAscii" w:eastAsiaTheme="minorAscii" w:cstheme="minorAscii"/>
          <w:noProof w:val="0"/>
          <w:sz w:val="22"/>
          <w:szCs w:val="22"/>
          <w:lang w:val="en-GB"/>
        </w:rPr>
        <w:t xml:space="preserve"> ensures product quality and innovation, but they may face pressure due to the six-month timeline. This could lead to trade-offs between speed and quality.</w:t>
      </w:r>
    </w:p>
    <w:p w:rsidR="5B5C8142" w:rsidP="1C634A17" w:rsidRDefault="5B5C8142" w14:paraId="1FCBAECD" w14:textId="355E2E84">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C634A17" w:rsidR="5B5C8142">
        <w:rPr>
          <w:rFonts w:ascii="Arial" w:hAnsi="Arial" w:eastAsia="Arial" w:cs="Arial" w:asciiTheme="minorAscii" w:hAnsiTheme="minorAscii" w:eastAsiaTheme="minorAscii" w:cstheme="minorAscii"/>
          <w:noProof w:val="0"/>
          <w:sz w:val="22"/>
          <w:szCs w:val="22"/>
          <w:lang w:val="en-GB"/>
        </w:rPr>
        <w:t>The marketing team plays a key role in promoting the product and ensuring that it meets customer expectations. However, marketing teams may prioritise speed to market, which can create tension with development teams that require more time for testing.</w:t>
      </w:r>
      <w:r w:rsidRPr="1C634A17" w:rsidR="64B095C2">
        <w:rPr>
          <w:rFonts w:ascii="Arial" w:hAnsi="Arial" w:eastAsia="Arial" w:cs="Arial" w:asciiTheme="minorAscii" w:hAnsiTheme="minorAscii" w:eastAsiaTheme="minorAscii" w:cstheme="minorAscii"/>
          <w:noProof w:val="0"/>
          <w:sz w:val="22"/>
          <w:szCs w:val="22"/>
          <w:lang w:val="en-GB"/>
        </w:rPr>
        <w:t xml:space="preserve"> </w:t>
      </w:r>
      <w:r w:rsidRPr="1C634A17" w:rsidR="5B5C8142">
        <w:rPr>
          <w:rFonts w:ascii="Arial" w:hAnsi="Arial" w:eastAsia="Arial" w:cs="Arial" w:asciiTheme="minorAscii" w:hAnsiTheme="minorAscii" w:eastAsiaTheme="minorAscii" w:cstheme="minorAscii"/>
          <w:noProof w:val="0"/>
          <w:sz w:val="22"/>
          <w:szCs w:val="22"/>
          <w:lang w:val="en-GB"/>
        </w:rPr>
        <w:t xml:space="preserve">Healthcare professionals contribute to </w:t>
      </w:r>
      <w:r w:rsidRPr="1C634A17" w:rsidR="5B5C8142">
        <w:rPr>
          <w:rFonts w:ascii="Arial" w:hAnsi="Arial" w:eastAsia="Arial" w:cs="Arial" w:asciiTheme="minorAscii" w:hAnsiTheme="minorAscii" w:eastAsiaTheme="minorAscii" w:cstheme="minorAscii"/>
          <w:noProof w:val="0"/>
          <w:sz w:val="22"/>
          <w:szCs w:val="22"/>
          <w:lang w:val="en-GB"/>
        </w:rPr>
        <w:t>validating</w:t>
      </w:r>
      <w:r w:rsidRPr="1C634A17" w:rsidR="5B5C8142">
        <w:rPr>
          <w:rFonts w:ascii="Arial" w:hAnsi="Arial" w:eastAsia="Arial" w:cs="Arial" w:asciiTheme="minorAscii" w:hAnsiTheme="minorAscii" w:eastAsiaTheme="minorAscii" w:cstheme="minorAscii"/>
          <w:noProof w:val="0"/>
          <w:sz w:val="22"/>
          <w:szCs w:val="22"/>
          <w:lang w:val="en-GB"/>
        </w:rPr>
        <w:t xml:space="preserve"> the device’s health-related features. Their involvement enhances credibility but also introduces </w:t>
      </w:r>
      <w:r w:rsidRPr="1C634A17" w:rsidR="5B5C8142">
        <w:rPr>
          <w:rFonts w:ascii="Arial" w:hAnsi="Arial" w:eastAsia="Arial" w:cs="Arial" w:asciiTheme="minorAscii" w:hAnsiTheme="minorAscii" w:eastAsiaTheme="minorAscii" w:cstheme="minorAscii"/>
          <w:noProof w:val="0"/>
          <w:sz w:val="22"/>
          <w:szCs w:val="22"/>
          <w:lang w:val="en-GB"/>
        </w:rPr>
        <w:t>additional</w:t>
      </w:r>
      <w:r w:rsidRPr="1C634A17" w:rsidR="5B5C8142">
        <w:rPr>
          <w:rFonts w:ascii="Arial" w:hAnsi="Arial" w:eastAsia="Arial" w:cs="Arial" w:asciiTheme="minorAscii" w:hAnsiTheme="minorAscii" w:eastAsiaTheme="minorAscii" w:cstheme="minorAscii"/>
          <w:noProof w:val="0"/>
          <w:sz w:val="22"/>
          <w:szCs w:val="22"/>
          <w:lang w:val="en-GB"/>
        </w:rPr>
        <w:t xml:space="preserve"> complexity, as their input may require design changes or </w:t>
      </w:r>
      <w:r w:rsidRPr="1C634A17" w:rsidR="5B5C8142">
        <w:rPr>
          <w:rFonts w:ascii="Arial" w:hAnsi="Arial" w:eastAsia="Arial" w:cs="Arial" w:asciiTheme="minorAscii" w:hAnsiTheme="minorAscii" w:eastAsiaTheme="minorAscii" w:cstheme="minorAscii"/>
          <w:noProof w:val="0"/>
          <w:sz w:val="22"/>
          <w:szCs w:val="22"/>
          <w:lang w:val="en-GB"/>
        </w:rPr>
        <w:t>additional</w:t>
      </w:r>
      <w:r w:rsidRPr="1C634A17" w:rsidR="5B5C8142">
        <w:rPr>
          <w:rFonts w:ascii="Arial" w:hAnsi="Arial" w:eastAsia="Arial" w:cs="Arial" w:asciiTheme="minorAscii" w:hAnsiTheme="minorAscii" w:eastAsiaTheme="minorAscii" w:cstheme="minorAscii"/>
          <w:noProof w:val="0"/>
          <w:sz w:val="22"/>
          <w:szCs w:val="22"/>
          <w:lang w:val="en-GB"/>
        </w:rPr>
        <w:t xml:space="preserve"> testing.</w:t>
      </w:r>
    </w:p>
    <w:p w:rsidR="5B5C8142" w:rsidP="1C634A17" w:rsidRDefault="5B5C8142" w14:paraId="38448069" w14:textId="626DA3E6">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C634A17" w:rsidR="5B5C8142">
        <w:rPr>
          <w:rFonts w:ascii="Arial" w:hAnsi="Arial" w:eastAsia="Arial" w:cs="Arial" w:asciiTheme="minorAscii" w:hAnsiTheme="minorAscii" w:eastAsiaTheme="minorAscii" w:cstheme="minorAscii"/>
          <w:noProof w:val="0"/>
          <w:sz w:val="22"/>
          <w:szCs w:val="22"/>
          <w:lang w:val="en-GB"/>
        </w:rPr>
        <w:t>Regulatory bodies ensure compliance with legal standards. While their involvement is essential, it can delay the project timeline, particularly if the product does not initially meet regulatory requirements (PMI, 2021). Suppliers provide essential components, but supply chain disruptions can pose significant risks.</w:t>
      </w:r>
      <w:r w:rsidRPr="1C634A17" w:rsidR="5AD8D5C1">
        <w:rPr>
          <w:rFonts w:ascii="Arial" w:hAnsi="Arial" w:eastAsia="Arial" w:cs="Arial" w:asciiTheme="minorAscii" w:hAnsiTheme="minorAscii" w:eastAsiaTheme="minorAscii" w:cstheme="minorAscii"/>
          <w:noProof w:val="0"/>
          <w:sz w:val="22"/>
          <w:szCs w:val="22"/>
          <w:lang w:val="en-GB"/>
        </w:rPr>
        <w:t xml:space="preserve"> </w:t>
      </w:r>
      <w:r w:rsidRPr="1C634A17" w:rsidR="5B5C8142">
        <w:rPr>
          <w:rFonts w:ascii="Arial" w:hAnsi="Arial" w:eastAsia="Arial" w:cs="Arial" w:asciiTheme="minorAscii" w:hAnsiTheme="minorAscii" w:eastAsiaTheme="minorAscii" w:cstheme="minorAscii"/>
          <w:noProof w:val="0"/>
          <w:sz w:val="22"/>
          <w:szCs w:val="22"/>
          <w:lang w:val="en-GB"/>
        </w:rPr>
        <w:t xml:space="preserve">Customers are critical stakeholders, as their acceptance </w:t>
      </w:r>
      <w:r w:rsidRPr="1C634A17" w:rsidR="5B5C8142">
        <w:rPr>
          <w:rFonts w:ascii="Arial" w:hAnsi="Arial" w:eastAsia="Arial" w:cs="Arial" w:asciiTheme="minorAscii" w:hAnsiTheme="minorAscii" w:eastAsiaTheme="minorAscii" w:cstheme="minorAscii"/>
          <w:noProof w:val="0"/>
          <w:sz w:val="22"/>
          <w:szCs w:val="22"/>
          <w:lang w:val="en-GB"/>
        </w:rPr>
        <w:t>determines</w:t>
      </w:r>
      <w:r w:rsidRPr="1C634A17" w:rsidR="5B5C8142">
        <w:rPr>
          <w:rFonts w:ascii="Arial" w:hAnsi="Arial" w:eastAsia="Arial" w:cs="Arial" w:asciiTheme="minorAscii" w:hAnsiTheme="minorAscii" w:eastAsiaTheme="minorAscii" w:cstheme="minorAscii"/>
          <w:noProof w:val="0"/>
          <w:sz w:val="22"/>
          <w:szCs w:val="22"/>
          <w:lang w:val="en-GB"/>
        </w:rPr>
        <w:t xml:space="preserve"> the product’s success. However, concerns about data privacy and accuracy may affect adoption.</w:t>
      </w:r>
    </w:p>
    <w:p w:rsidR="5B5C8142" w:rsidP="1C634A17" w:rsidRDefault="5B5C8142" w14:paraId="54F8CBB8" w14:textId="24C1D6B2">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C634A17" w:rsidR="5B5C8142">
        <w:rPr>
          <w:rFonts w:ascii="Arial" w:hAnsi="Arial" w:eastAsia="Arial" w:cs="Arial" w:asciiTheme="minorAscii" w:hAnsiTheme="minorAscii" w:eastAsiaTheme="minorAscii" w:cstheme="minorAscii"/>
          <w:noProof w:val="0"/>
          <w:sz w:val="22"/>
          <w:szCs w:val="22"/>
          <w:lang w:val="en-GB"/>
        </w:rPr>
        <w:t xml:space="preserve">This analysis highlights that stakeholder engagement is not simply about communication but also about managing competing priorities. The project manager must ensure that stakeholder expectations are aligned with project </w:t>
      </w:r>
      <w:r w:rsidRPr="1C634A17" w:rsidR="5B5C8142">
        <w:rPr>
          <w:rFonts w:ascii="Arial" w:hAnsi="Arial" w:eastAsia="Arial" w:cs="Arial" w:asciiTheme="minorAscii" w:hAnsiTheme="minorAscii" w:eastAsiaTheme="minorAscii" w:cstheme="minorAscii"/>
          <w:noProof w:val="0"/>
          <w:sz w:val="22"/>
          <w:szCs w:val="22"/>
          <w:lang w:val="en-GB"/>
        </w:rPr>
        <w:t>objectives</w:t>
      </w:r>
      <w:r w:rsidRPr="1C634A17" w:rsidR="5B5C8142">
        <w:rPr>
          <w:rFonts w:ascii="Arial" w:hAnsi="Arial" w:eastAsia="Arial" w:cs="Arial" w:asciiTheme="minorAscii" w:hAnsiTheme="minorAscii" w:eastAsiaTheme="minorAscii" w:cstheme="minorAscii"/>
          <w:noProof w:val="0"/>
          <w:sz w:val="22"/>
          <w:szCs w:val="22"/>
          <w:lang w:val="en-GB"/>
        </w:rPr>
        <w:t xml:space="preserve"> while managing constraints such as time and cost.</w:t>
      </w:r>
    </w:p>
    <w:p w:rsidR="282F7AE9" w:rsidP="1C634A17" w:rsidRDefault="282F7AE9" w14:paraId="29184FF7" w14:textId="215017CE">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1C634A17" w:rsidR="282F7AE9">
        <w:rPr>
          <w:rFonts w:ascii="Arial" w:hAnsi="Arial" w:eastAsia="Arial" w:cs="Arial"/>
          <w:b w:val="1"/>
          <w:bCs w:val="1"/>
          <w:noProof w:val="0"/>
          <w:sz w:val="22"/>
          <w:szCs w:val="22"/>
          <w:u w:val="single"/>
          <w:lang w:val="en-GB"/>
        </w:rPr>
        <w:t>Stakeholder Engagement Frameworks</w:t>
      </w:r>
    </w:p>
    <w:tbl>
      <w:tblPr>
        <w:tblStyle w:val="TableGrid"/>
        <w:bidiVisual w:val="0"/>
        <w:tblW w:w="0" w:type="auto"/>
        <w:tblLook w:val="06A0" w:firstRow="1" w:lastRow="0" w:firstColumn="1" w:lastColumn="0" w:noHBand="1" w:noVBand="1"/>
      </w:tblPr>
      <w:tblGrid>
        <w:gridCol w:w="2190"/>
        <w:gridCol w:w="1532"/>
        <w:gridCol w:w="1305"/>
        <w:gridCol w:w="1995"/>
      </w:tblGrid>
      <w:tr w:rsidR="1C634A17" w:rsidTr="1C634A17" w14:paraId="5647F5EC">
        <w:trPr>
          <w:trHeight w:val="300"/>
        </w:trPr>
        <w:tc>
          <w:tcPr>
            <w:tcW w:w="2190" w:type="dxa"/>
            <w:tcMar/>
          </w:tcPr>
          <w:p w:rsidR="1C634A17" w:rsidP="1C634A17" w:rsidRDefault="1C634A17" w14:paraId="1DF518E9" w14:textId="75393466">
            <w:pPr>
              <w:spacing w:before="0" w:beforeAutospacing="off" w:after="0" w:afterAutospacing="off" w:line="360" w:lineRule="auto"/>
              <w:jc w:val="center"/>
              <w:rPr>
                <w:b w:val="1"/>
                <w:bCs w:val="1"/>
                <w:sz w:val="22"/>
                <w:szCs w:val="22"/>
              </w:rPr>
            </w:pPr>
            <w:r w:rsidRPr="1C634A17" w:rsidR="1C634A17">
              <w:rPr>
                <w:b w:val="1"/>
                <w:bCs w:val="1"/>
                <w:sz w:val="22"/>
                <w:szCs w:val="22"/>
              </w:rPr>
              <w:t>Stakeholder</w:t>
            </w:r>
          </w:p>
        </w:tc>
        <w:tc>
          <w:tcPr>
            <w:tcW w:w="1532" w:type="dxa"/>
            <w:tcMar/>
          </w:tcPr>
          <w:p w:rsidR="1C634A17" w:rsidP="1C634A17" w:rsidRDefault="1C634A17" w14:paraId="22254AA4" w14:textId="3D5459D8">
            <w:pPr>
              <w:spacing w:before="0" w:beforeAutospacing="off" w:after="0" w:afterAutospacing="off" w:line="360" w:lineRule="auto"/>
              <w:jc w:val="center"/>
              <w:rPr>
                <w:b w:val="1"/>
                <w:bCs w:val="1"/>
                <w:sz w:val="22"/>
                <w:szCs w:val="22"/>
              </w:rPr>
            </w:pPr>
            <w:r w:rsidRPr="1C634A17" w:rsidR="1C634A17">
              <w:rPr>
                <w:b w:val="1"/>
                <w:bCs w:val="1"/>
                <w:sz w:val="22"/>
                <w:szCs w:val="22"/>
              </w:rPr>
              <w:t>Power</w:t>
            </w:r>
          </w:p>
        </w:tc>
        <w:tc>
          <w:tcPr>
            <w:tcW w:w="1305" w:type="dxa"/>
            <w:tcMar/>
          </w:tcPr>
          <w:p w:rsidR="1C634A17" w:rsidP="1C634A17" w:rsidRDefault="1C634A17" w14:paraId="59A5AB91" w14:textId="32702549">
            <w:pPr>
              <w:spacing w:before="0" w:beforeAutospacing="off" w:after="0" w:afterAutospacing="off" w:line="360" w:lineRule="auto"/>
              <w:jc w:val="center"/>
              <w:rPr>
                <w:b w:val="1"/>
                <w:bCs w:val="1"/>
                <w:sz w:val="22"/>
                <w:szCs w:val="22"/>
              </w:rPr>
            </w:pPr>
            <w:r w:rsidRPr="1C634A17" w:rsidR="1C634A17">
              <w:rPr>
                <w:b w:val="1"/>
                <w:bCs w:val="1"/>
                <w:sz w:val="22"/>
                <w:szCs w:val="22"/>
              </w:rPr>
              <w:t>Interest</w:t>
            </w:r>
          </w:p>
        </w:tc>
        <w:tc>
          <w:tcPr>
            <w:tcW w:w="1995" w:type="dxa"/>
            <w:tcMar/>
          </w:tcPr>
          <w:p w:rsidR="1C634A17" w:rsidP="1C634A17" w:rsidRDefault="1C634A17" w14:paraId="64B7413B" w14:textId="2759FC30">
            <w:pPr>
              <w:spacing w:before="0" w:beforeAutospacing="off" w:after="0" w:afterAutospacing="off" w:line="360" w:lineRule="auto"/>
              <w:jc w:val="center"/>
              <w:rPr>
                <w:b w:val="1"/>
                <w:bCs w:val="1"/>
                <w:sz w:val="22"/>
                <w:szCs w:val="22"/>
              </w:rPr>
            </w:pPr>
            <w:r w:rsidRPr="1C634A17" w:rsidR="1C634A17">
              <w:rPr>
                <w:b w:val="1"/>
                <w:bCs w:val="1"/>
                <w:sz w:val="22"/>
                <w:szCs w:val="22"/>
              </w:rPr>
              <w:t>Strategy</w:t>
            </w:r>
          </w:p>
        </w:tc>
      </w:tr>
      <w:tr w:rsidR="1C634A17" w:rsidTr="1C634A17" w14:paraId="35196A1E">
        <w:trPr>
          <w:trHeight w:val="465"/>
        </w:trPr>
        <w:tc>
          <w:tcPr>
            <w:tcW w:w="2190" w:type="dxa"/>
            <w:tcMar/>
          </w:tcPr>
          <w:p w:rsidR="1C634A17" w:rsidP="1C634A17" w:rsidRDefault="1C634A17" w14:paraId="319A44F4" w14:textId="4A4793F5">
            <w:pPr>
              <w:spacing w:before="0" w:beforeAutospacing="off" w:after="0" w:afterAutospacing="off" w:line="360" w:lineRule="auto"/>
              <w:rPr>
                <w:sz w:val="22"/>
                <w:szCs w:val="22"/>
              </w:rPr>
            </w:pPr>
            <w:r w:rsidRPr="1C634A17" w:rsidR="1C634A17">
              <w:rPr>
                <w:sz w:val="22"/>
                <w:szCs w:val="22"/>
              </w:rPr>
              <w:t>Regulators</w:t>
            </w:r>
          </w:p>
        </w:tc>
        <w:tc>
          <w:tcPr>
            <w:tcW w:w="1532" w:type="dxa"/>
            <w:tcMar/>
          </w:tcPr>
          <w:p w:rsidR="1C634A17" w:rsidP="1C634A17" w:rsidRDefault="1C634A17" w14:paraId="74707391" w14:textId="1CF32F01">
            <w:pPr>
              <w:spacing w:before="0" w:beforeAutospacing="off" w:after="0" w:afterAutospacing="off" w:line="360" w:lineRule="auto"/>
              <w:rPr>
                <w:sz w:val="22"/>
                <w:szCs w:val="22"/>
              </w:rPr>
            </w:pPr>
            <w:r w:rsidRPr="1C634A17" w:rsidR="1C634A17">
              <w:rPr>
                <w:sz w:val="22"/>
                <w:szCs w:val="22"/>
              </w:rPr>
              <w:t>High</w:t>
            </w:r>
          </w:p>
        </w:tc>
        <w:tc>
          <w:tcPr>
            <w:tcW w:w="1305" w:type="dxa"/>
            <w:tcMar/>
          </w:tcPr>
          <w:p w:rsidR="1C634A17" w:rsidP="1C634A17" w:rsidRDefault="1C634A17" w14:paraId="259DE5BA" w14:textId="18C741C2">
            <w:pPr>
              <w:spacing w:before="0" w:beforeAutospacing="off" w:after="0" w:afterAutospacing="off" w:line="360" w:lineRule="auto"/>
              <w:rPr>
                <w:sz w:val="22"/>
                <w:szCs w:val="22"/>
              </w:rPr>
            </w:pPr>
            <w:r w:rsidRPr="1C634A17" w:rsidR="1C634A17">
              <w:rPr>
                <w:sz w:val="22"/>
                <w:szCs w:val="22"/>
              </w:rPr>
              <w:t>High</w:t>
            </w:r>
          </w:p>
        </w:tc>
        <w:tc>
          <w:tcPr>
            <w:tcW w:w="1995" w:type="dxa"/>
            <w:tcMar/>
          </w:tcPr>
          <w:p w:rsidR="1C634A17" w:rsidP="1C634A17" w:rsidRDefault="1C634A17" w14:paraId="43173975" w14:textId="147C23EF">
            <w:pPr>
              <w:spacing w:before="0" w:beforeAutospacing="off" w:after="0" w:afterAutospacing="off" w:line="360" w:lineRule="auto"/>
              <w:rPr>
                <w:sz w:val="22"/>
                <w:szCs w:val="22"/>
              </w:rPr>
            </w:pPr>
            <w:r w:rsidRPr="1C634A17" w:rsidR="1C634A17">
              <w:rPr>
                <w:sz w:val="22"/>
                <w:szCs w:val="22"/>
              </w:rPr>
              <w:t>Manage closely</w:t>
            </w:r>
          </w:p>
        </w:tc>
      </w:tr>
      <w:tr w:rsidR="1C634A17" w:rsidTr="1C634A17" w14:paraId="06090A2E">
        <w:trPr>
          <w:trHeight w:val="675"/>
        </w:trPr>
        <w:tc>
          <w:tcPr>
            <w:tcW w:w="2190" w:type="dxa"/>
            <w:tcMar/>
          </w:tcPr>
          <w:p w:rsidR="1C634A17" w:rsidP="1C634A17" w:rsidRDefault="1C634A17" w14:paraId="4A1B0D23" w14:textId="6EC16F16">
            <w:pPr>
              <w:spacing w:before="0" w:beforeAutospacing="off" w:after="0" w:afterAutospacing="off" w:line="360" w:lineRule="auto"/>
              <w:rPr>
                <w:sz w:val="22"/>
                <w:szCs w:val="22"/>
              </w:rPr>
            </w:pPr>
            <w:r w:rsidRPr="1C634A17" w:rsidR="1C634A17">
              <w:rPr>
                <w:sz w:val="22"/>
                <w:szCs w:val="22"/>
              </w:rPr>
              <w:t>Senior Management</w:t>
            </w:r>
          </w:p>
        </w:tc>
        <w:tc>
          <w:tcPr>
            <w:tcW w:w="1532" w:type="dxa"/>
            <w:tcMar/>
          </w:tcPr>
          <w:p w:rsidR="1C634A17" w:rsidP="1C634A17" w:rsidRDefault="1C634A17" w14:paraId="430F3E9C" w14:textId="45A3B7AF">
            <w:pPr>
              <w:spacing w:before="0" w:beforeAutospacing="off" w:after="0" w:afterAutospacing="off" w:line="360" w:lineRule="auto"/>
              <w:rPr>
                <w:sz w:val="22"/>
                <w:szCs w:val="22"/>
              </w:rPr>
            </w:pPr>
            <w:r w:rsidRPr="1C634A17" w:rsidR="1C634A17">
              <w:rPr>
                <w:sz w:val="22"/>
                <w:szCs w:val="22"/>
              </w:rPr>
              <w:t>High</w:t>
            </w:r>
          </w:p>
        </w:tc>
        <w:tc>
          <w:tcPr>
            <w:tcW w:w="1305" w:type="dxa"/>
            <w:tcMar/>
          </w:tcPr>
          <w:p w:rsidR="1C634A17" w:rsidP="1C634A17" w:rsidRDefault="1C634A17" w14:paraId="7C986193" w14:textId="7FD0BFF0">
            <w:pPr>
              <w:spacing w:before="0" w:beforeAutospacing="off" w:after="0" w:afterAutospacing="off" w:line="360" w:lineRule="auto"/>
              <w:rPr>
                <w:sz w:val="22"/>
                <w:szCs w:val="22"/>
              </w:rPr>
            </w:pPr>
            <w:r w:rsidRPr="1C634A17" w:rsidR="1C634A17">
              <w:rPr>
                <w:sz w:val="22"/>
                <w:szCs w:val="22"/>
              </w:rPr>
              <w:t>High</w:t>
            </w:r>
          </w:p>
        </w:tc>
        <w:tc>
          <w:tcPr>
            <w:tcW w:w="1995" w:type="dxa"/>
            <w:tcMar/>
          </w:tcPr>
          <w:p w:rsidR="1C634A17" w:rsidP="1C634A17" w:rsidRDefault="1C634A17" w14:paraId="457FFB08" w14:textId="03072259">
            <w:pPr>
              <w:spacing w:before="0" w:beforeAutospacing="off" w:after="0" w:afterAutospacing="off" w:line="360" w:lineRule="auto"/>
              <w:rPr>
                <w:sz w:val="22"/>
                <w:szCs w:val="22"/>
              </w:rPr>
            </w:pPr>
            <w:r w:rsidRPr="1C634A17" w:rsidR="1C634A17">
              <w:rPr>
                <w:sz w:val="22"/>
                <w:szCs w:val="22"/>
              </w:rPr>
              <w:t>Manage closely</w:t>
            </w:r>
          </w:p>
        </w:tc>
      </w:tr>
      <w:tr w:rsidR="1C634A17" w:rsidTr="1C634A17" w14:paraId="2C7F2F29">
        <w:trPr>
          <w:trHeight w:val="420"/>
        </w:trPr>
        <w:tc>
          <w:tcPr>
            <w:tcW w:w="2190" w:type="dxa"/>
            <w:tcMar/>
          </w:tcPr>
          <w:p w:rsidR="1C634A17" w:rsidP="1C634A17" w:rsidRDefault="1C634A17" w14:paraId="612A6188" w14:textId="19A54AA0">
            <w:pPr>
              <w:spacing w:before="0" w:beforeAutospacing="off" w:after="0" w:afterAutospacing="off" w:line="360" w:lineRule="auto"/>
              <w:rPr>
                <w:sz w:val="22"/>
                <w:szCs w:val="22"/>
              </w:rPr>
            </w:pPr>
            <w:r w:rsidRPr="1C634A17" w:rsidR="1C634A17">
              <w:rPr>
                <w:sz w:val="22"/>
                <w:szCs w:val="22"/>
              </w:rPr>
              <w:t>Customers</w:t>
            </w:r>
          </w:p>
        </w:tc>
        <w:tc>
          <w:tcPr>
            <w:tcW w:w="1532" w:type="dxa"/>
            <w:tcMar/>
          </w:tcPr>
          <w:p w:rsidR="1C634A17" w:rsidP="1C634A17" w:rsidRDefault="1C634A17" w14:paraId="76A0E48E" w14:textId="7683E121">
            <w:pPr>
              <w:spacing w:before="0" w:beforeAutospacing="off" w:after="0" w:afterAutospacing="off" w:line="360" w:lineRule="auto"/>
              <w:rPr>
                <w:sz w:val="22"/>
                <w:szCs w:val="22"/>
              </w:rPr>
            </w:pPr>
            <w:r w:rsidRPr="1C634A17" w:rsidR="1C634A17">
              <w:rPr>
                <w:sz w:val="22"/>
                <w:szCs w:val="22"/>
              </w:rPr>
              <w:t>Low</w:t>
            </w:r>
          </w:p>
        </w:tc>
        <w:tc>
          <w:tcPr>
            <w:tcW w:w="1305" w:type="dxa"/>
            <w:tcMar/>
          </w:tcPr>
          <w:p w:rsidR="1C634A17" w:rsidP="1C634A17" w:rsidRDefault="1C634A17" w14:paraId="704FC33A" w14:textId="37F2E1B8">
            <w:pPr>
              <w:spacing w:before="0" w:beforeAutospacing="off" w:after="0" w:afterAutospacing="off" w:line="360" w:lineRule="auto"/>
              <w:rPr>
                <w:sz w:val="22"/>
                <w:szCs w:val="22"/>
              </w:rPr>
            </w:pPr>
            <w:r w:rsidRPr="1C634A17" w:rsidR="1C634A17">
              <w:rPr>
                <w:sz w:val="22"/>
                <w:szCs w:val="22"/>
              </w:rPr>
              <w:t>High</w:t>
            </w:r>
          </w:p>
        </w:tc>
        <w:tc>
          <w:tcPr>
            <w:tcW w:w="1995" w:type="dxa"/>
            <w:tcMar/>
          </w:tcPr>
          <w:p w:rsidR="1C634A17" w:rsidP="1C634A17" w:rsidRDefault="1C634A17" w14:paraId="6EE254C1" w14:textId="54AAA9CD">
            <w:pPr>
              <w:spacing w:before="0" w:beforeAutospacing="off" w:after="0" w:afterAutospacing="off" w:line="360" w:lineRule="auto"/>
              <w:rPr>
                <w:sz w:val="22"/>
                <w:szCs w:val="22"/>
              </w:rPr>
            </w:pPr>
            <w:r w:rsidRPr="1C634A17" w:rsidR="1C634A17">
              <w:rPr>
                <w:sz w:val="22"/>
                <w:szCs w:val="22"/>
              </w:rPr>
              <w:t>Keep informed</w:t>
            </w:r>
          </w:p>
        </w:tc>
      </w:tr>
      <w:tr w:rsidR="1C634A17" w:rsidTr="1C634A17" w14:paraId="52C995A9">
        <w:trPr>
          <w:trHeight w:val="390"/>
        </w:trPr>
        <w:tc>
          <w:tcPr>
            <w:tcW w:w="2190" w:type="dxa"/>
            <w:tcMar/>
          </w:tcPr>
          <w:p w:rsidR="1C634A17" w:rsidP="1C634A17" w:rsidRDefault="1C634A17" w14:paraId="249BC4A3" w14:textId="3A3453C9">
            <w:pPr>
              <w:spacing w:before="0" w:beforeAutospacing="off" w:after="0" w:afterAutospacing="off" w:line="360" w:lineRule="auto"/>
              <w:rPr>
                <w:sz w:val="22"/>
                <w:szCs w:val="22"/>
              </w:rPr>
            </w:pPr>
            <w:r w:rsidRPr="1C634A17" w:rsidR="1C634A17">
              <w:rPr>
                <w:sz w:val="22"/>
                <w:szCs w:val="22"/>
              </w:rPr>
              <w:t>Investors</w:t>
            </w:r>
          </w:p>
        </w:tc>
        <w:tc>
          <w:tcPr>
            <w:tcW w:w="1532" w:type="dxa"/>
            <w:tcMar/>
          </w:tcPr>
          <w:p w:rsidR="1C634A17" w:rsidP="1C634A17" w:rsidRDefault="1C634A17" w14:paraId="4384D850" w14:textId="63037A3C">
            <w:pPr>
              <w:spacing w:before="0" w:beforeAutospacing="off" w:after="0" w:afterAutospacing="off" w:line="360" w:lineRule="auto"/>
              <w:rPr>
                <w:sz w:val="22"/>
                <w:szCs w:val="22"/>
              </w:rPr>
            </w:pPr>
            <w:r w:rsidRPr="1C634A17" w:rsidR="1C634A17">
              <w:rPr>
                <w:sz w:val="22"/>
                <w:szCs w:val="22"/>
              </w:rPr>
              <w:t>High</w:t>
            </w:r>
          </w:p>
        </w:tc>
        <w:tc>
          <w:tcPr>
            <w:tcW w:w="1305" w:type="dxa"/>
            <w:tcMar/>
          </w:tcPr>
          <w:p w:rsidR="1C634A17" w:rsidP="1C634A17" w:rsidRDefault="1C634A17" w14:paraId="54C06915" w14:textId="2563CB5E">
            <w:pPr>
              <w:spacing w:before="0" w:beforeAutospacing="off" w:after="0" w:afterAutospacing="off" w:line="360" w:lineRule="auto"/>
              <w:rPr>
                <w:sz w:val="22"/>
                <w:szCs w:val="22"/>
              </w:rPr>
            </w:pPr>
            <w:r w:rsidRPr="1C634A17" w:rsidR="1C634A17">
              <w:rPr>
                <w:sz w:val="22"/>
                <w:szCs w:val="22"/>
              </w:rPr>
              <w:t>Low</w:t>
            </w:r>
          </w:p>
        </w:tc>
        <w:tc>
          <w:tcPr>
            <w:tcW w:w="1995" w:type="dxa"/>
            <w:tcMar/>
          </w:tcPr>
          <w:p w:rsidR="1C634A17" w:rsidP="1C634A17" w:rsidRDefault="1C634A17" w14:paraId="7DA0699C" w14:textId="15838AE7">
            <w:pPr>
              <w:spacing w:before="0" w:beforeAutospacing="off" w:after="0" w:afterAutospacing="off" w:line="360" w:lineRule="auto"/>
              <w:rPr>
                <w:sz w:val="22"/>
                <w:szCs w:val="22"/>
              </w:rPr>
            </w:pPr>
            <w:r w:rsidRPr="1C634A17" w:rsidR="1C634A17">
              <w:rPr>
                <w:sz w:val="22"/>
                <w:szCs w:val="22"/>
              </w:rPr>
              <w:t>Keep satisfied</w:t>
            </w:r>
          </w:p>
        </w:tc>
      </w:tr>
    </w:tbl>
    <w:p w:rsidR="0835575C" w:rsidP="1C634A17" w:rsidRDefault="0835575C" w14:paraId="00D347B0" w14:textId="356AA974">
      <w:pPr>
        <w:spacing w:before="240" w:beforeAutospacing="off" w:after="240" w:afterAutospacing="off" w:line="360" w:lineRule="auto"/>
        <w:rPr>
          <w:rFonts w:ascii="Arial" w:hAnsi="Arial" w:eastAsia="Arial" w:cs="Arial"/>
          <w:noProof w:val="0"/>
          <w:sz w:val="22"/>
          <w:szCs w:val="22"/>
          <w:lang w:val="en-GB"/>
        </w:rPr>
      </w:pPr>
      <w:r w:rsidRPr="1C634A17" w:rsidR="0835575C">
        <w:rPr>
          <w:rFonts w:ascii="Arial" w:hAnsi="Arial" w:eastAsia="Arial" w:cs="Arial"/>
          <w:noProof w:val="0"/>
          <w:sz w:val="22"/>
          <w:szCs w:val="22"/>
          <w:lang w:val="en-GB"/>
        </w:rPr>
        <w:t>Mendelow’s Matrix is used to prioritise stakeholders based on their level of power and interest (Bryson, 2018). Stakeholders with high power and high interest, such as regulators and senior management, require close management, as they can significantly influence project outcomes.</w:t>
      </w:r>
    </w:p>
    <w:p w:rsidR="0835575C" w:rsidP="1C634A17" w:rsidRDefault="0835575C" w14:paraId="48E4203C" w14:textId="16AE9306">
      <w:pPr>
        <w:spacing w:before="240" w:beforeAutospacing="off" w:after="240" w:afterAutospacing="off" w:line="360" w:lineRule="auto"/>
        <w:rPr>
          <w:rFonts w:ascii="Arial" w:hAnsi="Arial" w:eastAsia="Arial" w:cs="Arial"/>
          <w:noProof w:val="0"/>
          <w:sz w:val="22"/>
          <w:szCs w:val="22"/>
          <w:lang w:val="en-GB"/>
        </w:rPr>
      </w:pPr>
      <w:r w:rsidRPr="1C634A17" w:rsidR="0835575C">
        <w:rPr>
          <w:rFonts w:ascii="Arial" w:hAnsi="Arial" w:eastAsia="Arial" w:cs="Arial"/>
          <w:noProof w:val="0"/>
          <w:sz w:val="22"/>
          <w:szCs w:val="22"/>
          <w:lang w:val="en-GB"/>
        </w:rPr>
        <w:t xml:space="preserve">Customers, while having lower power individually, have high interest and must be kept informed to ensure satisfaction. Investors, on the other hand, have high power but lower interest in day-to-day operations, so they should be kept satisfied through regular updates. </w:t>
      </w:r>
    </w:p>
    <w:p w:rsidR="0835575C" w:rsidP="1C634A17" w:rsidRDefault="0835575C" w14:paraId="1D72C4A8" w14:textId="2BA4DB57">
      <w:pPr>
        <w:spacing w:before="240" w:beforeAutospacing="off" w:after="240" w:afterAutospacing="off" w:line="360" w:lineRule="auto"/>
        <w:rPr>
          <w:rFonts w:ascii="Arial" w:hAnsi="Arial" w:eastAsia="Arial" w:cs="Arial"/>
          <w:b w:val="1"/>
          <w:bCs w:val="1"/>
          <w:noProof w:val="0"/>
          <w:sz w:val="22"/>
          <w:szCs w:val="22"/>
          <w:u w:val="single"/>
          <w:lang w:val="en-GB"/>
        </w:rPr>
      </w:pPr>
      <w:r w:rsidRPr="1C634A17" w:rsidR="0835575C">
        <w:rPr>
          <w:rFonts w:ascii="Arial" w:hAnsi="Arial" w:eastAsia="Arial" w:cs="Arial"/>
          <w:b w:val="1"/>
          <w:bCs w:val="1"/>
          <w:noProof w:val="0"/>
          <w:sz w:val="22"/>
          <w:szCs w:val="22"/>
          <w:u w:val="single"/>
          <w:lang w:val="en-GB"/>
        </w:rPr>
        <w:t>RACI Matrix</w:t>
      </w:r>
    </w:p>
    <w:tbl>
      <w:tblPr>
        <w:tblStyle w:val="TableGrid"/>
        <w:bidiVisual w:val="0"/>
        <w:tblW w:w="0" w:type="auto"/>
        <w:tblLook w:val="06A0" w:firstRow="1" w:lastRow="0" w:firstColumn="1" w:lastColumn="0" w:noHBand="1" w:noVBand="1"/>
      </w:tblPr>
      <w:tblGrid>
        <w:gridCol w:w="2025"/>
        <w:gridCol w:w="1725"/>
        <w:gridCol w:w="2193"/>
        <w:gridCol w:w="1650"/>
        <w:gridCol w:w="1545"/>
      </w:tblGrid>
      <w:tr w:rsidR="1C634A17" w:rsidTr="1C634A17" w14:paraId="009DC0D7">
        <w:trPr>
          <w:trHeight w:val="300"/>
        </w:trPr>
        <w:tc>
          <w:tcPr>
            <w:tcW w:w="2025" w:type="dxa"/>
            <w:tcMar/>
          </w:tcPr>
          <w:p w:rsidR="1C634A17" w:rsidP="1C634A17" w:rsidRDefault="1C634A17" w14:paraId="2C301AFF" w14:textId="20FCA729">
            <w:pPr>
              <w:spacing w:before="0" w:beforeAutospacing="off" w:after="0" w:afterAutospacing="off" w:line="360" w:lineRule="auto"/>
              <w:jc w:val="center"/>
              <w:rPr>
                <w:b w:val="1"/>
                <w:bCs w:val="1"/>
                <w:sz w:val="22"/>
                <w:szCs w:val="22"/>
                <w:u w:val="single"/>
              </w:rPr>
            </w:pPr>
            <w:r w:rsidRPr="1C634A17" w:rsidR="1C634A17">
              <w:rPr>
                <w:b w:val="1"/>
                <w:bCs w:val="1"/>
                <w:sz w:val="22"/>
                <w:szCs w:val="22"/>
                <w:u w:val="single"/>
              </w:rPr>
              <w:t>Task</w:t>
            </w:r>
          </w:p>
        </w:tc>
        <w:tc>
          <w:tcPr>
            <w:tcW w:w="1725" w:type="dxa"/>
            <w:tcMar/>
          </w:tcPr>
          <w:p w:rsidR="1C634A17" w:rsidP="1C634A17" w:rsidRDefault="1C634A17" w14:paraId="097922D4" w14:textId="0F8FD411">
            <w:pPr>
              <w:spacing w:before="0" w:beforeAutospacing="off" w:after="0" w:afterAutospacing="off" w:line="360" w:lineRule="auto"/>
              <w:jc w:val="center"/>
              <w:rPr>
                <w:b w:val="1"/>
                <w:bCs w:val="1"/>
                <w:sz w:val="22"/>
                <w:szCs w:val="22"/>
                <w:u w:val="single"/>
              </w:rPr>
            </w:pPr>
            <w:r w:rsidRPr="1C634A17" w:rsidR="1C634A17">
              <w:rPr>
                <w:b w:val="1"/>
                <w:bCs w:val="1"/>
                <w:sz w:val="22"/>
                <w:szCs w:val="22"/>
                <w:u w:val="single"/>
              </w:rPr>
              <w:t>Responsible</w:t>
            </w:r>
          </w:p>
        </w:tc>
        <w:tc>
          <w:tcPr>
            <w:tcW w:w="2193" w:type="dxa"/>
            <w:tcMar/>
          </w:tcPr>
          <w:p w:rsidR="1C634A17" w:rsidP="1C634A17" w:rsidRDefault="1C634A17" w14:paraId="4E7192F6" w14:textId="5AA78524">
            <w:pPr>
              <w:spacing w:before="0" w:beforeAutospacing="off" w:after="0" w:afterAutospacing="off" w:line="360" w:lineRule="auto"/>
              <w:jc w:val="center"/>
              <w:rPr>
                <w:b w:val="1"/>
                <w:bCs w:val="1"/>
                <w:sz w:val="22"/>
                <w:szCs w:val="22"/>
                <w:u w:val="single"/>
              </w:rPr>
            </w:pPr>
            <w:r w:rsidRPr="1C634A17" w:rsidR="1C634A17">
              <w:rPr>
                <w:b w:val="1"/>
                <w:bCs w:val="1"/>
                <w:sz w:val="22"/>
                <w:szCs w:val="22"/>
                <w:u w:val="single"/>
              </w:rPr>
              <w:t>Accountable</w:t>
            </w:r>
          </w:p>
        </w:tc>
        <w:tc>
          <w:tcPr>
            <w:tcW w:w="1650" w:type="dxa"/>
            <w:tcMar/>
          </w:tcPr>
          <w:p w:rsidR="1C634A17" w:rsidP="1C634A17" w:rsidRDefault="1C634A17" w14:paraId="55CD436F" w14:textId="4FD2842B">
            <w:pPr>
              <w:spacing w:before="0" w:beforeAutospacing="off" w:after="0" w:afterAutospacing="off" w:line="360" w:lineRule="auto"/>
              <w:jc w:val="center"/>
              <w:rPr>
                <w:b w:val="1"/>
                <w:bCs w:val="1"/>
                <w:sz w:val="22"/>
                <w:szCs w:val="22"/>
                <w:u w:val="single"/>
              </w:rPr>
            </w:pPr>
            <w:r w:rsidRPr="1C634A17" w:rsidR="1C634A17">
              <w:rPr>
                <w:b w:val="1"/>
                <w:bCs w:val="1"/>
                <w:sz w:val="22"/>
                <w:szCs w:val="22"/>
                <w:u w:val="single"/>
              </w:rPr>
              <w:t>Consulted</w:t>
            </w:r>
          </w:p>
        </w:tc>
        <w:tc>
          <w:tcPr>
            <w:tcW w:w="1545" w:type="dxa"/>
            <w:tcMar/>
          </w:tcPr>
          <w:p w:rsidR="1C634A17" w:rsidP="1C634A17" w:rsidRDefault="1C634A17" w14:paraId="70266ED6" w14:textId="3EF2E60A">
            <w:pPr>
              <w:spacing w:before="0" w:beforeAutospacing="off" w:after="0" w:afterAutospacing="off" w:line="360" w:lineRule="auto"/>
              <w:jc w:val="center"/>
              <w:rPr>
                <w:b w:val="1"/>
                <w:bCs w:val="1"/>
                <w:sz w:val="22"/>
                <w:szCs w:val="22"/>
                <w:u w:val="single"/>
              </w:rPr>
            </w:pPr>
            <w:r w:rsidRPr="1C634A17" w:rsidR="1C634A17">
              <w:rPr>
                <w:b w:val="1"/>
                <w:bCs w:val="1"/>
                <w:sz w:val="22"/>
                <w:szCs w:val="22"/>
                <w:u w:val="single"/>
              </w:rPr>
              <w:t>Informed</w:t>
            </w:r>
          </w:p>
        </w:tc>
      </w:tr>
      <w:tr w:rsidR="1C634A17" w:rsidTr="1C634A17" w14:paraId="2DA12D9E">
        <w:trPr>
          <w:trHeight w:val="300"/>
        </w:trPr>
        <w:tc>
          <w:tcPr>
            <w:tcW w:w="2025" w:type="dxa"/>
            <w:tcMar/>
          </w:tcPr>
          <w:p w:rsidR="1C634A17" w:rsidP="1C634A17" w:rsidRDefault="1C634A17" w14:paraId="3AE94072" w14:textId="19F9540F">
            <w:pPr>
              <w:spacing w:before="0" w:beforeAutospacing="off" w:after="0" w:afterAutospacing="off" w:line="360" w:lineRule="auto"/>
              <w:rPr>
                <w:b w:val="1"/>
                <w:bCs w:val="1"/>
                <w:sz w:val="22"/>
                <w:szCs w:val="22"/>
              </w:rPr>
            </w:pPr>
            <w:r w:rsidRPr="1C634A17" w:rsidR="1C634A17">
              <w:rPr>
                <w:b w:val="1"/>
                <w:bCs w:val="1"/>
                <w:sz w:val="22"/>
                <w:szCs w:val="22"/>
              </w:rPr>
              <w:t>Product Development</w:t>
            </w:r>
          </w:p>
        </w:tc>
        <w:tc>
          <w:tcPr>
            <w:tcW w:w="1725" w:type="dxa"/>
            <w:tcMar/>
          </w:tcPr>
          <w:p w:rsidR="1C634A17" w:rsidP="1C634A17" w:rsidRDefault="1C634A17" w14:paraId="46FE99F2" w14:textId="76781B4E">
            <w:pPr>
              <w:spacing w:before="0" w:beforeAutospacing="off" w:after="0" w:afterAutospacing="off" w:line="360" w:lineRule="auto"/>
              <w:rPr>
                <w:sz w:val="22"/>
                <w:szCs w:val="22"/>
              </w:rPr>
            </w:pPr>
            <w:r w:rsidRPr="1C634A17" w:rsidR="1C634A17">
              <w:rPr>
                <w:sz w:val="22"/>
                <w:szCs w:val="22"/>
              </w:rPr>
              <w:t>Dev</w:t>
            </w:r>
            <w:r w:rsidRPr="1C634A17" w:rsidR="2C0BE10B">
              <w:rPr>
                <w:sz w:val="22"/>
                <w:szCs w:val="22"/>
              </w:rPr>
              <w:t>elopment</w:t>
            </w:r>
            <w:r w:rsidRPr="1C634A17" w:rsidR="1C634A17">
              <w:rPr>
                <w:sz w:val="22"/>
                <w:szCs w:val="22"/>
              </w:rPr>
              <w:t xml:space="preserve"> Team</w:t>
            </w:r>
          </w:p>
        </w:tc>
        <w:tc>
          <w:tcPr>
            <w:tcW w:w="2193" w:type="dxa"/>
            <w:tcMar/>
          </w:tcPr>
          <w:p w:rsidR="1C634A17" w:rsidP="1C634A17" w:rsidRDefault="1C634A17" w14:paraId="59A48E1E" w14:textId="568FD714">
            <w:pPr>
              <w:spacing w:before="0" w:beforeAutospacing="off" w:after="0" w:afterAutospacing="off" w:line="360" w:lineRule="auto"/>
              <w:rPr>
                <w:sz w:val="22"/>
                <w:szCs w:val="22"/>
              </w:rPr>
            </w:pPr>
            <w:r w:rsidRPr="1C634A17" w:rsidR="1C634A17">
              <w:rPr>
                <w:sz w:val="22"/>
                <w:szCs w:val="22"/>
              </w:rPr>
              <w:t>Project Manager</w:t>
            </w:r>
          </w:p>
        </w:tc>
        <w:tc>
          <w:tcPr>
            <w:tcW w:w="1650" w:type="dxa"/>
            <w:tcMar/>
          </w:tcPr>
          <w:p w:rsidR="1C634A17" w:rsidP="1C634A17" w:rsidRDefault="1C634A17" w14:paraId="752A34FD" w14:textId="3150409A">
            <w:pPr>
              <w:spacing w:before="0" w:beforeAutospacing="off" w:after="0" w:afterAutospacing="off" w:line="360" w:lineRule="auto"/>
              <w:rPr>
                <w:sz w:val="22"/>
                <w:szCs w:val="22"/>
              </w:rPr>
            </w:pPr>
            <w:r w:rsidRPr="1C634A17" w:rsidR="1C634A17">
              <w:rPr>
                <w:sz w:val="22"/>
                <w:szCs w:val="22"/>
              </w:rPr>
              <w:t>Healthcare Experts</w:t>
            </w:r>
          </w:p>
        </w:tc>
        <w:tc>
          <w:tcPr>
            <w:tcW w:w="1545" w:type="dxa"/>
            <w:tcMar/>
          </w:tcPr>
          <w:p w:rsidR="1C634A17" w:rsidP="1C634A17" w:rsidRDefault="1C634A17" w14:paraId="4824405A" w14:textId="2D13C8C0">
            <w:pPr>
              <w:spacing w:before="0" w:beforeAutospacing="off" w:after="0" w:afterAutospacing="off" w:line="360" w:lineRule="auto"/>
              <w:rPr>
                <w:sz w:val="22"/>
                <w:szCs w:val="22"/>
              </w:rPr>
            </w:pPr>
            <w:r w:rsidRPr="1C634A17" w:rsidR="1C634A17">
              <w:rPr>
                <w:sz w:val="22"/>
                <w:szCs w:val="22"/>
              </w:rPr>
              <w:t>Management</w:t>
            </w:r>
          </w:p>
        </w:tc>
      </w:tr>
      <w:tr w:rsidR="1C634A17" w:rsidTr="1C634A17" w14:paraId="2E73EA0B">
        <w:trPr>
          <w:trHeight w:val="300"/>
        </w:trPr>
        <w:tc>
          <w:tcPr>
            <w:tcW w:w="2025" w:type="dxa"/>
            <w:tcMar/>
          </w:tcPr>
          <w:p w:rsidR="1C634A17" w:rsidP="1C634A17" w:rsidRDefault="1C634A17" w14:paraId="4E44CB24" w14:textId="11CC9AC3">
            <w:pPr>
              <w:spacing w:before="0" w:beforeAutospacing="off" w:after="0" w:afterAutospacing="off" w:line="360" w:lineRule="auto"/>
              <w:rPr>
                <w:b w:val="1"/>
                <w:bCs w:val="1"/>
                <w:sz w:val="22"/>
                <w:szCs w:val="22"/>
              </w:rPr>
            </w:pPr>
            <w:r w:rsidRPr="1C634A17" w:rsidR="1C634A17">
              <w:rPr>
                <w:b w:val="1"/>
                <w:bCs w:val="1"/>
                <w:sz w:val="22"/>
                <w:szCs w:val="22"/>
              </w:rPr>
              <w:t>Marketing Strategy</w:t>
            </w:r>
          </w:p>
        </w:tc>
        <w:tc>
          <w:tcPr>
            <w:tcW w:w="1725" w:type="dxa"/>
            <w:tcMar/>
          </w:tcPr>
          <w:p w:rsidR="1C634A17" w:rsidP="1C634A17" w:rsidRDefault="1C634A17" w14:paraId="103530E0" w14:textId="19DB500B">
            <w:pPr>
              <w:spacing w:before="0" w:beforeAutospacing="off" w:after="0" w:afterAutospacing="off" w:line="360" w:lineRule="auto"/>
              <w:rPr>
                <w:sz w:val="22"/>
                <w:szCs w:val="22"/>
              </w:rPr>
            </w:pPr>
            <w:r w:rsidRPr="1C634A17" w:rsidR="1C634A17">
              <w:rPr>
                <w:sz w:val="22"/>
                <w:szCs w:val="22"/>
              </w:rPr>
              <w:t>Marketing Team</w:t>
            </w:r>
          </w:p>
        </w:tc>
        <w:tc>
          <w:tcPr>
            <w:tcW w:w="2193" w:type="dxa"/>
            <w:tcMar/>
          </w:tcPr>
          <w:p w:rsidR="1C634A17" w:rsidP="1C634A17" w:rsidRDefault="1C634A17" w14:paraId="78CC3AFC" w14:textId="6F20C4F1">
            <w:pPr>
              <w:spacing w:before="0" w:beforeAutospacing="off" w:after="0" w:afterAutospacing="off" w:line="360" w:lineRule="auto"/>
              <w:rPr>
                <w:sz w:val="22"/>
                <w:szCs w:val="22"/>
              </w:rPr>
            </w:pPr>
            <w:r w:rsidRPr="1C634A17" w:rsidR="1C634A17">
              <w:rPr>
                <w:sz w:val="22"/>
                <w:szCs w:val="22"/>
              </w:rPr>
              <w:t>Project Manager</w:t>
            </w:r>
          </w:p>
        </w:tc>
        <w:tc>
          <w:tcPr>
            <w:tcW w:w="1650" w:type="dxa"/>
            <w:tcMar/>
          </w:tcPr>
          <w:p w:rsidR="1C634A17" w:rsidP="1C634A17" w:rsidRDefault="1C634A17" w14:paraId="1DF1836B" w14:textId="730F3BE8">
            <w:pPr>
              <w:spacing w:before="0" w:beforeAutospacing="off" w:after="0" w:afterAutospacing="off" w:line="360" w:lineRule="auto"/>
              <w:rPr>
                <w:sz w:val="22"/>
                <w:szCs w:val="22"/>
              </w:rPr>
            </w:pPr>
            <w:r w:rsidRPr="1C634A17" w:rsidR="1C634A17">
              <w:rPr>
                <w:sz w:val="22"/>
                <w:szCs w:val="22"/>
              </w:rPr>
              <w:t>Sales Team</w:t>
            </w:r>
          </w:p>
        </w:tc>
        <w:tc>
          <w:tcPr>
            <w:tcW w:w="1545" w:type="dxa"/>
            <w:tcMar/>
          </w:tcPr>
          <w:p w:rsidR="1C634A17" w:rsidP="1C634A17" w:rsidRDefault="1C634A17" w14:paraId="287B3CF5" w14:textId="153E7C50">
            <w:pPr>
              <w:spacing w:before="0" w:beforeAutospacing="off" w:after="0" w:afterAutospacing="off" w:line="360" w:lineRule="auto"/>
              <w:rPr>
                <w:sz w:val="22"/>
                <w:szCs w:val="22"/>
              </w:rPr>
            </w:pPr>
            <w:r w:rsidRPr="1C634A17" w:rsidR="1C634A17">
              <w:rPr>
                <w:sz w:val="22"/>
                <w:szCs w:val="22"/>
              </w:rPr>
              <w:t>Customers</w:t>
            </w:r>
          </w:p>
        </w:tc>
      </w:tr>
      <w:tr w:rsidR="1C634A17" w:rsidTr="1C634A17" w14:paraId="3639D597">
        <w:trPr>
          <w:trHeight w:val="300"/>
        </w:trPr>
        <w:tc>
          <w:tcPr>
            <w:tcW w:w="2025" w:type="dxa"/>
            <w:tcMar/>
          </w:tcPr>
          <w:p w:rsidR="1C634A17" w:rsidP="1C634A17" w:rsidRDefault="1C634A17" w14:paraId="4033872B" w14:textId="5AB7D92D">
            <w:pPr>
              <w:spacing w:before="0" w:beforeAutospacing="off" w:after="0" w:afterAutospacing="off" w:line="360" w:lineRule="auto"/>
              <w:rPr>
                <w:b w:val="1"/>
                <w:bCs w:val="1"/>
                <w:sz w:val="22"/>
                <w:szCs w:val="22"/>
              </w:rPr>
            </w:pPr>
            <w:r w:rsidRPr="1C634A17" w:rsidR="1C634A17">
              <w:rPr>
                <w:b w:val="1"/>
                <w:bCs w:val="1"/>
                <w:sz w:val="22"/>
                <w:szCs w:val="22"/>
              </w:rPr>
              <w:t>Regulatory Compliance</w:t>
            </w:r>
          </w:p>
        </w:tc>
        <w:tc>
          <w:tcPr>
            <w:tcW w:w="1725" w:type="dxa"/>
            <w:tcMar/>
          </w:tcPr>
          <w:p w:rsidR="1C634A17" w:rsidP="1C634A17" w:rsidRDefault="1C634A17" w14:paraId="72187ED6" w14:textId="268F1295">
            <w:pPr>
              <w:spacing w:before="0" w:beforeAutospacing="off" w:after="0" w:afterAutospacing="off" w:line="360" w:lineRule="auto"/>
              <w:rPr>
                <w:sz w:val="22"/>
                <w:szCs w:val="22"/>
              </w:rPr>
            </w:pPr>
            <w:r w:rsidRPr="1C634A17" w:rsidR="1C634A17">
              <w:rPr>
                <w:sz w:val="22"/>
                <w:szCs w:val="22"/>
              </w:rPr>
              <w:t>Legal Team</w:t>
            </w:r>
          </w:p>
        </w:tc>
        <w:tc>
          <w:tcPr>
            <w:tcW w:w="2193" w:type="dxa"/>
            <w:tcMar/>
          </w:tcPr>
          <w:p w:rsidR="1C634A17" w:rsidP="1C634A17" w:rsidRDefault="1C634A17" w14:paraId="28F2E2E7" w14:textId="1BBF7D2C">
            <w:pPr>
              <w:spacing w:before="0" w:beforeAutospacing="off" w:after="0" w:afterAutospacing="off" w:line="360" w:lineRule="auto"/>
              <w:rPr>
                <w:sz w:val="22"/>
                <w:szCs w:val="22"/>
              </w:rPr>
            </w:pPr>
            <w:r w:rsidRPr="1C634A17" w:rsidR="1C634A17">
              <w:rPr>
                <w:sz w:val="22"/>
                <w:szCs w:val="22"/>
              </w:rPr>
              <w:t>Project Manager</w:t>
            </w:r>
          </w:p>
        </w:tc>
        <w:tc>
          <w:tcPr>
            <w:tcW w:w="1650" w:type="dxa"/>
            <w:tcMar/>
          </w:tcPr>
          <w:p w:rsidR="1C634A17" w:rsidP="1C634A17" w:rsidRDefault="1C634A17" w14:paraId="5A38BA97" w14:textId="26D5F7E9">
            <w:pPr>
              <w:spacing w:before="0" w:beforeAutospacing="off" w:after="0" w:afterAutospacing="off" w:line="360" w:lineRule="auto"/>
              <w:rPr>
                <w:sz w:val="22"/>
                <w:szCs w:val="22"/>
              </w:rPr>
            </w:pPr>
            <w:r w:rsidRPr="1C634A17" w:rsidR="1C634A17">
              <w:rPr>
                <w:sz w:val="22"/>
                <w:szCs w:val="22"/>
              </w:rPr>
              <w:t>Regulators</w:t>
            </w:r>
          </w:p>
        </w:tc>
        <w:tc>
          <w:tcPr>
            <w:tcW w:w="1545" w:type="dxa"/>
            <w:tcMar/>
          </w:tcPr>
          <w:p w:rsidR="1C634A17" w:rsidP="1C634A17" w:rsidRDefault="1C634A17" w14:paraId="49A1BF04" w14:textId="034D7C84">
            <w:pPr>
              <w:spacing w:before="0" w:beforeAutospacing="off" w:after="0" w:afterAutospacing="off" w:line="360" w:lineRule="auto"/>
              <w:rPr>
                <w:sz w:val="22"/>
                <w:szCs w:val="22"/>
              </w:rPr>
            </w:pPr>
            <w:r w:rsidRPr="1C634A17" w:rsidR="1C634A17">
              <w:rPr>
                <w:sz w:val="22"/>
                <w:szCs w:val="22"/>
              </w:rPr>
              <w:t>Stakeholders</w:t>
            </w:r>
          </w:p>
        </w:tc>
      </w:tr>
    </w:tbl>
    <w:p w:rsidR="75FFF4AC" w:rsidP="1C634A17" w:rsidRDefault="75FFF4AC" w14:paraId="3FC0D479" w14:textId="61B6C74C">
      <w:pPr>
        <w:pStyle w:val="Normal"/>
        <w:spacing w:before="240" w:beforeAutospacing="off" w:after="240" w:afterAutospacing="off" w:line="360" w:lineRule="auto"/>
        <w:rPr>
          <w:rFonts w:ascii="Arial" w:hAnsi="Arial" w:eastAsia="Arial" w:cs="Arial"/>
          <w:noProof w:val="0"/>
          <w:sz w:val="22"/>
          <w:szCs w:val="22"/>
          <w:lang w:val="en-GB"/>
        </w:rPr>
      </w:pPr>
      <w:r w:rsidRPr="1C634A17" w:rsidR="75FFF4AC">
        <w:rPr>
          <w:rFonts w:ascii="Arial" w:hAnsi="Arial" w:eastAsia="Arial" w:cs="Arial"/>
          <w:noProof w:val="0"/>
          <w:sz w:val="22"/>
          <w:szCs w:val="22"/>
          <w:lang w:val="en-GB"/>
        </w:rPr>
        <w:t>The RACI matrix clarifies roles and responsibilities within the project. This helps reduce confusion and ensures accountability, which is particularly important in complex projects involving multiple stakeholders.</w:t>
      </w:r>
    </w:p>
    <w:p w:rsidR="75FFF4AC" w:rsidP="1C634A17" w:rsidRDefault="75FFF4AC" w14:paraId="010B81CA" w14:textId="29BD3266">
      <w:pPr>
        <w:pStyle w:val="Normal"/>
        <w:spacing w:line="360" w:lineRule="auto"/>
        <w:rPr>
          <w:b w:val="1"/>
          <w:bCs w:val="1"/>
          <w:noProof w:val="0"/>
          <w:sz w:val="22"/>
          <w:szCs w:val="22"/>
          <w:u w:val="single"/>
          <w:lang w:val="en-GB"/>
        </w:rPr>
      </w:pPr>
      <w:r w:rsidRPr="1C634A17" w:rsidR="75FFF4AC">
        <w:rPr>
          <w:b w:val="1"/>
          <w:bCs w:val="1"/>
          <w:noProof w:val="0"/>
          <w:sz w:val="22"/>
          <w:szCs w:val="22"/>
          <w:u w:val="single"/>
          <w:lang w:val="en-GB"/>
        </w:rPr>
        <w:t>Communication Plan</w:t>
      </w:r>
    </w:p>
    <w:tbl>
      <w:tblPr>
        <w:tblStyle w:val="TableGrid"/>
        <w:bidiVisual w:val="0"/>
        <w:tblW w:w="0" w:type="auto"/>
        <w:tblLook w:val="06A0" w:firstRow="1" w:lastRow="0" w:firstColumn="1" w:lastColumn="0" w:noHBand="1" w:noVBand="1"/>
      </w:tblPr>
      <w:tblGrid>
        <w:gridCol w:w="2100"/>
        <w:gridCol w:w="1920"/>
        <w:gridCol w:w="1800"/>
      </w:tblGrid>
      <w:tr w:rsidR="1C634A17" w:rsidTr="1C634A17" w14:paraId="5C3E430B">
        <w:trPr>
          <w:trHeight w:val="300"/>
        </w:trPr>
        <w:tc>
          <w:tcPr>
            <w:tcW w:w="2100" w:type="dxa"/>
            <w:tcMar/>
          </w:tcPr>
          <w:p w:rsidR="1C634A17" w:rsidP="1C634A17" w:rsidRDefault="1C634A17" w14:paraId="403F1116" w14:textId="3C7925DE">
            <w:pPr>
              <w:spacing w:before="0" w:beforeAutospacing="off" w:after="0" w:afterAutospacing="off" w:line="360" w:lineRule="auto"/>
              <w:jc w:val="center"/>
              <w:rPr>
                <w:b w:val="1"/>
                <w:bCs w:val="1"/>
                <w:sz w:val="22"/>
                <w:szCs w:val="22"/>
              </w:rPr>
            </w:pPr>
            <w:r w:rsidRPr="1C634A17" w:rsidR="1C634A17">
              <w:rPr>
                <w:b w:val="1"/>
                <w:bCs w:val="1"/>
                <w:sz w:val="22"/>
                <w:szCs w:val="22"/>
              </w:rPr>
              <w:t>Stakeholder</w:t>
            </w:r>
          </w:p>
        </w:tc>
        <w:tc>
          <w:tcPr>
            <w:tcW w:w="1920" w:type="dxa"/>
            <w:tcMar/>
          </w:tcPr>
          <w:p w:rsidR="1C634A17" w:rsidP="1C634A17" w:rsidRDefault="1C634A17" w14:paraId="167C658B" w14:textId="79082330">
            <w:pPr>
              <w:spacing w:before="0" w:beforeAutospacing="off" w:after="0" w:afterAutospacing="off" w:line="360" w:lineRule="auto"/>
              <w:jc w:val="center"/>
              <w:rPr>
                <w:b w:val="1"/>
                <w:bCs w:val="1"/>
                <w:sz w:val="22"/>
                <w:szCs w:val="22"/>
              </w:rPr>
            </w:pPr>
            <w:r w:rsidRPr="1C634A17" w:rsidR="1C634A17">
              <w:rPr>
                <w:b w:val="1"/>
                <w:bCs w:val="1"/>
                <w:sz w:val="22"/>
                <w:szCs w:val="22"/>
              </w:rPr>
              <w:t>Method</w:t>
            </w:r>
          </w:p>
        </w:tc>
        <w:tc>
          <w:tcPr>
            <w:tcW w:w="1800" w:type="dxa"/>
            <w:tcMar/>
          </w:tcPr>
          <w:p w:rsidR="1C634A17" w:rsidP="1C634A17" w:rsidRDefault="1C634A17" w14:paraId="4028EC3D" w14:textId="26A10470">
            <w:pPr>
              <w:spacing w:before="0" w:beforeAutospacing="off" w:after="0" w:afterAutospacing="off" w:line="360" w:lineRule="auto"/>
              <w:jc w:val="center"/>
              <w:rPr>
                <w:b w:val="1"/>
                <w:bCs w:val="1"/>
                <w:sz w:val="22"/>
                <w:szCs w:val="22"/>
              </w:rPr>
            </w:pPr>
            <w:r w:rsidRPr="1C634A17" w:rsidR="1C634A17">
              <w:rPr>
                <w:b w:val="1"/>
                <w:bCs w:val="1"/>
                <w:sz w:val="22"/>
                <w:szCs w:val="22"/>
              </w:rPr>
              <w:t>Frequency</w:t>
            </w:r>
          </w:p>
        </w:tc>
      </w:tr>
      <w:tr w:rsidR="1C634A17" w:rsidTr="1C634A17" w14:paraId="2EC7855C">
        <w:trPr>
          <w:trHeight w:val="300"/>
        </w:trPr>
        <w:tc>
          <w:tcPr>
            <w:tcW w:w="2100" w:type="dxa"/>
            <w:tcMar/>
          </w:tcPr>
          <w:p w:rsidR="1C634A17" w:rsidP="1C634A17" w:rsidRDefault="1C634A17" w14:paraId="34B2F360" w14:textId="00AEF4E1">
            <w:pPr>
              <w:spacing w:before="0" w:beforeAutospacing="off" w:after="0" w:afterAutospacing="off" w:line="360" w:lineRule="auto"/>
              <w:rPr>
                <w:sz w:val="22"/>
                <w:szCs w:val="22"/>
              </w:rPr>
            </w:pPr>
            <w:r w:rsidRPr="1C634A17" w:rsidR="1C634A17">
              <w:rPr>
                <w:sz w:val="22"/>
                <w:szCs w:val="22"/>
              </w:rPr>
              <w:t>Internal teams</w:t>
            </w:r>
          </w:p>
        </w:tc>
        <w:tc>
          <w:tcPr>
            <w:tcW w:w="1920" w:type="dxa"/>
            <w:tcMar/>
          </w:tcPr>
          <w:p w:rsidR="1C634A17" w:rsidP="1C634A17" w:rsidRDefault="1C634A17" w14:paraId="1268DACB" w14:textId="45065D31">
            <w:pPr>
              <w:spacing w:before="0" w:beforeAutospacing="off" w:after="0" w:afterAutospacing="off" w:line="360" w:lineRule="auto"/>
              <w:rPr>
                <w:sz w:val="22"/>
                <w:szCs w:val="22"/>
              </w:rPr>
            </w:pPr>
            <w:r w:rsidRPr="1C634A17" w:rsidR="1C634A17">
              <w:rPr>
                <w:sz w:val="22"/>
                <w:szCs w:val="22"/>
              </w:rPr>
              <w:t>Meetings</w:t>
            </w:r>
          </w:p>
        </w:tc>
        <w:tc>
          <w:tcPr>
            <w:tcW w:w="1800" w:type="dxa"/>
            <w:tcMar/>
          </w:tcPr>
          <w:p w:rsidR="1C634A17" w:rsidP="1C634A17" w:rsidRDefault="1C634A17" w14:paraId="51D85129" w14:textId="269D598F">
            <w:pPr>
              <w:spacing w:before="0" w:beforeAutospacing="off" w:after="0" w:afterAutospacing="off" w:line="360" w:lineRule="auto"/>
              <w:rPr>
                <w:sz w:val="22"/>
                <w:szCs w:val="22"/>
              </w:rPr>
            </w:pPr>
            <w:r w:rsidRPr="1C634A17" w:rsidR="1C634A17">
              <w:rPr>
                <w:sz w:val="22"/>
                <w:szCs w:val="22"/>
              </w:rPr>
              <w:t>Weekly</w:t>
            </w:r>
          </w:p>
        </w:tc>
      </w:tr>
      <w:tr w:rsidR="1C634A17" w:rsidTr="1C634A17" w14:paraId="0668B299">
        <w:trPr>
          <w:trHeight w:val="300"/>
        </w:trPr>
        <w:tc>
          <w:tcPr>
            <w:tcW w:w="2100" w:type="dxa"/>
            <w:tcMar/>
          </w:tcPr>
          <w:p w:rsidR="1C634A17" w:rsidP="1C634A17" w:rsidRDefault="1C634A17" w14:paraId="588CF7F6" w14:textId="6A9481F2">
            <w:pPr>
              <w:spacing w:before="0" w:beforeAutospacing="off" w:after="0" w:afterAutospacing="off" w:line="360" w:lineRule="auto"/>
              <w:rPr>
                <w:sz w:val="22"/>
                <w:szCs w:val="22"/>
              </w:rPr>
            </w:pPr>
            <w:r w:rsidRPr="1C634A17" w:rsidR="1C634A17">
              <w:rPr>
                <w:sz w:val="22"/>
                <w:szCs w:val="22"/>
              </w:rPr>
              <w:t>Regulators</w:t>
            </w:r>
          </w:p>
        </w:tc>
        <w:tc>
          <w:tcPr>
            <w:tcW w:w="1920" w:type="dxa"/>
            <w:tcMar/>
          </w:tcPr>
          <w:p w:rsidR="1C634A17" w:rsidP="1C634A17" w:rsidRDefault="1C634A17" w14:paraId="67D571CC" w14:textId="53A84A49">
            <w:pPr>
              <w:spacing w:before="0" w:beforeAutospacing="off" w:after="0" w:afterAutospacing="off" w:line="360" w:lineRule="auto"/>
              <w:rPr>
                <w:sz w:val="22"/>
                <w:szCs w:val="22"/>
              </w:rPr>
            </w:pPr>
            <w:r w:rsidRPr="1C634A17" w:rsidR="1C634A17">
              <w:rPr>
                <w:sz w:val="22"/>
                <w:szCs w:val="22"/>
              </w:rPr>
              <w:t>Reports</w:t>
            </w:r>
          </w:p>
        </w:tc>
        <w:tc>
          <w:tcPr>
            <w:tcW w:w="1800" w:type="dxa"/>
            <w:tcMar/>
          </w:tcPr>
          <w:p w:rsidR="1C634A17" w:rsidP="1C634A17" w:rsidRDefault="1C634A17" w14:paraId="6902A139" w14:textId="3459B7FE">
            <w:pPr>
              <w:spacing w:before="0" w:beforeAutospacing="off" w:after="0" w:afterAutospacing="off" w:line="360" w:lineRule="auto"/>
              <w:rPr>
                <w:sz w:val="22"/>
                <w:szCs w:val="22"/>
              </w:rPr>
            </w:pPr>
            <w:r w:rsidRPr="1C634A17" w:rsidR="1C634A17">
              <w:rPr>
                <w:sz w:val="22"/>
                <w:szCs w:val="22"/>
              </w:rPr>
              <w:t>Monthly</w:t>
            </w:r>
          </w:p>
        </w:tc>
      </w:tr>
      <w:tr w:rsidR="1C634A17" w:rsidTr="1C634A17" w14:paraId="373632C0">
        <w:trPr>
          <w:trHeight w:val="300"/>
        </w:trPr>
        <w:tc>
          <w:tcPr>
            <w:tcW w:w="2100" w:type="dxa"/>
            <w:tcMar/>
          </w:tcPr>
          <w:p w:rsidR="1C634A17" w:rsidP="1C634A17" w:rsidRDefault="1C634A17" w14:paraId="3B4BA0BF" w14:textId="69A67E6E">
            <w:pPr>
              <w:spacing w:before="0" w:beforeAutospacing="off" w:after="0" w:afterAutospacing="off" w:line="360" w:lineRule="auto"/>
              <w:rPr>
                <w:sz w:val="22"/>
                <w:szCs w:val="22"/>
              </w:rPr>
            </w:pPr>
            <w:r w:rsidRPr="1C634A17" w:rsidR="1C634A17">
              <w:rPr>
                <w:sz w:val="22"/>
                <w:szCs w:val="22"/>
              </w:rPr>
              <w:t>Customers</w:t>
            </w:r>
          </w:p>
        </w:tc>
        <w:tc>
          <w:tcPr>
            <w:tcW w:w="1920" w:type="dxa"/>
            <w:tcMar/>
          </w:tcPr>
          <w:p w:rsidR="1C634A17" w:rsidP="1C634A17" w:rsidRDefault="1C634A17" w14:paraId="7C419141" w14:textId="4FA03442">
            <w:pPr>
              <w:spacing w:before="0" w:beforeAutospacing="off" w:after="0" w:afterAutospacing="off" w:line="360" w:lineRule="auto"/>
              <w:rPr>
                <w:sz w:val="22"/>
                <w:szCs w:val="22"/>
              </w:rPr>
            </w:pPr>
            <w:r w:rsidRPr="1C634A17" w:rsidR="1C634A17">
              <w:rPr>
                <w:sz w:val="22"/>
                <w:szCs w:val="22"/>
              </w:rPr>
              <w:t>Digital channels</w:t>
            </w:r>
          </w:p>
        </w:tc>
        <w:tc>
          <w:tcPr>
            <w:tcW w:w="1800" w:type="dxa"/>
            <w:tcMar/>
          </w:tcPr>
          <w:p w:rsidR="1C634A17" w:rsidP="1C634A17" w:rsidRDefault="1C634A17" w14:paraId="7874501A" w14:textId="2DDA22B0">
            <w:pPr>
              <w:spacing w:before="0" w:beforeAutospacing="off" w:after="0" w:afterAutospacing="off" w:line="360" w:lineRule="auto"/>
              <w:rPr>
                <w:sz w:val="22"/>
                <w:szCs w:val="22"/>
              </w:rPr>
            </w:pPr>
            <w:r w:rsidRPr="1C634A17" w:rsidR="1C634A17">
              <w:rPr>
                <w:sz w:val="22"/>
                <w:szCs w:val="22"/>
              </w:rPr>
              <w:t>Continuous</w:t>
            </w:r>
          </w:p>
        </w:tc>
      </w:tr>
    </w:tbl>
    <w:p w:rsidR="69460D1E" w:rsidP="1C634A17" w:rsidRDefault="69460D1E" w14:paraId="6CAE440B" w14:textId="43D092D1">
      <w:pPr>
        <w:pStyle w:val="Normal"/>
        <w:spacing w:line="360" w:lineRule="auto"/>
        <w:rPr>
          <w:rFonts w:ascii="Arial" w:hAnsi="Arial" w:eastAsia="Arial" w:cs="Arial"/>
          <w:noProof w:val="0"/>
          <w:sz w:val="22"/>
          <w:szCs w:val="22"/>
          <w:lang w:val="en-GB"/>
        </w:rPr>
      </w:pPr>
      <w:r w:rsidRPr="1C634A17" w:rsidR="69460D1E">
        <w:rPr>
          <w:rFonts w:ascii="Arial" w:hAnsi="Arial" w:eastAsia="Arial" w:cs="Arial"/>
          <w:noProof w:val="0"/>
          <w:sz w:val="22"/>
          <w:szCs w:val="22"/>
          <w:lang w:val="en-GB"/>
        </w:rPr>
        <w:t xml:space="preserve">A structured communication plan ensures that stakeholders receive relevant information at </w:t>
      </w:r>
      <w:r w:rsidRPr="1C634A17" w:rsidR="69460D1E">
        <w:rPr>
          <w:rFonts w:ascii="Arial" w:hAnsi="Arial" w:eastAsia="Arial" w:cs="Arial"/>
          <w:noProof w:val="0"/>
          <w:sz w:val="22"/>
          <w:szCs w:val="22"/>
          <w:lang w:val="en-GB"/>
        </w:rPr>
        <w:t>appropriate intervals</w:t>
      </w:r>
      <w:r w:rsidRPr="1C634A17" w:rsidR="69460D1E">
        <w:rPr>
          <w:rFonts w:ascii="Arial" w:hAnsi="Arial" w:eastAsia="Arial" w:cs="Arial"/>
          <w:noProof w:val="0"/>
          <w:sz w:val="22"/>
          <w:szCs w:val="22"/>
          <w:lang w:val="en-GB"/>
        </w:rPr>
        <w:t xml:space="preserve">. This reduces uncertainty and improves stakeholder engagement. </w:t>
      </w:r>
    </w:p>
    <w:p w:rsidR="4850CFE3" w:rsidP="1C634A17" w:rsidRDefault="4850CFE3" w14:paraId="68F79DD6" w14:textId="60D8120B">
      <w:pPr>
        <w:pStyle w:val="Normal"/>
        <w:spacing w:line="360" w:lineRule="auto"/>
        <w:rPr>
          <w:rFonts w:ascii="Arial" w:hAnsi="Arial" w:eastAsia="Arial" w:cs="Arial" w:asciiTheme="minorAscii" w:hAnsiTheme="minorAscii" w:eastAsiaTheme="minorAscii" w:cstheme="minorAscii"/>
          <w:b w:val="1"/>
          <w:bCs w:val="1"/>
          <w:noProof w:val="0"/>
          <w:sz w:val="22"/>
          <w:szCs w:val="22"/>
          <w:u w:val="single"/>
          <w:lang w:val="en-GB"/>
        </w:rPr>
      </w:pPr>
      <w:r w:rsidRPr="1C634A17" w:rsidR="4850CFE3">
        <w:rPr>
          <w:rFonts w:ascii="Arial" w:hAnsi="Arial" w:eastAsia="Arial" w:cs="Arial" w:asciiTheme="minorAscii" w:hAnsiTheme="minorAscii" w:eastAsiaTheme="minorAscii" w:cstheme="minorAscii"/>
          <w:b w:val="1"/>
          <w:bCs w:val="1"/>
          <w:noProof w:val="0"/>
          <w:sz w:val="22"/>
          <w:szCs w:val="22"/>
          <w:u w:val="single"/>
          <w:lang w:val="en-GB"/>
        </w:rPr>
        <w:t>Engagement Plan</w:t>
      </w:r>
    </w:p>
    <w:p w:rsidR="4850CFE3" w:rsidP="1C634A17" w:rsidRDefault="4850CFE3" w14:paraId="7943B821" w14:textId="5546608F">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1C634A17" w:rsidR="4850CFE3">
        <w:rPr>
          <w:rFonts w:ascii="Arial" w:hAnsi="Arial" w:eastAsia="Arial" w:cs="Arial"/>
          <w:noProof w:val="0"/>
          <w:sz w:val="22"/>
          <w:szCs w:val="22"/>
          <w:lang w:val="en-GB"/>
        </w:rPr>
        <w:t xml:space="preserve">Regular stakeholder meetings </w:t>
      </w:r>
    </w:p>
    <w:p w:rsidR="4850CFE3" w:rsidP="1C634A17" w:rsidRDefault="4850CFE3" w14:paraId="20DCE4E2" w14:textId="6160D8DA">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1C634A17" w:rsidR="4850CFE3">
        <w:rPr>
          <w:rFonts w:ascii="Arial" w:hAnsi="Arial" w:eastAsia="Arial" w:cs="Arial"/>
          <w:noProof w:val="0"/>
          <w:sz w:val="22"/>
          <w:szCs w:val="22"/>
          <w:lang w:val="en-GB"/>
        </w:rPr>
        <w:t xml:space="preserve">Feedback systems </w:t>
      </w:r>
    </w:p>
    <w:p w:rsidR="4850CFE3" w:rsidP="1C634A17" w:rsidRDefault="4850CFE3" w14:paraId="153F9D51" w14:textId="7D7AF01C">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1C634A17" w:rsidR="4850CFE3">
        <w:rPr>
          <w:rFonts w:ascii="Arial" w:hAnsi="Arial" w:eastAsia="Arial" w:cs="Arial"/>
          <w:noProof w:val="0"/>
          <w:sz w:val="22"/>
          <w:szCs w:val="22"/>
          <w:lang w:val="en-GB"/>
        </w:rPr>
        <w:t xml:space="preserve">Transparent communication </w:t>
      </w:r>
    </w:p>
    <w:p w:rsidR="4850CFE3" w:rsidP="1C634A17" w:rsidRDefault="4850CFE3" w14:paraId="48593EB9" w14:textId="63CB216A">
      <w:pPr>
        <w:spacing w:before="240" w:beforeAutospacing="off" w:after="240" w:afterAutospacing="off" w:line="360" w:lineRule="auto"/>
        <w:rPr>
          <w:rFonts w:ascii="Arial" w:hAnsi="Arial" w:eastAsia="Arial" w:cs="Arial"/>
          <w:noProof w:val="0"/>
          <w:sz w:val="22"/>
          <w:szCs w:val="22"/>
          <w:lang w:val="en-GB"/>
        </w:rPr>
      </w:pPr>
      <w:r w:rsidRPr="1C634A17" w:rsidR="4850CFE3">
        <w:rPr>
          <w:rFonts w:ascii="Arial" w:hAnsi="Arial" w:eastAsia="Arial" w:cs="Arial"/>
          <w:noProof w:val="0"/>
          <w:sz w:val="22"/>
          <w:szCs w:val="22"/>
          <w:lang w:val="en-GB"/>
        </w:rPr>
        <w:t>Effective engagement improves trust and reduces uncertainty (Ashcroft, 2017).</w:t>
      </w:r>
    </w:p>
    <w:p w:rsidR="1C634A17" w:rsidP="1C634A17" w:rsidRDefault="1C634A17" w14:paraId="789B2E51" w14:textId="4553DF5D">
      <w:pPr>
        <w:pStyle w:val="Normal"/>
        <w:spacing w:line="360" w:lineRule="auto"/>
        <w:rPr>
          <w:rFonts w:ascii="Arial" w:hAnsi="Arial" w:eastAsia="Arial" w:cs="Arial"/>
          <w:noProof w:val="0"/>
          <w:sz w:val="22"/>
          <w:szCs w:val="22"/>
          <w:lang w:val="en-GB"/>
        </w:rPr>
      </w:pPr>
    </w:p>
    <w:p w:rsidR="027FA133" w:rsidP="1C634A17" w:rsidRDefault="027FA133" w14:paraId="44CBF30D" w14:textId="28FC33FB">
      <w:pPr>
        <w:pStyle w:val="Normal"/>
        <w:spacing w:line="360" w:lineRule="auto"/>
        <w:rPr>
          <w:rFonts w:ascii="Arial" w:hAnsi="Arial" w:eastAsia="Arial" w:cs="Arial" w:asciiTheme="minorAscii" w:hAnsiTheme="minorAscii" w:eastAsiaTheme="minorAscii" w:cstheme="minorAscii"/>
          <w:b w:val="1"/>
          <w:bCs w:val="1"/>
          <w:noProof w:val="0"/>
          <w:sz w:val="22"/>
          <w:szCs w:val="22"/>
          <w:u w:val="single"/>
          <w:lang w:val="en-GB"/>
        </w:rPr>
      </w:pPr>
      <w:r w:rsidRPr="1C634A17" w:rsidR="027FA133">
        <w:rPr>
          <w:rFonts w:ascii="Arial" w:hAnsi="Arial" w:eastAsia="Arial" w:cs="Arial" w:asciiTheme="minorAscii" w:hAnsiTheme="minorAscii" w:eastAsiaTheme="minorAscii" w:cstheme="minorAscii"/>
          <w:b w:val="1"/>
          <w:bCs w:val="1"/>
          <w:noProof w:val="0"/>
          <w:sz w:val="22"/>
          <w:szCs w:val="22"/>
          <w:u w:val="single"/>
          <w:lang w:val="en-GB"/>
        </w:rPr>
        <w:t xml:space="preserve">Stakeholder Engagement Process &amp; Conflict Management </w:t>
      </w:r>
    </w:p>
    <w:p w:rsidR="34F2B3BB" w:rsidP="1C634A17" w:rsidRDefault="34F2B3BB" w14:paraId="2A26EB4A" w14:textId="193877B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noProof w:val="0"/>
          <w:sz w:val="22"/>
          <w:szCs w:val="22"/>
          <w:lang w:val="en-GB"/>
        </w:rPr>
        <w:t>Stakeholder engagement within complex projects, particularly in the healthcare technology sector, is not a linear or one-off activity but an ongoing and adaptive process. According to the Project Management Institute (2021), effective stakeholder engagement requires continuous identification, analysis, planning, and monitoring of stakeholder relationships throughout the project lifecycle. In the context of launching a new wearable device at Fitbit, this process becomes even more critical due to the diversity of stakeholders involved, ranging from internal technical teams to external regulatory bodies.</w:t>
      </w:r>
    </w:p>
    <w:p w:rsidR="34F2B3BB" w:rsidP="1C634A17" w:rsidRDefault="34F2B3BB" w14:paraId="10FF52F8" w14:textId="4AD902F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noProof w:val="0"/>
          <w:sz w:val="22"/>
          <w:szCs w:val="22"/>
          <w:lang w:val="en-GB"/>
        </w:rPr>
        <w:t xml:space="preserve">At the </w:t>
      </w:r>
      <w:r w:rsidRPr="1C634A17" w:rsidR="34F2B3BB">
        <w:rPr>
          <w:rFonts w:ascii="Arial" w:hAnsi="Arial" w:eastAsia="Arial" w:cs="Arial" w:asciiTheme="minorAscii" w:hAnsiTheme="minorAscii" w:eastAsiaTheme="minorAscii" w:cstheme="minorAscii"/>
          <w:noProof w:val="0"/>
          <w:sz w:val="22"/>
          <w:szCs w:val="22"/>
          <w:lang w:val="en-GB"/>
        </w:rPr>
        <w:t>initial</w:t>
      </w:r>
      <w:r w:rsidRPr="1C634A17" w:rsidR="34F2B3BB">
        <w:rPr>
          <w:rFonts w:ascii="Arial" w:hAnsi="Arial" w:eastAsia="Arial" w:cs="Arial" w:asciiTheme="minorAscii" w:hAnsiTheme="minorAscii" w:eastAsiaTheme="minorAscii" w:cstheme="minorAscii"/>
          <w:noProof w:val="0"/>
          <w:sz w:val="22"/>
          <w:szCs w:val="22"/>
          <w:lang w:val="en-GB"/>
        </w:rPr>
        <w:t xml:space="preserve"> stage of the project, stakeholder identification and analysis are essential. This involves not only recognising who the stakeholders are but also understanding their expectations, levels of influence, and potential impact on the project. For example, regulatory bodies such as the MHRA hold high power and high interest, meaning their requirements must be prioritised. In contrast, customers, while having lower direct power, </w:t>
      </w:r>
      <w:r w:rsidRPr="1C634A17" w:rsidR="34F2B3BB">
        <w:rPr>
          <w:rFonts w:ascii="Arial" w:hAnsi="Arial" w:eastAsia="Arial" w:cs="Arial" w:asciiTheme="minorAscii" w:hAnsiTheme="minorAscii" w:eastAsiaTheme="minorAscii" w:cstheme="minorAscii"/>
          <w:noProof w:val="0"/>
          <w:sz w:val="22"/>
          <w:szCs w:val="22"/>
          <w:lang w:val="en-GB"/>
        </w:rPr>
        <w:t>possess</w:t>
      </w:r>
      <w:r w:rsidRPr="1C634A17" w:rsidR="34F2B3BB">
        <w:rPr>
          <w:rFonts w:ascii="Arial" w:hAnsi="Arial" w:eastAsia="Arial" w:cs="Arial" w:asciiTheme="minorAscii" w:hAnsiTheme="minorAscii" w:eastAsiaTheme="minorAscii" w:cstheme="minorAscii"/>
          <w:noProof w:val="0"/>
          <w:sz w:val="22"/>
          <w:szCs w:val="22"/>
          <w:lang w:val="en-GB"/>
        </w:rPr>
        <w:t xml:space="preserve"> high interest and </w:t>
      </w:r>
      <w:r w:rsidRPr="1C634A17" w:rsidR="34F2B3BB">
        <w:rPr>
          <w:rFonts w:ascii="Arial" w:hAnsi="Arial" w:eastAsia="Arial" w:cs="Arial" w:asciiTheme="minorAscii" w:hAnsiTheme="minorAscii" w:eastAsiaTheme="minorAscii" w:cstheme="minorAscii"/>
          <w:noProof w:val="0"/>
          <w:sz w:val="22"/>
          <w:szCs w:val="22"/>
          <w:lang w:val="en-GB"/>
        </w:rPr>
        <w:t xml:space="preserve">ultimately </w:t>
      </w:r>
      <w:r w:rsidRPr="1C634A17" w:rsidR="34F2B3BB">
        <w:rPr>
          <w:rFonts w:ascii="Arial" w:hAnsi="Arial" w:eastAsia="Arial" w:cs="Arial" w:asciiTheme="minorAscii" w:hAnsiTheme="minorAscii" w:eastAsiaTheme="minorAscii" w:cstheme="minorAscii"/>
          <w:noProof w:val="0"/>
          <w:sz w:val="22"/>
          <w:szCs w:val="22"/>
          <w:lang w:val="en-GB"/>
        </w:rPr>
        <w:t>determine</w:t>
      </w:r>
      <w:r w:rsidRPr="1C634A17" w:rsidR="34F2B3BB">
        <w:rPr>
          <w:rFonts w:ascii="Arial" w:hAnsi="Arial" w:eastAsia="Arial" w:cs="Arial" w:asciiTheme="minorAscii" w:hAnsiTheme="minorAscii" w:eastAsiaTheme="minorAscii" w:cstheme="minorAscii"/>
          <w:noProof w:val="0"/>
          <w:sz w:val="22"/>
          <w:szCs w:val="22"/>
          <w:lang w:val="en-GB"/>
        </w:rPr>
        <w:t xml:space="preserve"> the commercial success of the product. This highlights the importance of not only mapping stakeholders but also continuously reassessing their position as the project progresses.</w:t>
      </w:r>
    </w:p>
    <w:p w:rsidR="34F2B3BB" w:rsidP="1C634A17" w:rsidRDefault="34F2B3BB" w14:paraId="572B54AD" w14:textId="4B416F1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noProof w:val="0"/>
          <w:sz w:val="22"/>
          <w:szCs w:val="22"/>
          <w:lang w:val="en-GB"/>
        </w:rPr>
        <w:t xml:space="preserve">Once stakeholders have been </w:t>
      </w:r>
      <w:r w:rsidRPr="1C634A17" w:rsidR="34F2B3BB">
        <w:rPr>
          <w:rFonts w:ascii="Arial" w:hAnsi="Arial" w:eastAsia="Arial" w:cs="Arial" w:asciiTheme="minorAscii" w:hAnsiTheme="minorAscii" w:eastAsiaTheme="minorAscii" w:cstheme="minorAscii"/>
          <w:noProof w:val="0"/>
          <w:sz w:val="22"/>
          <w:szCs w:val="22"/>
          <w:lang w:val="en-GB"/>
        </w:rPr>
        <w:t>identified</w:t>
      </w:r>
      <w:r w:rsidRPr="1C634A17" w:rsidR="34F2B3BB">
        <w:rPr>
          <w:rFonts w:ascii="Arial" w:hAnsi="Arial" w:eastAsia="Arial" w:cs="Arial" w:asciiTheme="minorAscii" w:hAnsiTheme="minorAscii" w:eastAsiaTheme="minorAscii" w:cstheme="minorAscii"/>
          <w:noProof w:val="0"/>
          <w:sz w:val="22"/>
          <w:szCs w:val="22"/>
          <w:lang w:val="en-GB"/>
        </w:rPr>
        <w:t xml:space="preserve">, the project manager must develop </w:t>
      </w:r>
      <w:r w:rsidRPr="1C634A17" w:rsidR="34F2B3BB">
        <w:rPr>
          <w:rFonts w:ascii="Arial" w:hAnsi="Arial" w:eastAsia="Arial" w:cs="Arial" w:asciiTheme="minorAscii" w:hAnsiTheme="minorAscii" w:eastAsiaTheme="minorAscii" w:cstheme="minorAscii"/>
          <w:noProof w:val="0"/>
          <w:sz w:val="22"/>
          <w:szCs w:val="22"/>
          <w:lang w:val="en-GB"/>
        </w:rPr>
        <w:t>appropriate engagement</w:t>
      </w:r>
      <w:r w:rsidRPr="1C634A17" w:rsidR="34F2B3BB">
        <w:rPr>
          <w:rFonts w:ascii="Arial" w:hAnsi="Arial" w:eastAsia="Arial" w:cs="Arial" w:asciiTheme="minorAscii" w:hAnsiTheme="minorAscii" w:eastAsiaTheme="minorAscii" w:cstheme="minorAscii"/>
          <w:noProof w:val="0"/>
          <w:sz w:val="22"/>
          <w:szCs w:val="22"/>
          <w:lang w:val="en-GB"/>
        </w:rPr>
        <w:t xml:space="preserve"> strategies. This is where the Four Cs mode</w:t>
      </w:r>
      <w:r w:rsidRPr="1C634A17" w:rsidR="67300BB0">
        <w:rPr>
          <w:rFonts w:ascii="Arial" w:hAnsi="Arial" w:eastAsia="Arial" w:cs="Arial" w:asciiTheme="minorAscii" w:hAnsiTheme="minorAscii" w:eastAsiaTheme="minorAscii" w:cstheme="minorAscii"/>
          <w:noProof w:val="0"/>
          <w:sz w:val="22"/>
          <w:szCs w:val="22"/>
          <w:lang w:val="en-GB"/>
        </w:rPr>
        <w:t>l c</w:t>
      </w:r>
      <w:r w:rsidRPr="1C634A17" w:rsidR="34F2B3BB">
        <w:rPr>
          <w:rFonts w:ascii="Arial" w:hAnsi="Arial" w:eastAsia="Arial" w:cs="Arial" w:asciiTheme="minorAscii" w:hAnsiTheme="minorAscii" w:eastAsiaTheme="minorAscii" w:cstheme="minorAscii"/>
          <w:noProof w:val="0"/>
          <w:sz w:val="22"/>
          <w:szCs w:val="22"/>
          <w:lang w:val="en-GB"/>
        </w:rPr>
        <w:t>ommunication, coordination, cooperation, and collaboration</w:t>
      </w:r>
      <w:r w:rsidRPr="1C634A17" w:rsidR="6313D4E2">
        <w:rPr>
          <w:rFonts w:ascii="Arial" w:hAnsi="Arial" w:eastAsia="Arial" w:cs="Arial" w:asciiTheme="minorAscii" w:hAnsiTheme="minorAscii" w:eastAsiaTheme="minorAscii" w:cstheme="minorAscii"/>
          <w:noProof w:val="0"/>
          <w:sz w:val="22"/>
          <w:szCs w:val="22"/>
          <w:lang w:val="en-GB"/>
        </w:rPr>
        <w:t xml:space="preserve"> </w:t>
      </w:r>
      <w:r w:rsidRPr="1C634A17" w:rsidR="3F74D38C">
        <w:rPr>
          <w:rFonts w:ascii="Arial" w:hAnsi="Arial" w:eastAsia="Arial" w:cs="Arial" w:asciiTheme="minorAscii" w:hAnsiTheme="minorAscii" w:eastAsiaTheme="minorAscii" w:cstheme="minorAscii"/>
          <w:noProof w:val="0"/>
          <w:sz w:val="22"/>
          <w:szCs w:val="22"/>
          <w:lang w:val="en-GB"/>
        </w:rPr>
        <w:t>provide</w:t>
      </w:r>
      <w:r w:rsidRPr="1C634A17" w:rsidR="34F2B3BB">
        <w:rPr>
          <w:rFonts w:ascii="Arial" w:hAnsi="Arial" w:eastAsia="Arial" w:cs="Arial" w:asciiTheme="minorAscii" w:hAnsiTheme="minorAscii" w:eastAsiaTheme="minorAscii" w:cstheme="minorAscii"/>
          <w:noProof w:val="0"/>
          <w:sz w:val="22"/>
          <w:szCs w:val="22"/>
          <w:lang w:val="en-GB"/>
        </w:rPr>
        <w:t xml:space="preserve"> a valuable framework (Ellis et al., 1991). Each element of the model plays a distinct but interconnected role in ensuring effective stakeholder engagement.</w:t>
      </w:r>
    </w:p>
    <w:p w:rsidR="34F2B3BB" w:rsidP="1C634A17" w:rsidRDefault="34F2B3BB" w14:paraId="219F79CD" w14:textId="43A385D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b w:val="1"/>
          <w:bCs w:val="1"/>
          <w:noProof w:val="0"/>
          <w:sz w:val="22"/>
          <w:szCs w:val="22"/>
          <w:lang w:val="en-GB"/>
        </w:rPr>
        <w:t>Communication</w:t>
      </w:r>
      <w:r w:rsidRPr="1C634A17" w:rsidR="34F2B3BB">
        <w:rPr>
          <w:rFonts w:ascii="Arial" w:hAnsi="Arial" w:eastAsia="Arial" w:cs="Arial" w:asciiTheme="minorAscii" w:hAnsiTheme="minorAscii" w:eastAsiaTheme="minorAscii" w:cstheme="minorAscii"/>
          <w:noProof w:val="0"/>
          <w:sz w:val="22"/>
          <w:szCs w:val="22"/>
          <w:lang w:val="en-GB"/>
        </w:rPr>
        <w:t xml:space="preserve"> forms the foundation of all stakeholder interactions. In this project, communication must be clear, consistent, and tailored to the needs of different stakeholder groups. For instance, technical updates provided to the product development team will differ significantly from the high-level summaries presented to senior management or investors. Effective communication reduces uncertainty and helps build trust, which is particularly important in healthcare-related products where data accuracy and privacy are major concerns. However, communication is not simply about transmitting information; it also involves active listening. The project manager must ensure that stakeholder feedback is acknowledged and incorporated into decision-making processes. Failure to do so can result in disengagement and resistance, particularly from key stakeholders such as healthcare professionals or regulatory bodies.</w:t>
      </w:r>
    </w:p>
    <w:p w:rsidR="34F2B3BB" w:rsidP="1C634A17" w:rsidRDefault="34F2B3BB" w14:paraId="0DB8B1FA" w14:textId="5EDC0C9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b w:val="1"/>
          <w:bCs w:val="1"/>
          <w:noProof w:val="0"/>
          <w:sz w:val="22"/>
          <w:szCs w:val="22"/>
          <w:lang w:val="en-GB"/>
        </w:rPr>
        <w:t>Coordination</w:t>
      </w:r>
      <w:r w:rsidRPr="1C634A17" w:rsidR="34F2B3BB">
        <w:rPr>
          <w:rFonts w:ascii="Arial" w:hAnsi="Arial" w:eastAsia="Arial" w:cs="Arial" w:asciiTheme="minorAscii" w:hAnsiTheme="minorAscii" w:eastAsiaTheme="minorAscii" w:cstheme="minorAscii"/>
          <w:noProof w:val="0"/>
          <w:sz w:val="22"/>
          <w:szCs w:val="22"/>
          <w:lang w:val="en-GB"/>
        </w:rPr>
        <w:t xml:space="preserve"> is equally important, as it ensures that different stakeholders work together efficiently without duplication of effort or misalignment of </w:t>
      </w:r>
      <w:r w:rsidRPr="1C634A17" w:rsidR="34F2B3BB">
        <w:rPr>
          <w:rFonts w:ascii="Arial" w:hAnsi="Arial" w:eastAsia="Arial" w:cs="Arial" w:asciiTheme="minorAscii" w:hAnsiTheme="minorAscii" w:eastAsiaTheme="minorAscii" w:cstheme="minorAscii"/>
          <w:noProof w:val="0"/>
          <w:sz w:val="22"/>
          <w:szCs w:val="22"/>
          <w:lang w:val="en-GB"/>
        </w:rPr>
        <w:t>objectives</w:t>
      </w:r>
      <w:r w:rsidRPr="1C634A17" w:rsidR="34F2B3BB">
        <w:rPr>
          <w:rFonts w:ascii="Arial" w:hAnsi="Arial" w:eastAsia="Arial" w:cs="Arial" w:asciiTheme="minorAscii" w:hAnsiTheme="minorAscii" w:eastAsiaTheme="minorAscii" w:cstheme="minorAscii"/>
          <w:noProof w:val="0"/>
          <w:sz w:val="22"/>
          <w:szCs w:val="22"/>
          <w:lang w:val="en-GB"/>
        </w:rPr>
        <w:t>. In a project involving multiple departments</w:t>
      </w:r>
      <w:r w:rsidRPr="1C634A17" w:rsidR="6A3EDA1B">
        <w:rPr>
          <w:rFonts w:ascii="Arial" w:hAnsi="Arial" w:eastAsia="Arial" w:cs="Arial" w:asciiTheme="minorAscii" w:hAnsiTheme="minorAscii" w:eastAsiaTheme="minorAscii" w:cstheme="minorAscii"/>
          <w:noProof w:val="0"/>
          <w:sz w:val="22"/>
          <w:szCs w:val="22"/>
          <w:lang w:val="en-GB"/>
        </w:rPr>
        <w:t xml:space="preserve"> s</w:t>
      </w:r>
      <w:r w:rsidRPr="1C634A17" w:rsidR="34F2B3BB">
        <w:rPr>
          <w:rFonts w:ascii="Arial" w:hAnsi="Arial" w:eastAsia="Arial" w:cs="Arial" w:asciiTheme="minorAscii" w:hAnsiTheme="minorAscii" w:eastAsiaTheme="minorAscii" w:cstheme="minorAscii"/>
          <w:noProof w:val="0"/>
          <w:sz w:val="22"/>
          <w:szCs w:val="22"/>
          <w:lang w:val="en-GB"/>
        </w:rPr>
        <w:t>uch as development, marketing, and compliance</w:t>
      </w:r>
      <w:r w:rsidRPr="1C634A17" w:rsidR="06820008">
        <w:rPr>
          <w:rFonts w:ascii="Arial" w:hAnsi="Arial" w:eastAsia="Arial" w:cs="Arial" w:asciiTheme="minorAscii" w:hAnsiTheme="minorAscii" w:eastAsiaTheme="minorAscii" w:cstheme="minorAscii"/>
          <w:noProof w:val="0"/>
          <w:sz w:val="22"/>
          <w:szCs w:val="22"/>
          <w:lang w:val="en-GB"/>
        </w:rPr>
        <w:t xml:space="preserve"> </w:t>
      </w:r>
      <w:r w:rsidRPr="1C634A17" w:rsidR="34F2B3BB">
        <w:rPr>
          <w:rFonts w:ascii="Arial" w:hAnsi="Arial" w:eastAsia="Arial" w:cs="Arial" w:asciiTheme="minorAscii" w:hAnsiTheme="minorAscii" w:eastAsiaTheme="minorAscii" w:cstheme="minorAscii"/>
          <w:noProof w:val="0"/>
          <w:sz w:val="22"/>
          <w:szCs w:val="22"/>
          <w:lang w:val="en-GB"/>
        </w:rPr>
        <w:t xml:space="preserve">lack of coordination can lead to significant delays. For example, if the marketing team promotes features that have not yet been fully developed or approved, this can create unrealistic expectations and damage the company’s credibility. Therefore, the project manager must </w:t>
      </w:r>
      <w:r w:rsidRPr="1C634A17" w:rsidR="34F2B3BB">
        <w:rPr>
          <w:rFonts w:ascii="Arial" w:hAnsi="Arial" w:eastAsia="Arial" w:cs="Arial" w:asciiTheme="minorAscii" w:hAnsiTheme="minorAscii" w:eastAsiaTheme="minorAscii" w:cstheme="minorAscii"/>
          <w:noProof w:val="0"/>
          <w:sz w:val="22"/>
          <w:szCs w:val="22"/>
          <w:lang w:val="en-GB"/>
        </w:rPr>
        <w:t>establish</w:t>
      </w:r>
      <w:r w:rsidRPr="1C634A17" w:rsidR="34F2B3BB">
        <w:rPr>
          <w:rFonts w:ascii="Arial" w:hAnsi="Arial" w:eastAsia="Arial" w:cs="Arial" w:asciiTheme="minorAscii" w:hAnsiTheme="minorAscii" w:eastAsiaTheme="minorAscii" w:cstheme="minorAscii"/>
          <w:noProof w:val="0"/>
          <w:sz w:val="22"/>
          <w:szCs w:val="22"/>
          <w:lang w:val="en-GB"/>
        </w:rPr>
        <w:t xml:space="preserve"> clear processes and timelines to ensure that all teams are aligned. Coordination also involves managing dependencies between tasks, such as ensuring that regulatory approval processes are completed before the product launch.</w:t>
      </w:r>
    </w:p>
    <w:p w:rsidR="34F2B3BB" w:rsidP="1C634A17" w:rsidRDefault="34F2B3BB" w14:paraId="2D9199B3" w14:textId="041F3E6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noProof w:val="0"/>
          <w:sz w:val="22"/>
          <w:szCs w:val="22"/>
          <w:lang w:val="en-GB"/>
        </w:rPr>
        <w:t xml:space="preserve">Moving beyond coordination, </w:t>
      </w:r>
      <w:r w:rsidRPr="1C634A17" w:rsidR="34F2B3BB">
        <w:rPr>
          <w:rFonts w:ascii="Arial" w:hAnsi="Arial" w:eastAsia="Arial" w:cs="Arial" w:asciiTheme="minorAscii" w:hAnsiTheme="minorAscii" w:eastAsiaTheme="minorAscii" w:cstheme="minorAscii"/>
          <w:b w:val="1"/>
          <w:bCs w:val="1"/>
          <w:noProof w:val="0"/>
          <w:sz w:val="22"/>
          <w:szCs w:val="22"/>
          <w:lang w:val="en-GB"/>
        </w:rPr>
        <w:t>cooperation</w:t>
      </w:r>
      <w:r w:rsidRPr="1C634A17" w:rsidR="34F2B3BB">
        <w:rPr>
          <w:rFonts w:ascii="Arial" w:hAnsi="Arial" w:eastAsia="Arial" w:cs="Arial" w:asciiTheme="minorAscii" w:hAnsiTheme="minorAscii" w:eastAsiaTheme="minorAscii" w:cstheme="minorAscii"/>
          <w:noProof w:val="0"/>
          <w:sz w:val="22"/>
          <w:szCs w:val="22"/>
          <w:lang w:val="en-GB"/>
        </w:rPr>
        <w:t xml:space="preserve"> focuses on encouraging stakeholders to work towards shared goals. While coordination ensures that tasks are aligned, cooperation ensures that stakeholders are willing to contribute positively to the project. This can be particularly challenging when stakeholders have conflicting priorities. For example, developers may prioritise product quality and testing, while marketing teams may push for a faster launch to gain competitive advantage. In such situations, the project manager must foster a sense of shared purpose by clearly communicating the overall project </w:t>
      </w:r>
      <w:r w:rsidRPr="1C634A17" w:rsidR="34F2B3BB">
        <w:rPr>
          <w:rFonts w:ascii="Arial" w:hAnsi="Arial" w:eastAsia="Arial" w:cs="Arial" w:asciiTheme="minorAscii" w:hAnsiTheme="minorAscii" w:eastAsiaTheme="minorAscii" w:cstheme="minorAscii"/>
          <w:noProof w:val="0"/>
          <w:sz w:val="22"/>
          <w:szCs w:val="22"/>
          <w:lang w:val="en-GB"/>
        </w:rPr>
        <w:t>objectives</w:t>
      </w:r>
      <w:r w:rsidRPr="1C634A17" w:rsidR="34F2B3BB">
        <w:rPr>
          <w:rFonts w:ascii="Arial" w:hAnsi="Arial" w:eastAsia="Arial" w:cs="Arial" w:asciiTheme="minorAscii" w:hAnsiTheme="minorAscii" w:eastAsiaTheme="minorAscii" w:cstheme="minorAscii"/>
          <w:noProof w:val="0"/>
          <w:sz w:val="22"/>
          <w:szCs w:val="22"/>
          <w:lang w:val="en-GB"/>
        </w:rPr>
        <w:t xml:space="preserve"> and the importance of each stakeholder’s contribution. Building strong relationships and trust is essential for promoting cooperation, as stakeholders are more likely to collaborate effectively when they feel valued and respected.</w:t>
      </w:r>
    </w:p>
    <w:p w:rsidR="34F2B3BB" w:rsidP="1C634A17" w:rsidRDefault="34F2B3BB" w14:paraId="0FEB0199" w14:textId="6D1339B4">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noProof w:val="0"/>
          <w:sz w:val="22"/>
          <w:szCs w:val="22"/>
          <w:lang w:val="en-GB"/>
        </w:rPr>
        <w:t xml:space="preserve">The final element of the model, </w:t>
      </w:r>
      <w:r w:rsidRPr="1C634A17" w:rsidR="34F2B3BB">
        <w:rPr>
          <w:rFonts w:ascii="Arial" w:hAnsi="Arial" w:eastAsia="Arial" w:cs="Arial" w:asciiTheme="minorAscii" w:hAnsiTheme="minorAscii" w:eastAsiaTheme="minorAscii" w:cstheme="minorAscii"/>
          <w:b w:val="1"/>
          <w:bCs w:val="1"/>
          <w:noProof w:val="0"/>
          <w:sz w:val="22"/>
          <w:szCs w:val="22"/>
          <w:lang w:val="en-GB"/>
        </w:rPr>
        <w:t>collaboration</w:t>
      </w:r>
      <w:r w:rsidRPr="1C634A17" w:rsidR="34F2B3BB">
        <w:rPr>
          <w:rFonts w:ascii="Arial" w:hAnsi="Arial" w:eastAsia="Arial" w:cs="Arial" w:asciiTheme="minorAscii" w:hAnsiTheme="minorAscii" w:eastAsiaTheme="minorAscii" w:cstheme="minorAscii"/>
          <w:noProof w:val="0"/>
          <w:sz w:val="22"/>
          <w:szCs w:val="22"/>
          <w:lang w:val="en-GB"/>
        </w:rPr>
        <w:t xml:space="preserve">, </w:t>
      </w:r>
      <w:r w:rsidRPr="1C634A17" w:rsidR="34F2B3BB">
        <w:rPr>
          <w:rFonts w:ascii="Arial" w:hAnsi="Arial" w:eastAsia="Arial" w:cs="Arial" w:asciiTheme="minorAscii" w:hAnsiTheme="minorAscii" w:eastAsiaTheme="minorAscii" w:cstheme="minorAscii"/>
          <w:noProof w:val="0"/>
          <w:sz w:val="22"/>
          <w:szCs w:val="22"/>
          <w:lang w:val="en-GB"/>
        </w:rPr>
        <w:t>represents</w:t>
      </w:r>
      <w:r w:rsidRPr="1C634A17" w:rsidR="34F2B3BB">
        <w:rPr>
          <w:rFonts w:ascii="Arial" w:hAnsi="Arial" w:eastAsia="Arial" w:cs="Arial" w:asciiTheme="minorAscii" w:hAnsiTheme="minorAscii" w:eastAsiaTheme="minorAscii" w:cstheme="minorAscii"/>
          <w:noProof w:val="0"/>
          <w:sz w:val="22"/>
          <w:szCs w:val="22"/>
          <w:lang w:val="en-GB"/>
        </w:rPr>
        <w:t xml:space="preserve"> the highest level of stakeholder engagement. Collaboration involves actively involving stakeholders in decision-making processes rather than simply informing or consulting them. In the context of this project, collaboration is particularly important when working with healthcare professionals and regulatory bodies. Their </w:t>
      </w:r>
      <w:r w:rsidRPr="1C634A17" w:rsidR="34F2B3BB">
        <w:rPr>
          <w:rFonts w:ascii="Arial" w:hAnsi="Arial" w:eastAsia="Arial" w:cs="Arial" w:asciiTheme="minorAscii" w:hAnsiTheme="minorAscii" w:eastAsiaTheme="minorAscii" w:cstheme="minorAscii"/>
          <w:noProof w:val="0"/>
          <w:sz w:val="22"/>
          <w:szCs w:val="22"/>
          <w:lang w:val="en-GB"/>
        </w:rPr>
        <w:t>expertise</w:t>
      </w:r>
      <w:r w:rsidRPr="1C634A17" w:rsidR="34F2B3BB">
        <w:rPr>
          <w:rFonts w:ascii="Arial" w:hAnsi="Arial" w:eastAsia="Arial" w:cs="Arial" w:asciiTheme="minorAscii" w:hAnsiTheme="minorAscii" w:eastAsiaTheme="minorAscii" w:cstheme="minorAscii"/>
          <w:noProof w:val="0"/>
          <w:sz w:val="22"/>
          <w:szCs w:val="22"/>
          <w:lang w:val="en-GB"/>
        </w:rPr>
        <w:t xml:space="preserve"> can </w:t>
      </w:r>
      <w:r w:rsidRPr="1C634A17" w:rsidR="34F2B3BB">
        <w:rPr>
          <w:rFonts w:ascii="Arial" w:hAnsi="Arial" w:eastAsia="Arial" w:cs="Arial" w:asciiTheme="minorAscii" w:hAnsiTheme="minorAscii" w:eastAsiaTheme="minorAscii" w:cstheme="minorAscii"/>
          <w:noProof w:val="0"/>
          <w:sz w:val="22"/>
          <w:szCs w:val="22"/>
          <w:lang w:val="en-GB"/>
        </w:rPr>
        <w:t>provide</w:t>
      </w:r>
      <w:r w:rsidRPr="1C634A17" w:rsidR="34F2B3BB">
        <w:rPr>
          <w:rFonts w:ascii="Arial" w:hAnsi="Arial" w:eastAsia="Arial" w:cs="Arial" w:asciiTheme="minorAscii" w:hAnsiTheme="minorAscii" w:eastAsiaTheme="minorAscii" w:cstheme="minorAscii"/>
          <w:noProof w:val="0"/>
          <w:sz w:val="22"/>
          <w:szCs w:val="22"/>
          <w:lang w:val="en-GB"/>
        </w:rPr>
        <w:t xml:space="preserve"> valuable insights into product design and compliance requirements, </w:t>
      </w:r>
      <w:r w:rsidRPr="1C634A17" w:rsidR="34F2B3BB">
        <w:rPr>
          <w:rFonts w:ascii="Arial" w:hAnsi="Arial" w:eastAsia="Arial" w:cs="Arial" w:asciiTheme="minorAscii" w:hAnsiTheme="minorAscii" w:eastAsiaTheme="minorAscii" w:cstheme="minorAscii"/>
          <w:noProof w:val="0"/>
          <w:sz w:val="22"/>
          <w:szCs w:val="22"/>
          <w:lang w:val="en-GB"/>
        </w:rPr>
        <w:t>ultimately improving</w:t>
      </w:r>
      <w:r w:rsidRPr="1C634A17" w:rsidR="34F2B3BB">
        <w:rPr>
          <w:rFonts w:ascii="Arial" w:hAnsi="Arial" w:eastAsia="Arial" w:cs="Arial" w:asciiTheme="minorAscii" w:hAnsiTheme="minorAscii" w:eastAsiaTheme="minorAscii" w:cstheme="minorAscii"/>
          <w:noProof w:val="0"/>
          <w:sz w:val="22"/>
          <w:szCs w:val="22"/>
          <w:lang w:val="en-GB"/>
        </w:rPr>
        <w:t xml:space="preserve"> the quality and safety of the device. However, collaboration can also be time-consuming and may slow down decision-making processes. Therefore, the project manager must carefully balance the benefits of collaboration with the need to meet project deadlines.</w:t>
      </w:r>
    </w:p>
    <w:p w:rsidR="34F2B3BB" w:rsidP="1C634A17" w:rsidRDefault="34F2B3BB" w14:paraId="4819E130" w14:textId="7921CBB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noProof w:val="0"/>
          <w:sz w:val="22"/>
          <w:szCs w:val="22"/>
          <w:lang w:val="en-GB"/>
        </w:rPr>
        <w:t xml:space="preserve">Despite the implementation of these engagement strategies, conflicts between stakeholders are inevitable. Conflicts may arise due to differences in priorities, resource constraints, or communication breakdowns. For example, regulatory bodies may require </w:t>
      </w:r>
      <w:r w:rsidRPr="1C634A17" w:rsidR="34F2B3BB">
        <w:rPr>
          <w:rFonts w:ascii="Arial" w:hAnsi="Arial" w:eastAsia="Arial" w:cs="Arial" w:asciiTheme="minorAscii" w:hAnsiTheme="minorAscii" w:eastAsiaTheme="minorAscii" w:cstheme="minorAscii"/>
          <w:noProof w:val="0"/>
          <w:sz w:val="22"/>
          <w:szCs w:val="22"/>
          <w:lang w:val="en-GB"/>
        </w:rPr>
        <w:t>additional</w:t>
      </w:r>
      <w:r w:rsidRPr="1C634A17" w:rsidR="34F2B3BB">
        <w:rPr>
          <w:rFonts w:ascii="Arial" w:hAnsi="Arial" w:eastAsia="Arial" w:cs="Arial" w:asciiTheme="minorAscii" w:hAnsiTheme="minorAscii" w:eastAsiaTheme="minorAscii" w:cstheme="minorAscii"/>
          <w:noProof w:val="0"/>
          <w:sz w:val="22"/>
          <w:szCs w:val="22"/>
          <w:lang w:val="en-GB"/>
        </w:rPr>
        <w:t xml:space="preserve"> testing to ensure product safety, while senior management may be focused on meeting the six-month launch deadline. Similarly, suppliers may face delays in providing components, which can disrupt the entire project timeline.</w:t>
      </w:r>
    </w:p>
    <w:p w:rsidR="34F2B3BB" w:rsidP="1C634A17" w:rsidRDefault="34F2B3BB" w14:paraId="7DC93D2E" w14:textId="42C7EE4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noProof w:val="0"/>
          <w:sz w:val="22"/>
          <w:szCs w:val="22"/>
          <w:lang w:val="en-GB"/>
        </w:rPr>
        <w:t xml:space="preserve">Effective conflict management is therefore a critical responsibility of the project manager. According to Kerzner (2022), conflicts should not be viewed solely as negative occurrences but as opportunities for improvement and innovation. The key lies in managing conflicts constructively rather than allowing them to escalate. One approach is through negotiation, where the project manager </w:t>
      </w:r>
      <w:r w:rsidRPr="1C634A17" w:rsidR="34F2B3BB">
        <w:rPr>
          <w:rFonts w:ascii="Arial" w:hAnsi="Arial" w:eastAsia="Arial" w:cs="Arial" w:asciiTheme="minorAscii" w:hAnsiTheme="minorAscii" w:eastAsiaTheme="minorAscii" w:cstheme="minorAscii"/>
          <w:noProof w:val="0"/>
          <w:sz w:val="22"/>
          <w:szCs w:val="22"/>
          <w:lang w:val="en-GB"/>
        </w:rPr>
        <w:t>facilitates</w:t>
      </w:r>
      <w:r w:rsidRPr="1C634A17" w:rsidR="34F2B3BB">
        <w:rPr>
          <w:rFonts w:ascii="Arial" w:hAnsi="Arial" w:eastAsia="Arial" w:cs="Arial" w:asciiTheme="minorAscii" w:hAnsiTheme="minorAscii" w:eastAsiaTheme="minorAscii" w:cstheme="minorAscii"/>
          <w:noProof w:val="0"/>
          <w:sz w:val="22"/>
          <w:szCs w:val="22"/>
          <w:lang w:val="en-GB"/>
        </w:rPr>
        <w:t xml:space="preserve"> discussions between stakeholders to reach mutually acceptable solutions. For instance, a compromise may be reached where the product launch is slightly delayed </w:t>
      </w:r>
      <w:r w:rsidRPr="1C634A17" w:rsidR="34F2B3BB">
        <w:rPr>
          <w:rFonts w:ascii="Arial" w:hAnsi="Arial" w:eastAsia="Arial" w:cs="Arial" w:asciiTheme="minorAscii" w:hAnsiTheme="minorAscii" w:eastAsiaTheme="minorAscii" w:cstheme="minorAscii"/>
          <w:noProof w:val="0"/>
          <w:sz w:val="22"/>
          <w:szCs w:val="22"/>
          <w:lang w:val="en-GB"/>
        </w:rPr>
        <w:t>ensuring</w:t>
      </w:r>
      <w:r w:rsidRPr="1C634A17" w:rsidR="34F2B3BB">
        <w:rPr>
          <w:rFonts w:ascii="Arial" w:hAnsi="Arial" w:eastAsia="Arial" w:cs="Arial" w:asciiTheme="minorAscii" w:hAnsiTheme="minorAscii" w:eastAsiaTheme="minorAscii" w:cstheme="minorAscii"/>
          <w:noProof w:val="0"/>
          <w:sz w:val="22"/>
          <w:szCs w:val="22"/>
          <w:lang w:val="en-GB"/>
        </w:rPr>
        <w:t xml:space="preserve"> compliance with regulatory requirements, thereby avoiding potential legal issues in the future.</w:t>
      </w:r>
    </w:p>
    <w:p w:rsidR="34F2B3BB" w:rsidP="1C634A17" w:rsidRDefault="34F2B3BB" w14:paraId="59380553" w14:textId="102DCE2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noProof w:val="0"/>
          <w:sz w:val="22"/>
          <w:szCs w:val="22"/>
          <w:lang w:val="en-GB"/>
        </w:rPr>
        <w:t xml:space="preserve">Another important strategy is mediation, where the project manager acts as a neutral party to resolve disputes. This requires strong interpersonal and communication skills, as well as the ability to remain objective. In some cases, conflicts may be resolved through problem-solving approaches, where stakeholders work together to </w:t>
      </w:r>
      <w:r w:rsidRPr="1C634A17" w:rsidR="34F2B3BB">
        <w:rPr>
          <w:rFonts w:ascii="Arial" w:hAnsi="Arial" w:eastAsia="Arial" w:cs="Arial" w:asciiTheme="minorAscii" w:hAnsiTheme="minorAscii" w:eastAsiaTheme="minorAscii" w:cstheme="minorAscii"/>
          <w:noProof w:val="0"/>
          <w:sz w:val="22"/>
          <w:szCs w:val="22"/>
          <w:lang w:val="en-GB"/>
        </w:rPr>
        <w:t>identify</w:t>
      </w:r>
      <w:r w:rsidRPr="1C634A17" w:rsidR="34F2B3BB">
        <w:rPr>
          <w:rFonts w:ascii="Arial" w:hAnsi="Arial" w:eastAsia="Arial" w:cs="Arial" w:asciiTheme="minorAscii" w:hAnsiTheme="minorAscii" w:eastAsiaTheme="minorAscii" w:cstheme="minorAscii"/>
          <w:noProof w:val="0"/>
          <w:sz w:val="22"/>
          <w:szCs w:val="22"/>
          <w:lang w:val="en-GB"/>
        </w:rPr>
        <w:t xml:space="preserve"> solutions that address the underlying issues.</w:t>
      </w:r>
    </w:p>
    <w:p w:rsidR="34F2B3BB" w:rsidP="1C634A17" w:rsidRDefault="34F2B3BB" w14:paraId="36186780" w14:textId="05FF726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C634A17" w:rsidR="34F2B3BB">
        <w:rPr>
          <w:rFonts w:ascii="Arial" w:hAnsi="Arial" w:eastAsia="Arial" w:cs="Arial" w:asciiTheme="minorAscii" w:hAnsiTheme="minorAscii" w:eastAsiaTheme="minorAscii" w:cstheme="minorAscii"/>
          <w:noProof w:val="0"/>
          <w:sz w:val="22"/>
          <w:szCs w:val="22"/>
          <w:lang w:val="en-GB"/>
        </w:rPr>
        <w:t xml:space="preserve">Leadership style also plays a significant role in conflict management. A participative leadership approach, where stakeholders are actively involved in decision-making, can help reduce resistance and build trust. However, there may be situations where a more directive approach is necessary, particularly when quick decisions are </w:t>
      </w:r>
      <w:r w:rsidRPr="1C634A17" w:rsidR="34F2B3BB">
        <w:rPr>
          <w:rFonts w:ascii="Arial" w:hAnsi="Arial" w:eastAsia="Arial" w:cs="Arial" w:asciiTheme="minorAscii" w:hAnsiTheme="minorAscii" w:eastAsiaTheme="minorAscii" w:cstheme="minorAscii"/>
          <w:noProof w:val="0"/>
          <w:sz w:val="22"/>
          <w:szCs w:val="22"/>
          <w:lang w:val="en-GB"/>
        </w:rPr>
        <w:t>required</w:t>
      </w:r>
      <w:r w:rsidRPr="1C634A17" w:rsidR="34F2B3BB">
        <w:rPr>
          <w:rFonts w:ascii="Arial" w:hAnsi="Arial" w:eastAsia="Arial" w:cs="Arial" w:asciiTheme="minorAscii" w:hAnsiTheme="minorAscii" w:eastAsiaTheme="minorAscii" w:cstheme="minorAscii"/>
          <w:noProof w:val="0"/>
          <w:sz w:val="22"/>
          <w:szCs w:val="22"/>
          <w:lang w:val="en-GB"/>
        </w:rPr>
        <w:t xml:space="preserve"> to meet project deadlines. This highlights the importance of flexibility in leadership, as the project manager must adapt their approach based on the specific situation.</w:t>
      </w:r>
    </w:p>
    <w:p w:rsidR="34F2B3BB" w:rsidP="1C634A17" w:rsidRDefault="34F2B3BB" w14:paraId="3736964E" w14:textId="04877ACA">
      <w:pPr>
        <w:pStyle w:val="Normal"/>
        <w:spacing w:line="360" w:lineRule="auto"/>
        <w:rPr>
          <w:noProof w:val="0"/>
          <w:sz w:val="22"/>
          <w:szCs w:val="22"/>
          <w:lang w:val="en-GB"/>
        </w:rPr>
      </w:pPr>
      <w:r w:rsidRPr="1C634A17" w:rsidR="34F2B3BB">
        <w:rPr>
          <w:noProof w:val="0"/>
          <w:sz w:val="22"/>
          <w:szCs w:val="22"/>
          <w:lang w:val="en-GB"/>
        </w:rPr>
        <w:t xml:space="preserve">In conclusion, stakeholder engagement in this project requires a structured yet flexible approach that incorporates continuous communication, effective coordination, active cooperation, and meaningful collaboration. By applying the Four Cs model and adopting </w:t>
      </w:r>
      <w:r w:rsidRPr="1C634A17" w:rsidR="34F2B3BB">
        <w:rPr>
          <w:noProof w:val="0"/>
          <w:sz w:val="22"/>
          <w:szCs w:val="22"/>
          <w:lang w:val="en-GB"/>
        </w:rPr>
        <w:t>appropriate conflict</w:t>
      </w:r>
      <w:r w:rsidRPr="1C634A17" w:rsidR="34F2B3BB">
        <w:rPr>
          <w:noProof w:val="0"/>
          <w:sz w:val="22"/>
          <w:szCs w:val="22"/>
          <w:lang w:val="en-GB"/>
        </w:rPr>
        <w:t xml:space="preserve"> management strategies, the project manager can ensure that stakeholder relationships are </w:t>
      </w:r>
      <w:r w:rsidRPr="1C634A17" w:rsidR="34F2B3BB">
        <w:rPr>
          <w:noProof w:val="0"/>
          <w:sz w:val="22"/>
          <w:szCs w:val="22"/>
          <w:lang w:val="en-GB"/>
        </w:rPr>
        <w:t>maintained</w:t>
      </w:r>
      <w:r w:rsidRPr="1C634A17" w:rsidR="34F2B3BB">
        <w:rPr>
          <w:noProof w:val="0"/>
          <w:sz w:val="22"/>
          <w:szCs w:val="22"/>
          <w:lang w:val="en-GB"/>
        </w:rPr>
        <w:t xml:space="preserve"> effectively throughout the project lifecycle. This not only reduces the risk of project failure but also enhances the overall quality and success of the</w:t>
      </w:r>
      <w:r w:rsidRPr="1C634A17" w:rsidR="34F2B3BB">
        <w:rPr>
          <w:noProof w:val="0"/>
          <w:sz w:val="22"/>
          <w:szCs w:val="22"/>
          <w:lang w:val="en-GB"/>
        </w:rPr>
        <w:t xml:space="preserve"> final product. </w:t>
      </w:r>
    </w:p>
    <w:p w:rsidR="218A0A76" w:rsidP="1C634A17" w:rsidRDefault="218A0A76" w14:paraId="23C62A63" w14:textId="43A4ABD2">
      <w:pPr>
        <w:pStyle w:val="Normal"/>
        <w:spacing w:line="360" w:lineRule="auto"/>
        <w:rPr>
          <w:b w:val="1"/>
          <w:bCs w:val="1"/>
          <w:noProof w:val="0"/>
          <w:sz w:val="22"/>
          <w:szCs w:val="22"/>
          <w:u w:val="single"/>
          <w:lang w:val="en-GB"/>
        </w:rPr>
      </w:pPr>
      <w:r w:rsidRPr="1C634A17" w:rsidR="218A0A76">
        <w:rPr>
          <w:b w:val="1"/>
          <w:bCs w:val="1"/>
          <w:noProof w:val="0"/>
          <w:sz w:val="22"/>
          <w:szCs w:val="22"/>
          <w:u w:val="single"/>
          <w:lang w:val="en-GB"/>
        </w:rPr>
        <w:t xml:space="preserve">Impact of Stakeholder Engagement on Business Performance and Recommendations </w:t>
      </w:r>
    </w:p>
    <w:p w:rsidR="218A0A76" w:rsidP="1C634A17" w:rsidRDefault="218A0A76" w14:paraId="21B157EA" w14:textId="06B27F14">
      <w:pPr>
        <w:pStyle w:val="Normal"/>
        <w:spacing w:line="360" w:lineRule="auto"/>
        <w:rPr>
          <w:noProof w:val="0"/>
          <w:sz w:val="22"/>
          <w:szCs w:val="22"/>
          <w:lang w:val="en-GB"/>
        </w:rPr>
      </w:pPr>
      <w:r w:rsidRPr="1C634A17" w:rsidR="218A0A76">
        <w:rPr>
          <w:noProof w:val="0"/>
          <w:sz w:val="22"/>
          <w:szCs w:val="22"/>
          <w:lang w:val="en-GB"/>
        </w:rPr>
        <w:t xml:space="preserve">Stakeholder engagement plays a fundamental role in </w:t>
      </w:r>
      <w:r w:rsidRPr="1C634A17" w:rsidR="218A0A76">
        <w:rPr>
          <w:noProof w:val="0"/>
          <w:sz w:val="22"/>
          <w:szCs w:val="22"/>
          <w:lang w:val="en-GB"/>
        </w:rPr>
        <w:t>determining</w:t>
      </w:r>
      <w:r w:rsidRPr="1C634A17" w:rsidR="218A0A76">
        <w:rPr>
          <w:noProof w:val="0"/>
          <w:sz w:val="22"/>
          <w:szCs w:val="22"/>
          <w:lang w:val="en-GB"/>
        </w:rPr>
        <w:t xml:space="preserve"> the success or failure of projects, particularly within complex and highly regulated industries such as wearable healthcare technology. In the case of Fitbit, the launch of a new health monitoring device depends not only on technical innovation but also on how effectively stakeholders are engaged throughout the project lifecycle. This section critically evaluates the impact of stakeholder engagement on business performance and provides recommendations for improving engagement in future projects.</w:t>
      </w:r>
    </w:p>
    <w:p w:rsidR="218A0A76" w:rsidP="1C634A17" w:rsidRDefault="218A0A76" w14:paraId="75B9F52B" w14:textId="349C730E">
      <w:pPr>
        <w:pStyle w:val="Normal"/>
        <w:spacing w:line="360" w:lineRule="auto"/>
        <w:rPr>
          <w:noProof w:val="0"/>
          <w:sz w:val="22"/>
          <w:szCs w:val="22"/>
          <w:lang w:val="en-GB"/>
        </w:rPr>
      </w:pPr>
      <w:r w:rsidRPr="1C634A17" w:rsidR="218A0A76">
        <w:rPr>
          <w:noProof w:val="0"/>
          <w:sz w:val="22"/>
          <w:szCs w:val="22"/>
          <w:lang w:val="en-GB"/>
        </w:rPr>
        <w:t xml:space="preserve">One of the most significant impacts of effective stakeholder engagement is improved </w:t>
      </w:r>
      <w:r w:rsidRPr="1C634A17" w:rsidR="218A0A76">
        <w:rPr>
          <w:noProof w:val="0"/>
          <w:sz w:val="22"/>
          <w:szCs w:val="22"/>
          <w:lang w:val="en-GB"/>
        </w:rPr>
        <w:t>decision-making quality</w:t>
      </w:r>
      <w:r w:rsidRPr="1C634A17" w:rsidR="218A0A76">
        <w:rPr>
          <w:noProof w:val="0"/>
          <w:sz w:val="22"/>
          <w:szCs w:val="22"/>
          <w:lang w:val="en-GB"/>
        </w:rPr>
        <w:t xml:space="preserve">. When stakeholders are actively involved in the project, they contribute diverse perspectives, knowledge, and </w:t>
      </w:r>
      <w:r w:rsidRPr="1C634A17" w:rsidR="218A0A76">
        <w:rPr>
          <w:noProof w:val="0"/>
          <w:sz w:val="22"/>
          <w:szCs w:val="22"/>
          <w:lang w:val="en-GB"/>
        </w:rPr>
        <w:t>expertise</w:t>
      </w:r>
      <w:r w:rsidRPr="1C634A17" w:rsidR="218A0A76">
        <w:rPr>
          <w:noProof w:val="0"/>
          <w:sz w:val="22"/>
          <w:szCs w:val="22"/>
          <w:lang w:val="en-GB"/>
        </w:rPr>
        <w:t xml:space="preserve">. For example, healthcare professionals can provide insights into the accuracy and usability of health monitoring features, while regulatory bodies ensure that compliance requirements are met. This collaborative approach reduces the likelihood of errors and enhances the overall quality of decisions. In contrast, poor stakeholder engagement often leads to decisions being made in isolation, increasing the risk of oversight and costly mistakes (Bryson, 2018). Therefore, engaging stakeholders early and continuously allows Fitbit to make more informed and balanced decisions, </w:t>
      </w:r>
      <w:r w:rsidRPr="1C634A17" w:rsidR="218A0A76">
        <w:rPr>
          <w:noProof w:val="0"/>
          <w:sz w:val="22"/>
          <w:szCs w:val="22"/>
          <w:lang w:val="en-GB"/>
        </w:rPr>
        <w:t>ultimately improving</w:t>
      </w:r>
      <w:r w:rsidRPr="1C634A17" w:rsidR="218A0A76">
        <w:rPr>
          <w:noProof w:val="0"/>
          <w:sz w:val="22"/>
          <w:szCs w:val="22"/>
          <w:lang w:val="en-GB"/>
        </w:rPr>
        <w:t xml:space="preserve"> project outcomes.</w:t>
      </w:r>
    </w:p>
    <w:p w:rsidR="218A0A76" w:rsidP="1C634A17" w:rsidRDefault="218A0A76" w14:paraId="08180813" w14:textId="66278C90">
      <w:pPr>
        <w:pStyle w:val="Normal"/>
        <w:spacing w:line="360" w:lineRule="auto"/>
        <w:rPr>
          <w:noProof w:val="0"/>
          <w:sz w:val="22"/>
          <w:szCs w:val="22"/>
          <w:lang w:val="en-GB"/>
        </w:rPr>
      </w:pPr>
      <w:r w:rsidRPr="1C634A17" w:rsidR="218A0A76">
        <w:rPr>
          <w:noProof w:val="0"/>
          <w:sz w:val="22"/>
          <w:szCs w:val="22"/>
          <w:lang w:val="en-GB"/>
        </w:rPr>
        <w:t xml:space="preserve">Another important impact is the enhancement of </w:t>
      </w:r>
      <w:r w:rsidRPr="1C634A17" w:rsidR="218A0A76">
        <w:rPr>
          <w:noProof w:val="0"/>
          <w:sz w:val="22"/>
          <w:szCs w:val="22"/>
          <w:lang w:val="en-GB"/>
        </w:rPr>
        <w:t>product quality and innovation</w:t>
      </w:r>
      <w:r w:rsidRPr="1C634A17" w:rsidR="218A0A76">
        <w:rPr>
          <w:noProof w:val="0"/>
          <w:sz w:val="22"/>
          <w:szCs w:val="22"/>
          <w:lang w:val="en-GB"/>
        </w:rPr>
        <w:t>. Stakeholders, particularly customers and healthcare professionals, provide valuable feedback that can be used to refine product features. For instance, user feedback on comfort, usability, and data accuracy can lead to improvements that make the device more competitive in the market. This aligns with the concept of value co-creation, where organisations and stakeholders work together to create better products and services (Christopher et al., 2013). However, it is important to recognise that excessive stakeholder involvement may also slow down the development process. For example, incorporating too many suggestions or making continuous changes can delay the project timeline. This highlights the need for a balanced approach, where stakeholder input is carefully evaluated and prioritised.</w:t>
      </w:r>
    </w:p>
    <w:p w:rsidR="218A0A76" w:rsidP="1C634A17" w:rsidRDefault="218A0A76" w14:paraId="1FAF57E8" w14:textId="3A8FA693">
      <w:pPr>
        <w:pStyle w:val="Normal"/>
        <w:spacing w:line="360" w:lineRule="auto"/>
        <w:rPr>
          <w:noProof w:val="0"/>
          <w:sz w:val="22"/>
          <w:szCs w:val="22"/>
          <w:lang w:val="en-GB"/>
        </w:rPr>
      </w:pPr>
      <w:r w:rsidRPr="1C634A17" w:rsidR="218A0A76">
        <w:rPr>
          <w:noProof w:val="0"/>
          <w:sz w:val="22"/>
          <w:szCs w:val="22"/>
          <w:lang w:val="en-GB"/>
        </w:rPr>
        <w:t xml:space="preserve">Effective stakeholder engagement also contributes to </w:t>
      </w:r>
      <w:r w:rsidRPr="1C634A17" w:rsidR="218A0A76">
        <w:rPr>
          <w:noProof w:val="0"/>
          <w:sz w:val="22"/>
          <w:szCs w:val="22"/>
          <w:lang w:val="en-GB"/>
        </w:rPr>
        <w:t>risk reduction</w:t>
      </w:r>
      <w:r w:rsidRPr="1C634A17" w:rsidR="218A0A76">
        <w:rPr>
          <w:noProof w:val="0"/>
          <w:sz w:val="22"/>
          <w:szCs w:val="22"/>
          <w:lang w:val="en-GB"/>
        </w:rPr>
        <w:t xml:space="preserve">, which is particularly important in healthcare-related projects. Engaging regulatory bodies early in the process helps ensure that compliance requirements are understood and addressed from the outset. This reduces the risk of delays or rework later in the project. Similarly, engaging suppliers and manufacturers helps </w:t>
      </w:r>
      <w:r w:rsidRPr="1C634A17" w:rsidR="218A0A76">
        <w:rPr>
          <w:noProof w:val="0"/>
          <w:sz w:val="22"/>
          <w:szCs w:val="22"/>
          <w:lang w:val="en-GB"/>
        </w:rPr>
        <w:t>identify</w:t>
      </w:r>
      <w:r w:rsidRPr="1C634A17" w:rsidR="218A0A76">
        <w:rPr>
          <w:noProof w:val="0"/>
          <w:sz w:val="22"/>
          <w:szCs w:val="22"/>
          <w:lang w:val="en-GB"/>
        </w:rPr>
        <w:t xml:space="preserve"> potential supply chain issues before they become critical problems. According to the Project Management Institute (2021), proactive stakeholder engagement is one of the most effective ways to </w:t>
      </w:r>
      <w:r w:rsidRPr="1C634A17" w:rsidR="218A0A76">
        <w:rPr>
          <w:noProof w:val="0"/>
          <w:sz w:val="22"/>
          <w:szCs w:val="22"/>
          <w:lang w:val="en-GB"/>
        </w:rPr>
        <w:t>identify</w:t>
      </w:r>
      <w:r w:rsidRPr="1C634A17" w:rsidR="218A0A76">
        <w:rPr>
          <w:noProof w:val="0"/>
          <w:sz w:val="22"/>
          <w:szCs w:val="22"/>
          <w:lang w:val="en-GB"/>
        </w:rPr>
        <w:t xml:space="preserve"> and mitigate risks. In the case of Fitbit, this is especially important given the strict regulatory environment and the potential consequences of non-compliance.</w:t>
      </w:r>
    </w:p>
    <w:p w:rsidR="218A0A76" w:rsidP="1C634A17" w:rsidRDefault="218A0A76" w14:paraId="022E27CF" w14:textId="55D0D5CB">
      <w:pPr>
        <w:pStyle w:val="Normal"/>
        <w:spacing w:line="360" w:lineRule="auto"/>
        <w:rPr>
          <w:noProof w:val="0"/>
          <w:sz w:val="22"/>
          <w:szCs w:val="22"/>
          <w:lang w:val="en-GB"/>
        </w:rPr>
      </w:pPr>
      <w:r w:rsidRPr="1C634A17" w:rsidR="218A0A76">
        <w:rPr>
          <w:noProof w:val="0"/>
          <w:sz w:val="22"/>
          <w:szCs w:val="22"/>
          <w:lang w:val="en-GB"/>
        </w:rPr>
        <w:t xml:space="preserve">In addition to reducing risks, stakeholder engagement plays a key role in enhancing customer trust and brand reputation. In the wearable health technology sector, trust is a critical factor, as consumers are sharing sensitive personal data. If stakeholders perceive that their concerns are being </w:t>
      </w:r>
      <w:r w:rsidRPr="1C634A17" w:rsidR="7741CB1B">
        <w:rPr>
          <w:noProof w:val="0"/>
          <w:sz w:val="22"/>
          <w:szCs w:val="22"/>
          <w:lang w:val="en-GB"/>
        </w:rPr>
        <w:t xml:space="preserve">addressed </w:t>
      </w:r>
      <w:r w:rsidRPr="1C634A17" w:rsidR="218A0A76">
        <w:rPr>
          <w:noProof w:val="0"/>
          <w:sz w:val="22"/>
          <w:szCs w:val="22"/>
          <w:lang w:val="en-GB"/>
        </w:rPr>
        <w:t xml:space="preserve">particularly in relation to data </w:t>
      </w:r>
      <w:r w:rsidRPr="1C634A17" w:rsidR="0551C2C9">
        <w:rPr>
          <w:noProof w:val="0"/>
          <w:sz w:val="22"/>
          <w:szCs w:val="22"/>
          <w:lang w:val="en-GB"/>
        </w:rPr>
        <w:t>privacy,</w:t>
      </w:r>
      <w:r w:rsidRPr="1C634A17" w:rsidR="0551C2C9">
        <w:rPr>
          <w:noProof w:val="0"/>
          <w:sz w:val="22"/>
          <w:szCs w:val="22"/>
          <w:lang w:val="en-GB"/>
        </w:rPr>
        <w:t xml:space="preserve"> </w:t>
      </w:r>
      <w:r w:rsidRPr="1C634A17" w:rsidR="218A0A76">
        <w:rPr>
          <w:noProof w:val="0"/>
          <w:sz w:val="22"/>
          <w:szCs w:val="22"/>
          <w:lang w:val="en-GB"/>
        </w:rPr>
        <w:t xml:space="preserve">they are more likely to trust the product and the brand. Conversely, poor stakeholder engagement can lead to negative </w:t>
      </w:r>
      <w:r w:rsidRPr="1C634A17" w:rsidR="218A0A76">
        <w:rPr>
          <w:noProof w:val="0"/>
          <w:sz w:val="22"/>
          <w:szCs w:val="22"/>
          <w:lang w:val="en-GB"/>
        </w:rPr>
        <w:t>perceptions</w:t>
      </w:r>
      <w:r w:rsidRPr="1C634A17" w:rsidR="218A0A76">
        <w:rPr>
          <w:noProof w:val="0"/>
          <w:sz w:val="22"/>
          <w:szCs w:val="22"/>
          <w:lang w:val="en-GB"/>
        </w:rPr>
        <w:t xml:space="preserve"> and reputational damage. For example, failure to communicate transparently about data usage could result in loss of customer confidence, which would directly </w:t>
      </w:r>
      <w:r w:rsidRPr="1C634A17" w:rsidR="218A0A76">
        <w:rPr>
          <w:noProof w:val="0"/>
          <w:sz w:val="22"/>
          <w:szCs w:val="22"/>
          <w:lang w:val="en-GB"/>
        </w:rPr>
        <w:t>impact</w:t>
      </w:r>
      <w:r w:rsidRPr="1C634A17" w:rsidR="218A0A76">
        <w:rPr>
          <w:noProof w:val="0"/>
          <w:sz w:val="22"/>
          <w:szCs w:val="22"/>
          <w:lang w:val="en-GB"/>
        </w:rPr>
        <w:t xml:space="preserve"> sales and long-term brand loyalty (Lupton, 2016). Therefore, </w:t>
      </w:r>
      <w:r w:rsidRPr="1C634A17" w:rsidR="218A0A76">
        <w:rPr>
          <w:noProof w:val="0"/>
          <w:sz w:val="22"/>
          <w:szCs w:val="22"/>
          <w:lang w:val="en-GB"/>
        </w:rPr>
        <w:t>maintaining</w:t>
      </w:r>
      <w:r w:rsidRPr="1C634A17" w:rsidR="218A0A76">
        <w:rPr>
          <w:noProof w:val="0"/>
          <w:sz w:val="22"/>
          <w:szCs w:val="22"/>
          <w:lang w:val="en-GB"/>
        </w:rPr>
        <w:t xml:space="preserve"> open and honest communication with stakeholders is essential for building and sustaining trust.</w:t>
      </w:r>
    </w:p>
    <w:p w:rsidR="218A0A76" w:rsidP="1C634A17" w:rsidRDefault="218A0A76" w14:paraId="385DD893" w14:textId="337E7037">
      <w:pPr>
        <w:pStyle w:val="Normal"/>
        <w:spacing w:line="360" w:lineRule="auto"/>
        <w:rPr>
          <w:noProof w:val="0"/>
          <w:sz w:val="22"/>
          <w:szCs w:val="22"/>
          <w:lang w:val="en-GB"/>
        </w:rPr>
      </w:pPr>
      <w:r w:rsidRPr="1C634A17" w:rsidR="218A0A76">
        <w:rPr>
          <w:noProof w:val="0"/>
          <w:sz w:val="22"/>
          <w:szCs w:val="22"/>
          <w:lang w:val="en-GB"/>
        </w:rPr>
        <w:t xml:space="preserve">Furthermore, stakeholder engagement can improve </w:t>
      </w:r>
      <w:r w:rsidRPr="1C634A17" w:rsidR="218A0A76">
        <w:rPr>
          <w:noProof w:val="0"/>
          <w:sz w:val="22"/>
          <w:szCs w:val="22"/>
          <w:lang w:val="en-GB"/>
        </w:rPr>
        <w:t>project efficiency and performance</w:t>
      </w:r>
      <w:r w:rsidRPr="1C634A17" w:rsidR="218A0A76">
        <w:rPr>
          <w:noProof w:val="0"/>
          <w:sz w:val="22"/>
          <w:szCs w:val="22"/>
          <w:lang w:val="en-GB"/>
        </w:rPr>
        <w:t>. When stakeholders are aligned and informed, there is less likelihood of misunderstandings, duplication of effort, or delays. For instance, clear communication between development and marketing teams ensures that product features are accurately represented in promotional materials. Similarly, coordination with regulatory bodies can streamline approval processes. However, achieving this level of alignment requires effective management and strong leadership. Without clear direction, stakeholder engagement efforts may become fragmented, leading to inefficiencies rather than improvements.</w:t>
      </w:r>
    </w:p>
    <w:p w:rsidR="218A0A76" w:rsidP="1C634A17" w:rsidRDefault="218A0A76" w14:paraId="16223687" w14:textId="76E1CE43">
      <w:pPr>
        <w:pStyle w:val="Normal"/>
        <w:spacing w:line="360" w:lineRule="auto"/>
        <w:rPr>
          <w:noProof w:val="0"/>
          <w:sz w:val="22"/>
          <w:szCs w:val="22"/>
          <w:lang w:val="en-GB"/>
        </w:rPr>
      </w:pPr>
      <w:r w:rsidRPr="1C634A17" w:rsidR="218A0A76">
        <w:rPr>
          <w:noProof w:val="0"/>
          <w:sz w:val="22"/>
          <w:szCs w:val="22"/>
          <w:lang w:val="en-GB"/>
        </w:rPr>
        <w:t xml:space="preserve">Despite these benefits, it is important to acknowledge that stakeholder engagement also presents challenges. Engaging multiple stakeholders with differing priorities can be time-consuming and </w:t>
      </w:r>
      <w:r w:rsidRPr="1C634A17" w:rsidR="7968592F">
        <w:rPr>
          <w:noProof w:val="0"/>
          <w:sz w:val="22"/>
          <w:szCs w:val="22"/>
          <w:lang w:val="en-GB"/>
        </w:rPr>
        <w:t xml:space="preserve">is a waste of </w:t>
      </w:r>
      <w:r w:rsidRPr="1C634A17" w:rsidR="218A0A76">
        <w:rPr>
          <w:noProof w:val="0"/>
          <w:sz w:val="22"/>
          <w:szCs w:val="22"/>
          <w:lang w:val="en-GB"/>
        </w:rPr>
        <w:t xml:space="preserve">resources. For example, balancing the demands of regulators, investors, and customers may </w:t>
      </w:r>
      <w:r w:rsidRPr="1C634A17" w:rsidR="218A0A76">
        <w:rPr>
          <w:noProof w:val="0"/>
          <w:sz w:val="22"/>
          <w:szCs w:val="22"/>
          <w:lang w:val="en-GB"/>
        </w:rPr>
        <w:t>require</w:t>
      </w:r>
      <w:r w:rsidRPr="1C634A17" w:rsidR="218A0A76">
        <w:rPr>
          <w:noProof w:val="0"/>
          <w:sz w:val="22"/>
          <w:szCs w:val="22"/>
          <w:lang w:val="en-GB"/>
        </w:rPr>
        <w:t xml:space="preserve"> trade-offs that are difficult to manage. Additionally, there is a risk of “stakeholder overload,” where excessive communication or involvement leads to confusion or disengagement. This highlights the importance of strategic stakeholder management, where engagement efforts are prioritised based on stakeholder importance and influence (Mendelow, 1991).</w:t>
      </w:r>
    </w:p>
    <w:p w:rsidR="218A0A76" w:rsidP="1C634A17" w:rsidRDefault="218A0A76" w14:paraId="24E42F76" w14:textId="49FC7F28">
      <w:pPr>
        <w:pStyle w:val="Normal"/>
        <w:spacing w:line="360" w:lineRule="auto"/>
        <w:rPr>
          <w:b w:val="1"/>
          <w:bCs w:val="1"/>
          <w:noProof w:val="0"/>
          <w:sz w:val="22"/>
          <w:szCs w:val="22"/>
          <w:u w:val="single"/>
          <w:lang w:val="en-GB"/>
        </w:rPr>
      </w:pPr>
      <w:r w:rsidRPr="1C634A17" w:rsidR="218A0A76">
        <w:rPr>
          <w:b w:val="1"/>
          <w:bCs w:val="1"/>
          <w:noProof w:val="0"/>
          <w:sz w:val="22"/>
          <w:szCs w:val="22"/>
          <w:u w:val="single"/>
          <w:lang w:val="en-GB"/>
        </w:rPr>
        <w:t>Recommendations for Future Stakeholder Engagement</w:t>
      </w:r>
    </w:p>
    <w:p w:rsidR="218A0A76" w:rsidP="1C634A17" w:rsidRDefault="218A0A76" w14:paraId="29C10A95" w14:textId="4961392E">
      <w:pPr>
        <w:pStyle w:val="Normal"/>
        <w:spacing w:line="360" w:lineRule="auto"/>
        <w:rPr>
          <w:noProof w:val="0"/>
          <w:sz w:val="22"/>
          <w:szCs w:val="22"/>
          <w:lang w:val="en-GB"/>
        </w:rPr>
      </w:pPr>
      <w:r w:rsidRPr="1C634A17" w:rsidR="218A0A76">
        <w:rPr>
          <w:noProof w:val="0"/>
          <w:sz w:val="22"/>
          <w:szCs w:val="22"/>
          <w:lang w:val="en-GB"/>
        </w:rPr>
        <w:t>Based on the analysis above, several recommendations can be made to improve stakeholder engagement in future projects at Fitbit.</w:t>
      </w:r>
    </w:p>
    <w:p w:rsidR="218A0A76" w:rsidP="1C634A17" w:rsidRDefault="218A0A76" w14:paraId="1AADB148" w14:textId="13DE8016">
      <w:pPr>
        <w:pStyle w:val="Normal"/>
        <w:spacing w:line="360" w:lineRule="auto"/>
        <w:rPr>
          <w:noProof w:val="0"/>
          <w:sz w:val="22"/>
          <w:szCs w:val="22"/>
          <w:lang w:val="en-GB"/>
        </w:rPr>
      </w:pPr>
      <w:r w:rsidRPr="1C634A17" w:rsidR="218A0A76">
        <w:rPr>
          <w:noProof w:val="0"/>
          <w:sz w:val="22"/>
          <w:szCs w:val="22"/>
          <w:lang w:val="en-GB"/>
        </w:rPr>
        <w:t xml:space="preserve">Firstly, Fitbit should implement a </w:t>
      </w:r>
      <w:r w:rsidRPr="1C634A17" w:rsidR="218A0A76">
        <w:rPr>
          <w:noProof w:val="0"/>
          <w:sz w:val="22"/>
          <w:szCs w:val="22"/>
          <w:lang w:val="en-GB"/>
        </w:rPr>
        <w:t>continuous stakeholder feedback system</w:t>
      </w:r>
      <w:r w:rsidRPr="1C634A17" w:rsidR="218A0A76">
        <w:rPr>
          <w:noProof w:val="0"/>
          <w:sz w:val="22"/>
          <w:szCs w:val="22"/>
          <w:lang w:val="en-GB"/>
        </w:rPr>
        <w:t xml:space="preserve"> rather than relying on periodic engagement. This could involve the use of digital platforms to collect real-time feedback from customers and other stakeholders. Continuous feedback allows the organisation to </w:t>
      </w:r>
      <w:r w:rsidRPr="1C634A17" w:rsidR="218A0A76">
        <w:rPr>
          <w:noProof w:val="0"/>
          <w:sz w:val="22"/>
          <w:szCs w:val="22"/>
          <w:lang w:val="en-GB"/>
        </w:rPr>
        <w:t>identify</w:t>
      </w:r>
      <w:r w:rsidRPr="1C634A17" w:rsidR="218A0A76">
        <w:rPr>
          <w:noProof w:val="0"/>
          <w:sz w:val="22"/>
          <w:szCs w:val="22"/>
          <w:lang w:val="en-GB"/>
        </w:rPr>
        <w:t xml:space="preserve"> issues early and make </w:t>
      </w:r>
      <w:r w:rsidRPr="1C634A17" w:rsidR="218A0A76">
        <w:rPr>
          <w:noProof w:val="0"/>
          <w:sz w:val="22"/>
          <w:szCs w:val="22"/>
          <w:lang w:val="en-GB"/>
        </w:rPr>
        <w:t>timely</w:t>
      </w:r>
      <w:r w:rsidRPr="1C634A17" w:rsidR="218A0A76">
        <w:rPr>
          <w:noProof w:val="0"/>
          <w:sz w:val="22"/>
          <w:szCs w:val="22"/>
          <w:lang w:val="en-GB"/>
        </w:rPr>
        <w:t xml:space="preserve"> adjustments. However, it is important to ensure that feedback is managed effectively, as excessive data can be difficult to interpret without proper systems in place.</w:t>
      </w:r>
    </w:p>
    <w:p w:rsidR="218A0A76" w:rsidP="1C634A17" w:rsidRDefault="218A0A76" w14:paraId="696BFD44" w14:textId="7B88C776">
      <w:pPr>
        <w:pStyle w:val="Normal"/>
        <w:spacing w:line="360" w:lineRule="auto"/>
        <w:rPr>
          <w:noProof w:val="0"/>
          <w:sz w:val="22"/>
          <w:szCs w:val="22"/>
          <w:lang w:val="en-GB"/>
        </w:rPr>
      </w:pPr>
      <w:r w:rsidRPr="1C634A17" w:rsidR="218A0A76">
        <w:rPr>
          <w:noProof w:val="0"/>
          <w:sz w:val="22"/>
          <w:szCs w:val="22"/>
          <w:lang w:val="en-GB"/>
        </w:rPr>
        <w:t xml:space="preserve">Secondly, the company should </w:t>
      </w:r>
      <w:r w:rsidRPr="1C634A17" w:rsidR="218A0A76">
        <w:rPr>
          <w:noProof w:val="0"/>
          <w:sz w:val="22"/>
          <w:szCs w:val="22"/>
          <w:lang w:val="en-GB"/>
        </w:rPr>
        <w:t>strengthen partnerships with healthcare professionals and institutions</w:t>
      </w:r>
      <w:r w:rsidRPr="1C634A17" w:rsidR="218A0A76">
        <w:rPr>
          <w:noProof w:val="0"/>
          <w:sz w:val="22"/>
          <w:szCs w:val="22"/>
          <w:lang w:val="en-GB"/>
        </w:rPr>
        <w:t>. By building long-term relationships with healthcare stakeholders, Fitbit can enhance the credibility of its products and gain valuable insights into clinical requirements. This is particularly important as wearable devices increasingly move towards medical-grade functionality. However, such partnerships must be carefully managed to ensure compliance with regulatory standards and avoid conflicts of interest.</w:t>
      </w:r>
    </w:p>
    <w:p w:rsidR="218A0A76" w:rsidP="1C634A17" w:rsidRDefault="218A0A76" w14:paraId="0FE79D6D" w14:textId="15EBDB48">
      <w:pPr>
        <w:pStyle w:val="Normal"/>
        <w:spacing w:line="360" w:lineRule="auto"/>
        <w:rPr>
          <w:noProof w:val="0"/>
          <w:sz w:val="22"/>
          <w:szCs w:val="22"/>
          <w:lang w:val="en-GB"/>
        </w:rPr>
      </w:pPr>
      <w:r w:rsidRPr="1C634A17" w:rsidR="218A0A76">
        <w:rPr>
          <w:noProof w:val="0"/>
          <w:sz w:val="22"/>
          <w:szCs w:val="22"/>
          <w:lang w:val="en-GB"/>
        </w:rPr>
        <w:t xml:space="preserve">Thirdly, Fitbit should focus on improving </w:t>
      </w:r>
      <w:r w:rsidRPr="1C634A17" w:rsidR="218A0A76">
        <w:rPr>
          <w:noProof w:val="0"/>
          <w:sz w:val="22"/>
          <w:szCs w:val="22"/>
          <w:lang w:val="en-GB"/>
        </w:rPr>
        <w:t>transparency in data usage and privacy practices</w:t>
      </w:r>
      <w:r w:rsidRPr="1C634A17" w:rsidR="218A0A76">
        <w:rPr>
          <w:noProof w:val="0"/>
          <w:sz w:val="22"/>
          <w:szCs w:val="22"/>
          <w:lang w:val="en-GB"/>
        </w:rPr>
        <w:t>. Given the sensitivity of health data, clear communication about how data is collected, stored, and used is essential for building trust. This could involve providing users with more control over their data and ensuring compliance with GDPR regulations. Transparency not only enhances trust but also reduces the risk of legal and reputational issues.</w:t>
      </w:r>
    </w:p>
    <w:p w:rsidR="218A0A76" w:rsidP="1C634A17" w:rsidRDefault="218A0A76" w14:paraId="5591BC80" w14:textId="433AF5EB">
      <w:pPr>
        <w:pStyle w:val="Normal"/>
        <w:spacing w:line="360" w:lineRule="auto"/>
        <w:rPr>
          <w:noProof w:val="0"/>
          <w:sz w:val="22"/>
          <w:szCs w:val="22"/>
          <w:lang w:val="en-GB"/>
        </w:rPr>
      </w:pPr>
      <w:r w:rsidRPr="1C634A17" w:rsidR="218A0A76">
        <w:rPr>
          <w:noProof w:val="0"/>
          <w:sz w:val="22"/>
          <w:szCs w:val="22"/>
          <w:lang w:val="en-GB"/>
        </w:rPr>
        <w:t xml:space="preserve">Another key recommendation is to </w:t>
      </w:r>
      <w:r w:rsidRPr="1C634A17" w:rsidR="218A0A76">
        <w:rPr>
          <w:noProof w:val="0"/>
          <w:sz w:val="22"/>
          <w:szCs w:val="22"/>
          <w:lang w:val="en-GB"/>
        </w:rPr>
        <w:t>invest in stakeholder management tools and technologies</w:t>
      </w:r>
      <w:r w:rsidRPr="1C634A17" w:rsidR="218A0A76">
        <w:rPr>
          <w:noProof w:val="0"/>
          <w:sz w:val="22"/>
          <w:szCs w:val="22"/>
          <w:lang w:val="en-GB"/>
        </w:rPr>
        <w:t xml:space="preserve">. Digital tools such as stakeholder management software can help track stakeholder interactions, </w:t>
      </w:r>
      <w:r w:rsidRPr="1C634A17" w:rsidR="218A0A76">
        <w:rPr>
          <w:noProof w:val="0"/>
          <w:sz w:val="22"/>
          <w:szCs w:val="22"/>
          <w:lang w:val="en-GB"/>
        </w:rPr>
        <w:t>monitor</w:t>
      </w:r>
      <w:r w:rsidRPr="1C634A17" w:rsidR="218A0A76">
        <w:rPr>
          <w:noProof w:val="0"/>
          <w:sz w:val="22"/>
          <w:szCs w:val="22"/>
          <w:lang w:val="en-GB"/>
        </w:rPr>
        <w:t xml:space="preserve"> engagement levels, and </w:t>
      </w:r>
      <w:r w:rsidRPr="1C634A17" w:rsidR="218A0A76">
        <w:rPr>
          <w:noProof w:val="0"/>
          <w:sz w:val="22"/>
          <w:szCs w:val="22"/>
          <w:lang w:val="en-GB"/>
        </w:rPr>
        <w:t>identify</w:t>
      </w:r>
      <w:r w:rsidRPr="1C634A17" w:rsidR="218A0A76">
        <w:rPr>
          <w:noProof w:val="0"/>
          <w:sz w:val="22"/>
          <w:szCs w:val="22"/>
          <w:lang w:val="en-GB"/>
        </w:rPr>
        <w:t xml:space="preserve"> potential issues. These tools can improve efficiency and ensure that stakeholder engagement is managed systematically rather than informally.</w:t>
      </w:r>
    </w:p>
    <w:p w:rsidR="218A0A76" w:rsidP="1C634A17" w:rsidRDefault="218A0A76" w14:paraId="07D00FE6" w14:textId="5E34A51C">
      <w:pPr>
        <w:pStyle w:val="Normal"/>
        <w:spacing w:line="360" w:lineRule="auto"/>
        <w:rPr>
          <w:noProof w:val="0"/>
          <w:sz w:val="22"/>
          <w:szCs w:val="22"/>
          <w:lang w:val="en-GB"/>
        </w:rPr>
      </w:pPr>
      <w:r w:rsidRPr="1C634A17" w:rsidR="218A0A76">
        <w:rPr>
          <w:noProof w:val="0"/>
          <w:sz w:val="22"/>
          <w:szCs w:val="22"/>
          <w:lang w:val="en-GB"/>
        </w:rPr>
        <w:t xml:space="preserve">Finally, Fitbit should conduct post-project evaluations of stakeholder engagement. This involves reviewing what worked well and </w:t>
      </w:r>
      <w:r w:rsidRPr="1C634A17" w:rsidR="218A0A76">
        <w:rPr>
          <w:noProof w:val="0"/>
          <w:sz w:val="22"/>
          <w:szCs w:val="22"/>
          <w:lang w:val="en-GB"/>
        </w:rPr>
        <w:t>identifying</w:t>
      </w:r>
      <w:r w:rsidRPr="1C634A17" w:rsidR="218A0A76">
        <w:rPr>
          <w:noProof w:val="0"/>
          <w:sz w:val="22"/>
          <w:szCs w:val="22"/>
          <w:lang w:val="en-GB"/>
        </w:rPr>
        <w:t xml:space="preserve"> areas for improvement. By learning from each project, the organisation can continuously refine its stakeholder engagement strategies and improve future performance. This reflective approach aligns with best practices in project management and supports continuous improvement (Kerzner, 2022).</w:t>
      </w:r>
    </w:p>
    <w:p w:rsidR="218A0A76" w:rsidP="1C634A17" w:rsidRDefault="218A0A76" w14:paraId="63EBC91D" w14:textId="3CD918BE">
      <w:pPr>
        <w:pStyle w:val="Normal"/>
        <w:spacing w:line="360" w:lineRule="auto"/>
        <w:rPr>
          <w:b w:val="1"/>
          <w:bCs w:val="1"/>
          <w:noProof w:val="0"/>
          <w:sz w:val="22"/>
          <w:szCs w:val="22"/>
          <w:u w:val="single"/>
          <w:lang w:val="en-GB"/>
        </w:rPr>
      </w:pPr>
      <w:r w:rsidRPr="1C634A17" w:rsidR="218A0A76">
        <w:rPr>
          <w:b w:val="1"/>
          <w:bCs w:val="1"/>
          <w:noProof w:val="0"/>
          <w:sz w:val="22"/>
          <w:szCs w:val="22"/>
          <w:u w:val="single"/>
          <w:lang w:val="en-GB"/>
        </w:rPr>
        <w:t>Critical Evaluation of Recommendations</w:t>
      </w:r>
    </w:p>
    <w:p w:rsidR="218A0A76" w:rsidP="1C634A17" w:rsidRDefault="218A0A76" w14:paraId="185E64A3" w14:textId="2465B972">
      <w:pPr>
        <w:pStyle w:val="Normal"/>
        <w:spacing w:line="360" w:lineRule="auto"/>
        <w:rPr>
          <w:noProof w:val="0"/>
          <w:sz w:val="22"/>
          <w:szCs w:val="22"/>
          <w:lang w:val="en-GB"/>
        </w:rPr>
      </w:pPr>
      <w:r w:rsidRPr="1C634A17" w:rsidR="218A0A76">
        <w:rPr>
          <w:noProof w:val="0"/>
          <w:sz w:val="22"/>
          <w:szCs w:val="22"/>
          <w:lang w:val="en-GB"/>
        </w:rPr>
        <w:t>While these recommendations offer clear benefits, their implementation requires careful consideration. For example, continuous engagement systems may increase operational costs, and investing in digital tools requires financial resources. Similarly, increased collaboration with healthcare professionals may extend project timelines.</w:t>
      </w:r>
    </w:p>
    <w:p w:rsidR="218A0A76" w:rsidP="1C634A17" w:rsidRDefault="218A0A76" w14:paraId="7015F9DF" w14:textId="5C811CE2">
      <w:pPr>
        <w:pStyle w:val="Normal"/>
        <w:spacing w:line="360" w:lineRule="auto"/>
        <w:rPr>
          <w:noProof w:val="0"/>
          <w:sz w:val="22"/>
          <w:szCs w:val="22"/>
          <w:lang w:val="en-GB"/>
        </w:rPr>
      </w:pPr>
      <w:r w:rsidRPr="1C634A17" w:rsidR="218A0A76">
        <w:rPr>
          <w:noProof w:val="0"/>
          <w:sz w:val="22"/>
          <w:szCs w:val="22"/>
          <w:lang w:val="en-GB"/>
        </w:rPr>
        <w:t>Therefore, Fitbit must adopt a balanced approach, ensuring that the benefits of stakeholder engagement outweigh the associated costs. This involves prioritising key stakeholders and focusing resources where they will have the greatest impact.</w:t>
      </w:r>
    </w:p>
    <w:p w:rsidR="218A0A76" w:rsidP="1C634A17" w:rsidRDefault="218A0A76" w14:paraId="554F41C9" w14:textId="66C6E390">
      <w:pPr>
        <w:pStyle w:val="Normal"/>
        <w:spacing w:line="360" w:lineRule="auto"/>
        <w:rPr>
          <w:noProof w:val="0"/>
          <w:sz w:val="22"/>
          <w:szCs w:val="22"/>
          <w:lang w:val="en-GB"/>
        </w:rPr>
      </w:pPr>
      <w:r w:rsidRPr="1C634A17" w:rsidR="218A0A76">
        <w:rPr>
          <w:noProof w:val="0"/>
          <w:sz w:val="22"/>
          <w:szCs w:val="22"/>
          <w:lang w:val="en-GB"/>
        </w:rPr>
        <w:t>In conclusion, stakeholder engagement has a profound impact on business performance, influencing decision-making, product quality, risk management, and customer trust. While it presents certain challenges, the benefits far outweigh the drawbacks when managed effectively. For Fitbit, adopting a strategic and structured approach to stakeholder engagement will be essential for achieving long-term success in the competitive wearable healthcare market.</w:t>
      </w:r>
    </w:p>
    <w:p w:rsidR="78C170DF" w:rsidP="1C634A17" w:rsidRDefault="78C170DF" w14:paraId="2C682E26" w14:textId="477EB63B">
      <w:pPr>
        <w:pStyle w:val="Normal"/>
        <w:spacing w:line="360" w:lineRule="auto"/>
        <w:rPr>
          <w:b w:val="1"/>
          <w:bCs w:val="1"/>
          <w:noProof w:val="0"/>
          <w:sz w:val="22"/>
          <w:szCs w:val="22"/>
          <w:u w:val="single"/>
          <w:lang w:val="en-GB"/>
        </w:rPr>
      </w:pPr>
      <w:r w:rsidRPr="1C634A17" w:rsidR="78C170DF">
        <w:rPr>
          <w:b w:val="1"/>
          <w:bCs w:val="1"/>
          <w:noProof w:val="0"/>
          <w:sz w:val="22"/>
          <w:szCs w:val="22"/>
          <w:u w:val="single"/>
          <w:lang w:val="en-GB"/>
        </w:rPr>
        <w:t>Conclusion</w:t>
      </w:r>
    </w:p>
    <w:p w:rsidR="78C170DF" w:rsidP="1C634A17" w:rsidRDefault="78C170DF" w14:paraId="6137E129" w14:textId="5B1553F8">
      <w:pPr>
        <w:spacing w:before="240" w:beforeAutospacing="off" w:after="240" w:afterAutospacing="off" w:line="360" w:lineRule="auto"/>
        <w:rPr>
          <w:rFonts w:ascii="Arial" w:hAnsi="Arial" w:eastAsia="Arial" w:cs="Arial"/>
          <w:noProof w:val="0"/>
          <w:sz w:val="22"/>
          <w:szCs w:val="22"/>
          <w:lang w:val="en-GB"/>
        </w:rPr>
      </w:pPr>
      <w:r w:rsidRPr="1C634A17" w:rsidR="78C170DF">
        <w:rPr>
          <w:rFonts w:ascii="Arial" w:hAnsi="Arial" w:eastAsia="Arial" w:cs="Arial"/>
          <w:noProof w:val="0"/>
          <w:sz w:val="22"/>
          <w:szCs w:val="22"/>
          <w:lang w:val="en-GB"/>
        </w:rPr>
        <w:t xml:space="preserve">In conclusion, this report has </w:t>
      </w:r>
      <w:r w:rsidRPr="1C634A17" w:rsidR="78C170DF">
        <w:rPr>
          <w:rFonts w:ascii="Arial" w:hAnsi="Arial" w:eastAsia="Arial" w:cs="Arial"/>
          <w:noProof w:val="0"/>
          <w:sz w:val="22"/>
          <w:szCs w:val="22"/>
          <w:lang w:val="en-GB"/>
        </w:rPr>
        <w:t>demonstrated</w:t>
      </w:r>
      <w:r w:rsidRPr="1C634A17" w:rsidR="78C170DF">
        <w:rPr>
          <w:rFonts w:ascii="Arial" w:hAnsi="Arial" w:eastAsia="Arial" w:cs="Arial"/>
          <w:noProof w:val="0"/>
          <w:sz w:val="22"/>
          <w:szCs w:val="22"/>
          <w:lang w:val="en-GB"/>
        </w:rPr>
        <w:t xml:space="preserve"> that effective stakeholder engagement is a critical factor in the successful development and launch of a new wearable health device by Fitbit. Through the application of strategic tools such as SWOT and PESTLE analysis, it is </w:t>
      </w:r>
      <w:r w:rsidRPr="1C634A17" w:rsidR="78C170DF">
        <w:rPr>
          <w:rFonts w:ascii="Arial" w:hAnsi="Arial" w:eastAsia="Arial" w:cs="Arial"/>
          <w:noProof w:val="0"/>
          <w:sz w:val="22"/>
          <w:szCs w:val="22"/>
          <w:lang w:val="en-GB"/>
        </w:rPr>
        <w:t>evident</w:t>
      </w:r>
      <w:r w:rsidRPr="1C634A17" w:rsidR="78C170DF">
        <w:rPr>
          <w:rFonts w:ascii="Arial" w:hAnsi="Arial" w:eastAsia="Arial" w:cs="Arial"/>
          <w:noProof w:val="0"/>
          <w:sz w:val="22"/>
          <w:szCs w:val="22"/>
          <w:lang w:val="en-GB"/>
        </w:rPr>
        <w:t xml:space="preserve"> that Fitbit </w:t>
      </w:r>
      <w:r w:rsidRPr="1C634A17" w:rsidR="78C170DF">
        <w:rPr>
          <w:rFonts w:ascii="Arial" w:hAnsi="Arial" w:eastAsia="Arial" w:cs="Arial"/>
          <w:noProof w:val="0"/>
          <w:sz w:val="22"/>
          <w:szCs w:val="22"/>
          <w:lang w:val="en-GB"/>
        </w:rPr>
        <w:t>operates</w:t>
      </w:r>
      <w:r w:rsidRPr="1C634A17" w:rsidR="78C170DF">
        <w:rPr>
          <w:rFonts w:ascii="Arial" w:hAnsi="Arial" w:eastAsia="Arial" w:cs="Arial"/>
          <w:noProof w:val="0"/>
          <w:sz w:val="22"/>
          <w:szCs w:val="22"/>
          <w:lang w:val="en-GB"/>
        </w:rPr>
        <w:t xml:space="preserve"> within a dynamic and highly competitive environment influenced by technological innovation, regulatory pressures, and changing consumer expectations. These external and internal factors highlight the importance of aligning stakeholder interests with organisational </w:t>
      </w:r>
      <w:r w:rsidRPr="1C634A17" w:rsidR="78C170DF">
        <w:rPr>
          <w:rFonts w:ascii="Arial" w:hAnsi="Arial" w:eastAsia="Arial" w:cs="Arial"/>
          <w:noProof w:val="0"/>
          <w:sz w:val="22"/>
          <w:szCs w:val="22"/>
          <w:lang w:val="en-GB"/>
        </w:rPr>
        <w:t>objectives</w:t>
      </w:r>
      <w:r w:rsidRPr="1C634A17" w:rsidR="78C170DF">
        <w:rPr>
          <w:rFonts w:ascii="Arial" w:hAnsi="Arial" w:eastAsia="Arial" w:cs="Arial"/>
          <w:noProof w:val="0"/>
          <w:sz w:val="22"/>
          <w:szCs w:val="22"/>
          <w:lang w:val="en-GB"/>
        </w:rPr>
        <w:t>.</w:t>
      </w:r>
    </w:p>
    <w:p w:rsidR="78C170DF" w:rsidP="1C634A17" w:rsidRDefault="78C170DF" w14:paraId="15882DA3" w14:textId="47F7EA4A">
      <w:pPr>
        <w:spacing w:before="240" w:beforeAutospacing="off" w:after="240" w:afterAutospacing="off" w:line="360" w:lineRule="auto"/>
        <w:rPr>
          <w:rFonts w:ascii="Arial" w:hAnsi="Arial" w:eastAsia="Arial" w:cs="Arial"/>
          <w:noProof w:val="0"/>
          <w:sz w:val="22"/>
          <w:szCs w:val="22"/>
          <w:lang w:val="en-GB"/>
        </w:rPr>
      </w:pPr>
      <w:r w:rsidRPr="1C634A17" w:rsidR="78C170DF">
        <w:rPr>
          <w:rFonts w:ascii="Arial" w:hAnsi="Arial" w:eastAsia="Arial" w:cs="Arial"/>
          <w:noProof w:val="0"/>
          <w:sz w:val="22"/>
          <w:szCs w:val="22"/>
          <w:lang w:val="en-GB"/>
        </w:rPr>
        <w:t>The identification and analysis of key stakeholders have shown that both internal and external groups play significant roles in shaping project outcomes. While internal stakeholders drive the execution of the project, external stakeholders such as customers, healthcare professionals, and regulatory bodies influence its success through validation, compliance, and market acceptance. Managing these diverse interests requires a structured and strategic approach.</w:t>
      </w:r>
    </w:p>
    <w:p w:rsidR="78C170DF" w:rsidP="1C634A17" w:rsidRDefault="78C170DF" w14:paraId="09DD4FE9" w14:textId="57A20E00">
      <w:pPr>
        <w:spacing w:before="240" w:beforeAutospacing="off" w:after="240" w:afterAutospacing="off" w:line="360" w:lineRule="auto"/>
        <w:rPr>
          <w:rFonts w:ascii="Arial" w:hAnsi="Arial" w:eastAsia="Arial" w:cs="Arial"/>
          <w:noProof w:val="0"/>
          <w:sz w:val="22"/>
          <w:szCs w:val="22"/>
          <w:lang w:val="en-GB"/>
        </w:rPr>
      </w:pPr>
      <w:r w:rsidRPr="1C634A17" w:rsidR="78C170DF">
        <w:rPr>
          <w:rFonts w:ascii="Arial" w:hAnsi="Arial" w:eastAsia="Arial" w:cs="Arial"/>
          <w:noProof w:val="0"/>
          <w:sz w:val="22"/>
          <w:szCs w:val="22"/>
          <w:lang w:val="en-GB"/>
        </w:rPr>
        <w:t xml:space="preserve">The application of stakeholder engagement frameworks, including Mendelow’s Matrix, the RACI matrix, and communication planning, has </w:t>
      </w:r>
      <w:r w:rsidRPr="1C634A17" w:rsidR="78C170DF">
        <w:rPr>
          <w:rFonts w:ascii="Arial" w:hAnsi="Arial" w:eastAsia="Arial" w:cs="Arial"/>
          <w:noProof w:val="0"/>
          <w:sz w:val="22"/>
          <w:szCs w:val="22"/>
          <w:lang w:val="en-GB"/>
        </w:rPr>
        <w:t>demonstrated</w:t>
      </w:r>
      <w:r w:rsidRPr="1C634A17" w:rsidR="78C170DF">
        <w:rPr>
          <w:rFonts w:ascii="Arial" w:hAnsi="Arial" w:eastAsia="Arial" w:cs="Arial"/>
          <w:noProof w:val="0"/>
          <w:sz w:val="22"/>
          <w:szCs w:val="22"/>
          <w:lang w:val="en-GB"/>
        </w:rPr>
        <w:t xml:space="preserve"> how stakeholder relationships can be effectively managed. Furthermore, the use of the Four Cs model communication, coordination, cooperation, and collaboration, highlights the importance o</w:t>
      </w:r>
      <w:r w:rsidRPr="1C634A17" w:rsidR="78C170DF">
        <w:rPr>
          <w:rFonts w:ascii="Arial" w:hAnsi="Arial" w:eastAsia="Arial" w:cs="Arial"/>
          <w:noProof w:val="0"/>
          <w:sz w:val="22"/>
          <w:szCs w:val="22"/>
          <w:lang w:val="en-GB"/>
        </w:rPr>
        <w:t xml:space="preserve">f </w:t>
      </w:r>
      <w:r w:rsidRPr="1C634A17" w:rsidR="78C170DF">
        <w:rPr>
          <w:rFonts w:ascii="Arial" w:hAnsi="Arial" w:eastAsia="Arial" w:cs="Arial"/>
          <w:noProof w:val="0"/>
          <w:sz w:val="22"/>
          <w:szCs w:val="22"/>
          <w:lang w:val="en-GB"/>
        </w:rPr>
        <w:t>maintaini</w:t>
      </w:r>
      <w:r w:rsidRPr="1C634A17" w:rsidR="78C170DF">
        <w:rPr>
          <w:rFonts w:ascii="Arial" w:hAnsi="Arial" w:eastAsia="Arial" w:cs="Arial"/>
          <w:noProof w:val="0"/>
          <w:sz w:val="22"/>
          <w:szCs w:val="22"/>
          <w:lang w:val="en-GB"/>
        </w:rPr>
        <w:t>ng</w:t>
      </w:r>
      <w:r w:rsidRPr="1C634A17" w:rsidR="78C170DF">
        <w:rPr>
          <w:rFonts w:ascii="Arial" w:hAnsi="Arial" w:eastAsia="Arial" w:cs="Arial"/>
          <w:noProof w:val="0"/>
          <w:sz w:val="22"/>
          <w:szCs w:val="22"/>
          <w:lang w:val="en-GB"/>
        </w:rPr>
        <w:t xml:space="preserve"> strong and continuous engagement throughout the project lifecycle. These elements are particularly important in managing conflicts, which are inevitable in complex projects with competing priorities.</w:t>
      </w:r>
    </w:p>
    <w:p w:rsidR="78C170DF" w:rsidP="1C634A17" w:rsidRDefault="78C170DF" w14:paraId="4926C055" w14:textId="3BD083F2">
      <w:pPr>
        <w:spacing w:before="240" w:beforeAutospacing="off" w:after="240" w:afterAutospacing="off" w:line="360" w:lineRule="auto"/>
        <w:rPr>
          <w:rFonts w:ascii="Arial" w:hAnsi="Arial" w:eastAsia="Arial" w:cs="Arial"/>
          <w:noProof w:val="0"/>
          <w:sz w:val="22"/>
          <w:szCs w:val="22"/>
          <w:lang w:val="en-GB"/>
        </w:rPr>
      </w:pPr>
      <w:r w:rsidRPr="1C634A17" w:rsidR="78C170DF">
        <w:rPr>
          <w:rFonts w:ascii="Arial" w:hAnsi="Arial" w:eastAsia="Arial" w:cs="Arial"/>
          <w:noProof w:val="0"/>
          <w:sz w:val="22"/>
          <w:szCs w:val="22"/>
          <w:lang w:val="en-GB"/>
        </w:rPr>
        <w:t xml:space="preserve">Overall, the report concludes that stakeholder engagement is not a one-time activity but an ongoing process that directly </w:t>
      </w:r>
      <w:r w:rsidRPr="1C634A17" w:rsidR="78C170DF">
        <w:rPr>
          <w:rFonts w:ascii="Arial" w:hAnsi="Arial" w:eastAsia="Arial" w:cs="Arial"/>
          <w:noProof w:val="0"/>
          <w:sz w:val="22"/>
          <w:szCs w:val="22"/>
          <w:lang w:val="en-GB"/>
        </w:rPr>
        <w:t>impacts</w:t>
      </w:r>
      <w:r w:rsidRPr="1C634A17" w:rsidR="78C170DF">
        <w:rPr>
          <w:rFonts w:ascii="Arial" w:hAnsi="Arial" w:eastAsia="Arial" w:cs="Arial"/>
          <w:noProof w:val="0"/>
          <w:sz w:val="22"/>
          <w:szCs w:val="22"/>
          <w:lang w:val="en-GB"/>
        </w:rPr>
        <w:t xml:space="preserve"> business performance. For Fitbit, investing in effective stakeholder engagement strategies will not only support the successful launch of the new device but also strengthen its competitive position in the evolving healthcare technology market.</w:t>
      </w:r>
    </w:p>
    <w:p w:rsidR="794DE35B" w:rsidP="1C634A17" w:rsidRDefault="794DE35B" w14:paraId="3469B4CA" w14:textId="69B8778E">
      <w:pPr>
        <w:pStyle w:val="Normal"/>
        <w:spacing w:line="360" w:lineRule="auto"/>
        <w:rPr>
          <w:rFonts w:ascii="Arial" w:hAnsi="Arial" w:eastAsia="Arial" w:cs="Arial" w:asciiTheme="minorAscii" w:hAnsiTheme="minorAscii" w:eastAsiaTheme="minorAscii" w:cstheme="minorAscii"/>
          <w:sz w:val="22"/>
          <w:szCs w:val="22"/>
        </w:rPr>
      </w:pPr>
      <w:r w:rsidRPr="1C634A17" w:rsidR="794DE35B">
        <w:rPr>
          <w:rFonts w:ascii="Arial" w:hAnsi="Arial" w:eastAsia="Arial" w:cs="Arial" w:asciiTheme="minorAscii" w:hAnsiTheme="minorAscii" w:eastAsiaTheme="minorAscii" w:cstheme="minorAscii"/>
          <w:sz w:val="22"/>
          <w:szCs w:val="22"/>
        </w:rPr>
        <w:t>Re</w:t>
      </w:r>
      <w:r w:rsidRPr="1C634A17" w:rsidR="70C4F3C8">
        <w:rPr>
          <w:rFonts w:ascii="Arial" w:hAnsi="Arial" w:eastAsia="Arial" w:cs="Arial" w:asciiTheme="minorAscii" w:hAnsiTheme="minorAscii" w:eastAsiaTheme="minorAscii" w:cstheme="minorAscii"/>
          <w:sz w:val="22"/>
          <w:szCs w:val="22"/>
        </w:rPr>
        <w:t xml:space="preserve">ferences </w:t>
      </w:r>
    </w:p>
    <w:p w:rsidR="70C4F3C8" w:rsidP="1C634A17" w:rsidRDefault="70C4F3C8" w14:paraId="6721B9C1" w14:textId="590908A5">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Ashcroft, J. (2017) </w:t>
      </w:r>
      <w:r w:rsidRPr="1C634A17" w:rsidR="70C4F3C8">
        <w:rPr>
          <w:rFonts w:ascii="Arial" w:hAnsi="Arial" w:eastAsia="Arial" w:cs="Arial"/>
          <w:i w:val="0"/>
          <w:iCs w:val="0"/>
          <w:noProof w:val="0"/>
          <w:sz w:val="22"/>
          <w:szCs w:val="22"/>
          <w:lang w:val="en-GB"/>
        </w:rPr>
        <w:t>The relational lens: Understanding, measuring, and managing stakeholder relationships</w:t>
      </w:r>
      <w:r w:rsidRPr="1C634A17" w:rsidR="70C4F3C8">
        <w:rPr>
          <w:rFonts w:ascii="Arial" w:hAnsi="Arial" w:eastAsia="Arial" w:cs="Arial"/>
          <w:i w:val="0"/>
          <w:iCs w:val="0"/>
          <w:noProof w:val="0"/>
          <w:sz w:val="22"/>
          <w:szCs w:val="22"/>
          <w:lang w:val="en-GB"/>
        </w:rPr>
        <w:t>. Cambridge: Cambridge University Press.</w:t>
      </w:r>
    </w:p>
    <w:p w:rsidR="70C4F3C8" w:rsidP="1C634A17" w:rsidRDefault="70C4F3C8" w14:paraId="762E8D68" w14:textId="6504812D">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Bryson, J.M. (2018) </w:t>
      </w:r>
      <w:r w:rsidRPr="1C634A17" w:rsidR="70C4F3C8">
        <w:rPr>
          <w:rFonts w:ascii="Arial" w:hAnsi="Arial" w:eastAsia="Arial" w:cs="Arial"/>
          <w:i w:val="0"/>
          <w:iCs w:val="0"/>
          <w:noProof w:val="0"/>
          <w:sz w:val="22"/>
          <w:szCs w:val="22"/>
          <w:lang w:val="en-GB"/>
        </w:rPr>
        <w:t>Strategic planning for public and nonprofit organizations</w:t>
      </w:r>
      <w:r w:rsidRPr="1C634A17" w:rsidR="70C4F3C8">
        <w:rPr>
          <w:rFonts w:ascii="Arial" w:hAnsi="Arial" w:eastAsia="Arial" w:cs="Arial"/>
          <w:i w:val="0"/>
          <w:iCs w:val="0"/>
          <w:noProof w:val="0"/>
          <w:sz w:val="22"/>
          <w:szCs w:val="22"/>
          <w:lang w:val="en-GB"/>
        </w:rPr>
        <w:t xml:space="preserve">. 5th </w:t>
      </w:r>
      <w:r w:rsidRPr="1C634A17" w:rsidR="70C4F3C8">
        <w:rPr>
          <w:rFonts w:ascii="Arial" w:hAnsi="Arial" w:eastAsia="Arial" w:cs="Arial"/>
          <w:i w:val="0"/>
          <w:iCs w:val="0"/>
          <w:noProof w:val="0"/>
          <w:sz w:val="22"/>
          <w:szCs w:val="22"/>
          <w:lang w:val="en-GB"/>
        </w:rPr>
        <w:t>edn</w:t>
      </w:r>
      <w:r w:rsidRPr="1C634A17" w:rsidR="70C4F3C8">
        <w:rPr>
          <w:rFonts w:ascii="Arial" w:hAnsi="Arial" w:eastAsia="Arial" w:cs="Arial"/>
          <w:i w:val="0"/>
          <w:iCs w:val="0"/>
          <w:noProof w:val="0"/>
          <w:sz w:val="22"/>
          <w:szCs w:val="22"/>
          <w:lang w:val="en-GB"/>
        </w:rPr>
        <w:t xml:space="preserve">. </w:t>
      </w:r>
    </w:p>
    <w:p w:rsidR="70C4F3C8" w:rsidP="1C634A17" w:rsidRDefault="70C4F3C8" w14:paraId="0A9A57B7" w14:textId="0692EFD3">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Christopher, M., Payne, </w:t>
      </w:r>
      <w:r w:rsidRPr="1C634A17" w:rsidR="70C4F3C8">
        <w:rPr>
          <w:rFonts w:ascii="Arial" w:hAnsi="Arial" w:eastAsia="Arial" w:cs="Arial"/>
          <w:i w:val="0"/>
          <w:iCs w:val="0"/>
          <w:noProof w:val="0"/>
          <w:sz w:val="22"/>
          <w:szCs w:val="22"/>
          <w:lang w:val="en-GB"/>
        </w:rPr>
        <w:t>A.</w:t>
      </w:r>
      <w:r w:rsidRPr="1C634A17" w:rsidR="70C4F3C8">
        <w:rPr>
          <w:rFonts w:ascii="Arial" w:hAnsi="Arial" w:eastAsia="Arial" w:cs="Arial"/>
          <w:i w:val="0"/>
          <w:iCs w:val="0"/>
          <w:noProof w:val="0"/>
          <w:sz w:val="22"/>
          <w:szCs w:val="22"/>
          <w:lang w:val="en-GB"/>
        </w:rPr>
        <w:t xml:space="preserve"> and Ballantyne, D. (2013) </w:t>
      </w:r>
      <w:r w:rsidRPr="1C634A17" w:rsidR="70C4F3C8">
        <w:rPr>
          <w:rFonts w:ascii="Arial" w:hAnsi="Arial" w:eastAsia="Arial" w:cs="Arial"/>
          <w:i w:val="0"/>
          <w:iCs w:val="0"/>
          <w:noProof w:val="0"/>
          <w:sz w:val="22"/>
          <w:szCs w:val="22"/>
          <w:lang w:val="en-GB"/>
        </w:rPr>
        <w:t>Relationship marketing: Creating stakeholder value</w:t>
      </w:r>
      <w:r w:rsidRPr="1C634A17" w:rsidR="70C4F3C8">
        <w:rPr>
          <w:rFonts w:ascii="Arial" w:hAnsi="Arial" w:eastAsia="Arial" w:cs="Arial"/>
          <w:i w:val="0"/>
          <w:iCs w:val="0"/>
          <w:noProof w:val="0"/>
          <w:sz w:val="22"/>
          <w:szCs w:val="22"/>
          <w:lang w:val="en-GB"/>
        </w:rPr>
        <w:t>. London: Routledge.</w:t>
      </w:r>
    </w:p>
    <w:p w:rsidR="70C4F3C8" w:rsidP="1C634A17" w:rsidRDefault="70C4F3C8" w14:paraId="51942F45" w14:textId="1849E228">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Deloitte (2023) </w:t>
      </w:r>
      <w:r w:rsidRPr="1C634A17" w:rsidR="70C4F3C8">
        <w:rPr>
          <w:rFonts w:ascii="Arial" w:hAnsi="Arial" w:eastAsia="Arial" w:cs="Arial"/>
          <w:i w:val="0"/>
          <w:iCs w:val="0"/>
          <w:noProof w:val="0"/>
          <w:sz w:val="22"/>
          <w:szCs w:val="22"/>
          <w:lang w:val="en-GB"/>
        </w:rPr>
        <w:t>Digital health technology trends 2023</w:t>
      </w:r>
      <w:r w:rsidRPr="1C634A17" w:rsidR="70C4F3C8">
        <w:rPr>
          <w:rFonts w:ascii="Arial" w:hAnsi="Arial" w:eastAsia="Arial" w:cs="Arial"/>
          <w:i w:val="0"/>
          <w:iCs w:val="0"/>
          <w:noProof w:val="0"/>
          <w:sz w:val="22"/>
          <w:szCs w:val="22"/>
          <w:lang w:val="en-GB"/>
        </w:rPr>
        <w:t xml:space="preserve">. Available at: </w:t>
      </w:r>
      <w:hyperlink r:id="R2d953a03b7a646d0">
        <w:r w:rsidRPr="1C634A17" w:rsidR="70C4F3C8">
          <w:rPr>
            <w:rStyle w:val="Hyperlink"/>
            <w:rFonts w:ascii="Arial" w:hAnsi="Arial" w:eastAsia="Arial" w:cs="Arial"/>
            <w:i w:val="0"/>
            <w:iCs w:val="0"/>
            <w:noProof w:val="0"/>
            <w:sz w:val="22"/>
            <w:szCs w:val="22"/>
            <w:lang w:val="en-GB"/>
          </w:rPr>
          <w:t>https://www.deloitte.com</w:t>
        </w:r>
      </w:hyperlink>
      <w:r w:rsidRPr="1C634A17" w:rsidR="70C4F3C8">
        <w:rPr>
          <w:rFonts w:ascii="Arial" w:hAnsi="Arial" w:eastAsia="Arial" w:cs="Arial"/>
          <w:i w:val="0"/>
          <w:iCs w:val="0"/>
          <w:noProof w:val="0"/>
          <w:sz w:val="22"/>
          <w:szCs w:val="22"/>
          <w:lang w:val="en-GB"/>
        </w:rPr>
        <w:t xml:space="preserve"> (Accessed: 20 March 2026).</w:t>
      </w:r>
    </w:p>
    <w:p w:rsidR="70C4F3C8" w:rsidP="1C634A17" w:rsidRDefault="70C4F3C8" w14:paraId="4F3CB0AB" w14:textId="4E5F99D1">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Ellis, C.A., Gibbs, S.J. and Rein, G.L. (1991) ‘Groupware: Some issues and experiences’, </w:t>
      </w:r>
      <w:r w:rsidRPr="1C634A17" w:rsidR="70C4F3C8">
        <w:rPr>
          <w:rFonts w:ascii="Arial" w:hAnsi="Arial" w:eastAsia="Arial" w:cs="Arial"/>
          <w:i w:val="0"/>
          <w:iCs w:val="0"/>
          <w:noProof w:val="0"/>
          <w:sz w:val="22"/>
          <w:szCs w:val="22"/>
          <w:lang w:val="en-GB"/>
        </w:rPr>
        <w:t>Communications of the ACM</w:t>
      </w:r>
      <w:r w:rsidRPr="1C634A17" w:rsidR="70C4F3C8">
        <w:rPr>
          <w:rFonts w:ascii="Arial" w:hAnsi="Arial" w:eastAsia="Arial" w:cs="Arial"/>
          <w:i w:val="0"/>
          <w:iCs w:val="0"/>
          <w:noProof w:val="0"/>
          <w:sz w:val="22"/>
          <w:szCs w:val="22"/>
          <w:lang w:val="en-GB"/>
        </w:rPr>
        <w:t>, 34(1), pp. 38–58.</w:t>
      </w:r>
    </w:p>
    <w:p w:rsidR="70C4F3C8" w:rsidP="1C634A17" w:rsidRDefault="70C4F3C8" w14:paraId="2C6A7EB1" w14:textId="25FBC727">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Fitbit Inc. (2024) </w:t>
      </w:r>
      <w:r w:rsidRPr="1C634A17" w:rsidR="70C4F3C8">
        <w:rPr>
          <w:rFonts w:ascii="Arial" w:hAnsi="Arial" w:eastAsia="Arial" w:cs="Arial"/>
          <w:i w:val="0"/>
          <w:iCs w:val="0"/>
          <w:noProof w:val="0"/>
          <w:sz w:val="22"/>
          <w:szCs w:val="22"/>
          <w:lang w:val="en-GB"/>
        </w:rPr>
        <w:t>Annual report and product overview</w:t>
      </w:r>
      <w:r w:rsidRPr="1C634A17" w:rsidR="70C4F3C8">
        <w:rPr>
          <w:rFonts w:ascii="Arial" w:hAnsi="Arial" w:eastAsia="Arial" w:cs="Arial"/>
          <w:i w:val="0"/>
          <w:iCs w:val="0"/>
          <w:noProof w:val="0"/>
          <w:sz w:val="22"/>
          <w:szCs w:val="22"/>
          <w:lang w:val="en-GB"/>
        </w:rPr>
        <w:t xml:space="preserve">. Available at: </w:t>
      </w:r>
      <w:hyperlink r:id="R68a2277dd49b42c9">
        <w:r w:rsidRPr="1C634A17" w:rsidR="70C4F3C8">
          <w:rPr>
            <w:rStyle w:val="Hyperlink"/>
            <w:rFonts w:ascii="Arial" w:hAnsi="Arial" w:eastAsia="Arial" w:cs="Arial"/>
            <w:i w:val="0"/>
            <w:iCs w:val="0"/>
            <w:noProof w:val="0"/>
            <w:sz w:val="22"/>
            <w:szCs w:val="22"/>
            <w:lang w:val="en-GB"/>
          </w:rPr>
          <w:t>https://www.fitbit.com</w:t>
        </w:r>
      </w:hyperlink>
      <w:r w:rsidRPr="1C634A17" w:rsidR="70C4F3C8">
        <w:rPr>
          <w:rFonts w:ascii="Arial" w:hAnsi="Arial" w:eastAsia="Arial" w:cs="Arial"/>
          <w:i w:val="0"/>
          <w:iCs w:val="0"/>
          <w:noProof w:val="0"/>
          <w:sz w:val="22"/>
          <w:szCs w:val="22"/>
          <w:lang w:val="en-GB"/>
        </w:rPr>
        <w:t xml:space="preserve"> (Accessed: 20 March 2026).</w:t>
      </w:r>
    </w:p>
    <w:p w:rsidR="70C4F3C8" w:rsidP="1C634A17" w:rsidRDefault="70C4F3C8" w14:paraId="1D2BCEE9" w14:textId="3753CD89">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Freeman, R.E. (1984) </w:t>
      </w:r>
      <w:r w:rsidRPr="1C634A17" w:rsidR="70C4F3C8">
        <w:rPr>
          <w:rFonts w:ascii="Arial" w:hAnsi="Arial" w:eastAsia="Arial" w:cs="Arial"/>
          <w:i w:val="0"/>
          <w:iCs w:val="0"/>
          <w:noProof w:val="0"/>
          <w:sz w:val="22"/>
          <w:szCs w:val="22"/>
          <w:lang w:val="en-GB"/>
        </w:rPr>
        <w:t>Strategic management: A stakeholder approach</w:t>
      </w:r>
      <w:r w:rsidRPr="1C634A17" w:rsidR="70C4F3C8">
        <w:rPr>
          <w:rFonts w:ascii="Arial" w:hAnsi="Arial" w:eastAsia="Arial" w:cs="Arial"/>
          <w:i w:val="0"/>
          <w:iCs w:val="0"/>
          <w:noProof w:val="0"/>
          <w:sz w:val="22"/>
          <w:szCs w:val="22"/>
          <w:lang w:val="en-GB"/>
        </w:rPr>
        <w:t>. Boston: Pitman.</w:t>
      </w:r>
    </w:p>
    <w:p w:rsidR="70C4F3C8" w:rsidP="1C634A17" w:rsidRDefault="70C4F3C8" w14:paraId="7A2D7524" w14:textId="52169471">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Johnson, G., Scholes, </w:t>
      </w:r>
      <w:r w:rsidRPr="1C634A17" w:rsidR="70C4F3C8">
        <w:rPr>
          <w:rFonts w:ascii="Arial" w:hAnsi="Arial" w:eastAsia="Arial" w:cs="Arial"/>
          <w:i w:val="0"/>
          <w:iCs w:val="0"/>
          <w:noProof w:val="0"/>
          <w:sz w:val="22"/>
          <w:szCs w:val="22"/>
          <w:lang w:val="en-GB"/>
        </w:rPr>
        <w:t>K.</w:t>
      </w:r>
      <w:r w:rsidRPr="1C634A17" w:rsidR="70C4F3C8">
        <w:rPr>
          <w:rFonts w:ascii="Arial" w:hAnsi="Arial" w:eastAsia="Arial" w:cs="Arial"/>
          <w:i w:val="0"/>
          <w:iCs w:val="0"/>
          <w:noProof w:val="0"/>
          <w:sz w:val="22"/>
          <w:szCs w:val="22"/>
          <w:lang w:val="en-GB"/>
        </w:rPr>
        <w:t xml:space="preserve"> and Whittington, R. (2020) </w:t>
      </w:r>
      <w:r w:rsidRPr="1C634A17" w:rsidR="70C4F3C8">
        <w:rPr>
          <w:rFonts w:ascii="Arial" w:hAnsi="Arial" w:eastAsia="Arial" w:cs="Arial"/>
          <w:i w:val="0"/>
          <w:iCs w:val="0"/>
          <w:noProof w:val="0"/>
          <w:sz w:val="22"/>
          <w:szCs w:val="22"/>
          <w:lang w:val="en-GB"/>
        </w:rPr>
        <w:t>Exploring corporate strategy</w:t>
      </w:r>
      <w:r w:rsidRPr="1C634A17" w:rsidR="70C4F3C8">
        <w:rPr>
          <w:rFonts w:ascii="Arial" w:hAnsi="Arial" w:eastAsia="Arial" w:cs="Arial"/>
          <w:i w:val="0"/>
          <w:iCs w:val="0"/>
          <w:noProof w:val="0"/>
          <w:sz w:val="22"/>
          <w:szCs w:val="22"/>
          <w:lang w:val="en-GB"/>
        </w:rPr>
        <w:t xml:space="preserve">. 12th </w:t>
      </w:r>
      <w:r w:rsidRPr="1C634A17" w:rsidR="70C4F3C8">
        <w:rPr>
          <w:rFonts w:ascii="Arial" w:hAnsi="Arial" w:eastAsia="Arial" w:cs="Arial"/>
          <w:i w:val="0"/>
          <w:iCs w:val="0"/>
          <w:noProof w:val="0"/>
          <w:sz w:val="22"/>
          <w:szCs w:val="22"/>
          <w:lang w:val="en-GB"/>
        </w:rPr>
        <w:t>edn</w:t>
      </w:r>
      <w:r w:rsidRPr="1C634A17" w:rsidR="70C4F3C8">
        <w:rPr>
          <w:rFonts w:ascii="Arial" w:hAnsi="Arial" w:eastAsia="Arial" w:cs="Arial"/>
          <w:i w:val="0"/>
          <w:iCs w:val="0"/>
          <w:noProof w:val="0"/>
          <w:sz w:val="22"/>
          <w:szCs w:val="22"/>
          <w:lang w:val="en-GB"/>
        </w:rPr>
        <w:t>. Harlow: Pearson.</w:t>
      </w:r>
    </w:p>
    <w:p w:rsidR="70C4F3C8" w:rsidP="1C634A17" w:rsidRDefault="70C4F3C8" w14:paraId="0F248DA1" w14:textId="4662F064">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Kerzner, H. (2022) </w:t>
      </w:r>
      <w:r w:rsidRPr="1C634A17" w:rsidR="70C4F3C8">
        <w:rPr>
          <w:rFonts w:ascii="Arial" w:hAnsi="Arial" w:eastAsia="Arial" w:cs="Arial"/>
          <w:i w:val="0"/>
          <w:iCs w:val="0"/>
          <w:noProof w:val="0"/>
          <w:sz w:val="22"/>
          <w:szCs w:val="22"/>
          <w:lang w:val="en-GB"/>
        </w:rPr>
        <w:t>Project management: A systems approach to planning, scheduling, and controlling</w:t>
      </w:r>
      <w:r w:rsidRPr="1C634A17" w:rsidR="70C4F3C8">
        <w:rPr>
          <w:rFonts w:ascii="Arial" w:hAnsi="Arial" w:eastAsia="Arial" w:cs="Arial"/>
          <w:i w:val="0"/>
          <w:iCs w:val="0"/>
          <w:noProof w:val="0"/>
          <w:sz w:val="22"/>
          <w:szCs w:val="22"/>
          <w:lang w:val="en-GB"/>
        </w:rPr>
        <w:t xml:space="preserve">. 13th </w:t>
      </w:r>
      <w:r w:rsidRPr="1C634A17" w:rsidR="70C4F3C8">
        <w:rPr>
          <w:rFonts w:ascii="Arial" w:hAnsi="Arial" w:eastAsia="Arial" w:cs="Arial"/>
          <w:i w:val="0"/>
          <w:iCs w:val="0"/>
          <w:noProof w:val="0"/>
          <w:sz w:val="22"/>
          <w:szCs w:val="22"/>
          <w:lang w:val="en-GB"/>
        </w:rPr>
        <w:t>edn</w:t>
      </w:r>
      <w:r w:rsidRPr="1C634A17" w:rsidR="70C4F3C8">
        <w:rPr>
          <w:rFonts w:ascii="Arial" w:hAnsi="Arial" w:eastAsia="Arial" w:cs="Arial"/>
          <w:i w:val="0"/>
          <w:iCs w:val="0"/>
          <w:noProof w:val="0"/>
          <w:sz w:val="22"/>
          <w:szCs w:val="22"/>
          <w:lang w:val="en-GB"/>
        </w:rPr>
        <w:t>. Hoboken: Wiley.</w:t>
      </w:r>
    </w:p>
    <w:p w:rsidR="70C4F3C8" w:rsidP="1C634A17" w:rsidRDefault="70C4F3C8" w14:paraId="0754CBC9" w14:textId="536BFDDE">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Kotler, P., Keller, K.L. and Chernev, A. (2021) </w:t>
      </w:r>
      <w:r w:rsidRPr="1C634A17" w:rsidR="70C4F3C8">
        <w:rPr>
          <w:rFonts w:ascii="Arial" w:hAnsi="Arial" w:eastAsia="Arial" w:cs="Arial"/>
          <w:i w:val="0"/>
          <w:iCs w:val="0"/>
          <w:noProof w:val="0"/>
          <w:sz w:val="22"/>
          <w:szCs w:val="22"/>
          <w:lang w:val="en-GB"/>
        </w:rPr>
        <w:t>Marketing management</w:t>
      </w:r>
      <w:r w:rsidRPr="1C634A17" w:rsidR="70C4F3C8">
        <w:rPr>
          <w:rFonts w:ascii="Arial" w:hAnsi="Arial" w:eastAsia="Arial" w:cs="Arial"/>
          <w:i w:val="0"/>
          <w:iCs w:val="0"/>
          <w:noProof w:val="0"/>
          <w:sz w:val="22"/>
          <w:szCs w:val="22"/>
          <w:lang w:val="en-GB"/>
        </w:rPr>
        <w:t xml:space="preserve">. 16th </w:t>
      </w:r>
      <w:r w:rsidRPr="1C634A17" w:rsidR="70C4F3C8">
        <w:rPr>
          <w:rFonts w:ascii="Arial" w:hAnsi="Arial" w:eastAsia="Arial" w:cs="Arial"/>
          <w:i w:val="0"/>
          <w:iCs w:val="0"/>
          <w:noProof w:val="0"/>
          <w:sz w:val="22"/>
          <w:szCs w:val="22"/>
          <w:lang w:val="en-GB"/>
        </w:rPr>
        <w:t>edn</w:t>
      </w:r>
      <w:r w:rsidRPr="1C634A17" w:rsidR="70C4F3C8">
        <w:rPr>
          <w:rFonts w:ascii="Arial" w:hAnsi="Arial" w:eastAsia="Arial" w:cs="Arial"/>
          <w:i w:val="0"/>
          <w:iCs w:val="0"/>
          <w:noProof w:val="0"/>
          <w:sz w:val="22"/>
          <w:szCs w:val="22"/>
          <w:lang w:val="en-GB"/>
        </w:rPr>
        <w:t>. Harlow: Pearson.</w:t>
      </w:r>
    </w:p>
    <w:p w:rsidR="70C4F3C8" w:rsidP="1C634A17" w:rsidRDefault="70C4F3C8" w14:paraId="01EFF0BF" w14:textId="47DDE1D0">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Lupton, D. (2016) </w:t>
      </w:r>
      <w:r w:rsidRPr="1C634A17" w:rsidR="70C4F3C8">
        <w:rPr>
          <w:rFonts w:ascii="Arial" w:hAnsi="Arial" w:eastAsia="Arial" w:cs="Arial"/>
          <w:i w:val="0"/>
          <w:iCs w:val="0"/>
          <w:noProof w:val="0"/>
          <w:sz w:val="22"/>
          <w:szCs w:val="22"/>
          <w:lang w:val="en-GB"/>
        </w:rPr>
        <w:t>The quantified self: A sociology of self-tracking</w:t>
      </w:r>
      <w:r w:rsidRPr="1C634A17" w:rsidR="70C4F3C8">
        <w:rPr>
          <w:rFonts w:ascii="Arial" w:hAnsi="Arial" w:eastAsia="Arial" w:cs="Arial"/>
          <w:i w:val="0"/>
          <w:iCs w:val="0"/>
          <w:noProof w:val="0"/>
          <w:sz w:val="22"/>
          <w:szCs w:val="22"/>
          <w:lang w:val="en-GB"/>
        </w:rPr>
        <w:t>. Cambridge: Polity Press.</w:t>
      </w:r>
    </w:p>
    <w:p w:rsidR="70C4F3C8" w:rsidP="1C634A17" w:rsidRDefault="70C4F3C8" w14:paraId="29CA74E8" w14:textId="15B51159">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Mendelow, A. (1991) ‘Stakeholder mapping’, </w:t>
      </w:r>
      <w:r w:rsidRPr="1C634A17" w:rsidR="70C4F3C8">
        <w:rPr>
          <w:rFonts w:ascii="Arial" w:hAnsi="Arial" w:eastAsia="Arial" w:cs="Arial"/>
          <w:i w:val="0"/>
          <w:iCs w:val="0"/>
          <w:noProof w:val="0"/>
          <w:sz w:val="22"/>
          <w:szCs w:val="22"/>
          <w:lang w:val="en-GB"/>
        </w:rPr>
        <w:t>Proceedings of the 2nd International Conference on Information Systems</w:t>
      </w:r>
      <w:r w:rsidRPr="1C634A17" w:rsidR="70C4F3C8">
        <w:rPr>
          <w:rFonts w:ascii="Arial" w:hAnsi="Arial" w:eastAsia="Arial" w:cs="Arial"/>
          <w:i w:val="0"/>
          <w:iCs w:val="0"/>
          <w:noProof w:val="0"/>
          <w:sz w:val="22"/>
          <w:szCs w:val="22"/>
          <w:lang w:val="en-GB"/>
        </w:rPr>
        <w:t>, Cambridge.</w:t>
      </w:r>
    </w:p>
    <w:p w:rsidR="70C4F3C8" w:rsidP="1C634A17" w:rsidRDefault="70C4F3C8" w14:paraId="3679F074" w14:textId="07EDE557">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Project Management Institute (PMI) (2021) </w:t>
      </w:r>
      <w:r w:rsidRPr="1C634A17" w:rsidR="70C4F3C8">
        <w:rPr>
          <w:rFonts w:ascii="Arial" w:hAnsi="Arial" w:eastAsia="Arial" w:cs="Arial"/>
          <w:i w:val="0"/>
          <w:iCs w:val="0"/>
          <w:noProof w:val="0"/>
          <w:sz w:val="22"/>
          <w:szCs w:val="22"/>
          <w:lang w:val="en-GB"/>
        </w:rPr>
        <w:t>A guide to the project management body of knowledge (PMBOK guide)</w:t>
      </w:r>
      <w:r w:rsidRPr="1C634A17" w:rsidR="70C4F3C8">
        <w:rPr>
          <w:rFonts w:ascii="Arial" w:hAnsi="Arial" w:eastAsia="Arial" w:cs="Arial"/>
          <w:i w:val="0"/>
          <w:iCs w:val="0"/>
          <w:noProof w:val="0"/>
          <w:sz w:val="22"/>
          <w:szCs w:val="22"/>
          <w:lang w:val="en-GB"/>
        </w:rPr>
        <w:t xml:space="preserve">. 7th </w:t>
      </w:r>
      <w:r w:rsidRPr="1C634A17" w:rsidR="70C4F3C8">
        <w:rPr>
          <w:rFonts w:ascii="Arial" w:hAnsi="Arial" w:eastAsia="Arial" w:cs="Arial"/>
          <w:i w:val="0"/>
          <w:iCs w:val="0"/>
          <w:noProof w:val="0"/>
          <w:sz w:val="22"/>
          <w:szCs w:val="22"/>
          <w:lang w:val="en-GB"/>
        </w:rPr>
        <w:t>edn</w:t>
      </w:r>
      <w:r w:rsidRPr="1C634A17" w:rsidR="70C4F3C8">
        <w:rPr>
          <w:rFonts w:ascii="Arial" w:hAnsi="Arial" w:eastAsia="Arial" w:cs="Arial"/>
          <w:i w:val="0"/>
          <w:iCs w:val="0"/>
          <w:noProof w:val="0"/>
          <w:sz w:val="22"/>
          <w:szCs w:val="22"/>
          <w:lang w:val="en-GB"/>
        </w:rPr>
        <w:t>. Pennsylvania: PMI.</w:t>
      </w:r>
    </w:p>
    <w:p w:rsidR="70C4F3C8" w:rsidP="1C634A17" w:rsidRDefault="70C4F3C8" w14:paraId="54965108" w14:textId="357C572B">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Statista (2024) </w:t>
      </w:r>
      <w:r w:rsidRPr="1C634A17" w:rsidR="70C4F3C8">
        <w:rPr>
          <w:rFonts w:ascii="Arial" w:hAnsi="Arial" w:eastAsia="Arial" w:cs="Arial"/>
          <w:i w:val="0"/>
          <w:iCs w:val="0"/>
          <w:noProof w:val="0"/>
          <w:sz w:val="22"/>
          <w:szCs w:val="22"/>
          <w:lang w:val="en-GB"/>
        </w:rPr>
        <w:t>Wearable technology market statistics UK</w:t>
      </w:r>
      <w:r w:rsidRPr="1C634A17" w:rsidR="70C4F3C8">
        <w:rPr>
          <w:rFonts w:ascii="Arial" w:hAnsi="Arial" w:eastAsia="Arial" w:cs="Arial"/>
          <w:i w:val="0"/>
          <w:iCs w:val="0"/>
          <w:noProof w:val="0"/>
          <w:sz w:val="22"/>
          <w:szCs w:val="22"/>
          <w:lang w:val="en-GB"/>
        </w:rPr>
        <w:t xml:space="preserve">. Available at: </w:t>
      </w:r>
      <w:hyperlink r:id="R9725983217e94387">
        <w:r w:rsidRPr="1C634A17" w:rsidR="70C4F3C8">
          <w:rPr>
            <w:rStyle w:val="Hyperlink"/>
            <w:rFonts w:ascii="Arial" w:hAnsi="Arial" w:eastAsia="Arial" w:cs="Arial"/>
            <w:i w:val="0"/>
            <w:iCs w:val="0"/>
            <w:noProof w:val="0"/>
            <w:sz w:val="22"/>
            <w:szCs w:val="22"/>
            <w:lang w:val="en-GB"/>
          </w:rPr>
          <w:t>https://www.statista.com</w:t>
        </w:r>
      </w:hyperlink>
      <w:r w:rsidRPr="1C634A17" w:rsidR="70C4F3C8">
        <w:rPr>
          <w:rFonts w:ascii="Arial" w:hAnsi="Arial" w:eastAsia="Arial" w:cs="Arial"/>
          <w:i w:val="0"/>
          <w:iCs w:val="0"/>
          <w:noProof w:val="0"/>
          <w:sz w:val="22"/>
          <w:szCs w:val="22"/>
          <w:lang w:val="en-GB"/>
        </w:rPr>
        <w:t xml:space="preserve"> (Accessed: 20 March 2026).</w:t>
      </w:r>
    </w:p>
    <w:p w:rsidR="70C4F3C8" w:rsidP="1C634A17" w:rsidRDefault="70C4F3C8" w14:paraId="0F8A5079" w14:textId="35571D83">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West, M.A. (2012) </w:t>
      </w:r>
      <w:r w:rsidRPr="1C634A17" w:rsidR="70C4F3C8">
        <w:rPr>
          <w:rFonts w:ascii="Arial" w:hAnsi="Arial" w:eastAsia="Arial" w:cs="Arial"/>
          <w:i w:val="0"/>
          <w:iCs w:val="0"/>
          <w:noProof w:val="0"/>
          <w:sz w:val="22"/>
          <w:szCs w:val="22"/>
          <w:lang w:val="en-GB"/>
        </w:rPr>
        <w:t>Effective teamwork: Practical lessons from organizational research</w:t>
      </w:r>
      <w:r w:rsidRPr="1C634A17" w:rsidR="70C4F3C8">
        <w:rPr>
          <w:rFonts w:ascii="Arial" w:hAnsi="Arial" w:eastAsia="Arial" w:cs="Arial"/>
          <w:i w:val="0"/>
          <w:iCs w:val="0"/>
          <w:noProof w:val="0"/>
          <w:sz w:val="22"/>
          <w:szCs w:val="22"/>
          <w:lang w:val="en-GB"/>
        </w:rPr>
        <w:t xml:space="preserve">. 3rd </w:t>
      </w:r>
      <w:r w:rsidRPr="1C634A17" w:rsidR="70C4F3C8">
        <w:rPr>
          <w:rFonts w:ascii="Arial" w:hAnsi="Arial" w:eastAsia="Arial" w:cs="Arial"/>
          <w:i w:val="0"/>
          <w:iCs w:val="0"/>
          <w:noProof w:val="0"/>
          <w:sz w:val="22"/>
          <w:szCs w:val="22"/>
          <w:lang w:val="en-GB"/>
        </w:rPr>
        <w:t>edn</w:t>
      </w:r>
      <w:r w:rsidRPr="1C634A17" w:rsidR="70C4F3C8">
        <w:rPr>
          <w:rFonts w:ascii="Arial" w:hAnsi="Arial" w:eastAsia="Arial" w:cs="Arial"/>
          <w:i w:val="0"/>
          <w:iCs w:val="0"/>
          <w:noProof w:val="0"/>
          <w:sz w:val="22"/>
          <w:szCs w:val="22"/>
          <w:lang w:val="en-GB"/>
        </w:rPr>
        <w:t>. Oxford: Wiley-Blackwell.</w:t>
      </w:r>
    </w:p>
    <w:p w:rsidR="70C4F3C8" w:rsidP="1C634A17" w:rsidRDefault="70C4F3C8" w14:paraId="219241FE" w14:textId="69706857">
      <w:pPr>
        <w:spacing w:before="240" w:beforeAutospacing="off" w:after="240" w:afterAutospacing="off" w:line="360" w:lineRule="auto"/>
        <w:rPr>
          <w:rFonts w:ascii="Arial" w:hAnsi="Arial" w:eastAsia="Arial" w:cs="Arial"/>
          <w:i w:val="0"/>
          <w:iCs w:val="0"/>
          <w:noProof w:val="0"/>
          <w:sz w:val="22"/>
          <w:szCs w:val="22"/>
          <w:lang w:val="en-GB"/>
        </w:rPr>
      </w:pPr>
      <w:r w:rsidRPr="1C634A17" w:rsidR="70C4F3C8">
        <w:rPr>
          <w:rFonts w:ascii="Arial" w:hAnsi="Arial" w:eastAsia="Arial" w:cs="Arial"/>
          <w:i w:val="0"/>
          <w:iCs w:val="0"/>
          <w:noProof w:val="0"/>
          <w:sz w:val="22"/>
          <w:szCs w:val="22"/>
          <w:lang w:val="en-GB"/>
        </w:rPr>
        <w:t xml:space="preserve">World Health Organization (WHO) (2022) Digital health and wearable technologies report. Available at: </w:t>
      </w:r>
      <w:hyperlink r:id="R764271adff3245d9">
        <w:r w:rsidRPr="1C634A17" w:rsidR="70C4F3C8">
          <w:rPr>
            <w:rStyle w:val="Hyperlink"/>
            <w:rFonts w:ascii="Arial" w:hAnsi="Arial" w:eastAsia="Arial" w:cs="Arial"/>
            <w:i w:val="0"/>
            <w:iCs w:val="0"/>
            <w:noProof w:val="0"/>
            <w:sz w:val="22"/>
            <w:szCs w:val="22"/>
            <w:lang w:val="en-GB"/>
          </w:rPr>
          <w:t>https://www.who.int</w:t>
        </w:r>
      </w:hyperlink>
      <w:r w:rsidRPr="1C634A17" w:rsidR="70C4F3C8">
        <w:rPr>
          <w:rFonts w:ascii="Arial" w:hAnsi="Arial" w:eastAsia="Arial" w:cs="Arial"/>
          <w:i w:val="0"/>
          <w:iCs w:val="0"/>
          <w:noProof w:val="0"/>
          <w:sz w:val="22"/>
          <w:szCs w:val="22"/>
          <w:lang w:val="en-GB"/>
        </w:rPr>
        <w:t xml:space="preserve"> (Accessed: 20 March 2026).</w:t>
      </w:r>
      <w:r w:rsidRPr="1C634A17" w:rsidR="408FBB8B">
        <w:rPr>
          <w:rFonts w:ascii="Arial" w:hAnsi="Arial" w:eastAsia="Arial" w:cs="Arial"/>
          <w:i w:val="0"/>
          <w:iCs w:val="0"/>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379aac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69afe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fe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774f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2cae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76f7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d6ba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6f67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66ce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3a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a7d6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803840"/>
    <w:rsid w:val="027FA133"/>
    <w:rsid w:val="043BAC0E"/>
    <w:rsid w:val="0551C2C9"/>
    <w:rsid w:val="05D6AFA9"/>
    <w:rsid w:val="06820008"/>
    <w:rsid w:val="0812D6A2"/>
    <w:rsid w:val="0835575C"/>
    <w:rsid w:val="08ECB12D"/>
    <w:rsid w:val="0A1AB6EE"/>
    <w:rsid w:val="0A53CB6E"/>
    <w:rsid w:val="0A53CB6E"/>
    <w:rsid w:val="0C9D3580"/>
    <w:rsid w:val="0EA81D79"/>
    <w:rsid w:val="0EA81D79"/>
    <w:rsid w:val="0FE8FFB2"/>
    <w:rsid w:val="0FE8FFB2"/>
    <w:rsid w:val="104167E9"/>
    <w:rsid w:val="12F98B1D"/>
    <w:rsid w:val="138A4BA6"/>
    <w:rsid w:val="138E8303"/>
    <w:rsid w:val="1481C3E1"/>
    <w:rsid w:val="156AD494"/>
    <w:rsid w:val="156AD494"/>
    <w:rsid w:val="15B5F560"/>
    <w:rsid w:val="15B5F560"/>
    <w:rsid w:val="16CC7FB3"/>
    <w:rsid w:val="16CC7FB3"/>
    <w:rsid w:val="16F8F881"/>
    <w:rsid w:val="16F8F881"/>
    <w:rsid w:val="189A3502"/>
    <w:rsid w:val="18F63D4A"/>
    <w:rsid w:val="192199E2"/>
    <w:rsid w:val="19DE4B23"/>
    <w:rsid w:val="19DE4B23"/>
    <w:rsid w:val="19ECD557"/>
    <w:rsid w:val="1AA339B3"/>
    <w:rsid w:val="1AA96CA4"/>
    <w:rsid w:val="1AA96CA4"/>
    <w:rsid w:val="1B975975"/>
    <w:rsid w:val="1C25CCB0"/>
    <w:rsid w:val="1C4812C5"/>
    <w:rsid w:val="1C634A17"/>
    <w:rsid w:val="1E15B75B"/>
    <w:rsid w:val="1E91195B"/>
    <w:rsid w:val="1E951FB7"/>
    <w:rsid w:val="1E951FB7"/>
    <w:rsid w:val="1F18F18B"/>
    <w:rsid w:val="1FEF0D8F"/>
    <w:rsid w:val="218A0A76"/>
    <w:rsid w:val="22A9A8B5"/>
    <w:rsid w:val="22A9A8B5"/>
    <w:rsid w:val="23AC5237"/>
    <w:rsid w:val="252E3268"/>
    <w:rsid w:val="26812A6C"/>
    <w:rsid w:val="271E843D"/>
    <w:rsid w:val="271E843D"/>
    <w:rsid w:val="273039E3"/>
    <w:rsid w:val="279433C3"/>
    <w:rsid w:val="279433C3"/>
    <w:rsid w:val="282F7AE9"/>
    <w:rsid w:val="2849BC7D"/>
    <w:rsid w:val="285C17C9"/>
    <w:rsid w:val="285C17C9"/>
    <w:rsid w:val="2A77C0A7"/>
    <w:rsid w:val="2C0BE10B"/>
    <w:rsid w:val="2FEA6D67"/>
    <w:rsid w:val="323CF3DC"/>
    <w:rsid w:val="340D72D9"/>
    <w:rsid w:val="34502671"/>
    <w:rsid w:val="34F2B3BB"/>
    <w:rsid w:val="3526E213"/>
    <w:rsid w:val="35D55859"/>
    <w:rsid w:val="36A4AF89"/>
    <w:rsid w:val="375318EC"/>
    <w:rsid w:val="37EB9F0E"/>
    <w:rsid w:val="3B0D8047"/>
    <w:rsid w:val="3B50E820"/>
    <w:rsid w:val="3B50E820"/>
    <w:rsid w:val="3BDAA79C"/>
    <w:rsid w:val="3E61E2BE"/>
    <w:rsid w:val="3F74D38C"/>
    <w:rsid w:val="408FBB8B"/>
    <w:rsid w:val="409A0425"/>
    <w:rsid w:val="40F473FA"/>
    <w:rsid w:val="40F47E55"/>
    <w:rsid w:val="416FC06E"/>
    <w:rsid w:val="4354A07A"/>
    <w:rsid w:val="43B99CB6"/>
    <w:rsid w:val="43FC1085"/>
    <w:rsid w:val="4400B5CB"/>
    <w:rsid w:val="445E409C"/>
    <w:rsid w:val="4850CFE3"/>
    <w:rsid w:val="48A39C18"/>
    <w:rsid w:val="4A45DC38"/>
    <w:rsid w:val="4B2259BC"/>
    <w:rsid w:val="4BB28D1A"/>
    <w:rsid w:val="4CDF2C43"/>
    <w:rsid w:val="51803840"/>
    <w:rsid w:val="524CFB52"/>
    <w:rsid w:val="524CFB52"/>
    <w:rsid w:val="54B213E1"/>
    <w:rsid w:val="54EF132E"/>
    <w:rsid w:val="54EF132E"/>
    <w:rsid w:val="5664D5A3"/>
    <w:rsid w:val="566AD286"/>
    <w:rsid w:val="56E32F6F"/>
    <w:rsid w:val="579F9925"/>
    <w:rsid w:val="589A24D6"/>
    <w:rsid w:val="58E74224"/>
    <w:rsid w:val="5AD8D5C1"/>
    <w:rsid w:val="5B5C8142"/>
    <w:rsid w:val="5C997270"/>
    <w:rsid w:val="5CBA9016"/>
    <w:rsid w:val="6313D4E2"/>
    <w:rsid w:val="632EBC11"/>
    <w:rsid w:val="6449CAAF"/>
    <w:rsid w:val="647C9991"/>
    <w:rsid w:val="64B095C2"/>
    <w:rsid w:val="67300BB0"/>
    <w:rsid w:val="68C84ADE"/>
    <w:rsid w:val="69460D1E"/>
    <w:rsid w:val="6950F90E"/>
    <w:rsid w:val="6A3EDA1B"/>
    <w:rsid w:val="6A686A0C"/>
    <w:rsid w:val="6B13D18C"/>
    <w:rsid w:val="6B464C21"/>
    <w:rsid w:val="6BFB3018"/>
    <w:rsid w:val="6E006D35"/>
    <w:rsid w:val="70C4F3C8"/>
    <w:rsid w:val="74A13EEF"/>
    <w:rsid w:val="758E8DD0"/>
    <w:rsid w:val="7590996C"/>
    <w:rsid w:val="75FFF4AC"/>
    <w:rsid w:val="7692EF94"/>
    <w:rsid w:val="7741CB1B"/>
    <w:rsid w:val="789CC628"/>
    <w:rsid w:val="78BC3A61"/>
    <w:rsid w:val="78C170DF"/>
    <w:rsid w:val="794DE35B"/>
    <w:rsid w:val="7968592F"/>
    <w:rsid w:val="7A5869CA"/>
    <w:rsid w:val="7ACA8AC1"/>
    <w:rsid w:val="7C000EBD"/>
    <w:rsid w:val="7D391044"/>
    <w:rsid w:val="7D90EDBF"/>
    <w:rsid w:val="7E27937D"/>
    <w:rsid w:val="7E2D493B"/>
    <w:rsid w:val="7E40D328"/>
    <w:rsid w:val="7E9966FA"/>
    <w:rsid w:val="7F79667A"/>
    <w:rsid w:val="7FDF5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1F93B"/>
  <w15:chartTrackingRefBased/>
  <w15:docId w15:val="{64D4C587-2A53-40DF-8F61-1CFA07F67D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C634A1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C634A1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C634A1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C634A17"/>
    <w:pPr>
      <w:spacing/>
      <w:ind w:left="720"/>
      <w:contextualSpacing/>
    </w:pPr>
  </w:style>
  <w:style w:type="character" w:styleId="Hyperlink">
    <w:uiPriority w:val="99"/>
    <w:name w:val="Hyperlink"/>
    <w:basedOn w:val="DefaultParagraphFont"/>
    <w:unhideWhenUsed/>
    <w:rsid w:val="1C634A1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eloitte.com/" TargetMode="External" Id="R2d953a03b7a646d0" /><Relationship Type="http://schemas.openxmlformats.org/officeDocument/2006/relationships/hyperlink" Target="https://www.fitbit.com/" TargetMode="External" Id="R68a2277dd49b42c9" /><Relationship Type="http://schemas.openxmlformats.org/officeDocument/2006/relationships/hyperlink" Target="https://www.statista.com/" TargetMode="External" Id="R9725983217e94387" /><Relationship Type="http://schemas.openxmlformats.org/officeDocument/2006/relationships/hyperlink" Target="https://www.who.int/" TargetMode="External" Id="R764271adff3245d9" /><Relationship Type="http://schemas.openxmlformats.org/officeDocument/2006/relationships/numbering" Target="/word/numbering.xml" Id="R08ac9276708c4a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Moin Mahmood (2308921)</dc:creator>
  <keywords/>
  <dc:description/>
  <lastModifiedBy>Moin Mahmood (2308921)</lastModifiedBy>
  <revision>2</revision>
  <dcterms:created xsi:type="dcterms:W3CDTF">2026-04-02T02:57:13.8666356Z</dcterms:created>
  <dcterms:modified xsi:type="dcterms:W3CDTF">2026-04-02T04:25:12.3700306Z</dcterms:modified>
</coreProperties>
</file>