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DEFE16" w14:textId="77777777" w:rsidR="00B501C2" w:rsidRPr="00294F8F" w:rsidRDefault="00B501C2" w:rsidP="00B501C2">
      <w:pPr>
        <w:spacing w:line="360" w:lineRule="auto"/>
        <w:jc w:val="center"/>
        <w:rPr>
          <w:rFonts w:ascii="Arial" w:hAnsi="Arial" w:cs="Arial"/>
          <w:color w:val="000000" w:themeColor="text1"/>
        </w:rPr>
      </w:pPr>
      <w:r w:rsidRPr="00294F8F">
        <w:rPr>
          <w:rFonts w:ascii="Arial" w:hAnsi="Arial" w:cs="Arial"/>
          <w:noProof/>
          <w:color w:val="000000" w:themeColor="text1"/>
          <w:lang w:val="en-US"/>
        </w:rPr>
        <w:drawing>
          <wp:anchor distT="0" distB="0" distL="114300" distR="114300" simplePos="0" relativeHeight="251659264" behindDoc="0" locked="0" layoutInCell="1" allowOverlap="1" wp14:anchorId="6D37D3E4" wp14:editId="11C8B70F">
            <wp:simplePos x="0" y="0"/>
            <wp:positionH relativeFrom="margin">
              <wp:align>center</wp:align>
            </wp:positionH>
            <wp:positionV relativeFrom="paragraph">
              <wp:posOffset>101600</wp:posOffset>
            </wp:positionV>
            <wp:extent cx="3448050" cy="114300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48050" cy="1143000"/>
                    </a:xfrm>
                    <a:prstGeom prst="rect">
                      <a:avLst/>
                    </a:prstGeom>
                    <a:noFill/>
                  </pic:spPr>
                </pic:pic>
              </a:graphicData>
            </a:graphic>
            <wp14:sizeRelH relativeFrom="margin">
              <wp14:pctWidth>0</wp14:pctWidth>
            </wp14:sizeRelH>
            <wp14:sizeRelV relativeFrom="margin">
              <wp14:pctHeight>0</wp14:pctHeight>
            </wp14:sizeRelV>
          </wp:anchor>
        </w:drawing>
      </w:r>
    </w:p>
    <w:p w14:paraId="42C67A84" w14:textId="77777777" w:rsidR="00B501C2" w:rsidRPr="00294F8F" w:rsidRDefault="00B501C2" w:rsidP="00B501C2">
      <w:pPr>
        <w:spacing w:line="360" w:lineRule="auto"/>
        <w:jc w:val="center"/>
        <w:rPr>
          <w:rFonts w:ascii="Arial" w:hAnsi="Arial" w:cs="Arial"/>
          <w:b/>
          <w:bCs/>
          <w:color w:val="000000" w:themeColor="text1"/>
          <w:sz w:val="52"/>
          <w:szCs w:val="52"/>
        </w:rPr>
      </w:pPr>
      <w:r w:rsidRPr="00294F8F">
        <w:rPr>
          <w:rFonts w:ascii="Arial" w:hAnsi="Arial" w:cs="Arial"/>
          <w:b/>
          <w:bCs/>
          <w:color w:val="000000" w:themeColor="text1"/>
          <w:sz w:val="52"/>
          <w:szCs w:val="52"/>
        </w:rPr>
        <w:t>Master of Business Administration</w:t>
      </w:r>
    </w:p>
    <w:p w14:paraId="535702B4" w14:textId="09CBA557" w:rsidR="00B501C2" w:rsidRPr="00294F8F" w:rsidRDefault="00B501C2" w:rsidP="00B501C2">
      <w:pPr>
        <w:spacing w:line="360" w:lineRule="auto"/>
        <w:jc w:val="center"/>
        <w:rPr>
          <w:rFonts w:ascii="Arial" w:hAnsi="Arial" w:cs="Arial"/>
          <w:b/>
          <w:bCs/>
          <w:color w:val="000000" w:themeColor="text1"/>
          <w:sz w:val="24"/>
          <w:szCs w:val="24"/>
        </w:rPr>
      </w:pPr>
      <w:r w:rsidRPr="00294F8F">
        <w:rPr>
          <w:rFonts w:ascii="Arial" w:hAnsi="Arial" w:cs="Arial"/>
          <w:b/>
          <w:bCs/>
          <w:color w:val="000000" w:themeColor="text1"/>
          <w:sz w:val="24"/>
          <w:szCs w:val="24"/>
        </w:rPr>
        <w:t xml:space="preserve">Student Name: </w:t>
      </w:r>
      <w:r w:rsidRPr="00B501C2">
        <w:rPr>
          <w:rFonts w:ascii="Arial" w:hAnsi="Arial" w:cs="Arial"/>
          <w:b/>
          <w:bCs/>
          <w:color w:val="000000" w:themeColor="text1"/>
          <w:sz w:val="24"/>
          <w:szCs w:val="24"/>
        </w:rPr>
        <w:t>Tasnime Noyon</w:t>
      </w:r>
    </w:p>
    <w:p w14:paraId="4C0F8AAF" w14:textId="37830B59" w:rsidR="00B501C2" w:rsidRPr="00294F8F" w:rsidRDefault="00B501C2" w:rsidP="00B501C2">
      <w:pPr>
        <w:spacing w:line="360" w:lineRule="auto"/>
        <w:jc w:val="center"/>
        <w:rPr>
          <w:rFonts w:ascii="Arial" w:hAnsi="Arial" w:cs="Arial"/>
          <w:b/>
          <w:bCs/>
          <w:color w:val="000000" w:themeColor="text1"/>
          <w:sz w:val="24"/>
          <w:szCs w:val="24"/>
        </w:rPr>
      </w:pPr>
      <w:r w:rsidRPr="00294F8F">
        <w:rPr>
          <w:rFonts w:ascii="Arial" w:hAnsi="Arial" w:cs="Arial"/>
          <w:b/>
          <w:bCs/>
          <w:color w:val="000000" w:themeColor="text1"/>
          <w:sz w:val="24"/>
          <w:szCs w:val="24"/>
        </w:rPr>
        <w:t>Student Number:</w:t>
      </w:r>
      <w:r w:rsidRPr="00294F8F">
        <w:rPr>
          <w:rFonts w:ascii="Arial" w:hAnsi="Arial" w:cs="Arial"/>
          <w:color w:val="000000" w:themeColor="text1"/>
        </w:rPr>
        <w:t xml:space="preserve"> </w:t>
      </w:r>
      <w:r w:rsidR="00B66D23" w:rsidRPr="00B66D23">
        <w:rPr>
          <w:rFonts w:ascii="Arial" w:hAnsi="Arial" w:cs="Arial"/>
          <w:b/>
          <w:bCs/>
          <w:color w:val="000000" w:themeColor="text1"/>
          <w:sz w:val="24"/>
          <w:szCs w:val="24"/>
        </w:rPr>
        <w:t>2438580</w:t>
      </w:r>
    </w:p>
    <w:p w14:paraId="0B482682" w14:textId="77777777" w:rsidR="00B501C2" w:rsidRPr="00294F8F" w:rsidRDefault="00B501C2" w:rsidP="00B501C2">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Course Name:</w:t>
      </w:r>
      <w:r w:rsidRPr="00294F8F">
        <w:rPr>
          <w:rFonts w:ascii="Arial" w:hAnsi="Arial" w:cs="Arial"/>
          <w:color w:val="000000" w:themeColor="text1"/>
          <w:sz w:val="24"/>
          <w:szCs w:val="24"/>
        </w:rPr>
        <w:t xml:space="preserve"> Strategic Management</w:t>
      </w:r>
    </w:p>
    <w:p w14:paraId="69F9EEEA" w14:textId="77777777" w:rsidR="00B501C2" w:rsidRPr="00294F8F" w:rsidRDefault="00B501C2" w:rsidP="00B501C2">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Module code:</w:t>
      </w:r>
      <w:r w:rsidRPr="00294F8F">
        <w:rPr>
          <w:rFonts w:ascii="Arial" w:hAnsi="Arial" w:cs="Arial"/>
          <w:color w:val="000000" w:themeColor="text1"/>
          <w:sz w:val="24"/>
          <w:szCs w:val="24"/>
        </w:rPr>
        <w:t xml:space="preserve"> LCMB7003</w:t>
      </w:r>
    </w:p>
    <w:p w14:paraId="344F6EDC" w14:textId="01824034" w:rsidR="00B501C2" w:rsidRPr="00294F8F" w:rsidRDefault="00B501C2" w:rsidP="00B501C2">
      <w:pPr>
        <w:spacing w:line="360" w:lineRule="auto"/>
        <w:jc w:val="center"/>
        <w:rPr>
          <w:rFonts w:ascii="Arial" w:hAnsi="Arial" w:cs="Arial"/>
          <w:color w:val="000000" w:themeColor="text1"/>
          <w:sz w:val="24"/>
          <w:szCs w:val="24"/>
        </w:rPr>
      </w:pPr>
      <w:r w:rsidRPr="00294F8F">
        <w:rPr>
          <w:rFonts w:ascii="Arial" w:hAnsi="Arial" w:cs="Arial"/>
          <w:b/>
          <w:bCs/>
          <w:color w:val="000000" w:themeColor="text1"/>
          <w:sz w:val="24"/>
          <w:szCs w:val="24"/>
        </w:rPr>
        <w:t xml:space="preserve">Lecturer Name: </w:t>
      </w:r>
      <w:r w:rsidR="006445B7" w:rsidRPr="006445B7">
        <w:rPr>
          <w:rFonts w:ascii="Arial" w:hAnsi="Arial" w:cs="Arial"/>
          <w:b/>
          <w:bCs/>
          <w:color w:val="000000" w:themeColor="text1"/>
          <w:sz w:val="24"/>
          <w:szCs w:val="24"/>
        </w:rPr>
        <w:t>Dr. Zulfiqar Khan</w:t>
      </w:r>
    </w:p>
    <w:p w14:paraId="665CBE51" w14:textId="025AAD4E" w:rsidR="00B501C2" w:rsidRPr="00294F8F" w:rsidRDefault="007B51E5" w:rsidP="00B501C2">
      <w:pPr>
        <w:spacing w:line="360" w:lineRule="auto"/>
        <w:jc w:val="center"/>
        <w:rPr>
          <w:rFonts w:ascii="Arial" w:hAnsi="Arial" w:cs="Arial"/>
          <w:b/>
          <w:bCs/>
          <w:i/>
          <w:iCs/>
          <w:color w:val="000000" w:themeColor="text1"/>
          <w:sz w:val="24"/>
          <w:szCs w:val="24"/>
        </w:rPr>
      </w:pPr>
      <w:r>
        <w:rPr>
          <w:rFonts w:ascii="Arial" w:hAnsi="Arial" w:cs="Arial"/>
          <w:b/>
          <w:bCs/>
          <w:color w:val="000000" w:themeColor="text1"/>
          <w:sz w:val="24"/>
          <w:szCs w:val="24"/>
        </w:rPr>
        <w:t>Word C</w:t>
      </w:r>
      <w:r w:rsidR="00B501C2" w:rsidRPr="00294F8F">
        <w:rPr>
          <w:rFonts w:ascii="Arial" w:hAnsi="Arial" w:cs="Arial"/>
          <w:b/>
          <w:bCs/>
          <w:color w:val="000000" w:themeColor="text1"/>
          <w:sz w:val="24"/>
          <w:szCs w:val="24"/>
        </w:rPr>
        <w:t>ount:</w:t>
      </w:r>
      <w:r w:rsidR="00B501C2">
        <w:rPr>
          <w:rFonts w:ascii="Arial" w:hAnsi="Arial" w:cs="Arial"/>
          <w:b/>
          <w:bCs/>
          <w:color w:val="000000" w:themeColor="text1"/>
          <w:sz w:val="24"/>
          <w:szCs w:val="24"/>
        </w:rPr>
        <w:t xml:space="preserve"> </w:t>
      </w:r>
      <w:r w:rsidR="00EE49D2">
        <w:rPr>
          <w:rFonts w:ascii="Arial" w:hAnsi="Arial" w:cs="Arial"/>
          <w:b/>
          <w:bCs/>
          <w:color w:val="000000" w:themeColor="text1"/>
          <w:sz w:val="24"/>
          <w:szCs w:val="24"/>
        </w:rPr>
        <w:t>5367</w:t>
      </w:r>
    </w:p>
    <w:p w14:paraId="0EFE25CF" w14:textId="70769FCB" w:rsidR="00B501C2" w:rsidRPr="00294F8F" w:rsidRDefault="007B51E5" w:rsidP="00B501C2">
      <w:pPr>
        <w:spacing w:line="360" w:lineRule="auto"/>
        <w:jc w:val="center"/>
        <w:rPr>
          <w:rFonts w:ascii="Arial" w:hAnsi="Arial" w:cs="Arial"/>
          <w:color w:val="000000" w:themeColor="text1"/>
          <w:sz w:val="32"/>
          <w:szCs w:val="32"/>
        </w:rPr>
      </w:pPr>
      <w:r>
        <w:rPr>
          <w:rFonts w:ascii="Arial" w:hAnsi="Arial" w:cs="Arial"/>
          <w:b/>
          <w:bCs/>
          <w:color w:val="000000" w:themeColor="text1"/>
          <w:sz w:val="24"/>
          <w:szCs w:val="24"/>
        </w:rPr>
        <w:t>Submission D</w:t>
      </w:r>
      <w:r w:rsidR="00B501C2" w:rsidRPr="00294F8F">
        <w:rPr>
          <w:rFonts w:ascii="Arial" w:hAnsi="Arial" w:cs="Arial"/>
          <w:b/>
          <w:bCs/>
          <w:color w:val="000000" w:themeColor="text1"/>
          <w:sz w:val="24"/>
          <w:szCs w:val="24"/>
        </w:rPr>
        <w:t xml:space="preserve">eadline: </w:t>
      </w:r>
      <w:r w:rsidR="006F488B" w:rsidRPr="006F488B">
        <w:rPr>
          <w:rFonts w:ascii="Arial" w:hAnsi="Arial" w:cs="Arial"/>
          <w:b/>
          <w:bCs/>
          <w:color w:val="000000" w:themeColor="text1"/>
          <w:sz w:val="24"/>
          <w:szCs w:val="24"/>
        </w:rPr>
        <w:t xml:space="preserve">01/04/2026 </w:t>
      </w:r>
      <w:r w:rsidR="00B501C2" w:rsidRPr="00294F8F">
        <w:rPr>
          <w:rFonts w:ascii="Arial" w:hAnsi="Arial" w:cs="Arial"/>
          <w:color w:val="000000" w:themeColor="text1"/>
          <w:sz w:val="32"/>
          <w:szCs w:val="32"/>
        </w:rPr>
        <w:br w:type="page"/>
      </w:r>
    </w:p>
    <w:sdt>
      <w:sdtPr>
        <w:rPr>
          <w:rFonts w:ascii="Arial" w:eastAsiaTheme="minorHAnsi" w:hAnsi="Arial" w:cs="Arial"/>
          <w:b w:val="0"/>
          <w:bCs w:val="0"/>
          <w:color w:val="000000" w:themeColor="text1"/>
          <w:sz w:val="22"/>
          <w:szCs w:val="22"/>
          <w:lang w:eastAsia="en-US"/>
        </w:rPr>
        <w:id w:val="-798766249"/>
        <w:docPartObj>
          <w:docPartGallery w:val="Table of Contents"/>
          <w:docPartUnique/>
        </w:docPartObj>
      </w:sdtPr>
      <w:sdtEndPr>
        <w:rPr>
          <w:noProof/>
        </w:rPr>
      </w:sdtEndPr>
      <w:sdtContent>
        <w:p w14:paraId="46FD3DC1" w14:textId="77777777" w:rsidR="00B501C2" w:rsidRPr="005B4AFA" w:rsidRDefault="00B501C2" w:rsidP="00B501C2">
          <w:pPr>
            <w:pStyle w:val="TOCHeading"/>
            <w:spacing w:line="360" w:lineRule="auto"/>
            <w:jc w:val="center"/>
            <w:rPr>
              <w:rFonts w:ascii="Arial" w:hAnsi="Arial" w:cs="Arial"/>
              <w:color w:val="000000" w:themeColor="text1"/>
              <w:szCs w:val="24"/>
            </w:rPr>
          </w:pPr>
          <w:r w:rsidRPr="005B4AFA">
            <w:rPr>
              <w:rFonts w:ascii="Arial" w:hAnsi="Arial" w:cs="Arial"/>
              <w:color w:val="000000" w:themeColor="text1"/>
              <w:szCs w:val="24"/>
            </w:rPr>
            <w:t>Table of Contents</w:t>
          </w:r>
        </w:p>
        <w:p w14:paraId="091C6501" w14:textId="4861E24A" w:rsidR="005B4AFA" w:rsidRPr="005B4AFA" w:rsidRDefault="00B501C2">
          <w:pPr>
            <w:pStyle w:val="TOC1"/>
            <w:tabs>
              <w:tab w:val="right" w:leader="dot" w:pos="9016"/>
            </w:tabs>
            <w:rPr>
              <w:rFonts w:ascii="Arial" w:eastAsiaTheme="minorEastAsia" w:hAnsi="Arial" w:cs="Arial"/>
              <w:noProof/>
              <w:kern w:val="2"/>
              <w:sz w:val="24"/>
              <w:szCs w:val="24"/>
              <w:lang w:val="en-US"/>
              <w14:ligatures w14:val="standardContextual"/>
            </w:rPr>
          </w:pPr>
          <w:r w:rsidRPr="005B4AFA">
            <w:rPr>
              <w:rFonts w:ascii="Arial" w:hAnsi="Arial" w:cs="Arial"/>
              <w:b/>
              <w:bCs/>
              <w:noProof/>
              <w:color w:val="000000" w:themeColor="text1"/>
              <w:sz w:val="24"/>
              <w:szCs w:val="24"/>
            </w:rPr>
            <w:fldChar w:fldCharType="begin"/>
          </w:r>
          <w:r w:rsidRPr="005B4AFA">
            <w:rPr>
              <w:rFonts w:ascii="Arial" w:hAnsi="Arial" w:cs="Arial"/>
              <w:b/>
              <w:bCs/>
              <w:noProof/>
              <w:color w:val="000000" w:themeColor="text1"/>
              <w:sz w:val="24"/>
              <w:szCs w:val="24"/>
            </w:rPr>
            <w:instrText xml:space="preserve"> TOC \o "1-3" \h \z \u </w:instrText>
          </w:r>
          <w:r w:rsidRPr="005B4AFA">
            <w:rPr>
              <w:rFonts w:ascii="Arial" w:hAnsi="Arial" w:cs="Arial"/>
              <w:b/>
              <w:bCs/>
              <w:noProof/>
              <w:color w:val="000000" w:themeColor="text1"/>
              <w:sz w:val="24"/>
              <w:szCs w:val="24"/>
            </w:rPr>
            <w:fldChar w:fldCharType="separate"/>
          </w:r>
          <w:hyperlink w:anchor="_Toc225463905" w:history="1">
            <w:r w:rsidR="005B4AFA" w:rsidRPr="005B4AFA">
              <w:rPr>
                <w:rStyle w:val="Hyperlink"/>
                <w:rFonts w:ascii="Arial" w:hAnsi="Arial" w:cs="Arial"/>
                <w:noProof/>
                <w:lang w:val="en-US"/>
              </w:rPr>
              <w:t>Section 1</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_Toc225463905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w:t>
            </w:r>
            <w:r w:rsidR="005B4AFA" w:rsidRPr="005B4AFA">
              <w:rPr>
                <w:rFonts w:ascii="Arial" w:hAnsi="Arial" w:cs="Arial"/>
                <w:noProof/>
                <w:webHidden/>
              </w:rPr>
              <w:fldChar w:fldCharType="end"/>
            </w:r>
          </w:hyperlink>
        </w:p>
        <w:p w14:paraId="215B8CF0" w14:textId="35E1BBE2"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06" w:history="1">
            <w:r w:rsidR="005B4AFA" w:rsidRPr="005B4AFA">
              <w:rPr>
                <w:rStyle w:val="Hyperlink"/>
                <w:rFonts w:ascii="Arial" w:hAnsi="Arial" w:cs="Arial"/>
                <w:noProof/>
                <w:lang w:val="en-US"/>
              </w:rPr>
              <w:t>1.0 Organisational Context: Unilever PLC</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_Toc225463906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w:t>
            </w:r>
            <w:r w:rsidR="005B4AFA" w:rsidRPr="005B4AFA">
              <w:rPr>
                <w:rFonts w:ascii="Arial" w:hAnsi="Arial" w:cs="Arial"/>
                <w:noProof/>
                <w:webHidden/>
              </w:rPr>
              <w:fldChar w:fldCharType="end"/>
            </w:r>
          </w:hyperlink>
        </w:p>
        <w:p w14:paraId="503AA828" w14:textId="6179616F"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07" w:history="1">
            <w:r w:rsidR="005B4AFA" w:rsidRPr="005B4AFA">
              <w:rPr>
                <w:rStyle w:val="Hyperlink"/>
                <w:rFonts w:ascii="Arial" w:hAnsi="Arial" w:cs="Arial"/>
                <w:noProof/>
                <w:lang w:val="en-US"/>
              </w:rPr>
              <w:t>1.1 Mission, Vision and Business Model</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_Toc225463907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2</w:t>
            </w:r>
            <w:r w:rsidR="005B4AFA" w:rsidRPr="005B4AFA">
              <w:rPr>
                <w:rFonts w:ascii="Arial" w:hAnsi="Arial" w:cs="Arial"/>
                <w:noProof/>
                <w:webHidden/>
              </w:rPr>
              <w:fldChar w:fldCharType="end"/>
            </w:r>
          </w:hyperlink>
        </w:p>
        <w:p w14:paraId="7551DF9E" w14:textId="597D0D88"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08" w:history="1">
            <w:r w:rsidR="005B4AFA" w:rsidRPr="005B4AFA">
              <w:rPr>
                <w:rStyle w:val="Hyperlink"/>
                <w:rFonts w:ascii="Arial" w:hAnsi="Arial" w:cs="Arial"/>
                <w:noProof/>
                <w:lang w:val="en-US"/>
              </w:rPr>
              <w:t>1.2 Competitors and Industry Analysis and Position</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_Toc225463908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2</w:t>
            </w:r>
            <w:r w:rsidR="005B4AFA" w:rsidRPr="005B4AFA">
              <w:rPr>
                <w:rFonts w:ascii="Arial" w:hAnsi="Arial" w:cs="Arial"/>
                <w:noProof/>
                <w:webHidden/>
              </w:rPr>
              <w:fldChar w:fldCharType="end"/>
            </w:r>
          </w:hyperlink>
        </w:p>
        <w:p w14:paraId="60FCAF7A" w14:textId="2FA15051"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09" w:history="1">
            <w:r w:rsidR="005B4AFA" w:rsidRPr="005B4AFA">
              <w:rPr>
                <w:rStyle w:val="Hyperlink"/>
                <w:rFonts w:ascii="Arial" w:hAnsi="Arial" w:cs="Arial"/>
                <w:noProof/>
                <w:lang w:val="en-US"/>
              </w:rPr>
              <w:t>2.0 External and Internal Environment Analysis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_Toc225463909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4</w:t>
            </w:r>
            <w:r w:rsidR="005B4AFA" w:rsidRPr="005B4AFA">
              <w:rPr>
                <w:rFonts w:ascii="Arial" w:hAnsi="Arial" w:cs="Arial"/>
                <w:noProof/>
                <w:webHidden/>
              </w:rPr>
              <w:fldChar w:fldCharType="end"/>
            </w:r>
          </w:hyperlink>
        </w:p>
        <w:p w14:paraId="58E4B78E" w14:textId="53A21BB5"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0" w:history="1">
            <w:r w:rsidR="005B4AFA" w:rsidRPr="005B4AFA">
              <w:rPr>
                <w:rStyle w:val="Hyperlink"/>
                <w:rFonts w:ascii="Arial" w:hAnsi="Arial" w:cs="Arial"/>
                <w:noProof/>
                <w:lang w:val="en-US"/>
              </w:rPr>
              <w:t>2.1 PESTEL Analysis of Unilever PLC</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_Toc225463910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4</w:t>
            </w:r>
            <w:r w:rsidR="005B4AFA" w:rsidRPr="005B4AFA">
              <w:rPr>
                <w:rFonts w:ascii="Arial" w:hAnsi="Arial" w:cs="Arial"/>
                <w:noProof/>
                <w:webHidden/>
              </w:rPr>
              <w:fldChar w:fldCharType="end"/>
            </w:r>
          </w:hyperlink>
        </w:p>
        <w:p w14:paraId="5962B36D" w14:textId="63EF4B3C"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1" w:history="1">
            <w:r w:rsidR="005B4AFA" w:rsidRPr="005B4AFA">
              <w:rPr>
                <w:rStyle w:val="Hyperlink"/>
                <w:rFonts w:ascii="Arial" w:hAnsi="Arial" w:cs="Arial"/>
                <w:noProof/>
                <w:lang w:val="en-US"/>
              </w:rPr>
              <w:t>2.2 Strategic Challenges and Critical Success Factors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_Toc225463911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5</w:t>
            </w:r>
            <w:r w:rsidR="005B4AFA" w:rsidRPr="005B4AFA">
              <w:rPr>
                <w:rFonts w:ascii="Arial" w:hAnsi="Arial" w:cs="Arial"/>
                <w:noProof/>
                <w:webHidden/>
              </w:rPr>
              <w:fldChar w:fldCharType="end"/>
            </w:r>
          </w:hyperlink>
        </w:p>
        <w:p w14:paraId="3A8A4B91" w14:textId="4997D659"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2" w:history="1">
            <w:r w:rsidR="005B4AFA" w:rsidRPr="005B4AFA">
              <w:rPr>
                <w:rStyle w:val="Hyperlink"/>
                <w:rFonts w:ascii="Arial" w:hAnsi="Arial" w:cs="Arial"/>
                <w:noProof/>
                <w:lang w:val="en-US"/>
              </w:rPr>
              <w:t>2.3 Internal Environment: Resources, Capabilities and Core Competencies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_Toc225463912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6</w:t>
            </w:r>
            <w:r w:rsidR="005B4AFA" w:rsidRPr="005B4AFA">
              <w:rPr>
                <w:rFonts w:ascii="Arial" w:hAnsi="Arial" w:cs="Arial"/>
                <w:noProof/>
                <w:webHidden/>
              </w:rPr>
              <w:fldChar w:fldCharType="end"/>
            </w:r>
          </w:hyperlink>
        </w:p>
        <w:p w14:paraId="6681D3E3" w14:textId="61C96135"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3" w:history="1">
            <w:r w:rsidR="005B4AFA" w:rsidRPr="005B4AFA">
              <w:rPr>
                <w:rStyle w:val="Hyperlink"/>
                <w:rFonts w:ascii="Arial" w:hAnsi="Arial" w:cs="Arial"/>
                <w:noProof/>
                <w:lang w:val="en-US"/>
              </w:rPr>
              <w:t>2.4 VRIO Analysis of Unilever's Strategic Capabilities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_Toc225463913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7</w:t>
            </w:r>
            <w:r w:rsidR="005B4AFA" w:rsidRPr="005B4AFA">
              <w:rPr>
                <w:rFonts w:ascii="Arial" w:hAnsi="Arial" w:cs="Arial"/>
                <w:noProof/>
                <w:webHidden/>
              </w:rPr>
              <w:fldChar w:fldCharType="end"/>
            </w:r>
          </w:hyperlink>
        </w:p>
        <w:p w14:paraId="1DAA9FFB" w14:textId="5C128006"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4" w:history="1">
            <w:r w:rsidR="005B4AFA" w:rsidRPr="005B4AFA">
              <w:rPr>
                <w:rStyle w:val="Hyperlink"/>
                <w:rFonts w:ascii="Arial" w:hAnsi="Arial" w:cs="Arial"/>
                <w:noProof/>
                <w:lang w:val="en-US"/>
              </w:rPr>
              <w:t>2.5 Internal Strengths and Competitive Advantage</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_Toc225463914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8</w:t>
            </w:r>
            <w:r w:rsidR="005B4AFA" w:rsidRPr="005B4AFA">
              <w:rPr>
                <w:rFonts w:ascii="Arial" w:hAnsi="Arial" w:cs="Arial"/>
                <w:noProof/>
                <w:webHidden/>
              </w:rPr>
              <w:fldChar w:fldCharType="end"/>
            </w:r>
          </w:hyperlink>
        </w:p>
        <w:p w14:paraId="35C824F8" w14:textId="70CBA0DC"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15" w:history="1">
            <w:r w:rsidR="005B4AFA" w:rsidRPr="005B4AFA">
              <w:rPr>
                <w:rStyle w:val="Hyperlink"/>
                <w:rFonts w:ascii="Arial" w:hAnsi="Arial" w:cs="Arial"/>
                <w:noProof/>
                <w:lang w:val="en-US"/>
              </w:rPr>
              <w:t>3.0 CSR and Sustainability objectives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_Toc225463915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8</w:t>
            </w:r>
            <w:r w:rsidR="005B4AFA" w:rsidRPr="005B4AFA">
              <w:rPr>
                <w:rFonts w:ascii="Arial" w:hAnsi="Arial" w:cs="Arial"/>
                <w:noProof/>
                <w:webHidden/>
              </w:rPr>
              <w:fldChar w:fldCharType="end"/>
            </w:r>
          </w:hyperlink>
        </w:p>
        <w:p w14:paraId="5A3F0E31" w14:textId="10453004"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16" w:history="1">
            <w:r w:rsidR="005B4AFA" w:rsidRPr="005B4AFA">
              <w:rPr>
                <w:rStyle w:val="Hyperlink"/>
                <w:rFonts w:ascii="Arial" w:hAnsi="Arial" w:cs="Arial"/>
                <w:noProof/>
                <w:lang w:val="en-US"/>
              </w:rPr>
              <w:t>4.0 Comprehensive and Holistic View: The Balanced Scorecard of Unilever PLC</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_Toc225463916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9</w:t>
            </w:r>
            <w:r w:rsidR="005B4AFA" w:rsidRPr="005B4AFA">
              <w:rPr>
                <w:rFonts w:ascii="Arial" w:hAnsi="Arial" w:cs="Arial"/>
                <w:noProof/>
                <w:webHidden/>
              </w:rPr>
              <w:fldChar w:fldCharType="end"/>
            </w:r>
          </w:hyperlink>
        </w:p>
        <w:p w14:paraId="40104E4F" w14:textId="14C79459"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7" w:history="1">
            <w:r w:rsidR="005B4AFA" w:rsidRPr="005B4AFA">
              <w:rPr>
                <w:rStyle w:val="Hyperlink"/>
                <w:rFonts w:ascii="Arial" w:hAnsi="Arial" w:cs="Arial"/>
                <w:noProof/>
                <w:lang w:val="en-US"/>
              </w:rPr>
              <w:t>4.1 Discussion of the Four Core Perspectives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_Toc225463917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10</w:t>
            </w:r>
            <w:r w:rsidR="005B4AFA" w:rsidRPr="005B4AFA">
              <w:rPr>
                <w:rFonts w:ascii="Arial" w:hAnsi="Arial" w:cs="Arial"/>
                <w:noProof/>
                <w:webHidden/>
              </w:rPr>
              <w:fldChar w:fldCharType="end"/>
            </w:r>
          </w:hyperlink>
        </w:p>
        <w:p w14:paraId="4C9904BD" w14:textId="691BCB45"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18" w:history="1">
            <w:r w:rsidR="005B4AFA" w:rsidRPr="005B4AFA">
              <w:rPr>
                <w:rStyle w:val="Hyperlink"/>
                <w:rFonts w:ascii="Arial" w:hAnsi="Arial" w:cs="Arial"/>
                <w:noProof/>
                <w:lang w:val="en-US"/>
              </w:rPr>
              <w:t>4.2 Objectives, KPIs, Targets, and Initiatives Analysis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_Toc225463918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10</w:t>
            </w:r>
            <w:r w:rsidR="005B4AFA" w:rsidRPr="005B4AFA">
              <w:rPr>
                <w:rFonts w:ascii="Arial" w:hAnsi="Arial" w:cs="Arial"/>
                <w:noProof/>
                <w:webHidden/>
              </w:rPr>
              <w:fldChar w:fldCharType="end"/>
            </w:r>
          </w:hyperlink>
        </w:p>
        <w:p w14:paraId="2557B0E9" w14:textId="67CEA206"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19" w:history="1">
            <w:r w:rsidR="005B4AFA" w:rsidRPr="005B4AFA">
              <w:rPr>
                <w:rStyle w:val="Hyperlink"/>
                <w:rFonts w:ascii="Arial" w:hAnsi="Arial" w:cs="Arial"/>
                <w:noProof/>
                <w:lang w:val="en-US"/>
              </w:rPr>
              <w:t>5.0 Strategic Choices and Implementation.</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_Toc225463919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12</w:t>
            </w:r>
            <w:r w:rsidR="005B4AFA" w:rsidRPr="005B4AFA">
              <w:rPr>
                <w:rFonts w:ascii="Arial" w:hAnsi="Arial" w:cs="Arial"/>
                <w:noProof/>
                <w:webHidden/>
              </w:rPr>
              <w:fldChar w:fldCharType="end"/>
            </w:r>
          </w:hyperlink>
        </w:p>
        <w:p w14:paraId="302AA3DA" w14:textId="6A267829"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0" w:history="1">
            <w:r w:rsidR="005B4AFA" w:rsidRPr="005B4AFA">
              <w:rPr>
                <w:rStyle w:val="Hyperlink"/>
                <w:rFonts w:ascii="Arial" w:hAnsi="Arial" w:cs="Arial"/>
                <w:noProof/>
                <w:lang w:val="en-US"/>
              </w:rPr>
              <w:t>5.1 Business and Corporate Level Strategic Choices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_Toc225463920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12</w:t>
            </w:r>
            <w:r w:rsidR="005B4AFA" w:rsidRPr="005B4AFA">
              <w:rPr>
                <w:rFonts w:ascii="Arial" w:hAnsi="Arial" w:cs="Arial"/>
                <w:noProof/>
                <w:webHidden/>
              </w:rPr>
              <w:fldChar w:fldCharType="end"/>
            </w:r>
          </w:hyperlink>
        </w:p>
        <w:p w14:paraId="6EDCA76D" w14:textId="0F54F980"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1" w:history="1">
            <w:r w:rsidR="005B4AFA" w:rsidRPr="005B4AFA">
              <w:rPr>
                <w:rStyle w:val="Hyperlink"/>
                <w:rFonts w:ascii="Arial" w:hAnsi="Arial" w:cs="Arial"/>
                <w:noProof/>
                <w:lang w:val="en-US"/>
              </w:rPr>
              <w:t>5.2 Change Management and Strategic Implementation</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_Toc225463921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12</w:t>
            </w:r>
            <w:r w:rsidR="005B4AFA" w:rsidRPr="005B4AFA">
              <w:rPr>
                <w:rFonts w:ascii="Arial" w:hAnsi="Arial" w:cs="Arial"/>
                <w:noProof/>
                <w:webHidden/>
              </w:rPr>
              <w:fldChar w:fldCharType="end"/>
            </w:r>
          </w:hyperlink>
        </w:p>
        <w:p w14:paraId="220FFA82" w14:textId="3C6C157F"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22" w:history="1">
            <w:r w:rsidR="005B4AFA" w:rsidRPr="005B4AFA">
              <w:rPr>
                <w:rStyle w:val="Hyperlink"/>
                <w:rFonts w:ascii="Arial" w:hAnsi="Arial" w:cs="Arial"/>
                <w:noProof/>
              </w:rPr>
              <w:t>6.0 Strategic Evaluation and Recommendations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_Toc225463922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13</w:t>
            </w:r>
            <w:r w:rsidR="005B4AFA" w:rsidRPr="005B4AFA">
              <w:rPr>
                <w:rFonts w:ascii="Arial" w:hAnsi="Arial" w:cs="Arial"/>
                <w:noProof/>
                <w:webHidden/>
              </w:rPr>
              <w:fldChar w:fldCharType="end"/>
            </w:r>
          </w:hyperlink>
        </w:p>
        <w:p w14:paraId="5A0A1515" w14:textId="155FE6F7"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3" w:history="1">
            <w:r w:rsidR="005B4AFA" w:rsidRPr="005B4AFA">
              <w:rPr>
                <w:rStyle w:val="Hyperlink"/>
                <w:rFonts w:ascii="Arial" w:hAnsi="Arial" w:cs="Arial"/>
                <w:noProof/>
                <w:lang w:val="en-US"/>
              </w:rPr>
              <w:t>6.1 Strategic Critique of the Present-day Strategy</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_Toc225463923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13</w:t>
            </w:r>
            <w:r w:rsidR="005B4AFA" w:rsidRPr="005B4AFA">
              <w:rPr>
                <w:rFonts w:ascii="Arial" w:hAnsi="Arial" w:cs="Arial"/>
                <w:noProof/>
                <w:webHidden/>
              </w:rPr>
              <w:fldChar w:fldCharType="end"/>
            </w:r>
          </w:hyperlink>
        </w:p>
        <w:p w14:paraId="4FD7A7E3" w14:textId="0E05C14E"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4" w:history="1">
            <w:r w:rsidR="005B4AFA" w:rsidRPr="005B4AFA">
              <w:rPr>
                <w:rStyle w:val="Hyperlink"/>
                <w:rFonts w:ascii="Arial" w:hAnsi="Arial" w:cs="Arial"/>
                <w:noProof/>
                <w:lang w:val="en-US"/>
              </w:rPr>
              <w:t>6.2 Strategic Improvement Recommendations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_Toc225463924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14</w:t>
            </w:r>
            <w:r w:rsidR="005B4AFA" w:rsidRPr="005B4AFA">
              <w:rPr>
                <w:rFonts w:ascii="Arial" w:hAnsi="Arial" w:cs="Arial"/>
                <w:noProof/>
                <w:webHidden/>
              </w:rPr>
              <w:fldChar w:fldCharType="end"/>
            </w:r>
          </w:hyperlink>
        </w:p>
        <w:p w14:paraId="1F508077" w14:textId="55B81AD5"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5" w:history="1">
            <w:r w:rsidR="005B4AFA" w:rsidRPr="005B4AFA">
              <w:rPr>
                <w:rStyle w:val="Hyperlink"/>
                <w:rFonts w:ascii="Arial" w:hAnsi="Arial" w:cs="Arial"/>
                <w:noProof/>
                <w:lang w:val="en-US"/>
              </w:rPr>
              <w:t>6.3 Justification of Recommendations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_Toc225463925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15</w:t>
            </w:r>
            <w:r w:rsidR="005B4AFA" w:rsidRPr="005B4AFA">
              <w:rPr>
                <w:rFonts w:ascii="Arial" w:hAnsi="Arial" w:cs="Arial"/>
                <w:noProof/>
                <w:webHidden/>
              </w:rPr>
              <w:fldChar w:fldCharType="end"/>
            </w:r>
          </w:hyperlink>
        </w:p>
        <w:p w14:paraId="6E5D1644" w14:textId="40B69599"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26" w:history="1">
            <w:r w:rsidR="005B4AFA" w:rsidRPr="005B4AFA">
              <w:rPr>
                <w:rStyle w:val="Hyperlink"/>
                <w:rFonts w:ascii="Arial" w:hAnsi="Arial" w:cs="Arial"/>
                <w:noProof/>
                <w:lang w:val="en-US"/>
              </w:rPr>
              <w:t>Section 2</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_Toc225463926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16</w:t>
            </w:r>
            <w:r w:rsidR="005B4AFA" w:rsidRPr="005B4AFA">
              <w:rPr>
                <w:rFonts w:ascii="Arial" w:hAnsi="Arial" w:cs="Arial"/>
                <w:noProof/>
                <w:webHidden/>
              </w:rPr>
              <w:fldChar w:fldCharType="end"/>
            </w:r>
          </w:hyperlink>
        </w:p>
        <w:p w14:paraId="042C2206" w14:textId="0E3E7AAF"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27" w:history="1">
            <w:r w:rsidR="005B4AFA" w:rsidRPr="005B4AFA">
              <w:rPr>
                <w:rStyle w:val="Hyperlink"/>
                <w:rFonts w:ascii="Arial" w:hAnsi="Arial" w:cs="Arial"/>
                <w:noProof/>
                <w:lang w:val="en-US"/>
              </w:rPr>
              <w:t>Reflective Report of the Research and Analytical Process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_Toc225463927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16</w:t>
            </w:r>
            <w:r w:rsidR="005B4AFA" w:rsidRPr="005B4AFA">
              <w:rPr>
                <w:rFonts w:ascii="Arial" w:hAnsi="Arial" w:cs="Arial"/>
                <w:noProof/>
                <w:webHidden/>
              </w:rPr>
              <w:fldChar w:fldCharType="end"/>
            </w:r>
          </w:hyperlink>
        </w:p>
        <w:p w14:paraId="2C21E246" w14:textId="157D9C04"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8" w:history="1">
            <w:r w:rsidR="005B4AFA" w:rsidRPr="005B4AFA">
              <w:rPr>
                <w:rStyle w:val="Hyperlink"/>
                <w:rFonts w:ascii="Arial" w:hAnsi="Arial" w:cs="Arial"/>
                <w:noProof/>
                <w:lang w:val="en-US"/>
              </w:rPr>
              <w:t>1 Introduction: The Study Process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_Toc225463928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16</w:t>
            </w:r>
            <w:r w:rsidR="005B4AFA" w:rsidRPr="005B4AFA">
              <w:rPr>
                <w:rFonts w:ascii="Arial" w:hAnsi="Arial" w:cs="Arial"/>
                <w:noProof/>
                <w:webHidden/>
              </w:rPr>
              <w:fldChar w:fldCharType="end"/>
            </w:r>
          </w:hyperlink>
        </w:p>
        <w:p w14:paraId="2AF263B5" w14:textId="6B2C30B2"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29" w:history="1">
            <w:r w:rsidR="005B4AFA" w:rsidRPr="005B4AFA">
              <w:rPr>
                <w:rStyle w:val="Hyperlink"/>
                <w:rFonts w:ascii="Arial" w:hAnsi="Arial" w:cs="Arial"/>
                <w:noProof/>
                <w:lang w:val="en-US"/>
              </w:rPr>
              <w:t>2 Feelings: Problems and Discoveries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_Toc225463929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16</w:t>
            </w:r>
            <w:r w:rsidR="005B4AFA" w:rsidRPr="005B4AFA">
              <w:rPr>
                <w:rFonts w:ascii="Arial" w:hAnsi="Arial" w:cs="Arial"/>
                <w:noProof/>
                <w:webHidden/>
              </w:rPr>
              <w:fldChar w:fldCharType="end"/>
            </w:r>
          </w:hyperlink>
        </w:p>
        <w:p w14:paraId="2FE7ED26" w14:textId="6EB1DFE1"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30" w:history="1">
            <w:r w:rsidR="005B4AFA" w:rsidRPr="005B4AFA">
              <w:rPr>
                <w:rStyle w:val="Hyperlink"/>
                <w:rFonts w:ascii="Arial" w:hAnsi="Arial" w:cs="Arial"/>
                <w:noProof/>
                <w:lang w:val="en-US"/>
              </w:rPr>
              <w:t>3 Evaluation: What Succeeded and What Failed</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_Toc225463930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17</w:t>
            </w:r>
            <w:r w:rsidR="005B4AFA" w:rsidRPr="005B4AFA">
              <w:rPr>
                <w:rFonts w:ascii="Arial" w:hAnsi="Arial" w:cs="Arial"/>
                <w:noProof/>
                <w:webHidden/>
              </w:rPr>
              <w:fldChar w:fldCharType="end"/>
            </w:r>
          </w:hyperlink>
        </w:p>
        <w:p w14:paraId="6F818ED6" w14:textId="04AD37C0"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31" w:history="1">
            <w:r w:rsidR="005B4AFA" w:rsidRPr="005B4AFA">
              <w:rPr>
                <w:rStyle w:val="Hyperlink"/>
                <w:rFonts w:ascii="Arial" w:hAnsi="Arial" w:cs="Arial"/>
                <w:noProof/>
                <w:lang w:val="en-US"/>
              </w:rPr>
              <w:t>4 Analysis: Theoretical Synthesis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_Toc225463931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17</w:t>
            </w:r>
            <w:r w:rsidR="005B4AFA" w:rsidRPr="005B4AFA">
              <w:rPr>
                <w:rFonts w:ascii="Arial" w:hAnsi="Arial" w:cs="Arial"/>
                <w:noProof/>
                <w:webHidden/>
              </w:rPr>
              <w:fldChar w:fldCharType="end"/>
            </w:r>
          </w:hyperlink>
        </w:p>
        <w:p w14:paraId="5851A53F" w14:textId="3758CB03"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32" w:history="1">
            <w:r w:rsidR="005B4AFA" w:rsidRPr="005B4AFA">
              <w:rPr>
                <w:rStyle w:val="Hyperlink"/>
                <w:rFonts w:ascii="Arial" w:hAnsi="Arial" w:cs="Arial"/>
                <w:noProof/>
                <w:lang w:val="en-US"/>
              </w:rPr>
              <w:t>5. Conclusion: Learning Outcomes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_Toc225463932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18</w:t>
            </w:r>
            <w:r w:rsidR="005B4AFA" w:rsidRPr="005B4AFA">
              <w:rPr>
                <w:rFonts w:ascii="Arial" w:hAnsi="Arial" w:cs="Arial"/>
                <w:noProof/>
                <w:webHidden/>
              </w:rPr>
              <w:fldChar w:fldCharType="end"/>
            </w:r>
          </w:hyperlink>
        </w:p>
        <w:p w14:paraId="4F3D4551" w14:textId="5D347A0A" w:rsidR="005B4AFA" w:rsidRPr="005B4AFA" w:rsidRDefault="006B4228">
          <w:pPr>
            <w:pStyle w:val="TOC2"/>
            <w:tabs>
              <w:tab w:val="right" w:leader="dot" w:pos="9016"/>
            </w:tabs>
            <w:rPr>
              <w:rFonts w:ascii="Arial" w:eastAsiaTheme="minorEastAsia" w:hAnsi="Arial" w:cs="Arial"/>
              <w:noProof/>
              <w:kern w:val="2"/>
              <w:sz w:val="24"/>
              <w:szCs w:val="24"/>
              <w:lang w:val="en-US"/>
              <w14:ligatures w14:val="standardContextual"/>
            </w:rPr>
          </w:pPr>
          <w:hyperlink w:anchor="_Toc225463933" w:history="1">
            <w:r w:rsidR="005B4AFA" w:rsidRPr="005B4AFA">
              <w:rPr>
                <w:rStyle w:val="Hyperlink"/>
                <w:rFonts w:ascii="Arial" w:hAnsi="Arial" w:cs="Arial"/>
                <w:noProof/>
                <w:lang w:val="en-US"/>
              </w:rPr>
              <w:t>6 Action Plan: Future Practice</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_Toc225463933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18</w:t>
            </w:r>
            <w:r w:rsidR="005B4AFA" w:rsidRPr="005B4AFA">
              <w:rPr>
                <w:rFonts w:ascii="Arial" w:hAnsi="Arial" w:cs="Arial"/>
                <w:noProof/>
                <w:webHidden/>
              </w:rPr>
              <w:fldChar w:fldCharType="end"/>
            </w:r>
          </w:hyperlink>
        </w:p>
        <w:p w14:paraId="7C990FAF" w14:textId="069F86CB"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34" w:history="1">
            <w:r w:rsidR="005B4AFA" w:rsidRPr="005B4AFA">
              <w:rPr>
                <w:rStyle w:val="Hyperlink"/>
                <w:rFonts w:ascii="Arial" w:hAnsi="Arial" w:cs="Arial"/>
                <w:noProof/>
              </w:rPr>
              <w:t>Conclusion</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_Toc225463934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19</w:t>
            </w:r>
            <w:r w:rsidR="005B4AFA" w:rsidRPr="005B4AFA">
              <w:rPr>
                <w:rFonts w:ascii="Arial" w:hAnsi="Arial" w:cs="Arial"/>
                <w:noProof/>
                <w:webHidden/>
              </w:rPr>
              <w:fldChar w:fldCharType="end"/>
            </w:r>
          </w:hyperlink>
        </w:p>
        <w:p w14:paraId="16FBB5EC" w14:textId="511251B3" w:rsidR="005B4AFA" w:rsidRPr="005B4AFA" w:rsidRDefault="006B4228">
          <w:pPr>
            <w:pStyle w:val="TOC1"/>
            <w:tabs>
              <w:tab w:val="right" w:leader="dot" w:pos="9016"/>
            </w:tabs>
            <w:rPr>
              <w:rFonts w:ascii="Arial" w:eastAsiaTheme="minorEastAsia" w:hAnsi="Arial" w:cs="Arial"/>
              <w:noProof/>
              <w:kern w:val="2"/>
              <w:sz w:val="24"/>
              <w:szCs w:val="24"/>
              <w:lang w:val="en-US"/>
              <w14:ligatures w14:val="standardContextual"/>
            </w:rPr>
          </w:pPr>
          <w:hyperlink w:anchor="_Toc225463935" w:history="1">
            <w:r w:rsidR="005B4AFA" w:rsidRPr="005B4AFA">
              <w:rPr>
                <w:rStyle w:val="Hyperlink"/>
                <w:rFonts w:ascii="Arial" w:hAnsi="Arial" w:cs="Arial"/>
                <w:noProof/>
              </w:rPr>
              <w:t>Reference</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_Toc225463935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20</w:t>
            </w:r>
            <w:r w:rsidR="005B4AFA" w:rsidRPr="005B4AFA">
              <w:rPr>
                <w:rFonts w:ascii="Arial" w:hAnsi="Arial" w:cs="Arial"/>
                <w:noProof/>
                <w:webHidden/>
              </w:rPr>
              <w:fldChar w:fldCharType="end"/>
            </w:r>
          </w:hyperlink>
        </w:p>
        <w:p w14:paraId="5DD5A00A" w14:textId="517ED043" w:rsidR="00B501C2" w:rsidRPr="005B4AFA" w:rsidRDefault="00B501C2" w:rsidP="00B501C2">
          <w:pPr>
            <w:spacing w:line="360" w:lineRule="auto"/>
            <w:rPr>
              <w:rFonts w:ascii="Arial" w:hAnsi="Arial" w:cs="Arial"/>
              <w:color w:val="000000" w:themeColor="text1"/>
            </w:rPr>
          </w:pPr>
          <w:r w:rsidRPr="005B4AFA">
            <w:rPr>
              <w:rFonts w:ascii="Arial" w:hAnsi="Arial" w:cs="Arial"/>
              <w:b/>
              <w:bCs/>
              <w:noProof/>
              <w:color w:val="000000" w:themeColor="text1"/>
              <w:sz w:val="24"/>
              <w:szCs w:val="24"/>
            </w:rPr>
            <w:fldChar w:fldCharType="end"/>
          </w:r>
        </w:p>
      </w:sdtContent>
    </w:sdt>
    <w:p w14:paraId="67698502" w14:textId="77777777" w:rsidR="00B501C2" w:rsidRPr="005B4AFA" w:rsidRDefault="00B501C2" w:rsidP="00B501C2">
      <w:pPr>
        <w:pStyle w:val="TableofFigures"/>
        <w:tabs>
          <w:tab w:val="right" w:leader="dot" w:pos="9016"/>
        </w:tabs>
        <w:rPr>
          <w:rFonts w:ascii="Arial" w:hAnsi="Arial" w:cs="Arial"/>
          <w:color w:val="000000" w:themeColor="text1"/>
          <w:sz w:val="24"/>
          <w:szCs w:val="24"/>
        </w:rPr>
      </w:pPr>
    </w:p>
    <w:p w14:paraId="3AF5F50A" w14:textId="77777777" w:rsidR="00B501C2" w:rsidRPr="005B4AFA" w:rsidRDefault="00B501C2" w:rsidP="00B501C2">
      <w:pPr>
        <w:pStyle w:val="TableofFigures"/>
        <w:tabs>
          <w:tab w:val="right" w:leader="dot" w:pos="9016"/>
        </w:tabs>
        <w:rPr>
          <w:rFonts w:ascii="Arial" w:hAnsi="Arial" w:cs="Arial"/>
          <w:color w:val="000000" w:themeColor="text1"/>
          <w:sz w:val="24"/>
          <w:szCs w:val="24"/>
        </w:rPr>
      </w:pPr>
      <w:bookmarkStart w:id="0" w:name="_GoBack"/>
      <w:bookmarkEnd w:id="0"/>
    </w:p>
    <w:p w14:paraId="08C66231" w14:textId="77777777" w:rsidR="00B501C2" w:rsidRPr="005B4AFA" w:rsidRDefault="00B501C2" w:rsidP="00B501C2">
      <w:pPr>
        <w:pStyle w:val="TableofFigures"/>
        <w:tabs>
          <w:tab w:val="right" w:leader="dot" w:pos="9016"/>
        </w:tabs>
        <w:jc w:val="center"/>
        <w:rPr>
          <w:rFonts w:ascii="Arial" w:hAnsi="Arial" w:cs="Arial"/>
          <w:b/>
          <w:bCs/>
          <w:color w:val="000000" w:themeColor="text1"/>
          <w:sz w:val="24"/>
          <w:szCs w:val="24"/>
        </w:rPr>
      </w:pPr>
      <w:r w:rsidRPr="005B4AFA">
        <w:rPr>
          <w:rFonts w:ascii="Arial" w:hAnsi="Arial" w:cs="Arial"/>
          <w:b/>
          <w:bCs/>
          <w:color w:val="000000" w:themeColor="text1"/>
          <w:sz w:val="24"/>
          <w:szCs w:val="24"/>
        </w:rPr>
        <w:lastRenderedPageBreak/>
        <w:t xml:space="preserve">Contents of Table </w:t>
      </w:r>
    </w:p>
    <w:p w14:paraId="375710A8" w14:textId="5978E807" w:rsidR="005B4AFA" w:rsidRPr="005B4AFA" w:rsidRDefault="00B501C2">
      <w:pPr>
        <w:pStyle w:val="TableofFigures"/>
        <w:tabs>
          <w:tab w:val="right" w:leader="dot" w:pos="9016"/>
        </w:tabs>
        <w:rPr>
          <w:rFonts w:ascii="Arial" w:eastAsiaTheme="minorEastAsia" w:hAnsi="Arial" w:cs="Arial"/>
          <w:noProof/>
          <w:kern w:val="2"/>
          <w:sz w:val="24"/>
          <w:szCs w:val="24"/>
          <w:lang w:val="en-US"/>
          <w14:ligatures w14:val="standardContextual"/>
        </w:rPr>
      </w:pPr>
      <w:r w:rsidRPr="005B4AFA">
        <w:rPr>
          <w:rFonts w:ascii="Arial" w:hAnsi="Arial" w:cs="Arial"/>
          <w:color w:val="000000" w:themeColor="text1"/>
          <w:sz w:val="24"/>
          <w:szCs w:val="24"/>
        </w:rPr>
        <w:fldChar w:fldCharType="begin"/>
      </w:r>
      <w:r w:rsidRPr="005B4AFA">
        <w:rPr>
          <w:rFonts w:ascii="Arial" w:hAnsi="Arial" w:cs="Arial"/>
          <w:color w:val="000000" w:themeColor="text1"/>
          <w:sz w:val="24"/>
          <w:szCs w:val="24"/>
        </w:rPr>
        <w:instrText xml:space="preserve"> TOC \h \z \c "Table" </w:instrText>
      </w:r>
      <w:r w:rsidRPr="005B4AFA">
        <w:rPr>
          <w:rFonts w:ascii="Arial" w:hAnsi="Arial" w:cs="Arial"/>
          <w:color w:val="000000" w:themeColor="text1"/>
          <w:sz w:val="24"/>
          <w:szCs w:val="24"/>
        </w:rPr>
        <w:fldChar w:fldCharType="separate"/>
      </w:r>
      <w:hyperlink w:anchor="_Toc225463902" w:history="1">
        <w:r w:rsidR="005B4AFA" w:rsidRPr="005B4AFA">
          <w:rPr>
            <w:rStyle w:val="Hyperlink"/>
            <w:rFonts w:ascii="Arial" w:hAnsi="Arial" w:cs="Arial"/>
            <w:noProof/>
          </w:rPr>
          <w:t>Table 1: PESTEL Analysis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_Toc225463902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5</w:t>
        </w:r>
        <w:r w:rsidR="005B4AFA" w:rsidRPr="005B4AFA">
          <w:rPr>
            <w:rFonts w:ascii="Arial" w:hAnsi="Arial" w:cs="Arial"/>
            <w:noProof/>
            <w:webHidden/>
          </w:rPr>
          <w:fldChar w:fldCharType="end"/>
        </w:r>
      </w:hyperlink>
    </w:p>
    <w:p w14:paraId="2226DF6A" w14:textId="1BA1AA58" w:rsidR="005B4AFA" w:rsidRPr="005B4AFA" w:rsidRDefault="006B4228">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5463903" w:history="1">
        <w:r w:rsidR="005B4AFA" w:rsidRPr="005B4AFA">
          <w:rPr>
            <w:rStyle w:val="Hyperlink"/>
            <w:rFonts w:ascii="Arial" w:hAnsi="Arial" w:cs="Arial"/>
            <w:noProof/>
          </w:rPr>
          <w:t>Table 2: VRIO Analysis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_Toc225463903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7</w:t>
        </w:r>
        <w:r w:rsidR="005B4AFA" w:rsidRPr="005B4AFA">
          <w:rPr>
            <w:rFonts w:ascii="Arial" w:hAnsi="Arial" w:cs="Arial"/>
            <w:noProof/>
            <w:webHidden/>
          </w:rPr>
          <w:fldChar w:fldCharType="end"/>
        </w:r>
      </w:hyperlink>
    </w:p>
    <w:p w14:paraId="4855ABF1" w14:textId="2F1207CB" w:rsidR="005B4AFA" w:rsidRPr="005B4AFA" w:rsidRDefault="006B4228">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5463904" w:history="1">
        <w:r w:rsidR="005B4AFA" w:rsidRPr="005B4AFA">
          <w:rPr>
            <w:rStyle w:val="Hyperlink"/>
            <w:rFonts w:ascii="Arial" w:hAnsi="Arial" w:cs="Arial"/>
            <w:noProof/>
          </w:rPr>
          <w:t>Table 3: Four Core Perspectives</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_Toc225463904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10</w:t>
        </w:r>
        <w:r w:rsidR="005B4AFA" w:rsidRPr="005B4AFA">
          <w:rPr>
            <w:rFonts w:ascii="Arial" w:hAnsi="Arial" w:cs="Arial"/>
            <w:noProof/>
            <w:webHidden/>
          </w:rPr>
          <w:fldChar w:fldCharType="end"/>
        </w:r>
      </w:hyperlink>
    </w:p>
    <w:p w14:paraId="127CC985" w14:textId="19B20C80" w:rsidR="00B501C2" w:rsidRPr="005B4AFA" w:rsidRDefault="00B501C2" w:rsidP="00B501C2">
      <w:pPr>
        <w:spacing w:line="360" w:lineRule="auto"/>
        <w:jc w:val="both"/>
        <w:rPr>
          <w:rFonts w:ascii="Arial" w:hAnsi="Arial" w:cs="Arial"/>
          <w:color w:val="000000" w:themeColor="text1"/>
          <w:sz w:val="24"/>
          <w:szCs w:val="24"/>
        </w:rPr>
      </w:pPr>
      <w:r w:rsidRPr="005B4AFA">
        <w:rPr>
          <w:rFonts w:ascii="Arial" w:hAnsi="Arial" w:cs="Arial"/>
          <w:color w:val="000000" w:themeColor="text1"/>
          <w:sz w:val="24"/>
          <w:szCs w:val="24"/>
        </w:rPr>
        <w:fldChar w:fldCharType="end"/>
      </w:r>
    </w:p>
    <w:p w14:paraId="584BBA33" w14:textId="77777777" w:rsidR="00B501C2" w:rsidRPr="005B4AFA" w:rsidRDefault="00B501C2" w:rsidP="00B501C2">
      <w:pPr>
        <w:spacing w:line="360" w:lineRule="auto"/>
        <w:jc w:val="center"/>
        <w:rPr>
          <w:rFonts w:ascii="Arial" w:hAnsi="Arial" w:cs="Arial"/>
          <w:b/>
          <w:bCs/>
          <w:color w:val="000000" w:themeColor="text1"/>
          <w:sz w:val="24"/>
          <w:szCs w:val="24"/>
        </w:rPr>
      </w:pPr>
      <w:r w:rsidRPr="005B4AFA">
        <w:rPr>
          <w:rFonts w:ascii="Arial" w:hAnsi="Arial" w:cs="Arial"/>
          <w:b/>
          <w:bCs/>
          <w:color w:val="000000" w:themeColor="text1"/>
          <w:sz w:val="24"/>
          <w:szCs w:val="24"/>
        </w:rPr>
        <w:t>Contents of Figures</w:t>
      </w:r>
    </w:p>
    <w:p w14:paraId="647CFCB8" w14:textId="14E57E39" w:rsidR="005B4AFA" w:rsidRPr="005B4AFA" w:rsidRDefault="00B501C2">
      <w:pPr>
        <w:pStyle w:val="TableofFigures"/>
        <w:tabs>
          <w:tab w:val="right" w:leader="dot" w:pos="9016"/>
        </w:tabs>
        <w:rPr>
          <w:rFonts w:ascii="Arial" w:eastAsiaTheme="minorEastAsia" w:hAnsi="Arial" w:cs="Arial"/>
          <w:noProof/>
          <w:kern w:val="2"/>
          <w:sz w:val="24"/>
          <w:szCs w:val="24"/>
          <w:lang w:val="en-US"/>
          <w14:ligatures w14:val="standardContextual"/>
        </w:rPr>
      </w:pPr>
      <w:r w:rsidRPr="005B4AFA">
        <w:rPr>
          <w:rFonts w:ascii="Arial" w:hAnsi="Arial" w:cs="Arial"/>
          <w:color w:val="000000" w:themeColor="text1"/>
          <w:sz w:val="24"/>
          <w:szCs w:val="24"/>
        </w:rPr>
        <w:fldChar w:fldCharType="begin"/>
      </w:r>
      <w:r w:rsidRPr="005B4AFA">
        <w:rPr>
          <w:rFonts w:ascii="Arial" w:hAnsi="Arial" w:cs="Arial"/>
          <w:color w:val="000000" w:themeColor="text1"/>
          <w:sz w:val="24"/>
          <w:szCs w:val="24"/>
        </w:rPr>
        <w:instrText xml:space="preserve"> TOC \h \z \c "Figure" </w:instrText>
      </w:r>
      <w:r w:rsidRPr="005B4AFA">
        <w:rPr>
          <w:rFonts w:ascii="Arial" w:hAnsi="Arial" w:cs="Arial"/>
          <w:color w:val="000000" w:themeColor="text1"/>
          <w:sz w:val="24"/>
          <w:szCs w:val="24"/>
        </w:rPr>
        <w:fldChar w:fldCharType="separate"/>
      </w:r>
      <w:hyperlink w:anchor="_Toc225463897" w:history="1">
        <w:r w:rsidR="005B4AFA" w:rsidRPr="005B4AFA">
          <w:rPr>
            <w:rStyle w:val="Hyperlink"/>
            <w:rFonts w:ascii="Arial" w:hAnsi="Arial" w:cs="Arial"/>
            <w:noProof/>
          </w:rPr>
          <w:t>Figure 1: Unilever</w:t>
        </w:r>
        <w:r w:rsidR="005B4AFA" w:rsidRPr="005B4AFA">
          <w:rPr>
            <w:rFonts w:ascii="Arial" w:hAnsi="Arial" w:cs="Arial"/>
            <w:noProof/>
            <w:webHidden/>
          </w:rPr>
          <w:tab/>
        </w:r>
        <w:r w:rsidR="005B4AFA" w:rsidRPr="005B4AFA">
          <w:rPr>
            <w:rFonts w:ascii="Arial" w:hAnsi="Arial" w:cs="Arial"/>
            <w:noProof/>
            <w:webHidden/>
          </w:rPr>
          <w:fldChar w:fldCharType="begin"/>
        </w:r>
        <w:r w:rsidR="005B4AFA" w:rsidRPr="005B4AFA">
          <w:rPr>
            <w:rFonts w:ascii="Arial" w:hAnsi="Arial" w:cs="Arial"/>
            <w:noProof/>
            <w:webHidden/>
          </w:rPr>
          <w:instrText xml:space="preserve"> PAGEREF _Toc225463897 \h </w:instrText>
        </w:r>
        <w:r w:rsidR="005B4AFA" w:rsidRPr="005B4AFA">
          <w:rPr>
            <w:rFonts w:ascii="Arial" w:hAnsi="Arial" w:cs="Arial"/>
            <w:noProof/>
            <w:webHidden/>
          </w:rPr>
        </w:r>
        <w:r w:rsidR="005B4AFA" w:rsidRPr="005B4AFA">
          <w:rPr>
            <w:rFonts w:ascii="Arial" w:hAnsi="Arial" w:cs="Arial"/>
            <w:noProof/>
            <w:webHidden/>
          </w:rPr>
          <w:fldChar w:fldCharType="separate"/>
        </w:r>
        <w:r w:rsidR="005B4AFA" w:rsidRPr="005B4AFA">
          <w:rPr>
            <w:rFonts w:ascii="Arial" w:hAnsi="Arial" w:cs="Arial"/>
            <w:noProof/>
            <w:webHidden/>
          </w:rPr>
          <w:t>1</w:t>
        </w:r>
        <w:r w:rsidR="005B4AFA" w:rsidRPr="005B4AFA">
          <w:rPr>
            <w:rFonts w:ascii="Arial" w:hAnsi="Arial" w:cs="Arial"/>
            <w:noProof/>
            <w:webHidden/>
          </w:rPr>
          <w:fldChar w:fldCharType="end"/>
        </w:r>
      </w:hyperlink>
    </w:p>
    <w:p w14:paraId="7D7C3A14" w14:textId="29F80D71" w:rsidR="00B501C2" w:rsidRPr="00294F8F" w:rsidRDefault="00B501C2" w:rsidP="00B501C2">
      <w:pPr>
        <w:spacing w:line="360" w:lineRule="auto"/>
        <w:jc w:val="both"/>
        <w:rPr>
          <w:rFonts w:ascii="Arial" w:hAnsi="Arial" w:cs="Arial"/>
          <w:color w:val="000000" w:themeColor="text1"/>
          <w:sz w:val="24"/>
          <w:szCs w:val="24"/>
        </w:rPr>
        <w:sectPr w:rsidR="00B501C2" w:rsidRPr="00294F8F" w:rsidSect="00B501C2">
          <w:pgSz w:w="11906" w:h="16838"/>
          <w:pgMar w:top="1440" w:right="1440" w:bottom="1440" w:left="1440" w:header="720" w:footer="720" w:gutter="0"/>
          <w:pgNumType w:start="0"/>
          <w:cols w:space="720"/>
          <w:titlePg/>
          <w:docGrid w:linePitch="299"/>
        </w:sectPr>
      </w:pPr>
      <w:r w:rsidRPr="005B4AFA">
        <w:rPr>
          <w:rFonts w:ascii="Arial" w:hAnsi="Arial" w:cs="Arial"/>
          <w:color w:val="000000" w:themeColor="text1"/>
          <w:sz w:val="24"/>
          <w:szCs w:val="24"/>
        </w:rPr>
        <w:fldChar w:fldCharType="end"/>
      </w:r>
    </w:p>
    <w:p w14:paraId="11814A8B" w14:textId="0BBA6DE7" w:rsidR="00C5463D" w:rsidRPr="00F75A88" w:rsidRDefault="00F75A88" w:rsidP="00F75A88">
      <w:pPr>
        <w:pStyle w:val="Heading1"/>
        <w:jc w:val="center"/>
        <w:rPr>
          <w:u w:val="single"/>
          <w:lang w:val="en-US"/>
        </w:rPr>
      </w:pPr>
      <w:bookmarkStart w:id="1" w:name="_Toc225463905"/>
      <w:r w:rsidRPr="00F75A88">
        <w:rPr>
          <w:u w:val="single"/>
          <w:lang w:val="en-US"/>
        </w:rPr>
        <w:lastRenderedPageBreak/>
        <w:t>Section 1</w:t>
      </w:r>
      <w:bookmarkEnd w:id="1"/>
    </w:p>
    <w:p w14:paraId="50B74F9E" w14:textId="7CEFAB08" w:rsidR="00F116CD" w:rsidRPr="00F116CD" w:rsidRDefault="00F116CD" w:rsidP="00F116CD">
      <w:pPr>
        <w:pStyle w:val="Heading1"/>
        <w:rPr>
          <w:lang w:val="en-US"/>
        </w:rPr>
      </w:pPr>
      <w:bookmarkStart w:id="2" w:name="_Toc225463906"/>
      <w:r w:rsidRPr="00F116CD">
        <w:rPr>
          <w:lang w:val="en-US"/>
        </w:rPr>
        <w:t>1.0 Organisational Context: Unilever PLC</w:t>
      </w:r>
      <w:bookmarkEnd w:id="2"/>
    </w:p>
    <w:p w14:paraId="23763CC9" w14:textId="1BFFEEEA" w:rsid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color w:val="000000" w:themeColor="text1"/>
          <w:sz w:val="24"/>
          <w:szCs w:val="24"/>
          <w:lang w:val="en-US"/>
        </w:rPr>
        <w:t xml:space="preserve">Unilever PLC is a leading British multinational company dealing with consumer goods, which is based in London. Founded in 1929, the resultant merger of a Dutch margarine manufacturer, Margarine Unie, with the British soap producer Lever Brothers led to the organization becoming a global giant </w:t>
      </w:r>
      <w:r w:rsidR="0073518B" w:rsidRPr="0073518B">
        <w:rPr>
          <w:rFonts w:ascii="Arial" w:hAnsi="Arial" w:cs="Arial"/>
          <w:color w:val="000000" w:themeColor="text1"/>
          <w:sz w:val="24"/>
          <w:szCs w:val="24"/>
          <w:lang w:val="en-US"/>
        </w:rPr>
        <w:t>(Lera, 2020)</w:t>
      </w:r>
      <w:r w:rsidRPr="00F116CD">
        <w:rPr>
          <w:rFonts w:ascii="Arial" w:hAnsi="Arial" w:cs="Arial"/>
          <w:color w:val="000000" w:themeColor="text1"/>
          <w:sz w:val="24"/>
          <w:szCs w:val="24"/>
          <w:lang w:val="en-US"/>
        </w:rPr>
        <w:t>. It is currently doing business in 190 countries, and its products are consumed by around 3.4 billion people every day (Unilever, 2025).</w:t>
      </w:r>
    </w:p>
    <w:p w14:paraId="0F80ECA8" w14:textId="77777777" w:rsidR="00B125B9" w:rsidRDefault="00B125B9" w:rsidP="00B125B9">
      <w:pPr>
        <w:keepNext/>
        <w:spacing w:after="240" w:line="360" w:lineRule="auto"/>
        <w:jc w:val="center"/>
      </w:pPr>
      <w:r>
        <w:rPr>
          <w:noProof/>
          <w:lang w:val="en-US"/>
          <w14:ligatures w14:val="standardContextual"/>
        </w:rPr>
        <w:drawing>
          <wp:inline distT="0" distB="0" distL="0" distR="0" wp14:anchorId="7F64F66F" wp14:editId="150A8733">
            <wp:extent cx="2637790" cy="2493005"/>
            <wp:effectExtent l="0" t="0" r="0" b="3175"/>
            <wp:docPr id="363212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212591" name=""/>
                    <pic:cNvPicPr/>
                  </pic:nvPicPr>
                  <pic:blipFill>
                    <a:blip r:embed="rId9"/>
                    <a:stretch>
                      <a:fillRect/>
                    </a:stretch>
                  </pic:blipFill>
                  <pic:spPr>
                    <a:xfrm>
                      <a:off x="0" y="0"/>
                      <a:ext cx="2647051" cy="2501757"/>
                    </a:xfrm>
                    <a:prstGeom prst="rect">
                      <a:avLst/>
                    </a:prstGeom>
                  </pic:spPr>
                </pic:pic>
              </a:graphicData>
            </a:graphic>
          </wp:inline>
        </w:drawing>
      </w:r>
    </w:p>
    <w:p w14:paraId="3A48C64C" w14:textId="131F1666" w:rsidR="00B125B9" w:rsidRDefault="00B125B9" w:rsidP="00B125B9">
      <w:pPr>
        <w:pStyle w:val="Caption"/>
        <w:jc w:val="center"/>
      </w:pPr>
      <w:bookmarkStart w:id="3" w:name="_Toc225463897"/>
      <w:r>
        <w:t xml:space="preserve">Figure </w:t>
      </w:r>
      <w:r>
        <w:fldChar w:fldCharType="begin"/>
      </w:r>
      <w:r>
        <w:instrText xml:space="preserve"> SEQ Figure \* ARABIC </w:instrText>
      </w:r>
      <w:r>
        <w:fldChar w:fldCharType="separate"/>
      </w:r>
      <w:r>
        <w:rPr>
          <w:noProof/>
        </w:rPr>
        <w:t>1</w:t>
      </w:r>
      <w:r>
        <w:fldChar w:fldCharType="end"/>
      </w:r>
      <w:r>
        <w:t>: Unilever</w:t>
      </w:r>
      <w:bookmarkEnd w:id="3"/>
    </w:p>
    <w:p w14:paraId="37D4AAEB" w14:textId="448AB918" w:rsidR="00B125B9" w:rsidRPr="00F9048D" w:rsidRDefault="00B125B9" w:rsidP="00201D38">
      <w:pPr>
        <w:jc w:val="center"/>
        <w:rPr>
          <w:rFonts w:ascii="Arial" w:hAnsi="Arial" w:cs="Arial"/>
          <w:lang w:val="en-US"/>
        </w:rPr>
      </w:pPr>
      <w:r w:rsidRPr="00410D77">
        <w:rPr>
          <w:rFonts w:ascii="Arial" w:hAnsi="Arial" w:cs="Arial"/>
          <w:b/>
          <w:bCs/>
          <w:lang w:val="en-US"/>
        </w:rPr>
        <w:t xml:space="preserve">Source: </w:t>
      </w:r>
      <w:hyperlink r:id="rId10" w:history="1">
        <w:r w:rsidR="00F9048D" w:rsidRPr="00F9048D">
          <w:rPr>
            <w:rStyle w:val="Hyperlink"/>
            <w:rFonts w:ascii="Arial" w:hAnsi="Arial" w:cs="Arial"/>
          </w:rPr>
          <w:t>(Unilever, 2023)</w:t>
        </w:r>
      </w:hyperlink>
    </w:p>
    <w:p w14:paraId="0A06C370" w14:textId="40BCA331" w:rsidR="00F116CD"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color w:val="000000" w:themeColor="text1"/>
          <w:sz w:val="24"/>
          <w:szCs w:val="24"/>
          <w:lang w:val="en-US"/>
        </w:rPr>
        <w:t>This expansion is characterised by the organisation's ability to grow through its Power Brands, including the iconic names Dove, Knorr, and Hellmann's, while remaining prevalent in new markets that now account for 58</w:t>
      </w:r>
      <w:r w:rsidR="00645E71">
        <w:rPr>
          <w:rFonts w:ascii="Arial" w:hAnsi="Arial" w:cs="Arial"/>
          <w:color w:val="000000" w:themeColor="text1"/>
          <w:sz w:val="24"/>
          <w:szCs w:val="24"/>
          <w:lang w:val="en-US"/>
        </w:rPr>
        <w:t>%</w:t>
      </w:r>
      <w:r w:rsidRPr="00F116CD">
        <w:rPr>
          <w:rFonts w:ascii="Arial" w:hAnsi="Arial" w:cs="Arial"/>
          <w:color w:val="000000" w:themeColor="text1"/>
          <w:sz w:val="24"/>
          <w:szCs w:val="24"/>
          <w:lang w:val="en-US"/>
        </w:rPr>
        <w:t xml:space="preserve"> of the organisation's total </w:t>
      </w:r>
      <w:r w:rsidR="00EC756B" w:rsidRPr="00F116CD">
        <w:rPr>
          <w:rFonts w:ascii="Arial" w:hAnsi="Arial" w:cs="Arial"/>
          <w:color w:val="000000" w:themeColor="text1"/>
          <w:sz w:val="24"/>
          <w:szCs w:val="24"/>
          <w:lang w:val="en-US"/>
        </w:rPr>
        <w:t>turnover</w:t>
      </w:r>
      <w:r w:rsidR="00EC756B" w:rsidRPr="00EC756B">
        <w:t xml:space="preserve"> </w:t>
      </w:r>
      <w:r w:rsidR="00EC756B">
        <w:t xml:space="preserve"> </w:t>
      </w:r>
      <w:r w:rsidR="00EC756B" w:rsidRPr="00EC756B">
        <w:rPr>
          <w:rFonts w:ascii="Arial" w:hAnsi="Arial" w:cs="Arial"/>
          <w:color w:val="000000" w:themeColor="text1"/>
          <w:sz w:val="24"/>
          <w:szCs w:val="24"/>
          <w:lang w:val="en-US"/>
        </w:rPr>
        <w:t>(Mali, 2021)</w:t>
      </w:r>
      <w:r w:rsidR="00EC756B">
        <w:rPr>
          <w:rFonts w:ascii="Arial" w:hAnsi="Arial" w:cs="Arial"/>
          <w:color w:val="000000" w:themeColor="text1"/>
          <w:sz w:val="24"/>
          <w:szCs w:val="24"/>
          <w:lang w:val="en-US"/>
        </w:rPr>
        <w:t>.</w:t>
      </w:r>
      <w:r w:rsidRPr="00F116CD">
        <w:rPr>
          <w:rFonts w:ascii="Arial" w:hAnsi="Arial" w:cs="Arial"/>
          <w:color w:val="000000" w:themeColor="text1"/>
          <w:sz w:val="24"/>
          <w:szCs w:val="24"/>
          <w:lang w:val="en-US"/>
        </w:rPr>
        <w:t xml:space="preserve"> Unilever is robust and can secure its position in a turbulent global market because in 2024, the company declared a turnover of €60.8 billion (Financial Times, 2025). With the new CEO, Hein Schumacher, in charge, the company started the recent transition into a so-called Growth Action Plan (GAP), which simplifies its organisational structure and becomes more focused on the high-performing segments such as Beauty and Wellbeing and Personal Care (Unilever, 2024).</w:t>
      </w:r>
    </w:p>
    <w:p w14:paraId="4084600D" w14:textId="77777777" w:rsidR="00F116CD" w:rsidRPr="00F116CD" w:rsidRDefault="00F116CD" w:rsidP="00201D38">
      <w:pPr>
        <w:pStyle w:val="Heading2"/>
        <w:rPr>
          <w:lang w:val="en-US"/>
        </w:rPr>
      </w:pPr>
      <w:bookmarkStart w:id="4" w:name="_Toc225463907"/>
      <w:r w:rsidRPr="00F116CD">
        <w:rPr>
          <w:lang w:val="en-US"/>
        </w:rPr>
        <w:lastRenderedPageBreak/>
        <w:t>1.1 Mission, Vision and Business Model</w:t>
      </w:r>
      <w:bookmarkEnd w:id="4"/>
    </w:p>
    <w:p w14:paraId="3165ADB0" w14:textId="77777777" w:rsidR="00F116CD"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b/>
          <w:bCs/>
          <w:color w:val="000000" w:themeColor="text1"/>
          <w:sz w:val="24"/>
          <w:szCs w:val="24"/>
          <w:lang w:val="en-US"/>
        </w:rPr>
        <w:t>Mission:</w:t>
      </w:r>
      <w:r w:rsidRPr="00F116CD">
        <w:rPr>
          <w:rFonts w:ascii="Arial" w:hAnsi="Arial" w:cs="Arial"/>
          <w:color w:val="000000" w:themeColor="text1"/>
          <w:sz w:val="24"/>
          <w:szCs w:val="24"/>
          <w:lang w:val="en-US"/>
        </w:rPr>
        <w:t xml:space="preserve"> The main mission of Unilever is to make sustainable living a commonplace (Unilever, 2024). This mission is what motivates the company to fulfil daily nutritional, hygiene, and personal care needs using products that enable people to feel good and get more out of life.</w:t>
      </w:r>
    </w:p>
    <w:p w14:paraId="24C5000C" w14:textId="77777777" w:rsidR="00F116CD"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b/>
          <w:bCs/>
          <w:color w:val="000000" w:themeColor="text1"/>
          <w:sz w:val="24"/>
          <w:szCs w:val="24"/>
          <w:lang w:val="en-US"/>
        </w:rPr>
        <w:t>Vision:</w:t>
      </w:r>
      <w:r w:rsidRPr="00F116CD">
        <w:rPr>
          <w:rFonts w:ascii="Arial" w:hAnsi="Arial" w:cs="Arial"/>
          <w:color w:val="000000" w:themeColor="text1"/>
          <w:sz w:val="24"/>
          <w:szCs w:val="24"/>
          <w:lang w:val="en-US"/>
        </w:rPr>
        <w:t xml:space="preserve"> Its vision is to be the world leader in sustainable business, meaning that a purpose-driven, future-fit business model can provide high performance and stable, competitive growth (Unilever, 2024).</w:t>
      </w:r>
    </w:p>
    <w:p w14:paraId="349F8E4C" w14:textId="77777777" w:rsidR="00F116CD"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b/>
          <w:bCs/>
          <w:color w:val="000000" w:themeColor="text1"/>
          <w:sz w:val="24"/>
          <w:szCs w:val="24"/>
          <w:lang w:val="en-US"/>
        </w:rPr>
        <w:t>Business Model:</w:t>
      </w:r>
      <w:r w:rsidRPr="00F116CD">
        <w:rPr>
          <w:rFonts w:ascii="Arial" w:hAnsi="Arial" w:cs="Arial"/>
          <w:color w:val="000000" w:themeColor="text1"/>
          <w:sz w:val="24"/>
          <w:szCs w:val="24"/>
          <w:lang w:val="en-US"/>
        </w:rPr>
        <w:t xml:space="preserve"> The model is designed with five different business groups: Beauty and Wellbeing, Personal Care, Home Care, Nutrition, and Ice Cream (Unilever, 2024). It is based on a value creation model that combines R&amp;D innovation (annual investment of up to 949 million) with a digitally enabled supply chain to create unmissable brand superiority through global retail channels (Unilever, 2025).</w:t>
      </w:r>
    </w:p>
    <w:p w14:paraId="6822CD74" w14:textId="77777777" w:rsidR="00F116CD" w:rsidRPr="00F116CD" w:rsidRDefault="00F116CD" w:rsidP="007D1979">
      <w:pPr>
        <w:pStyle w:val="Heading2"/>
        <w:rPr>
          <w:lang w:val="en-US"/>
        </w:rPr>
      </w:pPr>
      <w:bookmarkStart w:id="5" w:name="_Toc225463908"/>
      <w:r w:rsidRPr="00F116CD">
        <w:rPr>
          <w:lang w:val="en-US"/>
        </w:rPr>
        <w:t>1.2 Competitors and Industry Analysis and Position</w:t>
      </w:r>
      <w:bookmarkEnd w:id="5"/>
    </w:p>
    <w:p w14:paraId="1A30BECC" w14:textId="77777777" w:rsidR="00F116CD"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color w:val="000000" w:themeColor="text1"/>
          <w:sz w:val="24"/>
          <w:szCs w:val="24"/>
          <w:lang w:val="en-US"/>
        </w:rPr>
        <w:t>Unilever is in the Fast-Moving Consumer Goods (FMCG) market, which is a high-volume, low-margin, and brand-competition market (Statista, 2024). The industry is even in the process of digital transformation, and the distribution channels of e-commerce are estimated to increase by 3.2 CAGR till 2029 (Technavio, 2025).</w:t>
      </w:r>
    </w:p>
    <w:p w14:paraId="5B1461EA" w14:textId="77777777" w:rsidR="00F116CD" w:rsidRPr="00F116CD" w:rsidRDefault="00F116CD" w:rsidP="00F116CD">
      <w:pPr>
        <w:spacing w:after="240" w:line="360" w:lineRule="auto"/>
        <w:jc w:val="both"/>
        <w:rPr>
          <w:rFonts w:ascii="Arial" w:hAnsi="Arial" w:cs="Arial"/>
          <w:b/>
          <w:bCs/>
          <w:color w:val="000000" w:themeColor="text1"/>
          <w:sz w:val="24"/>
          <w:szCs w:val="24"/>
          <w:lang w:val="en-US"/>
        </w:rPr>
      </w:pPr>
      <w:r w:rsidRPr="00F116CD">
        <w:rPr>
          <w:rFonts w:ascii="Arial" w:hAnsi="Arial" w:cs="Arial"/>
          <w:b/>
          <w:bCs/>
          <w:color w:val="000000" w:themeColor="text1"/>
          <w:sz w:val="24"/>
          <w:szCs w:val="24"/>
          <w:lang w:val="en-US"/>
        </w:rPr>
        <w:t>Key Competitors:</w:t>
      </w:r>
    </w:p>
    <w:p w14:paraId="191D61BF" w14:textId="77777777" w:rsidR="00F9048D" w:rsidRPr="00F9048D" w:rsidRDefault="00F9048D" w:rsidP="00F9048D">
      <w:pPr>
        <w:spacing w:after="240" w:line="360" w:lineRule="auto"/>
        <w:jc w:val="both"/>
        <w:rPr>
          <w:rFonts w:ascii="Arial" w:hAnsi="Arial" w:cs="Arial"/>
          <w:color w:val="000000" w:themeColor="text1"/>
          <w:sz w:val="24"/>
          <w:szCs w:val="24"/>
          <w:lang w:val="en-US"/>
        </w:rPr>
      </w:pPr>
      <w:r w:rsidRPr="00F9048D">
        <w:rPr>
          <w:rFonts w:ascii="Arial" w:hAnsi="Arial" w:cs="Arial"/>
          <w:color w:val="000000" w:themeColor="text1"/>
          <w:sz w:val="24"/>
          <w:szCs w:val="24"/>
          <w:lang w:val="en-US"/>
        </w:rPr>
        <w:t>In addition to the main competitors mentioned earlier, Unilever operates in a highly fragmented global environment, where it faces intense competition from speciality conglomerates and local competitors. There are four other major competitors that pose a great threat to the market share of Unilever in its various product lines:</w:t>
      </w:r>
    </w:p>
    <w:p w14:paraId="173B89F2" w14:textId="77777777" w:rsidR="00F9048D" w:rsidRPr="00F9048D" w:rsidRDefault="00F9048D" w:rsidP="00F9048D">
      <w:pPr>
        <w:pStyle w:val="ListParagraph"/>
        <w:numPr>
          <w:ilvl w:val="0"/>
          <w:numId w:val="22"/>
        </w:numPr>
        <w:spacing w:after="240" w:line="360" w:lineRule="auto"/>
        <w:jc w:val="both"/>
        <w:rPr>
          <w:rFonts w:ascii="Arial" w:hAnsi="Arial" w:cs="Arial"/>
          <w:color w:val="000000" w:themeColor="text1"/>
          <w:sz w:val="24"/>
          <w:szCs w:val="24"/>
          <w:lang w:val="en-US"/>
        </w:rPr>
      </w:pPr>
      <w:r w:rsidRPr="00F9048D">
        <w:rPr>
          <w:rFonts w:ascii="Arial" w:hAnsi="Arial" w:cs="Arial"/>
          <w:b/>
          <w:bCs/>
          <w:color w:val="000000" w:themeColor="text1"/>
          <w:sz w:val="24"/>
          <w:szCs w:val="24"/>
          <w:lang w:val="en-US"/>
        </w:rPr>
        <w:t>Colgate-Palmolive:</w:t>
      </w:r>
      <w:r w:rsidRPr="00F9048D">
        <w:rPr>
          <w:rFonts w:ascii="Arial" w:hAnsi="Arial" w:cs="Arial"/>
          <w:color w:val="000000" w:themeColor="text1"/>
          <w:sz w:val="24"/>
          <w:szCs w:val="24"/>
          <w:lang w:val="en-US"/>
        </w:rPr>
        <w:t xml:space="preserve"> This is the nearest apples-to-apples competitor of Unilever in the oral and personal care segments. The global market share is highly robust, with a reported market share of 39.4 by Colgate-Palmolive in the toothpaste market as of the end of 2024 (Canvas Business Model, 2024). Although the Unilever Closeup and Pepsodent brands are strong in the emerging markets, the unmatched brand equity and the high margin of the Unilever division of pet nutrition (Hill’s Science Diet) offer a strong financial </w:t>
      </w:r>
      <w:r w:rsidRPr="00F9048D">
        <w:rPr>
          <w:rFonts w:ascii="Arial" w:hAnsi="Arial" w:cs="Arial"/>
          <w:color w:val="000000" w:themeColor="text1"/>
          <w:sz w:val="24"/>
          <w:szCs w:val="24"/>
          <w:lang w:val="en-US"/>
        </w:rPr>
        <w:lastRenderedPageBreak/>
        <w:t>buffer to compete aggressively on price and innovation (Porter's Five Forces, 2025).</w:t>
      </w:r>
    </w:p>
    <w:p w14:paraId="6227CD2C" w14:textId="77777777" w:rsidR="00F9048D" w:rsidRPr="00F9048D" w:rsidRDefault="00F9048D" w:rsidP="00F9048D">
      <w:pPr>
        <w:pStyle w:val="ListParagraph"/>
        <w:numPr>
          <w:ilvl w:val="0"/>
          <w:numId w:val="22"/>
        </w:numPr>
        <w:spacing w:after="240" w:line="360" w:lineRule="auto"/>
        <w:jc w:val="both"/>
        <w:rPr>
          <w:rFonts w:ascii="Arial" w:hAnsi="Arial" w:cs="Arial"/>
          <w:color w:val="000000" w:themeColor="text1"/>
          <w:sz w:val="24"/>
          <w:szCs w:val="24"/>
          <w:lang w:val="en-US"/>
        </w:rPr>
      </w:pPr>
      <w:r w:rsidRPr="00F9048D">
        <w:rPr>
          <w:rFonts w:ascii="Arial" w:hAnsi="Arial" w:cs="Arial"/>
          <w:b/>
          <w:bCs/>
          <w:color w:val="000000" w:themeColor="text1"/>
          <w:sz w:val="24"/>
          <w:szCs w:val="24"/>
          <w:lang w:val="en-US"/>
        </w:rPr>
        <w:t>Reckitt (previously Reckitt Benckiser):</w:t>
      </w:r>
      <w:r w:rsidRPr="00F9048D">
        <w:rPr>
          <w:rFonts w:ascii="Arial" w:hAnsi="Arial" w:cs="Arial"/>
          <w:color w:val="000000" w:themeColor="text1"/>
          <w:sz w:val="24"/>
          <w:szCs w:val="24"/>
          <w:lang w:val="en-US"/>
        </w:rPr>
        <w:t xml:space="preserve"> Reckitt is the main rival of the home care and hygiene units of Unilever. The rivalry is the most apparent in the so-called German War, in which Dettol and Lysol creations of Reckitt face the domination of the global market with the Lifebuoy and Domestos of Unilever (The Brand Hopper, 2025). The direct pressure of the 2025 strategic shift toward the so-called 'Health and Hygiene' by Reckitt puts a strain on the ability of Unilever to fast-track its own research and development into the so-called 'biomimetic and cleaner cleaning products' in order to safeguard its margins in Europe and North America (Financial Times, 2024).</w:t>
      </w:r>
    </w:p>
    <w:p w14:paraId="2BF6FD08" w14:textId="77777777" w:rsidR="00F9048D" w:rsidRPr="00F9048D" w:rsidRDefault="00F9048D" w:rsidP="00F9048D">
      <w:pPr>
        <w:pStyle w:val="ListParagraph"/>
        <w:numPr>
          <w:ilvl w:val="0"/>
          <w:numId w:val="22"/>
        </w:numPr>
        <w:spacing w:after="240" w:line="360" w:lineRule="auto"/>
        <w:jc w:val="both"/>
        <w:rPr>
          <w:rFonts w:ascii="Arial" w:hAnsi="Arial" w:cs="Arial"/>
          <w:color w:val="000000" w:themeColor="text1"/>
          <w:sz w:val="24"/>
          <w:szCs w:val="24"/>
          <w:lang w:val="en-US"/>
        </w:rPr>
      </w:pPr>
      <w:r w:rsidRPr="00F9048D">
        <w:rPr>
          <w:rFonts w:ascii="Arial" w:hAnsi="Arial" w:cs="Arial"/>
          <w:b/>
          <w:bCs/>
          <w:color w:val="000000" w:themeColor="text1"/>
          <w:sz w:val="24"/>
          <w:szCs w:val="24"/>
          <w:lang w:val="en-US"/>
        </w:rPr>
        <w:t>Kenvue (formerly Johnson and Johnson Consumer Health):</w:t>
      </w:r>
      <w:r w:rsidRPr="00F9048D">
        <w:rPr>
          <w:rFonts w:ascii="Arial" w:hAnsi="Arial" w:cs="Arial"/>
          <w:color w:val="000000" w:themeColor="text1"/>
          <w:sz w:val="24"/>
          <w:szCs w:val="24"/>
          <w:lang w:val="en-US"/>
        </w:rPr>
        <w:t xml:space="preserve"> Kenvue, a spin-off of J&amp;J, is now a specialised competitor in essential health and self-care. Other brands such as Neutrogena and Aveeno are direct competitors of Dove and Vaseline, the two rival products of Unilever in the skin health sector (Tracxn, 2026). The extensive clinical background of Kenvue enables the firm to sell products with more medical distinctiveness which frequently appeals to older age groups, compelling Unilever to spend a significant amount of money on its Power of Science marketing campaign to preserve its premium image (Unilever, 2025).</w:t>
      </w:r>
    </w:p>
    <w:p w14:paraId="2B4A121F" w14:textId="7050C541" w:rsidR="00F116CD" w:rsidRPr="00F9048D" w:rsidRDefault="00F9048D" w:rsidP="00F9048D">
      <w:pPr>
        <w:pStyle w:val="ListParagraph"/>
        <w:numPr>
          <w:ilvl w:val="0"/>
          <w:numId w:val="22"/>
        </w:numPr>
        <w:spacing w:after="240" w:line="360" w:lineRule="auto"/>
        <w:jc w:val="both"/>
        <w:rPr>
          <w:rFonts w:ascii="Arial" w:hAnsi="Arial" w:cs="Arial"/>
          <w:color w:val="000000" w:themeColor="text1"/>
          <w:sz w:val="24"/>
          <w:szCs w:val="24"/>
          <w:lang w:val="en-US"/>
        </w:rPr>
      </w:pPr>
      <w:r w:rsidRPr="00F9048D">
        <w:rPr>
          <w:rFonts w:ascii="Arial" w:hAnsi="Arial" w:cs="Arial"/>
          <w:b/>
          <w:bCs/>
          <w:color w:val="000000" w:themeColor="text1"/>
          <w:sz w:val="24"/>
          <w:szCs w:val="24"/>
          <w:lang w:val="en-US"/>
        </w:rPr>
        <w:t>The Kraft Heinz Company:</w:t>
      </w:r>
      <w:r w:rsidRPr="00F9048D">
        <w:rPr>
          <w:rFonts w:ascii="Arial" w:hAnsi="Arial" w:cs="Arial"/>
          <w:color w:val="000000" w:themeColor="text1"/>
          <w:sz w:val="24"/>
          <w:szCs w:val="24"/>
          <w:lang w:val="en-US"/>
        </w:rPr>
        <w:t xml:space="preserve"> Kraft Heinz Company is a strong competitor in the segment Foods and Refreshment, specifically in the areas of condiments and dressings. In early 2026, a possible mega-merger between the food unit of Unilever and the condiments division of Kraft Heinz was discussed, which signified the high levels of consolidation pressure in the market (The Caterer, 2026). Such brands as Heinz Ketchup and Hellmann's (Unilever) are considered a duopoly in most Western markets, where the two companies struggle to secure the top positions due to their aggressive promotional expenses and social-first digital marketing to attract Gen Z customers (Forbes, 2023).</w:t>
      </w:r>
    </w:p>
    <w:p w14:paraId="4B74012C" w14:textId="77777777" w:rsidR="00F9048D" w:rsidRDefault="00F9048D" w:rsidP="00F116CD">
      <w:pPr>
        <w:spacing w:after="240" w:line="360" w:lineRule="auto"/>
        <w:jc w:val="both"/>
        <w:rPr>
          <w:rFonts w:ascii="Arial" w:hAnsi="Arial" w:cs="Arial"/>
          <w:b/>
          <w:bCs/>
          <w:color w:val="000000" w:themeColor="text1"/>
          <w:sz w:val="24"/>
          <w:szCs w:val="24"/>
          <w:lang w:val="en-US"/>
        </w:rPr>
      </w:pPr>
    </w:p>
    <w:p w14:paraId="75306DB1" w14:textId="77777777" w:rsidR="00F9048D" w:rsidRDefault="00F9048D" w:rsidP="00F116CD">
      <w:pPr>
        <w:spacing w:after="240" w:line="360" w:lineRule="auto"/>
        <w:jc w:val="both"/>
        <w:rPr>
          <w:rFonts w:ascii="Arial" w:hAnsi="Arial" w:cs="Arial"/>
          <w:b/>
          <w:bCs/>
          <w:color w:val="000000" w:themeColor="text1"/>
          <w:sz w:val="24"/>
          <w:szCs w:val="24"/>
          <w:lang w:val="en-US"/>
        </w:rPr>
      </w:pPr>
    </w:p>
    <w:p w14:paraId="53A5F8FE" w14:textId="3C5DCA8E" w:rsidR="00F116CD" w:rsidRPr="00F116CD" w:rsidRDefault="00F116CD" w:rsidP="00F116CD">
      <w:pPr>
        <w:spacing w:after="240" w:line="360" w:lineRule="auto"/>
        <w:jc w:val="both"/>
        <w:rPr>
          <w:rFonts w:ascii="Arial" w:hAnsi="Arial" w:cs="Arial"/>
          <w:b/>
          <w:bCs/>
          <w:color w:val="000000" w:themeColor="text1"/>
          <w:sz w:val="24"/>
          <w:szCs w:val="24"/>
          <w:lang w:val="en-US"/>
        </w:rPr>
      </w:pPr>
      <w:r w:rsidRPr="00F116CD">
        <w:rPr>
          <w:rFonts w:ascii="Arial" w:hAnsi="Arial" w:cs="Arial"/>
          <w:b/>
          <w:bCs/>
          <w:color w:val="000000" w:themeColor="text1"/>
          <w:sz w:val="24"/>
          <w:szCs w:val="24"/>
          <w:lang w:val="en-US"/>
        </w:rPr>
        <w:lastRenderedPageBreak/>
        <w:t>Market Position:</w:t>
      </w:r>
    </w:p>
    <w:p w14:paraId="14458AFB" w14:textId="59C6C88A" w:rsidR="00B501C2" w:rsidRPr="00F116CD" w:rsidRDefault="00F116CD" w:rsidP="00F116CD">
      <w:pPr>
        <w:spacing w:after="240" w:line="360" w:lineRule="auto"/>
        <w:jc w:val="both"/>
        <w:rPr>
          <w:rFonts w:ascii="Arial" w:hAnsi="Arial" w:cs="Arial"/>
          <w:color w:val="000000" w:themeColor="text1"/>
          <w:sz w:val="24"/>
          <w:szCs w:val="24"/>
          <w:lang w:val="en-US"/>
        </w:rPr>
      </w:pPr>
      <w:r w:rsidRPr="00F116CD">
        <w:rPr>
          <w:rFonts w:ascii="Arial" w:hAnsi="Arial" w:cs="Arial"/>
          <w:color w:val="000000" w:themeColor="text1"/>
          <w:sz w:val="24"/>
          <w:szCs w:val="24"/>
          <w:lang w:val="en-US"/>
        </w:rPr>
        <w:t>In 85</w:t>
      </w:r>
      <w:r w:rsidR="007D1979">
        <w:rPr>
          <w:rFonts w:ascii="Arial" w:hAnsi="Arial" w:cs="Arial"/>
          <w:color w:val="000000" w:themeColor="text1"/>
          <w:sz w:val="24"/>
          <w:szCs w:val="24"/>
          <w:lang w:val="en-US"/>
        </w:rPr>
        <w:t>%</w:t>
      </w:r>
      <w:r w:rsidRPr="00F116CD">
        <w:rPr>
          <w:rFonts w:ascii="Arial" w:hAnsi="Arial" w:cs="Arial"/>
          <w:color w:val="000000" w:themeColor="text1"/>
          <w:sz w:val="24"/>
          <w:szCs w:val="24"/>
          <w:lang w:val="en-US"/>
        </w:rPr>
        <w:t xml:space="preserve"> of its markets, Unilever holds a dominant role (usually number 1 or 2 in the world) (Unilever, 2024). It is the global leader in deodorants and skin cleansing and has a strong market share in the global market of food solutions. The recent market instability notwithstanding, the Unilever "Power Brands" increased by 5.3% in 2024, much more than smaller niche brands referred to as challengers (Financial Times, 2025). Its geographic shift to the US and India, two of its biggest growth platforms, makes it a leader in the Masters category of global supply chain excellence for seven years in a row (Gartner, 2025).</w:t>
      </w:r>
    </w:p>
    <w:p w14:paraId="4AF18C0F" w14:textId="533481EF" w:rsidR="00B501C2" w:rsidRPr="00B41431" w:rsidRDefault="00EE452F" w:rsidP="00B501C2">
      <w:pPr>
        <w:pStyle w:val="Heading1"/>
        <w:rPr>
          <w:lang w:val="en-US"/>
        </w:rPr>
      </w:pPr>
      <w:bookmarkStart w:id="6" w:name="_Toc225463909"/>
      <w:r w:rsidRPr="00EE452F">
        <w:rPr>
          <w:lang w:val="en-US"/>
        </w:rPr>
        <w:t>2.0 External and Internal Environment Analysis</w:t>
      </w:r>
      <w:bookmarkEnd w:id="6"/>
    </w:p>
    <w:p w14:paraId="37ABEC82" w14:textId="7055EDA3" w:rsidR="002364F6" w:rsidRDefault="002364F6" w:rsidP="002364F6">
      <w:pPr>
        <w:pStyle w:val="Heading2"/>
        <w:rPr>
          <w:lang w:val="en-US"/>
        </w:rPr>
      </w:pPr>
      <w:bookmarkStart w:id="7" w:name="_Toc225463910"/>
      <w:r w:rsidRPr="002364F6">
        <w:rPr>
          <w:lang w:val="en-US"/>
        </w:rPr>
        <w:t>2.1 PESTEL Analysis of Unilever PLC</w:t>
      </w:r>
      <w:bookmarkEnd w:id="7"/>
    </w:p>
    <w:p w14:paraId="32550549" w14:textId="77777777" w:rsid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Unilever is facing a high volatility in the external environment, where strategic agility is needed. The table presented below critically addresses the influence of the PESTEL factors on the strategic choices of the organisation, based on the Annual Report and Accounts 2024 and the recent research in the industry.</w:t>
      </w:r>
    </w:p>
    <w:tbl>
      <w:tblPr>
        <w:tblStyle w:val="TableGrid"/>
        <w:tblW w:w="0" w:type="auto"/>
        <w:tblLook w:val="04A0" w:firstRow="1" w:lastRow="0" w:firstColumn="1" w:lastColumn="0" w:noHBand="0" w:noVBand="1"/>
      </w:tblPr>
      <w:tblGrid>
        <w:gridCol w:w="1883"/>
        <w:gridCol w:w="7133"/>
      </w:tblGrid>
      <w:tr w:rsidR="00C67E72" w:rsidRPr="00C67E72" w14:paraId="5876E29B" w14:textId="77777777" w:rsidTr="00C67E72">
        <w:tc>
          <w:tcPr>
            <w:tcW w:w="0" w:type="auto"/>
            <w:hideMark/>
          </w:tcPr>
          <w:p w14:paraId="05876DC3"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Factor</w:t>
            </w:r>
          </w:p>
        </w:tc>
        <w:tc>
          <w:tcPr>
            <w:tcW w:w="0" w:type="auto"/>
            <w:hideMark/>
          </w:tcPr>
          <w:p w14:paraId="378A8757"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Impact on Strategic Decisions</w:t>
            </w:r>
          </w:p>
        </w:tc>
      </w:tr>
      <w:tr w:rsidR="00C67E72" w:rsidRPr="00C67E72" w14:paraId="51A573CA" w14:textId="77777777" w:rsidTr="00C67E72">
        <w:tc>
          <w:tcPr>
            <w:tcW w:w="0" w:type="auto"/>
            <w:hideMark/>
          </w:tcPr>
          <w:p w14:paraId="63E03184"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Political</w:t>
            </w:r>
          </w:p>
        </w:tc>
        <w:tc>
          <w:tcPr>
            <w:tcW w:w="0" w:type="auto"/>
            <w:hideMark/>
          </w:tcPr>
          <w:p w14:paraId="2AD893A9"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 xml:space="preserve">Geopolitical fragmentation and trade tensions (e.g., potential US tariffs and Middle Eastern conflicts) have led Unilever to adopt a </w:t>
            </w:r>
            <w:r w:rsidRPr="00C67E72">
              <w:rPr>
                <w:rFonts w:ascii="Arial" w:hAnsi="Arial" w:cs="Arial"/>
                <w:b/>
                <w:bCs/>
                <w:color w:val="000000" w:themeColor="text1"/>
                <w:sz w:val="24"/>
                <w:szCs w:val="24"/>
                <w:lang w:val="en-US"/>
              </w:rPr>
              <w:t>"localization" strategy</w:t>
            </w:r>
            <w:r w:rsidRPr="00C67E72">
              <w:rPr>
                <w:rFonts w:ascii="Arial" w:hAnsi="Arial" w:cs="Arial"/>
                <w:color w:val="000000" w:themeColor="text1"/>
                <w:sz w:val="24"/>
                <w:szCs w:val="24"/>
                <w:lang w:val="en-US"/>
              </w:rPr>
              <w:t>. The decision to nearshore manufacturing hubs (e.g., in Mexico) aims to bypass volatile trade routes and minimize tariff exposure (Unilever, 2025; DCFmodeling, 2025).</w:t>
            </w:r>
          </w:p>
        </w:tc>
      </w:tr>
      <w:tr w:rsidR="00C67E72" w:rsidRPr="00C67E72" w14:paraId="339858FA" w14:textId="77777777" w:rsidTr="00C67E72">
        <w:tc>
          <w:tcPr>
            <w:tcW w:w="0" w:type="auto"/>
            <w:hideMark/>
          </w:tcPr>
          <w:p w14:paraId="5357EB77"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Economic</w:t>
            </w:r>
          </w:p>
        </w:tc>
        <w:tc>
          <w:tcPr>
            <w:tcW w:w="0" w:type="auto"/>
            <w:hideMark/>
          </w:tcPr>
          <w:p w14:paraId="6EF12153"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 xml:space="preserve">Persistent global inflation and currency headwinds (estimated -6.0% impact on 2025 turnover) have forced a strategic pivot toward </w:t>
            </w:r>
            <w:r w:rsidRPr="00C67E72">
              <w:rPr>
                <w:rFonts w:ascii="Arial" w:hAnsi="Arial" w:cs="Arial"/>
                <w:b/>
                <w:bCs/>
                <w:color w:val="000000" w:themeColor="text1"/>
                <w:sz w:val="24"/>
                <w:szCs w:val="24"/>
                <w:lang w:val="en-US"/>
              </w:rPr>
              <w:t>"Premiumisation"</w:t>
            </w:r>
            <w:r w:rsidRPr="00C67E72">
              <w:rPr>
                <w:rFonts w:ascii="Arial" w:hAnsi="Arial" w:cs="Arial"/>
                <w:color w:val="000000" w:themeColor="text1"/>
                <w:sz w:val="24"/>
                <w:szCs w:val="24"/>
                <w:lang w:val="en-US"/>
              </w:rPr>
              <w:t>. By shifting the portfolio toward higher-margin products, Unilever aims to protect gross margins against rising input costs (Unilever, 2024; Financial Times, 2025).</w:t>
            </w:r>
          </w:p>
        </w:tc>
      </w:tr>
      <w:tr w:rsidR="00C67E72" w:rsidRPr="00C67E72" w14:paraId="40C8A944" w14:textId="77777777" w:rsidTr="00C67E72">
        <w:tc>
          <w:tcPr>
            <w:tcW w:w="0" w:type="auto"/>
            <w:hideMark/>
          </w:tcPr>
          <w:p w14:paraId="769A30FB"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Social</w:t>
            </w:r>
          </w:p>
        </w:tc>
        <w:tc>
          <w:tcPr>
            <w:tcW w:w="0" w:type="auto"/>
            <w:hideMark/>
          </w:tcPr>
          <w:p w14:paraId="1455F5F0"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 xml:space="preserve">A radical shift in consumer demand for transparency and health-conscious products has driven the </w:t>
            </w:r>
            <w:r w:rsidRPr="00C67E72">
              <w:rPr>
                <w:rFonts w:ascii="Arial" w:hAnsi="Arial" w:cs="Arial"/>
                <w:b/>
                <w:bCs/>
                <w:color w:val="000000" w:themeColor="text1"/>
                <w:sz w:val="24"/>
                <w:szCs w:val="24"/>
                <w:lang w:val="en-US"/>
              </w:rPr>
              <w:t>Growth Action Plan (GAP)</w:t>
            </w:r>
            <w:r w:rsidRPr="00C67E72">
              <w:rPr>
                <w:rFonts w:ascii="Arial" w:hAnsi="Arial" w:cs="Arial"/>
                <w:color w:val="000000" w:themeColor="text1"/>
                <w:sz w:val="24"/>
                <w:szCs w:val="24"/>
                <w:lang w:val="en-US"/>
              </w:rPr>
              <w:t xml:space="preserve">. Strategic investment is now focused on "Power Brands" that </w:t>
            </w:r>
            <w:r w:rsidRPr="00C67E72">
              <w:rPr>
                <w:rFonts w:ascii="Arial" w:hAnsi="Arial" w:cs="Arial"/>
                <w:color w:val="000000" w:themeColor="text1"/>
                <w:sz w:val="24"/>
                <w:szCs w:val="24"/>
                <w:lang w:val="en-US"/>
              </w:rPr>
              <w:lastRenderedPageBreak/>
              <w:t>possess an explicit social or environmental purpose to maintain brand equity (Unilever, 2024; StrategyPunk, 2024).</w:t>
            </w:r>
          </w:p>
        </w:tc>
      </w:tr>
      <w:tr w:rsidR="00C67E72" w:rsidRPr="00C67E72" w14:paraId="6BC95F81" w14:textId="77777777" w:rsidTr="00C67E72">
        <w:tc>
          <w:tcPr>
            <w:tcW w:w="0" w:type="auto"/>
            <w:hideMark/>
          </w:tcPr>
          <w:p w14:paraId="6D126E91"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lastRenderedPageBreak/>
              <w:t>Technological</w:t>
            </w:r>
          </w:p>
        </w:tc>
        <w:tc>
          <w:tcPr>
            <w:tcW w:w="0" w:type="auto"/>
            <w:hideMark/>
          </w:tcPr>
          <w:p w14:paraId="77289AD9"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 xml:space="preserve">The rapid advancement of </w:t>
            </w:r>
            <w:r w:rsidRPr="00C67E72">
              <w:rPr>
                <w:rFonts w:ascii="Arial" w:hAnsi="Arial" w:cs="Arial"/>
                <w:b/>
                <w:bCs/>
                <w:color w:val="000000" w:themeColor="text1"/>
                <w:sz w:val="24"/>
                <w:szCs w:val="24"/>
                <w:lang w:val="en-US"/>
              </w:rPr>
              <w:t>Generative AI</w:t>
            </w:r>
            <w:r w:rsidRPr="00C67E72">
              <w:rPr>
                <w:rFonts w:ascii="Arial" w:hAnsi="Arial" w:cs="Arial"/>
                <w:color w:val="000000" w:themeColor="text1"/>
                <w:sz w:val="24"/>
                <w:szCs w:val="24"/>
                <w:lang w:val="en-US"/>
              </w:rPr>
              <w:t xml:space="preserve"> and digital commerce (d-com) has led Unilever to invest €9.4 billion in brand and marketing, emphasizing "social-first" demand generation and AI-driven R&amp;D to accelerate innovation cycles (Unilever, 2025; IJARIRE, 2024).</w:t>
            </w:r>
          </w:p>
        </w:tc>
      </w:tr>
      <w:tr w:rsidR="00C67E72" w:rsidRPr="00C67E72" w14:paraId="413580DE" w14:textId="77777777" w:rsidTr="00C67E72">
        <w:tc>
          <w:tcPr>
            <w:tcW w:w="0" w:type="auto"/>
            <w:hideMark/>
          </w:tcPr>
          <w:p w14:paraId="2761CEA0"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Environmental</w:t>
            </w:r>
          </w:p>
        </w:tc>
        <w:tc>
          <w:tcPr>
            <w:tcW w:w="0" w:type="auto"/>
            <w:hideMark/>
          </w:tcPr>
          <w:p w14:paraId="6E40A637"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 xml:space="preserve">Stricter EU mandates, such as the </w:t>
            </w:r>
            <w:r w:rsidRPr="00C67E72">
              <w:rPr>
                <w:rFonts w:ascii="Arial" w:hAnsi="Arial" w:cs="Arial"/>
                <w:b/>
                <w:bCs/>
                <w:color w:val="000000" w:themeColor="text1"/>
                <w:sz w:val="24"/>
                <w:szCs w:val="24"/>
                <w:lang w:val="en-US"/>
              </w:rPr>
              <w:t>Corporate Sustainability Due Diligence Directive (CSDDD)</w:t>
            </w:r>
            <w:r w:rsidRPr="00C67E72">
              <w:rPr>
                <w:rFonts w:ascii="Arial" w:hAnsi="Arial" w:cs="Arial"/>
                <w:color w:val="000000" w:themeColor="text1"/>
                <w:sz w:val="24"/>
                <w:szCs w:val="24"/>
                <w:lang w:val="en-US"/>
              </w:rPr>
              <w:t>, have made deep supply chain mapping a non-negotiable operational cost. This has accelerated Unilever’s transition to regenerative agriculture and virgin plastic reduction targets (Unilever, 2024; DCFmodeling, 2025).</w:t>
            </w:r>
          </w:p>
        </w:tc>
      </w:tr>
      <w:tr w:rsidR="00C67E72" w:rsidRPr="00C67E72" w14:paraId="3E7761E7" w14:textId="77777777" w:rsidTr="00C67E72">
        <w:tc>
          <w:tcPr>
            <w:tcW w:w="0" w:type="auto"/>
            <w:hideMark/>
          </w:tcPr>
          <w:p w14:paraId="3C9DAC46" w14:textId="77777777" w:rsidR="00C67E72" w:rsidRPr="00C67E72" w:rsidRDefault="00C67E72" w:rsidP="00C67E72">
            <w:pPr>
              <w:spacing w:after="160" w:line="360" w:lineRule="auto"/>
              <w:jc w:val="both"/>
              <w:rPr>
                <w:rFonts w:ascii="Arial" w:hAnsi="Arial" w:cs="Arial"/>
                <w:color w:val="000000" w:themeColor="text1"/>
                <w:sz w:val="24"/>
                <w:szCs w:val="24"/>
                <w:lang w:val="en-US"/>
              </w:rPr>
            </w:pPr>
            <w:r w:rsidRPr="00C67E72">
              <w:rPr>
                <w:rFonts w:ascii="Arial" w:hAnsi="Arial" w:cs="Arial"/>
                <w:b/>
                <w:bCs/>
                <w:color w:val="000000" w:themeColor="text1"/>
                <w:sz w:val="24"/>
                <w:szCs w:val="24"/>
                <w:lang w:val="en-US"/>
              </w:rPr>
              <w:t>Legal</w:t>
            </w:r>
          </w:p>
        </w:tc>
        <w:tc>
          <w:tcPr>
            <w:tcW w:w="0" w:type="auto"/>
            <w:hideMark/>
          </w:tcPr>
          <w:p w14:paraId="07E6DB4A" w14:textId="77777777" w:rsidR="00C67E72" w:rsidRPr="00C67E72" w:rsidRDefault="00C67E72" w:rsidP="00C67E72">
            <w:pPr>
              <w:keepNext/>
              <w:spacing w:after="160" w:line="360" w:lineRule="auto"/>
              <w:jc w:val="both"/>
              <w:rPr>
                <w:rFonts w:ascii="Arial" w:hAnsi="Arial" w:cs="Arial"/>
                <w:color w:val="000000" w:themeColor="text1"/>
                <w:sz w:val="24"/>
                <w:szCs w:val="24"/>
                <w:lang w:val="en-US"/>
              </w:rPr>
            </w:pPr>
            <w:r w:rsidRPr="00C67E72">
              <w:rPr>
                <w:rFonts w:ascii="Arial" w:hAnsi="Arial" w:cs="Arial"/>
                <w:color w:val="000000" w:themeColor="text1"/>
                <w:sz w:val="24"/>
                <w:szCs w:val="24"/>
                <w:lang w:val="en-US"/>
              </w:rPr>
              <w:t>Increasing complexity in international patent laws and food safety regulations requires continuous compliance monitoring. Unilever has intensified its legal risk management to protect its IP and navigate diverse labor laws across 190 countries (The Strategy Story, 2024).</w:t>
            </w:r>
          </w:p>
        </w:tc>
      </w:tr>
    </w:tbl>
    <w:p w14:paraId="1A291884" w14:textId="74835CB6" w:rsidR="00E316FC" w:rsidRPr="00E316FC" w:rsidRDefault="00C67E72" w:rsidP="006445B7">
      <w:pPr>
        <w:pStyle w:val="Caption"/>
        <w:jc w:val="center"/>
        <w:rPr>
          <w:rFonts w:ascii="Arial" w:hAnsi="Arial" w:cs="Arial"/>
          <w:color w:val="000000" w:themeColor="text1"/>
          <w:sz w:val="24"/>
          <w:szCs w:val="24"/>
          <w:lang w:val="en-US"/>
        </w:rPr>
      </w:pPr>
      <w:bookmarkStart w:id="8" w:name="_Toc225463902"/>
      <w:r>
        <w:t xml:space="preserve">Table </w:t>
      </w:r>
      <w:r>
        <w:fldChar w:fldCharType="begin"/>
      </w:r>
      <w:r>
        <w:instrText xml:space="preserve"> SEQ Table \* ARABIC </w:instrText>
      </w:r>
      <w:r>
        <w:fldChar w:fldCharType="separate"/>
      </w:r>
      <w:r w:rsidR="00D1068B">
        <w:rPr>
          <w:noProof/>
        </w:rPr>
        <w:t>1</w:t>
      </w:r>
      <w:r>
        <w:fldChar w:fldCharType="end"/>
      </w:r>
      <w:r>
        <w:t xml:space="preserve">: </w:t>
      </w:r>
      <w:r w:rsidRPr="00C56C78">
        <w:t>PESTEL Analysis</w:t>
      </w:r>
      <w:bookmarkEnd w:id="8"/>
    </w:p>
    <w:p w14:paraId="02B89D9C" w14:textId="77777777" w:rsidR="00E316FC" w:rsidRPr="00E316FC" w:rsidRDefault="00E316FC" w:rsidP="003C3C00">
      <w:pPr>
        <w:pStyle w:val="Heading2"/>
        <w:rPr>
          <w:lang w:val="en-US"/>
        </w:rPr>
      </w:pPr>
      <w:bookmarkStart w:id="9" w:name="_Toc225463911"/>
      <w:r w:rsidRPr="00E316FC">
        <w:rPr>
          <w:lang w:val="en-US"/>
        </w:rPr>
        <w:t>2.2 Strategic Challenges and Critical Success Factors</w:t>
      </w:r>
      <w:bookmarkEnd w:id="9"/>
    </w:p>
    <w:p w14:paraId="7F832636" w14:textId="77777777" w:rsidR="00E316FC" w:rsidRPr="00E316FC" w:rsidRDefault="00E316FC" w:rsidP="00E316FC">
      <w:pPr>
        <w:spacing w:after="160" w:line="360" w:lineRule="auto"/>
        <w:jc w:val="both"/>
        <w:rPr>
          <w:rFonts w:ascii="Arial" w:hAnsi="Arial" w:cs="Arial"/>
          <w:b/>
          <w:bCs/>
          <w:color w:val="000000" w:themeColor="text1"/>
          <w:sz w:val="24"/>
          <w:szCs w:val="24"/>
          <w:lang w:val="en-US"/>
        </w:rPr>
      </w:pPr>
      <w:r w:rsidRPr="00E316FC">
        <w:rPr>
          <w:rFonts w:ascii="Arial" w:hAnsi="Arial" w:cs="Arial"/>
          <w:b/>
          <w:bCs/>
          <w:color w:val="000000" w:themeColor="text1"/>
          <w:sz w:val="24"/>
          <w:szCs w:val="24"/>
          <w:lang w:val="en-US"/>
        </w:rPr>
        <w:t>Critical Success Factors (CSFs)</w:t>
      </w:r>
    </w:p>
    <w:p w14:paraId="655DDCD4"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The capability of Unilever to maintain a competitive advantage is dependent on three major CSFs. First, there is Emerging Market Dominance, where the turnover produced by these areas is half of the total; Unilever takes advantage of intensive local distributive systems that cannot be easily recreated by the challenger brands (Unilever, 2024). Secondly, brand superiority, which is gauged in terms of merchandise, packaging, and pricing, assures that its 30 Power Brands (75 per cent of turnover) are not forgotten in an oversaturated market (Unilever, 2025). Third, there is the sustainability integration, which serves as a differentiator. In contrast to companies in which CSR is marginal, the Unilever Compass strategy integrates ESG in its R&amp;D, and hence, it can tap into the emerging green premium segment (SkyQuest, 2024).</w:t>
      </w:r>
    </w:p>
    <w:p w14:paraId="5CEDA17B" w14:textId="77777777" w:rsidR="00E316FC" w:rsidRPr="00E316FC" w:rsidRDefault="00E316FC" w:rsidP="00E316FC">
      <w:pPr>
        <w:spacing w:after="160" w:line="360" w:lineRule="auto"/>
        <w:jc w:val="both"/>
        <w:rPr>
          <w:rFonts w:ascii="Arial" w:hAnsi="Arial" w:cs="Arial"/>
          <w:b/>
          <w:bCs/>
          <w:color w:val="000000" w:themeColor="text1"/>
          <w:sz w:val="24"/>
          <w:szCs w:val="24"/>
          <w:lang w:val="en-US"/>
        </w:rPr>
      </w:pPr>
      <w:r w:rsidRPr="00E316FC">
        <w:rPr>
          <w:rFonts w:ascii="Arial" w:hAnsi="Arial" w:cs="Arial"/>
          <w:b/>
          <w:bCs/>
          <w:color w:val="000000" w:themeColor="text1"/>
          <w:sz w:val="24"/>
          <w:szCs w:val="24"/>
          <w:lang w:val="en-US"/>
        </w:rPr>
        <w:lastRenderedPageBreak/>
        <w:t>Strategic Challenges</w:t>
      </w:r>
    </w:p>
    <w:p w14:paraId="2358DE2D"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The organisation has tremendous challenges amid its strengths. The business transformation risk is also high because Unilever is currently carrying out the separation of its ice cream business and a leaner organisational model; that type of large-scale restructuring has the risk of disrupting operations and losing talent (Unilever, 2025). Moreover, supply chain resilience is also a challenge. The shortage and price of raw materials, including palm oil and tea, are increased due to geopolitical risk and physical risks, including droughts causing agricultural harvests (Unilever, 2024; Financial Times, 2025). Lastly, digital disruption is a menace to old-fashioned advertising. Since the focus of consumers moves to discontinuous social networks, Unilever needs to quickly transform its social-first potential to avoid losing its brands to the subconsciousness of younger generations (IJARIRE, 2024; StrategyPunk, 2024).</w:t>
      </w:r>
    </w:p>
    <w:p w14:paraId="23502CCE" w14:textId="77777777" w:rsidR="00E316FC" w:rsidRPr="00E316FC" w:rsidRDefault="00E316FC" w:rsidP="006445B7">
      <w:pPr>
        <w:pStyle w:val="Heading2"/>
        <w:jc w:val="both"/>
        <w:rPr>
          <w:lang w:val="en-US"/>
        </w:rPr>
      </w:pPr>
      <w:bookmarkStart w:id="10" w:name="_Toc225463912"/>
      <w:r w:rsidRPr="00E316FC">
        <w:rPr>
          <w:lang w:val="en-US"/>
        </w:rPr>
        <w:t>2.3 Internal Environment: Resources, Capabilities and Core Competencies</w:t>
      </w:r>
      <w:bookmarkEnd w:id="10"/>
    </w:p>
    <w:p w14:paraId="55D3A71D" w14:textId="241D8FFC"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b/>
          <w:bCs/>
          <w:color w:val="000000" w:themeColor="text1"/>
          <w:sz w:val="24"/>
          <w:szCs w:val="24"/>
          <w:lang w:val="en-US"/>
        </w:rPr>
        <w:t>Resources:</w:t>
      </w:r>
      <w:r w:rsidRPr="00E316FC">
        <w:rPr>
          <w:rFonts w:ascii="Arial" w:hAnsi="Arial" w:cs="Arial"/>
          <w:color w:val="000000" w:themeColor="text1"/>
          <w:sz w:val="24"/>
          <w:szCs w:val="24"/>
          <w:lang w:val="en-US"/>
        </w:rPr>
        <w:t xml:space="preserve"> Unilever has its internal environment pegged on a strong portfolio of both tangible and intangible resources that move its international operations. One of the main physical assets is its vast manufacturing and distribution system consisting of hundreds of factories and a footprint in more than 190 countries (Unilever, 2024). With this scale, Unilever is able to reach more than 3.4 billion consumers per day. Moreover, its economic capacity, which was </w:t>
      </w:r>
      <w:r w:rsidR="003C3C00" w:rsidRPr="00E316FC">
        <w:rPr>
          <w:rFonts w:ascii="Arial" w:hAnsi="Arial" w:cs="Arial"/>
          <w:color w:val="000000" w:themeColor="text1"/>
          <w:sz w:val="24"/>
          <w:szCs w:val="24"/>
          <w:lang w:val="en-US"/>
        </w:rPr>
        <w:t>started</w:t>
      </w:r>
      <w:r w:rsidRPr="00E316FC">
        <w:rPr>
          <w:rFonts w:ascii="Arial" w:hAnsi="Arial" w:cs="Arial"/>
          <w:color w:val="000000" w:themeColor="text1"/>
          <w:sz w:val="24"/>
          <w:szCs w:val="24"/>
          <w:lang w:val="en-US"/>
        </w:rPr>
        <w:t xml:space="preserve"> by the turnover of 60.8 billion in 2024, gives it the funds to make colossal R&amp;D investments, which were almost 1 billion a year in 2020-24 (Unilever, 2024, 2025).</w:t>
      </w:r>
    </w:p>
    <w:p w14:paraId="33BED9EE"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b/>
          <w:bCs/>
          <w:color w:val="000000" w:themeColor="text1"/>
          <w:sz w:val="24"/>
          <w:szCs w:val="24"/>
          <w:lang w:val="en-US"/>
        </w:rPr>
        <w:t>Capabilities:</w:t>
      </w:r>
      <w:r w:rsidRPr="00E316FC">
        <w:rPr>
          <w:rFonts w:ascii="Arial" w:hAnsi="Arial" w:cs="Arial"/>
          <w:color w:val="000000" w:themeColor="text1"/>
          <w:sz w:val="24"/>
          <w:szCs w:val="24"/>
          <w:lang w:val="en-US"/>
        </w:rPr>
        <w:t xml:space="preserve"> The company has capabilities of advanced supply chain management and online marketing. Unilever successfully shifted to a more digital-first strategy and leverages AI-driven consumer insights to speed up the innovation processes (IJARIRE, 2024). The fact that it can operate a large, decentralised supply chain and stay highly ESG-orientated is often referred to as an example of sustainable operations (Hu &amp; Zeng, 2024).</w:t>
      </w:r>
    </w:p>
    <w:p w14:paraId="3BBB437F"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b/>
          <w:bCs/>
          <w:color w:val="000000" w:themeColor="text1"/>
          <w:sz w:val="24"/>
          <w:szCs w:val="24"/>
          <w:lang w:val="en-US"/>
        </w:rPr>
        <w:t>Core Competencies:</w:t>
      </w:r>
      <w:r w:rsidRPr="00E316FC">
        <w:rPr>
          <w:rFonts w:ascii="Arial" w:hAnsi="Arial" w:cs="Arial"/>
          <w:color w:val="000000" w:themeColor="text1"/>
          <w:sz w:val="24"/>
          <w:szCs w:val="24"/>
          <w:lang w:val="en-US"/>
        </w:rPr>
        <w:t xml:space="preserve"> The most important core competencies of Unilever are the distinctive sets of resources and skills that allow the organisation to have a competitive advantage, which focus on brand equity management and sustainability integration. </w:t>
      </w:r>
      <w:r w:rsidRPr="00E316FC">
        <w:rPr>
          <w:rFonts w:ascii="Arial" w:hAnsi="Arial" w:cs="Arial"/>
          <w:color w:val="000000" w:themeColor="text1"/>
          <w:sz w:val="24"/>
          <w:szCs w:val="24"/>
          <w:lang w:val="en-US"/>
        </w:rPr>
        <w:lastRenderedPageBreak/>
        <w:t>Using the so-called Power Brands (e.g., Dove, Knorr), which have strong consumer trust and a defined social mission, Unilever can develop a differentiation advantage that cannot be copied by smaller, local competitors (Unilever, 2025). Such a synergy of the profit and purpose enables the firm to seize the increasing share of ESG-sensitive consumers (Michalski, 2024).</w:t>
      </w:r>
    </w:p>
    <w:p w14:paraId="1A193648" w14:textId="77777777" w:rsidR="00E316FC" w:rsidRPr="00E316FC" w:rsidRDefault="00E316FC" w:rsidP="003C3C00">
      <w:pPr>
        <w:pStyle w:val="Heading2"/>
        <w:rPr>
          <w:lang w:val="en-US"/>
        </w:rPr>
      </w:pPr>
      <w:bookmarkStart w:id="11" w:name="_Toc225463913"/>
      <w:r w:rsidRPr="00E316FC">
        <w:rPr>
          <w:lang w:val="en-US"/>
        </w:rPr>
        <w:t>2.4 VRIO Analysis of Unilever's Strategic Capabilities</w:t>
      </w:r>
      <w:bookmarkEnd w:id="11"/>
    </w:p>
    <w:p w14:paraId="54442526" w14:textId="77777777" w:rsid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The table below analyses the strategic capabilities of Unilever based on the VRIO (Value, Rarity, Imitability, Organisation) model to establish their ability to allow the company to maintain a competitive advantage.</w:t>
      </w:r>
    </w:p>
    <w:tbl>
      <w:tblPr>
        <w:tblStyle w:val="TableGrid"/>
        <w:tblW w:w="0" w:type="auto"/>
        <w:tblLook w:val="04A0" w:firstRow="1" w:lastRow="0" w:firstColumn="1" w:lastColumn="0" w:noHBand="0" w:noVBand="1"/>
      </w:tblPr>
      <w:tblGrid>
        <w:gridCol w:w="2165"/>
        <w:gridCol w:w="857"/>
        <w:gridCol w:w="897"/>
        <w:gridCol w:w="1337"/>
        <w:gridCol w:w="1697"/>
        <w:gridCol w:w="2063"/>
      </w:tblGrid>
      <w:tr w:rsidR="008B6D32" w:rsidRPr="008B6D32" w14:paraId="54E748E1" w14:textId="77777777" w:rsidTr="008B6D32">
        <w:tc>
          <w:tcPr>
            <w:tcW w:w="0" w:type="auto"/>
            <w:hideMark/>
          </w:tcPr>
          <w:p w14:paraId="2B30CB8E"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Strategic Capability</w:t>
            </w:r>
          </w:p>
        </w:tc>
        <w:tc>
          <w:tcPr>
            <w:tcW w:w="0" w:type="auto"/>
            <w:hideMark/>
          </w:tcPr>
          <w:p w14:paraId="09FDDEDB"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Value</w:t>
            </w:r>
          </w:p>
        </w:tc>
        <w:tc>
          <w:tcPr>
            <w:tcW w:w="0" w:type="auto"/>
            <w:hideMark/>
          </w:tcPr>
          <w:p w14:paraId="6B5B29FC"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Rarity</w:t>
            </w:r>
          </w:p>
        </w:tc>
        <w:tc>
          <w:tcPr>
            <w:tcW w:w="0" w:type="auto"/>
            <w:hideMark/>
          </w:tcPr>
          <w:p w14:paraId="23668BC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Imitability</w:t>
            </w:r>
          </w:p>
        </w:tc>
        <w:tc>
          <w:tcPr>
            <w:tcW w:w="0" w:type="auto"/>
            <w:hideMark/>
          </w:tcPr>
          <w:p w14:paraId="300C3179"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Organisation</w:t>
            </w:r>
          </w:p>
        </w:tc>
        <w:tc>
          <w:tcPr>
            <w:tcW w:w="0" w:type="auto"/>
            <w:hideMark/>
          </w:tcPr>
          <w:p w14:paraId="5ED2B7F0"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Competitive Implication</w:t>
            </w:r>
          </w:p>
        </w:tc>
      </w:tr>
      <w:tr w:rsidR="008B6D32" w:rsidRPr="008B6D32" w14:paraId="034D3437" w14:textId="77777777" w:rsidTr="008B6D32">
        <w:tc>
          <w:tcPr>
            <w:tcW w:w="0" w:type="auto"/>
            <w:hideMark/>
          </w:tcPr>
          <w:p w14:paraId="47E3BFA5"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Global Brand Portfolio (Power Brands)</w:t>
            </w:r>
          </w:p>
        </w:tc>
        <w:tc>
          <w:tcPr>
            <w:tcW w:w="0" w:type="auto"/>
            <w:hideMark/>
          </w:tcPr>
          <w:p w14:paraId="073C09F7"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25570739"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16BCDBEB"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Hard</w:t>
            </w:r>
          </w:p>
        </w:tc>
        <w:tc>
          <w:tcPr>
            <w:tcW w:w="0" w:type="auto"/>
            <w:hideMark/>
          </w:tcPr>
          <w:p w14:paraId="664D816A"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466A9E7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Sustained Competitive Advantage</w:t>
            </w:r>
          </w:p>
        </w:tc>
      </w:tr>
      <w:tr w:rsidR="008B6D32" w:rsidRPr="008B6D32" w14:paraId="1FD7A83B" w14:textId="77777777" w:rsidTr="008B6D32">
        <w:tc>
          <w:tcPr>
            <w:tcW w:w="0" w:type="auto"/>
            <w:hideMark/>
          </w:tcPr>
          <w:p w14:paraId="43D8C95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Sustainability (Unilever Compass)</w:t>
            </w:r>
          </w:p>
        </w:tc>
        <w:tc>
          <w:tcPr>
            <w:tcW w:w="0" w:type="auto"/>
            <w:hideMark/>
          </w:tcPr>
          <w:p w14:paraId="6EB01020"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73679B73"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68C3867B"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Moderate</w:t>
            </w:r>
          </w:p>
        </w:tc>
        <w:tc>
          <w:tcPr>
            <w:tcW w:w="0" w:type="auto"/>
            <w:hideMark/>
          </w:tcPr>
          <w:p w14:paraId="300B18B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34BF096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Temporary to Sustained Advantage</w:t>
            </w:r>
          </w:p>
        </w:tc>
      </w:tr>
      <w:tr w:rsidR="008B6D32" w:rsidRPr="008B6D32" w14:paraId="45E4E6C9" w14:textId="77777777" w:rsidTr="008B6D32">
        <w:tc>
          <w:tcPr>
            <w:tcW w:w="0" w:type="auto"/>
            <w:hideMark/>
          </w:tcPr>
          <w:p w14:paraId="2F5D98AE"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Emerging Market Distribution</w:t>
            </w:r>
          </w:p>
        </w:tc>
        <w:tc>
          <w:tcPr>
            <w:tcW w:w="0" w:type="auto"/>
            <w:hideMark/>
          </w:tcPr>
          <w:p w14:paraId="34B71C5C"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6FC7C465"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5DC641C3"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Hard</w:t>
            </w:r>
          </w:p>
        </w:tc>
        <w:tc>
          <w:tcPr>
            <w:tcW w:w="0" w:type="auto"/>
            <w:hideMark/>
          </w:tcPr>
          <w:p w14:paraId="19D5C569"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39031261"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Sustained Competitive Advantage</w:t>
            </w:r>
          </w:p>
        </w:tc>
      </w:tr>
      <w:tr w:rsidR="008B6D32" w:rsidRPr="008B6D32" w14:paraId="5E5CE5E0" w14:textId="77777777" w:rsidTr="008B6D32">
        <w:tc>
          <w:tcPr>
            <w:tcW w:w="0" w:type="auto"/>
            <w:hideMark/>
          </w:tcPr>
          <w:p w14:paraId="797674CC"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Digital R&amp;D &amp; AI Integration</w:t>
            </w:r>
          </w:p>
        </w:tc>
        <w:tc>
          <w:tcPr>
            <w:tcW w:w="0" w:type="auto"/>
            <w:hideMark/>
          </w:tcPr>
          <w:p w14:paraId="506BB6C3"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4F4F2C08"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No</w:t>
            </w:r>
          </w:p>
        </w:tc>
        <w:tc>
          <w:tcPr>
            <w:tcW w:w="0" w:type="auto"/>
            <w:hideMark/>
          </w:tcPr>
          <w:p w14:paraId="2B591CE7"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Moderate</w:t>
            </w:r>
          </w:p>
        </w:tc>
        <w:tc>
          <w:tcPr>
            <w:tcW w:w="0" w:type="auto"/>
            <w:hideMark/>
          </w:tcPr>
          <w:p w14:paraId="14B69646" w14:textId="77777777" w:rsidR="008B6D32" w:rsidRPr="008B6D32" w:rsidRDefault="008B6D32" w:rsidP="008B6D32">
            <w:pPr>
              <w:spacing w:after="160" w:line="360" w:lineRule="auto"/>
              <w:jc w:val="both"/>
              <w:rPr>
                <w:rFonts w:ascii="Arial" w:hAnsi="Arial" w:cs="Arial"/>
                <w:color w:val="000000" w:themeColor="text1"/>
                <w:sz w:val="24"/>
                <w:szCs w:val="24"/>
                <w:lang w:val="en-US"/>
              </w:rPr>
            </w:pPr>
            <w:r w:rsidRPr="008B6D32">
              <w:rPr>
                <w:rFonts w:ascii="Arial" w:hAnsi="Arial" w:cs="Arial"/>
                <w:color w:val="000000" w:themeColor="text1"/>
                <w:sz w:val="24"/>
                <w:szCs w:val="24"/>
                <w:lang w:val="en-US"/>
              </w:rPr>
              <w:t>Yes</w:t>
            </w:r>
          </w:p>
        </w:tc>
        <w:tc>
          <w:tcPr>
            <w:tcW w:w="0" w:type="auto"/>
            <w:hideMark/>
          </w:tcPr>
          <w:p w14:paraId="3BAFB26D" w14:textId="77777777" w:rsidR="008B6D32" w:rsidRPr="008B6D32" w:rsidRDefault="008B6D32" w:rsidP="008B6D32">
            <w:pPr>
              <w:keepNext/>
              <w:spacing w:after="160" w:line="360" w:lineRule="auto"/>
              <w:jc w:val="both"/>
              <w:rPr>
                <w:rFonts w:ascii="Arial" w:hAnsi="Arial" w:cs="Arial"/>
                <w:color w:val="000000" w:themeColor="text1"/>
                <w:sz w:val="24"/>
                <w:szCs w:val="24"/>
                <w:lang w:val="en-US"/>
              </w:rPr>
            </w:pPr>
            <w:r w:rsidRPr="008B6D32">
              <w:rPr>
                <w:rFonts w:ascii="Arial" w:hAnsi="Arial" w:cs="Arial"/>
                <w:b/>
                <w:bCs/>
                <w:color w:val="000000" w:themeColor="text1"/>
                <w:sz w:val="24"/>
                <w:szCs w:val="24"/>
                <w:lang w:val="en-US"/>
              </w:rPr>
              <w:t>Competitive Parity / Temporary Advantage</w:t>
            </w:r>
          </w:p>
        </w:tc>
      </w:tr>
    </w:tbl>
    <w:p w14:paraId="046673CE" w14:textId="629F8731" w:rsidR="003C3C00" w:rsidRPr="00E316FC" w:rsidRDefault="008B6D32" w:rsidP="006445B7">
      <w:pPr>
        <w:pStyle w:val="Caption"/>
        <w:jc w:val="center"/>
        <w:rPr>
          <w:rFonts w:ascii="Arial" w:hAnsi="Arial" w:cs="Arial"/>
          <w:color w:val="000000" w:themeColor="text1"/>
          <w:sz w:val="24"/>
          <w:szCs w:val="24"/>
          <w:lang w:val="en-US"/>
        </w:rPr>
      </w:pPr>
      <w:bookmarkStart w:id="12" w:name="_Toc225463903"/>
      <w:r>
        <w:t xml:space="preserve">Table </w:t>
      </w:r>
      <w:r>
        <w:fldChar w:fldCharType="begin"/>
      </w:r>
      <w:r>
        <w:instrText xml:space="preserve"> SEQ Table \* ARABIC </w:instrText>
      </w:r>
      <w:r>
        <w:fldChar w:fldCharType="separate"/>
      </w:r>
      <w:r w:rsidR="00D1068B">
        <w:rPr>
          <w:noProof/>
        </w:rPr>
        <w:t>2</w:t>
      </w:r>
      <w:r>
        <w:fldChar w:fldCharType="end"/>
      </w:r>
      <w:r>
        <w:t xml:space="preserve">: </w:t>
      </w:r>
      <w:r w:rsidRPr="003D12DD">
        <w:t>VRIO Analysis</w:t>
      </w:r>
      <w:bookmarkEnd w:id="12"/>
    </w:p>
    <w:p w14:paraId="5551F719"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b/>
          <w:bCs/>
          <w:color w:val="000000" w:themeColor="text1"/>
          <w:sz w:val="24"/>
          <w:szCs w:val="24"/>
          <w:lang w:val="en-US"/>
        </w:rPr>
        <w:t>Critical Analysis:</w:t>
      </w:r>
      <w:r w:rsidRPr="00E316FC">
        <w:rPr>
          <w:rFonts w:ascii="Arial" w:hAnsi="Arial" w:cs="Arial"/>
          <w:color w:val="000000" w:themeColor="text1"/>
          <w:sz w:val="24"/>
          <w:szCs w:val="24"/>
          <w:lang w:val="en-US"/>
        </w:rPr>
        <w:t xml:space="preserve"> Although the digital tools of Unilever are useful, a lot of competitors are following suit, and the competition is even in that particular sphere (You et al., 2023). Nevertheless, deep distribution in emerging markets (e.g., India, Indonesia) and a trusted brand portfolio are very hard to copy because they take decades of capital and cultural investments (Unilever, 2024; Barney and Li, 2025).</w:t>
      </w:r>
    </w:p>
    <w:p w14:paraId="4481612F" w14:textId="4C0F44A1" w:rsidR="00E316FC" w:rsidRPr="00E316FC" w:rsidRDefault="00E316FC" w:rsidP="008B6D32">
      <w:pPr>
        <w:pStyle w:val="Heading2"/>
        <w:rPr>
          <w:lang w:val="en-US"/>
        </w:rPr>
      </w:pPr>
      <w:bookmarkStart w:id="13" w:name="_Toc225463914"/>
      <w:r w:rsidRPr="00E316FC">
        <w:rPr>
          <w:lang w:val="en-US"/>
        </w:rPr>
        <w:lastRenderedPageBreak/>
        <w:t>2.5 Internal Strengths and Competitive Advantage</w:t>
      </w:r>
      <w:bookmarkEnd w:id="13"/>
    </w:p>
    <w:p w14:paraId="327A1F84"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These internal strengths of Unilever make it have a Sustained Competitive Advantage (SCA) through the establishment of high barriers to entry and consumer loyalty. The Resource-Based View (RBV) assumes that firms attain SCA after having resources that are hard to replace, unique, and valuable (Barney and Li, 2025). Unilever has a strategic plan merging these resources by leveraging 30 "Power Brands" that generate 75% of the total turnover as the Growth Action Plan (GAP) that guarantees capital concentration in areas that have the widest competitive moat (Unilever, 2025).</w:t>
      </w:r>
    </w:p>
    <w:p w14:paraId="1217E3D2" w14:textId="77777777" w:rsidR="00E316FC" w:rsidRPr="00E316FC"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The internal strength that is critical is the merger of the ESG in core business processes. In contrast to the companies that consider CSR as a secondary marketing instrument, Unilever makes use of its Sustainable Living plan and Compass strategies to enhance operational efficiencies, including waste and energy reduction, which directly enhance profit margins (Hu &amp; Zeng, 2024). This assimilation develops a differentiation advantage, with an increasing number of consumers liking brands that use ethical supply chains (Michalski, 2024).</w:t>
      </w:r>
    </w:p>
    <w:p w14:paraId="70533381" w14:textId="4C769291" w:rsidR="00B501C2" w:rsidRPr="00FD0BDE" w:rsidRDefault="00E316FC" w:rsidP="00E316FC">
      <w:pPr>
        <w:spacing w:after="160" w:line="360" w:lineRule="auto"/>
        <w:jc w:val="both"/>
        <w:rPr>
          <w:rFonts w:ascii="Arial" w:hAnsi="Arial" w:cs="Arial"/>
          <w:color w:val="000000" w:themeColor="text1"/>
          <w:sz w:val="24"/>
          <w:szCs w:val="24"/>
          <w:lang w:val="en-US"/>
        </w:rPr>
      </w:pPr>
      <w:r w:rsidRPr="00E316FC">
        <w:rPr>
          <w:rFonts w:ascii="Arial" w:hAnsi="Arial" w:cs="Arial"/>
          <w:color w:val="000000" w:themeColor="text1"/>
          <w:sz w:val="24"/>
          <w:szCs w:val="24"/>
          <w:lang w:val="en-US"/>
        </w:rPr>
        <w:t>Moreover, the adaptive leadership enables Unilever to navigate the unstable environment of the world, as the company has high organisational stability (You et al., 2023). As an illustration, in the COVID-19 pandemic and the following periods of inflation (2020-2024), Unilever used its international size to achieve better terms with suppliers and quickly shifted its lines of production to satisfy the new needs in hygiene and food products that could be prepared at home (Unilever, 2024). This dexterity, together with its unparalleled market penetration in developing markets, makes Unilever continue to be a powerhouse in spite of increasing rivalry between it and the local nimble players (Van Rensburg et al., 2023).</w:t>
      </w:r>
    </w:p>
    <w:p w14:paraId="42EBD2D9" w14:textId="64A4C51A" w:rsidR="00B501C2" w:rsidRPr="00156E36" w:rsidRDefault="00D37C87" w:rsidP="00B501C2">
      <w:pPr>
        <w:pStyle w:val="Heading1"/>
        <w:rPr>
          <w:lang w:val="en-US"/>
        </w:rPr>
      </w:pPr>
      <w:bookmarkStart w:id="14" w:name="_Toc225463915"/>
      <w:r w:rsidRPr="00D37C87">
        <w:rPr>
          <w:lang w:val="en-US"/>
        </w:rPr>
        <w:t>3.</w:t>
      </w:r>
      <w:r>
        <w:rPr>
          <w:lang w:val="en-US"/>
        </w:rPr>
        <w:t>0</w:t>
      </w:r>
      <w:r w:rsidRPr="00D37C87">
        <w:rPr>
          <w:lang w:val="en-US"/>
        </w:rPr>
        <w:t xml:space="preserve"> CSR and Sustainability objectives</w:t>
      </w:r>
      <w:bookmarkEnd w:id="14"/>
    </w:p>
    <w:p w14:paraId="73A8F5C2" w14:textId="7CA44797" w:rsidR="00B501C2" w:rsidRPr="003D720E" w:rsidRDefault="003D720E" w:rsidP="00B501C2">
      <w:pPr>
        <w:spacing w:after="160" w:line="360" w:lineRule="auto"/>
        <w:jc w:val="both"/>
        <w:rPr>
          <w:rFonts w:ascii="Arial" w:hAnsi="Arial" w:cs="Arial"/>
          <w:color w:val="000000" w:themeColor="text1"/>
          <w:sz w:val="24"/>
          <w:szCs w:val="24"/>
          <w:lang w:val="en-US"/>
        </w:rPr>
      </w:pPr>
      <w:r w:rsidRPr="003D720E">
        <w:rPr>
          <w:rFonts w:ascii="Arial" w:hAnsi="Arial" w:cs="Arial"/>
          <w:color w:val="000000" w:themeColor="text1"/>
          <w:sz w:val="24"/>
          <w:szCs w:val="24"/>
          <w:lang w:val="en-US"/>
        </w:rPr>
        <w:t xml:space="preserve">The Corporate Social Responsibility (CSR) sustainability policy of Unilever is inherently connected with the core business model in the system, which is called the Unilever Compass. In contrast to the old-fashioned philanthropic CSR, Unilever employs the concept of shared value, according to which social and environmental development is considered as the direct cause of financial success and risk avoidance (Unilever, 2024). Such alignment is supported by the fact that the company has strategic focus of its own Power Brands, which are specially selected to solve specific </w:t>
      </w:r>
      <w:r w:rsidRPr="003D720E">
        <w:rPr>
          <w:rFonts w:ascii="Arial" w:hAnsi="Arial" w:cs="Arial"/>
          <w:color w:val="000000" w:themeColor="text1"/>
          <w:sz w:val="24"/>
          <w:szCs w:val="24"/>
          <w:lang w:val="en-US"/>
        </w:rPr>
        <w:lastRenderedPageBreak/>
        <w:t>social problems, like in the case of Dove, its Real Beauty campaign that promotes self-esteem, thus increasing brand equity and consumer loyalty (Forbes, 2023). This is supported by the fact that the company has its sustainability objectives that are not only based on the three pillars but also specific to a particular social problem, such as the case of Dove and its Real Beauty campaign that preaches self-esteem, thus increasing brand equity and consumer Most importantly, the approach is not only ethical but also defensive; the pledge to use 100% sustainably sourced key agricultural products and cut the usage of virgin plastic by 50</w:t>
      </w:r>
      <w:r>
        <w:rPr>
          <w:rFonts w:ascii="Arial" w:hAnsi="Arial" w:cs="Arial"/>
          <w:color w:val="000000" w:themeColor="text1"/>
          <w:sz w:val="24"/>
          <w:szCs w:val="24"/>
          <w:lang w:val="en-US"/>
        </w:rPr>
        <w:t>%</w:t>
      </w:r>
      <w:r w:rsidRPr="003D720E">
        <w:rPr>
          <w:rFonts w:ascii="Arial" w:hAnsi="Arial" w:cs="Arial"/>
          <w:color w:val="000000" w:themeColor="text1"/>
          <w:sz w:val="24"/>
          <w:szCs w:val="24"/>
          <w:lang w:val="en-US"/>
        </w:rPr>
        <w:t xml:space="preserve"> positions Unilever as having a secure supply chain against the growing physical risks of climate change and changing global regulations (Financial Times, 2024). According to academic debate, the so-called purpose-led model helps to establish a green premium, which enables Unilever to keep high prices in a competitive market but lowers operational expenses through energy savings and waste management (Michalski, 2024). Yet, as recent shifts of the strategy under the leadership of Hein Schumacher hint, the objectives are going through a pragmatic transformation. In 2024, Unilever replaced its targets with more realistic and impactful ones, which include near-term targets like reducing Scope 1 and 2 emissions by 39</w:t>
      </w:r>
      <w:r>
        <w:rPr>
          <w:rFonts w:ascii="Arial" w:hAnsi="Arial" w:cs="Arial"/>
          <w:color w:val="000000" w:themeColor="text1"/>
          <w:sz w:val="24"/>
          <w:szCs w:val="24"/>
          <w:lang w:val="en-US"/>
        </w:rPr>
        <w:t>%</w:t>
      </w:r>
      <w:r w:rsidRPr="003D720E">
        <w:rPr>
          <w:rFonts w:ascii="Arial" w:hAnsi="Arial" w:cs="Arial"/>
          <w:color w:val="000000" w:themeColor="text1"/>
          <w:sz w:val="24"/>
          <w:szCs w:val="24"/>
          <w:lang w:val="en-US"/>
        </w:rPr>
        <w:t xml:space="preserve"> in an absolute manner by 2025 (Unilever, 2025). Some critics believe that this is a dilution of CSR ambition, but the company claims that this refocusing will make sure that sustainability is embedded in a deeper way without undermining the action plan of growth (GAP) that is needed to keep the shareholders satisfied (The Economist, 2024). Finally, the CSR strategy of Unilever is a strategic skill that can turn the environment and social stewardship into a sustainable competitive advantage.</w:t>
      </w:r>
    </w:p>
    <w:p w14:paraId="33E90AB0" w14:textId="17E27913" w:rsidR="00B501C2" w:rsidRPr="00E8737B" w:rsidRDefault="00366BAF" w:rsidP="006445B7">
      <w:pPr>
        <w:pStyle w:val="Heading1"/>
        <w:jc w:val="both"/>
        <w:rPr>
          <w:lang w:val="en-US"/>
        </w:rPr>
      </w:pPr>
      <w:bookmarkStart w:id="15" w:name="_Toc225463916"/>
      <w:r w:rsidRPr="00366BAF">
        <w:rPr>
          <w:lang w:val="en-US"/>
        </w:rPr>
        <w:t>4.0 Comprehensive and Holistic View: The Balanced Scorecard of Unilever PLC</w:t>
      </w:r>
      <w:bookmarkEnd w:id="15"/>
    </w:p>
    <w:p w14:paraId="3CFC437B" w14:textId="77777777"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To present a comprehensive analysis of the operations and strategic performance of Unilever, the Balanced Scorecard (BSC) model of Kaplan and Norton (1992) is used. The model does not rely on traditional financial indicators but incorporates non-financial forces of the future value, making sure that the strategy of the Unilever Compass is well translated into workable operational terms (Michalski, 2024).</w:t>
      </w:r>
    </w:p>
    <w:p w14:paraId="34B5903D" w14:textId="77777777" w:rsidR="004F1A12" w:rsidRPr="004F1A12" w:rsidRDefault="004F1A12" w:rsidP="004F1A12">
      <w:pPr>
        <w:pStyle w:val="Heading2"/>
        <w:rPr>
          <w:lang w:val="en-US"/>
        </w:rPr>
      </w:pPr>
      <w:bookmarkStart w:id="16" w:name="_Toc225463917"/>
      <w:r w:rsidRPr="004F1A12">
        <w:rPr>
          <w:lang w:val="en-US"/>
        </w:rPr>
        <w:lastRenderedPageBreak/>
        <w:t>4.1 Discussion of the Four Core Perspectives</w:t>
      </w:r>
      <w:bookmarkEnd w:id="16"/>
    </w:p>
    <w:p w14:paraId="346B43BC" w14:textId="77777777" w:rsid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The four core perspectives of the Balanced Scorecard discussed in the given table apply to the strategic management practices at Unilever.</w:t>
      </w:r>
    </w:p>
    <w:tbl>
      <w:tblPr>
        <w:tblStyle w:val="TableGrid"/>
        <w:tblW w:w="0" w:type="auto"/>
        <w:tblLook w:val="04A0" w:firstRow="1" w:lastRow="0" w:firstColumn="1" w:lastColumn="0" w:noHBand="0" w:noVBand="1"/>
      </w:tblPr>
      <w:tblGrid>
        <w:gridCol w:w="1908"/>
        <w:gridCol w:w="7108"/>
      </w:tblGrid>
      <w:tr w:rsidR="00D1068B" w:rsidRPr="00D1068B" w14:paraId="62FE941D" w14:textId="77777777" w:rsidTr="00D1068B">
        <w:tc>
          <w:tcPr>
            <w:tcW w:w="0" w:type="auto"/>
            <w:hideMark/>
          </w:tcPr>
          <w:p w14:paraId="389EA596"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Perspective</w:t>
            </w:r>
          </w:p>
        </w:tc>
        <w:tc>
          <w:tcPr>
            <w:tcW w:w="0" w:type="auto"/>
            <w:hideMark/>
          </w:tcPr>
          <w:p w14:paraId="3943396B"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Strategic Focus and Discussion</w:t>
            </w:r>
          </w:p>
        </w:tc>
      </w:tr>
      <w:tr w:rsidR="00D1068B" w:rsidRPr="00D1068B" w14:paraId="205F586D" w14:textId="77777777" w:rsidTr="00D1068B">
        <w:tc>
          <w:tcPr>
            <w:tcW w:w="0" w:type="auto"/>
            <w:hideMark/>
          </w:tcPr>
          <w:p w14:paraId="5B84F8FF"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Financial</w:t>
            </w:r>
          </w:p>
        </w:tc>
        <w:tc>
          <w:tcPr>
            <w:tcW w:w="0" w:type="auto"/>
            <w:hideMark/>
          </w:tcPr>
          <w:p w14:paraId="17512E06"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color w:val="000000" w:themeColor="text1"/>
                <w:sz w:val="24"/>
                <w:szCs w:val="24"/>
                <w:lang w:val="en-US"/>
              </w:rPr>
              <w:t xml:space="preserve">This perspective evaluates how Unilever appears to its shareholders. It focuses on profitable growth, cash flow, and capital allocation. Under the "Growth Action Plan," Unilever prioritizes </w:t>
            </w:r>
            <w:r w:rsidRPr="00D1068B">
              <w:rPr>
                <w:rFonts w:ascii="Arial" w:hAnsi="Arial" w:cs="Arial"/>
                <w:b/>
                <w:bCs/>
                <w:color w:val="000000" w:themeColor="text1"/>
                <w:sz w:val="24"/>
                <w:szCs w:val="24"/>
                <w:lang w:val="en-US"/>
              </w:rPr>
              <w:t>Underlying Sales Growth (USG)</w:t>
            </w:r>
            <w:r w:rsidRPr="00D1068B">
              <w:rPr>
                <w:rFonts w:ascii="Arial" w:hAnsi="Arial" w:cs="Arial"/>
                <w:color w:val="000000" w:themeColor="text1"/>
                <w:sz w:val="24"/>
                <w:szCs w:val="24"/>
                <w:lang w:val="en-US"/>
              </w:rPr>
              <w:t xml:space="preserve"> and margin expansion to ensure long-term shareholder value (Unilever, 2024; Financial Times, 2024).</w:t>
            </w:r>
          </w:p>
        </w:tc>
      </w:tr>
      <w:tr w:rsidR="00D1068B" w:rsidRPr="00D1068B" w14:paraId="779DB19A" w14:textId="77777777" w:rsidTr="00D1068B">
        <w:tc>
          <w:tcPr>
            <w:tcW w:w="0" w:type="auto"/>
            <w:hideMark/>
          </w:tcPr>
          <w:p w14:paraId="04D00293"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Customer</w:t>
            </w:r>
          </w:p>
        </w:tc>
        <w:tc>
          <w:tcPr>
            <w:tcW w:w="0" w:type="auto"/>
            <w:hideMark/>
          </w:tcPr>
          <w:p w14:paraId="3AFF84FD"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color w:val="000000" w:themeColor="text1"/>
                <w:sz w:val="24"/>
                <w:szCs w:val="24"/>
                <w:lang w:val="en-US"/>
              </w:rPr>
              <w:t>This focuses on market share and brand equity. Unilever aims to deliver "unmissable superiority" across its 30 Power Brands. Success is measured by the company’s ability to meet evolving consumer needs for sustainability and health, thereby driving brand loyalty and penetration (Forbes, 2023).</w:t>
            </w:r>
          </w:p>
        </w:tc>
      </w:tr>
      <w:tr w:rsidR="00D1068B" w:rsidRPr="00D1068B" w14:paraId="489E21CC" w14:textId="77777777" w:rsidTr="00D1068B">
        <w:tc>
          <w:tcPr>
            <w:tcW w:w="0" w:type="auto"/>
            <w:hideMark/>
          </w:tcPr>
          <w:p w14:paraId="77B35D06"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Internal Business Processes</w:t>
            </w:r>
          </w:p>
        </w:tc>
        <w:tc>
          <w:tcPr>
            <w:tcW w:w="0" w:type="auto"/>
            <w:hideMark/>
          </w:tcPr>
          <w:p w14:paraId="3704A797"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color w:val="000000" w:themeColor="text1"/>
                <w:sz w:val="24"/>
                <w:szCs w:val="24"/>
                <w:lang w:val="en-US"/>
              </w:rPr>
              <w:t>This assesses the operational excellence of the supply chain and R&amp;D. Unilever focuses on digital transformation and "future-fit" operations, ensuring that internal processes are optimized for speed, agility, and minimal environmental impact (Unilever, 2025; Hu and Zeng, 2024).</w:t>
            </w:r>
          </w:p>
        </w:tc>
      </w:tr>
      <w:tr w:rsidR="00D1068B" w:rsidRPr="00D1068B" w14:paraId="0CECBD9C" w14:textId="77777777" w:rsidTr="00D1068B">
        <w:tc>
          <w:tcPr>
            <w:tcW w:w="0" w:type="auto"/>
            <w:hideMark/>
          </w:tcPr>
          <w:p w14:paraId="7583760F" w14:textId="77777777" w:rsidR="00D1068B" w:rsidRPr="00D1068B" w:rsidRDefault="00D1068B" w:rsidP="00D1068B">
            <w:pPr>
              <w:spacing w:after="240" w:line="360" w:lineRule="auto"/>
              <w:jc w:val="both"/>
              <w:rPr>
                <w:rFonts w:ascii="Arial" w:hAnsi="Arial" w:cs="Arial"/>
                <w:color w:val="000000" w:themeColor="text1"/>
                <w:sz w:val="24"/>
                <w:szCs w:val="24"/>
                <w:lang w:val="en-US"/>
              </w:rPr>
            </w:pPr>
            <w:r w:rsidRPr="00D1068B">
              <w:rPr>
                <w:rFonts w:ascii="Arial" w:hAnsi="Arial" w:cs="Arial"/>
                <w:b/>
                <w:bCs/>
                <w:color w:val="000000" w:themeColor="text1"/>
                <w:sz w:val="24"/>
                <w:szCs w:val="24"/>
                <w:lang w:val="en-US"/>
              </w:rPr>
              <w:t>Learning and Growth</w:t>
            </w:r>
          </w:p>
        </w:tc>
        <w:tc>
          <w:tcPr>
            <w:tcW w:w="0" w:type="auto"/>
            <w:hideMark/>
          </w:tcPr>
          <w:p w14:paraId="4F550D51" w14:textId="77777777" w:rsidR="00D1068B" w:rsidRPr="00D1068B" w:rsidRDefault="00D1068B" w:rsidP="00D1068B">
            <w:pPr>
              <w:keepNext/>
              <w:spacing w:after="240" w:line="360" w:lineRule="auto"/>
              <w:jc w:val="both"/>
              <w:rPr>
                <w:rFonts w:ascii="Arial" w:hAnsi="Arial" w:cs="Arial"/>
                <w:color w:val="000000" w:themeColor="text1"/>
                <w:sz w:val="24"/>
                <w:szCs w:val="24"/>
                <w:lang w:val="en-US"/>
              </w:rPr>
            </w:pPr>
            <w:r w:rsidRPr="00D1068B">
              <w:rPr>
                <w:rFonts w:ascii="Arial" w:hAnsi="Arial" w:cs="Arial"/>
                <w:color w:val="000000" w:themeColor="text1"/>
                <w:sz w:val="24"/>
                <w:szCs w:val="24"/>
                <w:lang w:val="en-US"/>
              </w:rPr>
              <w:t>This perspective examines the intangible assets: human capital, culture, and technology. Unilever invests heavily in employee upskilling and a "performance-driven culture" to foster the innovation required to sustain competitive advantage (Unilever, 2024).</w:t>
            </w:r>
          </w:p>
        </w:tc>
      </w:tr>
    </w:tbl>
    <w:p w14:paraId="51E6BCA7" w14:textId="420BF909" w:rsidR="004F1A12" w:rsidRPr="004F1A12" w:rsidRDefault="00D1068B" w:rsidP="006445B7">
      <w:pPr>
        <w:pStyle w:val="Caption"/>
        <w:jc w:val="center"/>
        <w:rPr>
          <w:rFonts w:ascii="Arial" w:hAnsi="Arial" w:cs="Arial"/>
          <w:color w:val="000000" w:themeColor="text1"/>
          <w:sz w:val="24"/>
          <w:szCs w:val="24"/>
          <w:lang w:val="en-US"/>
        </w:rPr>
      </w:pPr>
      <w:bookmarkStart w:id="17" w:name="_Toc225463904"/>
      <w:r>
        <w:t xml:space="preserve">Table </w:t>
      </w:r>
      <w:r>
        <w:fldChar w:fldCharType="begin"/>
      </w:r>
      <w:r>
        <w:instrText xml:space="preserve"> SEQ Table \* ARABIC </w:instrText>
      </w:r>
      <w:r>
        <w:fldChar w:fldCharType="separate"/>
      </w:r>
      <w:r>
        <w:rPr>
          <w:noProof/>
        </w:rPr>
        <w:t>3</w:t>
      </w:r>
      <w:r>
        <w:fldChar w:fldCharType="end"/>
      </w:r>
      <w:r>
        <w:t xml:space="preserve">: </w:t>
      </w:r>
      <w:r w:rsidRPr="00DB7091">
        <w:t>Four Core Perspectives</w:t>
      </w:r>
      <w:bookmarkEnd w:id="17"/>
    </w:p>
    <w:p w14:paraId="12125965" w14:textId="0FCDA364" w:rsidR="004F1A12" w:rsidRPr="004F1A12" w:rsidRDefault="004F1A12" w:rsidP="00D1068B">
      <w:pPr>
        <w:pStyle w:val="Heading2"/>
        <w:rPr>
          <w:lang w:val="en-US"/>
        </w:rPr>
      </w:pPr>
      <w:bookmarkStart w:id="18" w:name="_Toc225463918"/>
      <w:r w:rsidRPr="004F1A12">
        <w:rPr>
          <w:lang w:val="en-US"/>
        </w:rPr>
        <w:t>4.2 Objectives, KPIs, Targets, and Initiatives Analysis</w:t>
      </w:r>
      <w:bookmarkEnd w:id="18"/>
    </w:p>
    <w:p w14:paraId="64FC1FDA" w14:textId="1A963721"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 xml:space="preserve">Using the Balanced Scorecard enables Unilever to </w:t>
      </w:r>
      <w:r w:rsidR="00D1068B" w:rsidRPr="004F1A12">
        <w:rPr>
          <w:rFonts w:ascii="Arial" w:hAnsi="Arial" w:cs="Arial"/>
          <w:color w:val="000000" w:themeColor="text1"/>
          <w:sz w:val="24"/>
          <w:szCs w:val="24"/>
          <w:lang w:val="en-US"/>
        </w:rPr>
        <w:t>harmonies</w:t>
      </w:r>
      <w:r w:rsidRPr="004F1A12">
        <w:rPr>
          <w:rFonts w:ascii="Arial" w:hAnsi="Arial" w:cs="Arial"/>
          <w:color w:val="000000" w:themeColor="text1"/>
          <w:sz w:val="24"/>
          <w:szCs w:val="24"/>
          <w:lang w:val="en-US"/>
        </w:rPr>
        <w:t xml:space="preserve"> the actions of its departments with its purpose, which is to make sustainable living a new standard (Unilever, 2024).</w:t>
      </w:r>
    </w:p>
    <w:p w14:paraId="375ED5D2" w14:textId="77777777" w:rsidR="004F1A12" w:rsidRPr="004F1A12" w:rsidRDefault="004F1A12" w:rsidP="004F1A12">
      <w:pPr>
        <w:spacing w:after="240" w:line="360" w:lineRule="auto"/>
        <w:jc w:val="both"/>
        <w:rPr>
          <w:rFonts w:ascii="Arial" w:hAnsi="Arial" w:cs="Arial"/>
          <w:b/>
          <w:bCs/>
          <w:color w:val="000000" w:themeColor="text1"/>
          <w:sz w:val="24"/>
          <w:szCs w:val="24"/>
          <w:lang w:val="en-US"/>
        </w:rPr>
      </w:pPr>
      <w:r w:rsidRPr="004F1A12">
        <w:rPr>
          <w:rFonts w:ascii="Arial" w:hAnsi="Arial" w:cs="Arial"/>
          <w:b/>
          <w:bCs/>
          <w:color w:val="000000" w:themeColor="text1"/>
          <w:sz w:val="24"/>
          <w:szCs w:val="24"/>
          <w:lang w:val="en-US"/>
        </w:rPr>
        <w:lastRenderedPageBreak/>
        <w:t>Financial Perspective:</w:t>
      </w:r>
    </w:p>
    <w:p w14:paraId="4C3DBB25" w14:textId="77777777"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The main goal of Unilever is to provide peer-group performance in the top third in line. One of the KPIs is Underlying Sales Growth (USG), and they are planned to grow 3 to 5% annually during the multi-year period. To do this, the move will entail the strategic disposal of low-growth business units, including the Elida Beauty portfolio, to reinvest the capital into high-margin businesses such as Prestige Beauty (Unilever, 2024; The Economist, 2024).</w:t>
      </w:r>
    </w:p>
    <w:p w14:paraId="77415CD2" w14:textId="77777777" w:rsidR="004F1A12" w:rsidRPr="004F1A12" w:rsidRDefault="004F1A12" w:rsidP="004F1A12">
      <w:pPr>
        <w:spacing w:after="240" w:line="360" w:lineRule="auto"/>
        <w:jc w:val="both"/>
        <w:rPr>
          <w:rFonts w:ascii="Arial" w:hAnsi="Arial" w:cs="Arial"/>
          <w:b/>
          <w:bCs/>
          <w:color w:val="000000" w:themeColor="text1"/>
          <w:sz w:val="24"/>
          <w:szCs w:val="24"/>
          <w:lang w:val="en-US"/>
        </w:rPr>
      </w:pPr>
      <w:r w:rsidRPr="004F1A12">
        <w:rPr>
          <w:rFonts w:ascii="Arial" w:hAnsi="Arial" w:cs="Arial"/>
          <w:b/>
          <w:bCs/>
          <w:color w:val="000000" w:themeColor="text1"/>
          <w:sz w:val="24"/>
          <w:szCs w:val="24"/>
          <w:lang w:val="en-US"/>
        </w:rPr>
        <w:t>Customer Perspective:</w:t>
      </w:r>
    </w:p>
    <w:p w14:paraId="2192D116" w14:textId="77777777"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The aim is to expand brand strength and market share. The KPI applied is Percent Business Winning Market Share, and its target is to stay in the lead in 80% of its major markets. Some of these initiatives include social-first marketing campaigns and the use of AI to forecast customer trends, ensuring that products like Dove and Magnum remain relevant to Gen Z consumers (Forbes, 2023; Unilever, 2025).</w:t>
      </w:r>
    </w:p>
    <w:p w14:paraId="186C08F2" w14:textId="77777777" w:rsidR="004F1A12" w:rsidRPr="004F1A12" w:rsidRDefault="004F1A12" w:rsidP="004F1A12">
      <w:pPr>
        <w:spacing w:after="240" w:line="360" w:lineRule="auto"/>
        <w:jc w:val="both"/>
        <w:rPr>
          <w:rFonts w:ascii="Arial" w:hAnsi="Arial" w:cs="Arial"/>
          <w:b/>
          <w:bCs/>
          <w:color w:val="000000" w:themeColor="text1"/>
          <w:sz w:val="24"/>
          <w:szCs w:val="24"/>
          <w:lang w:val="en-US"/>
        </w:rPr>
      </w:pPr>
      <w:r w:rsidRPr="004F1A12">
        <w:rPr>
          <w:rFonts w:ascii="Arial" w:hAnsi="Arial" w:cs="Arial"/>
          <w:b/>
          <w:bCs/>
          <w:color w:val="000000" w:themeColor="text1"/>
          <w:sz w:val="24"/>
          <w:szCs w:val="24"/>
          <w:lang w:val="en-US"/>
        </w:rPr>
        <w:t>Internal Business Processes Perspective:</w:t>
      </w:r>
    </w:p>
    <w:p w14:paraId="039FD820" w14:textId="77777777"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The goal is to build a stronger and more resilient supply chain. The percentage of the virgin plastic reduction is a vital KPI, and the updated target will be a 30-40% reduction by the year 2026 (Unilever, 2024). Such initiatives launch the digital transformation of customer operations, a project that uses real-time information to minimise waste in logistics and enhance the availability of shelves (Hu and Zeng, 2024).</w:t>
      </w:r>
    </w:p>
    <w:p w14:paraId="2632FD8C" w14:textId="77777777" w:rsidR="004F1A12" w:rsidRPr="004F1A12" w:rsidRDefault="004F1A12" w:rsidP="004F1A12">
      <w:pPr>
        <w:spacing w:after="240" w:line="360" w:lineRule="auto"/>
        <w:jc w:val="both"/>
        <w:rPr>
          <w:rFonts w:ascii="Arial" w:hAnsi="Arial" w:cs="Arial"/>
          <w:b/>
          <w:bCs/>
          <w:color w:val="000000" w:themeColor="text1"/>
          <w:sz w:val="24"/>
          <w:szCs w:val="24"/>
          <w:lang w:val="en-US"/>
        </w:rPr>
      </w:pPr>
      <w:r w:rsidRPr="004F1A12">
        <w:rPr>
          <w:rFonts w:ascii="Arial" w:hAnsi="Arial" w:cs="Arial"/>
          <w:b/>
          <w:bCs/>
          <w:color w:val="000000" w:themeColor="text1"/>
          <w:sz w:val="24"/>
          <w:szCs w:val="24"/>
          <w:lang w:val="en-US"/>
        </w:rPr>
        <w:t>Learning and Growth Perspective:</w:t>
      </w:r>
    </w:p>
    <w:p w14:paraId="0D35A700" w14:textId="77777777" w:rsidR="004F1A12" w:rsidRPr="004F1A12" w:rsidRDefault="004F1A12" w:rsidP="004F1A12">
      <w:pPr>
        <w:spacing w:after="240" w:line="360" w:lineRule="auto"/>
        <w:jc w:val="both"/>
        <w:rPr>
          <w:rFonts w:ascii="Arial" w:hAnsi="Arial" w:cs="Arial"/>
          <w:color w:val="000000" w:themeColor="text1"/>
          <w:sz w:val="24"/>
          <w:szCs w:val="24"/>
          <w:lang w:val="en-US"/>
        </w:rPr>
      </w:pPr>
      <w:r w:rsidRPr="004F1A12">
        <w:rPr>
          <w:rFonts w:ascii="Arial" w:hAnsi="Arial" w:cs="Arial"/>
          <w:color w:val="000000" w:themeColor="text1"/>
          <w:sz w:val="24"/>
          <w:szCs w:val="24"/>
          <w:lang w:val="en-US"/>
        </w:rPr>
        <w:t>Unilever seeks to have a future-proof workforce. The KPI is employee engagement and skill development scores, which will aim at 100 of its employees possessing a future-fit skill set by 2025. The programmes, such as the U-Work programme and a vast range of digital training platforms, have been implemented to make sure that the staff members are able to operate within the AI-driven FMCG environment (Unilever, 2024; Michalski, 2024).</w:t>
      </w:r>
    </w:p>
    <w:p w14:paraId="16E9F27D" w14:textId="77777777" w:rsidR="001A0968" w:rsidRPr="001A0968" w:rsidRDefault="001A0968" w:rsidP="001A0968">
      <w:pPr>
        <w:pStyle w:val="Heading1"/>
        <w:rPr>
          <w:lang w:val="en-US"/>
        </w:rPr>
      </w:pPr>
      <w:bookmarkStart w:id="19" w:name="_Toc225463919"/>
      <w:r w:rsidRPr="001A0968">
        <w:rPr>
          <w:lang w:val="en-US"/>
        </w:rPr>
        <w:lastRenderedPageBreak/>
        <w:t>5.0 Strategic Choices and Implementation.</w:t>
      </w:r>
      <w:bookmarkEnd w:id="19"/>
    </w:p>
    <w:p w14:paraId="28086673" w14:textId="77777777" w:rsidR="001A0968" w:rsidRPr="001A0968" w:rsidRDefault="001A0968" w:rsidP="001A0968">
      <w:pPr>
        <w:pStyle w:val="Heading2"/>
        <w:rPr>
          <w:lang w:val="en-US"/>
        </w:rPr>
      </w:pPr>
      <w:bookmarkStart w:id="20" w:name="_Toc225463920"/>
      <w:r w:rsidRPr="001A0968">
        <w:rPr>
          <w:lang w:val="en-US"/>
        </w:rPr>
        <w:t>5.1 Business and Corporate Level Strategic Choices</w:t>
      </w:r>
      <w:bookmarkEnd w:id="20"/>
    </w:p>
    <w:p w14:paraId="654F16BA" w14:textId="77777777" w:rsidR="001A0968" w:rsidRP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On the business level, the main strategy used by Unilever is a broad differentiation strategy (Unilever, 2024). This is a strategy aimed at establishing the unmissably superior products in its 30 Power Brands, including Dove and Liquid I.V., to charge premium prices and shield the company against low-cost rivals (Panmore Institute, 2024). Unilever can make a differentiation by utilising its science-led innovation and sustainability, which it is able to produce due to its 949 million investments in R&amp;D design and its growing consideration of the modern consumer (Unilever, 2025).</w:t>
      </w:r>
    </w:p>
    <w:p w14:paraId="2627CC51" w14:textId="77777777" w:rsidR="001A0968" w:rsidRP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On its side, Unilever has moved to strategic portfolio optimisation and international expansion at its corporate level, instead of broad diversification (Financial Times, 2024). The company is also actively selling non-core or slower-growing ones, including its Elida Beauty collection and the Dollar Shave Club, and investing in high-growth Health and Wellbeing and Prestige Beauty categories (Unilever, 2024). Moreover, its emphasis is extremely concentrated on the development markets, which should now provide 58% of turnover, which offers a crucial hedge against the low growth in Western economies (Unilever, 2025).</w:t>
      </w:r>
    </w:p>
    <w:p w14:paraId="5FD604BC" w14:textId="77777777" w:rsidR="001A0968" w:rsidRPr="001A0968" w:rsidRDefault="001A0968" w:rsidP="001A0968">
      <w:pPr>
        <w:spacing w:after="240" w:line="360" w:lineRule="auto"/>
        <w:jc w:val="both"/>
        <w:rPr>
          <w:rFonts w:ascii="Arial" w:hAnsi="Arial" w:cs="Arial"/>
          <w:b/>
          <w:bCs/>
          <w:color w:val="000000" w:themeColor="text1"/>
          <w:sz w:val="24"/>
          <w:szCs w:val="24"/>
          <w:lang w:val="en-US"/>
        </w:rPr>
      </w:pPr>
      <w:r w:rsidRPr="001A0968">
        <w:rPr>
          <w:rFonts w:ascii="Arial" w:hAnsi="Arial" w:cs="Arial"/>
          <w:b/>
          <w:bCs/>
          <w:color w:val="000000" w:themeColor="text1"/>
          <w:sz w:val="24"/>
          <w:szCs w:val="24"/>
          <w:lang w:val="en-US"/>
        </w:rPr>
        <w:t>Recommendation:</w:t>
      </w:r>
    </w:p>
    <w:p w14:paraId="30807AD0" w14:textId="77777777" w:rsidR="001A0968" w:rsidRP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A focused differentiation decision along with the continued corporate restructuring (demerger) of the ice cream business is what I would recommend. Why? The capital intensity and seasonality of the ice cream division do not provide synergy with the personal care and nutrition sectors (Ceres Shop, 2024). This unit can be demerged into an independent organisation, and the resultant enterprise is that Unilever can be considered a leaner organisation where the management can focus the resources on the high-margin and high-frequency Power Brands. This decision directly responds to the so-called Complexity Tax that has been historically crippling the agility of Unilever in comparison with its competitors such as Procter &amp; Gamble (The Economist, 2024).</w:t>
      </w:r>
    </w:p>
    <w:p w14:paraId="4BF44139" w14:textId="77777777" w:rsidR="001A0968" w:rsidRPr="001A0968" w:rsidRDefault="001A0968" w:rsidP="001A0968">
      <w:pPr>
        <w:pStyle w:val="Heading2"/>
        <w:rPr>
          <w:lang w:val="en-US"/>
        </w:rPr>
      </w:pPr>
      <w:bookmarkStart w:id="21" w:name="_Toc225463921"/>
      <w:r w:rsidRPr="001A0968">
        <w:rPr>
          <w:lang w:val="en-US"/>
        </w:rPr>
        <w:t>5.2 Change Management and Strategic Implementation</w:t>
      </w:r>
      <w:bookmarkEnd w:id="21"/>
    </w:p>
    <w:p w14:paraId="7477025E" w14:textId="77777777" w:rsidR="001A0968" w:rsidRP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 xml:space="preserve">With the current CEO Hein Schumacher (2023–2025) in office, Unilever has experienced a massive reset of its change management. This transformation is </w:t>
      </w:r>
      <w:r w:rsidRPr="001A0968">
        <w:rPr>
          <w:rFonts w:ascii="Arial" w:hAnsi="Arial" w:cs="Arial"/>
          <w:color w:val="000000" w:themeColor="text1"/>
          <w:sz w:val="24"/>
          <w:szCs w:val="24"/>
          <w:lang w:val="en-US"/>
        </w:rPr>
        <w:lastRenderedPageBreak/>
        <w:t>accomplished through the implementation of the Growth Action Plan (GAP) that aims at doing fewer things better (Unilever, 2024).</w:t>
      </w:r>
    </w:p>
    <w:p w14:paraId="14A2C81D" w14:textId="77777777" w:rsidR="001A0968" w:rsidRP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Importantly, the organisation has been successful in dealing with the structural shift that was necessary to convert the matrix model into five separate business groups. This has made accountability very clear and has also cut back on the decision-making cycles, which is seen through the 2.9% growth of volumes in 2024 – a reversal of the stagnation before (Food Ingredients First, 2025). Nevertheless, there has been no smooth sailing in implementation. The move to eliminate about 7,500 positions worldwide to cut down on the €800 million spending by 2026 points to the ugliness of the concept of efficiency-driven change (Financial Times, 2024). Although it guarantees financial stability, it poses a threat of short-term drops in employee morale and cultural unity (PwC, 2024).</w:t>
      </w:r>
    </w:p>
    <w:p w14:paraId="259AE43D" w14:textId="0E85F25C" w:rsidR="001A0968" w:rsidRDefault="001A0968" w:rsidP="001A0968">
      <w:pPr>
        <w:spacing w:after="240" w:line="360" w:lineRule="auto"/>
        <w:jc w:val="both"/>
        <w:rPr>
          <w:rFonts w:ascii="Arial" w:hAnsi="Arial" w:cs="Arial"/>
          <w:color w:val="000000" w:themeColor="text1"/>
          <w:sz w:val="24"/>
          <w:szCs w:val="24"/>
          <w:lang w:val="en-US"/>
        </w:rPr>
      </w:pPr>
      <w:r w:rsidRPr="001A0968">
        <w:rPr>
          <w:rFonts w:ascii="Arial" w:hAnsi="Arial" w:cs="Arial"/>
          <w:color w:val="000000" w:themeColor="text1"/>
          <w:sz w:val="24"/>
          <w:szCs w:val="24"/>
          <w:lang w:val="en-US"/>
        </w:rPr>
        <w:t>Pragmatic change has also been exhibited in the organisation through refinement of sustainability targets. The shift in the long-term and broad goals to short-term and measurable ones (e.g., precise 2026 plastic reduction goals) has made Unilever more credible when it comes to the implementation strategy in the eyes of sceptical investors (The Economist, 2024). Critics claim that it dilutes their social purpose, but the alignment of ESG to productivity implies a more sustainable and realistic path of implementation that creates more balance between the purpose and profit (Unilever, 2025).</w:t>
      </w:r>
    </w:p>
    <w:p w14:paraId="59D92C18" w14:textId="2C58F11B" w:rsidR="001A0968" w:rsidRDefault="00D30556" w:rsidP="00157622">
      <w:pPr>
        <w:pStyle w:val="Heading1"/>
      </w:pPr>
      <w:bookmarkStart w:id="22" w:name="_Toc225463922"/>
      <w:r w:rsidRPr="00D30556">
        <w:t>6.</w:t>
      </w:r>
      <w:r>
        <w:t>0</w:t>
      </w:r>
      <w:r w:rsidRPr="00D30556">
        <w:t xml:space="preserve"> Strategic Evaluation and Recommendations</w:t>
      </w:r>
      <w:bookmarkEnd w:id="22"/>
    </w:p>
    <w:p w14:paraId="2CCBF701" w14:textId="03F5CDA6" w:rsidR="0073518B" w:rsidRPr="0073518B" w:rsidRDefault="0073518B" w:rsidP="008A3757">
      <w:pPr>
        <w:pStyle w:val="Heading2"/>
        <w:rPr>
          <w:lang w:val="en-US"/>
        </w:rPr>
      </w:pPr>
      <w:bookmarkStart w:id="23" w:name="_Toc225463923"/>
      <w:r w:rsidRPr="0073518B">
        <w:rPr>
          <w:lang w:val="en-US"/>
        </w:rPr>
        <w:t>6.1 Strategic Critique of the Present-day Strategy</w:t>
      </w:r>
      <w:bookmarkEnd w:id="23"/>
    </w:p>
    <w:p w14:paraId="27CFB9DB" w14:textId="77777777" w:rsidR="0073518B" w:rsidRPr="0073518B" w:rsidRDefault="0073518B" w:rsidP="0073518B">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t>In order to access the strategic stance of Unilever, the Matrix of Ansoff and the BCG Matrix are key to comprehending the growth and the state of the portfolio. At present, Unilever pays much attention to market penetration and product development (Matrix of Ansoff). The company is also intensifying its efforts with 30 Power Brands as part of its Growth Action Plan (GAP) to increase market share in established territories by investing more in marketing (Unilever, 2024). At the same time, it is on the path of product development with science-supported and high-quality health and wellness products, including the introduction of the Liquid I.V. brand into new markets (Forbes, 2023).</w:t>
      </w:r>
    </w:p>
    <w:p w14:paraId="6719CDE3" w14:textId="77777777" w:rsidR="0073518B" w:rsidRPr="0073518B" w:rsidRDefault="0073518B" w:rsidP="0073518B">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lastRenderedPageBreak/>
        <w:t>Unilever is also experiencing a high level of rationalisation of its portfolio according to a BCG matrix perspective. It is investing the majority of its capital in its stars, high-growth, high-share brands such as those in the Prestige Beauty and Health and Wellbeing divisions (Unilever, 2025). On the other hand, the ice cream business (along with Ben and Jerry's), which exhibits high capital intensity and whose growth rate is lower than that of personal care, has been found worthy of demerger. This is an effective step to shift a once-proven and successfully operating cash cow that was turning into a dog (strategic fit) out of the core portfolio to be as agile as possible (The Economist, 2024; Financial Times, 2024).</w:t>
      </w:r>
    </w:p>
    <w:p w14:paraId="63FC7AAB" w14:textId="5321A74D" w:rsidR="0073518B" w:rsidRPr="0073518B" w:rsidRDefault="0073518B" w:rsidP="008A3757">
      <w:pPr>
        <w:pStyle w:val="Heading2"/>
        <w:rPr>
          <w:lang w:val="en-US"/>
        </w:rPr>
      </w:pPr>
      <w:bookmarkStart w:id="24" w:name="_Toc225463924"/>
      <w:r w:rsidRPr="0073518B">
        <w:rPr>
          <w:lang w:val="en-US"/>
        </w:rPr>
        <w:t>6.2 Strategic Improvement Recommendations</w:t>
      </w:r>
      <w:bookmarkEnd w:id="24"/>
    </w:p>
    <w:p w14:paraId="67FADFF7" w14:textId="77777777" w:rsidR="0073518B" w:rsidRPr="0073518B" w:rsidRDefault="0073518B" w:rsidP="0073518B">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t>According to the internal and external analysis performed in the foregoing sections, the following are the recommendations that are offered to strengthen the position of Unilever in terms of competitiveness:</w:t>
      </w:r>
    </w:p>
    <w:p w14:paraId="204DBFD5" w14:textId="79E62AA0" w:rsidR="0073518B" w:rsidRPr="008A3757" w:rsidRDefault="0073518B" w:rsidP="008A3757">
      <w:pPr>
        <w:pStyle w:val="ListParagraph"/>
        <w:numPr>
          <w:ilvl w:val="0"/>
          <w:numId w:val="23"/>
        </w:numPr>
        <w:spacing w:after="240" w:line="360" w:lineRule="auto"/>
        <w:jc w:val="both"/>
        <w:rPr>
          <w:rFonts w:ascii="Arial" w:hAnsi="Arial" w:cs="Arial"/>
          <w:color w:val="000000" w:themeColor="text1"/>
          <w:sz w:val="24"/>
          <w:szCs w:val="24"/>
          <w:lang w:val="en-US"/>
        </w:rPr>
      </w:pPr>
      <w:r w:rsidRPr="008A3757">
        <w:rPr>
          <w:rFonts w:ascii="Arial" w:hAnsi="Arial" w:cs="Arial"/>
          <w:b/>
          <w:bCs/>
          <w:color w:val="000000" w:themeColor="text1"/>
          <w:sz w:val="24"/>
          <w:szCs w:val="24"/>
          <w:lang w:val="en-US"/>
        </w:rPr>
        <w:t>Faster Digital Transformation by Hyper-Personalisation:</w:t>
      </w:r>
      <w:r w:rsidR="008A3757" w:rsidRPr="008A3757">
        <w:rPr>
          <w:rFonts w:ascii="Arial" w:hAnsi="Arial" w:cs="Arial"/>
          <w:color w:val="000000" w:themeColor="text1"/>
          <w:sz w:val="24"/>
          <w:szCs w:val="24"/>
          <w:lang w:val="en-US"/>
        </w:rPr>
        <w:t xml:space="preserve"> </w:t>
      </w:r>
      <w:r w:rsidRPr="008A3757">
        <w:rPr>
          <w:rFonts w:ascii="Arial" w:hAnsi="Arial" w:cs="Arial"/>
          <w:color w:val="000000" w:themeColor="text1"/>
          <w:sz w:val="24"/>
          <w:szCs w:val="24"/>
          <w:lang w:val="en-US"/>
        </w:rPr>
        <w:t>In response to the findings on the topic of digital disruption (Section 2.2), Unilever ought to transition towards mass-market advertising to hyper-personalised consumer engagement. The firm is able to capture the attention of fragmented social media demographics by making use of generative AI in its digital marketing and commerce hubs and therefore generate real-time and localised content that can be featured in its power brands (Unilever, 2025).</w:t>
      </w:r>
    </w:p>
    <w:p w14:paraId="5FA56C0E" w14:textId="6D90F1EF" w:rsidR="0073518B" w:rsidRPr="008A3757" w:rsidRDefault="0073518B" w:rsidP="008A3757">
      <w:pPr>
        <w:pStyle w:val="ListParagraph"/>
        <w:numPr>
          <w:ilvl w:val="0"/>
          <w:numId w:val="23"/>
        </w:numPr>
        <w:spacing w:after="240" w:line="360" w:lineRule="auto"/>
        <w:jc w:val="both"/>
        <w:rPr>
          <w:rFonts w:ascii="Arial" w:hAnsi="Arial" w:cs="Arial"/>
          <w:color w:val="000000" w:themeColor="text1"/>
          <w:sz w:val="24"/>
          <w:szCs w:val="24"/>
          <w:lang w:val="en-US"/>
        </w:rPr>
      </w:pPr>
      <w:r w:rsidRPr="008A3757">
        <w:rPr>
          <w:rFonts w:ascii="Arial" w:hAnsi="Arial" w:cs="Arial"/>
          <w:b/>
          <w:bCs/>
          <w:color w:val="000000" w:themeColor="text1"/>
          <w:sz w:val="24"/>
          <w:szCs w:val="24"/>
          <w:lang w:val="en-US"/>
        </w:rPr>
        <w:t>Implement intensive market penetration in new economies:</w:t>
      </w:r>
      <w:r w:rsidR="008A3757" w:rsidRPr="008A3757">
        <w:rPr>
          <w:rFonts w:ascii="Arial" w:hAnsi="Arial" w:cs="Arial"/>
          <w:color w:val="000000" w:themeColor="text1"/>
          <w:sz w:val="24"/>
          <w:szCs w:val="24"/>
          <w:lang w:val="en-US"/>
        </w:rPr>
        <w:t xml:space="preserve"> </w:t>
      </w:r>
      <w:r w:rsidRPr="008A3757">
        <w:rPr>
          <w:rFonts w:ascii="Arial" w:hAnsi="Arial" w:cs="Arial"/>
          <w:color w:val="000000" w:themeColor="text1"/>
          <w:sz w:val="24"/>
          <w:szCs w:val="24"/>
          <w:lang w:val="en-US"/>
        </w:rPr>
        <w:t>In line with the results of the report on "Emerging Market Dominance" (Section 2.3), Unilever will need to protect its moat by specifically reaching out to the next billion consumers in South Asia and Africa. The suggestion is to introduce market development with the help of affordable, sustainable packaging types (e.g., plastic-free, biodegradable sachets) to anticipate low-price local competitor brands (Wahyuni, 2025).</w:t>
      </w:r>
    </w:p>
    <w:p w14:paraId="767B3C82" w14:textId="0E2616C9" w:rsidR="0073518B" w:rsidRPr="008A3757" w:rsidRDefault="0073518B" w:rsidP="008A3757">
      <w:pPr>
        <w:pStyle w:val="ListParagraph"/>
        <w:numPr>
          <w:ilvl w:val="0"/>
          <w:numId w:val="23"/>
        </w:numPr>
        <w:spacing w:after="240" w:line="360" w:lineRule="auto"/>
        <w:jc w:val="both"/>
        <w:rPr>
          <w:rFonts w:ascii="Arial" w:hAnsi="Arial" w:cs="Arial"/>
          <w:color w:val="000000" w:themeColor="text1"/>
          <w:sz w:val="24"/>
          <w:szCs w:val="24"/>
          <w:lang w:val="en-US"/>
        </w:rPr>
      </w:pPr>
      <w:r w:rsidRPr="008A3757">
        <w:rPr>
          <w:rFonts w:ascii="Arial" w:hAnsi="Arial" w:cs="Arial"/>
          <w:b/>
          <w:bCs/>
          <w:color w:val="000000" w:themeColor="text1"/>
          <w:sz w:val="24"/>
          <w:szCs w:val="24"/>
          <w:lang w:val="en-US"/>
        </w:rPr>
        <w:t>Home Care: Institutionalise a Circular Economy:</w:t>
      </w:r>
      <w:r w:rsidR="008A3757" w:rsidRPr="008A3757">
        <w:rPr>
          <w:rFonts w:ascii="Arial" w:hAnsi="Arial" w:cs="Arial"/>
          <w:color w:val="000000" w:themeColor="text1"/>
          <w:sz w:val="24"/>
          <w:szCs w:val="24"/>
          <w:lang w:val="en-US"/>
        </w:rPr>
        <w:t xml:space="preserve"> </w:t>
      </w:r>
      <w:r w:rsidRPr="008A3757">
        <w:rPr>
          <w:rFonts w:ascii="Arial" w:hAnsi="Arial" w:cs="Arial"/>
          <w:color w:val="000000" w:themeColor="text1"/>
          <w:sz w:val="24"/>
          <w:szCs w:val="24"/>
          <w:lang w:val="en-US"/>
        </w:rPr>
        <w:t xml:space="preserve">To address the sources of environmental and legal pressures stated in the PESTEL analysis (Section 2.1), Unilever ought to go beyond plastic reduction and adopt a completely circular "refill-at-home" concept for its home care brands such as OMO and Persil. This </w:t>
      </w:r>
      <w:r w:rsidRPr="008A3757">
        <w:rPr>
          <w:rFonts w:ascii="Arial" w:hAnsi="Arial" w:cs="Arial"/>
          <w:color w:val="000000" w:themeColor="text1"/>
          <w:sz w:val="24"/>
          <w:szCs w:val="24"/>
          <w:lang w:val="en-US"/>
        </w:rPr>
        <w:lastRenderedPageBreak/>
        <w:t>puts the organisation in the position of reactive CSR to proactive structural sustainability (Michalski, 2024).</w:t>
      </w:r>
    </w:p>
    <w:p w14:paraId="70CD2D0D" w14:textId="0B5DC939" w:rsidR="0073518B" w:rsidRPr="0073518B" w:rsidRDefault="0073518B" w:rsidP="008A3757">
      <w:pPr>
        <w:pStyle w:val="Heading2"/>
        <w:rPr>
          <w:lang w:val="en-US"/>
        </w:rPr>
      </w:pPr>
      <w:bookmarkStart w:id="25" w:name="_Toc225463925"/>
      <w:r w:rsidRPr="0073518B">
        <w:rPr>
          <w:lang w:val="en-US"/>
        </w:rPr>
        <w:t xml:space="preserve">6.3 </w:t>
      </w:r>
      <w:r w:rsidR="008A3757" w:rsidRPr="008A3757">
        <w:rPr>
          <w:lang w:val="en-US"/>
        </w:rPr>
        <w:t>Justification of Recommendations</w:t>
      </w:r>
      <w:bookmarkEnd w:id="25"/>
    </w:p>
    <w:p w14:paraId="0A46463C" w14:textId="77777777" w:rsidR="0073518B" w:rsidRPr="0073518B" w:rsidRDefault="0073518B" w:rsidP="0073518B">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t>The Resource-Based View (RBV) supports the recommendation of AI-driven personalisation. Proprietary consumer data is a unique and inimitable resource, as discovered in the VRIO analysis (Section 2.4). The use of AI to manage such data will enable Unilever to create a differentiation advantage that cannot be matched by the local competition (Barney and Li, 2025). This claim can be backed up financially with the number of digital-first brands increasing 1.5x as fast as traditional brands in 2024 (Unilever, 2025).</w:t>
      </w:r>
    </w:p>
    <w:p w14:paraId="45011EAC" w14:textId="77777777" w:rsidR="0073518B" w:rsidRPr="0073518B" w:rsidRDefault="0073518B" w:rsidP="0073518B">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t>The emphasis on market development is explained by the five forces of Porter. Since the threat of the new entrants is large in developing countries, by building strong-rooted, environmentally friendly distribution channels, an insurmountable barrier to entry is formed (Wahyuni, 2025).</w:t>
      </w:r>
    </w:p>
    <w:p w14:paraId="003D5F19" w14:textId="63BDD088" w:rsidR="00C5463D" w:rsidRDefault="0073518B" w:rsidP="00157622">
      <w:pPr>
        <w:spacing w:after="240" w:line="360" w:lineRule="auto"/>
        <w:jc w:val="both"/>
        <w:rPr>
          <w:rFonts w:ascii="Arial" w:hAnsi="Arial" w:cs="Arial"/>
          <w:color w:val="000000" w:themeColor="text1"/>
          <w:sz w:val="24"/>
          <w:szCs w:val="24"/>
          <w:lang w:val="en-US"/>
        </w:rPr>
      </w:pPr>
      <w:r w:rsidRPr="0073518B">
        <w:rPr>
          <w:rFonts w:ascii="Arial" w:hAnsi="Arial" w:cs="Arial"/>
          <w:color w:val="000000" w:themeColor="text1"/>
          <w:sz w:val="24"/>
          <w:szCs w:val="24"/>
          <w:lang w:val="en-US"/>
        </w:rPr>
        <w:t>Lastly, stakeholder theory helps to justify the change to a circular economy. In the Balanced Scorecard analysis (Section 4.2), consideration of the demands of the regulators and of the consumers concerned with the environment is no longer an optional cost but a strategic requirement. Through the matching of the business model to that of the triple bottom line, Unilever is guaranteed of profitable and stable competitive advantage in the future as a result of climate variability (The Economist, 2024; Michalski, 2024).</w:t>
      </w:r>
    </w:p>
    <w:p w14:paraId="51503BAF" w14:textId="77777777" w:rsidR="00C5463D" w:rsidRDefault="00C5463D">
      <w:pPr>
        <w:spacing w:after="160" w:line="278" w:lineRule="auto"/>
        <w:rPr>
          <w:rFonts w:ascii="Arial" w:hAnsi="Arial" w:cs="Arial"/>
          <w:color w:val="000000" w:themeColor="text1"/>
          <w:sz w:val="24"/>
          <w:szCs w:val="24"/>
          <w:lang w:val="en-US"/>
        </w:rPr>
      </w:pPr>
      <w:r>
        <w:rPr>
          <w:rFonts w:ascii="Arial" w:hAnsi="Arial" w:cs="Arial"/>
          <w:color w:val="000000" w:themeColor="text1"/>
          <w:sz w:val="24"/>
          <w:szCs w:val="24"/>
          <w:lang w:val="en-US"/>
        </w:rPr>
        <w:br w:type="page"/>
      </w:r>
    </w:p>
    <w:p w14:paraId="2ED71796" w14:textId="6DF047D4" w:rsidR="00F75A88" w:rsidRPr="00F75A88" w:rsidRDefault="00C5463D" w:rsidP="00F75A88">
      <w:pPr>
        <w:pStyle w:val="Heading1"/>
        <w:jc w:val="center"/>
        <w:rPr>
          <w:u w:val="single"/>
          <w:lang w:val="en-US"/>
        </w:rPr>
      </w:pPr>
      <w:bookmarkStart w:id="26" w:name="_Toc225463926"/>
      <w:r w:rsidRPr="00F75A88">
        <w:rPr>
          <w:u w:val="single"/>
          <w:lang w:val="en-US"/>
        </w:rPr>
        <w:lastRenderedPageBreak/>
        <w:t>Section 2</w:t>
      </w:r>
      <w:bookmarkEnd w:id="26"/>
    </w:p>
    <w:p w14:paraId="7FB89899" w14:textId="0A16FC3B" w:rsidR="00C5463D" w:rsidRPr="00C5463D" w:rsidRDefault="00C5463D" w:rsidP="00C5463D">
      <w:pPr>
        <w:pStyle w:val="Heading1"/>
        <w:rPr>
          <w:lang w:val="en-US"/>
        </w:rPr>
      </w:pPr>
      <w:bookmarkStart w:id="27" w:name="_Toc225463927"/>
      <w:r w:rsidRPr="00C5463D">
        <w:rPr>
          <w:lang w:val="en-US"/>
        </w:rPr>
        <w:t>Reflective Report of the Research and Analytical Process</w:t>
      </w:r>
      <w:bookmarkEnd w:id="27"/>
    </w:p>
    <w:p w14:paraId="67C319B8" w14:textId="77777777" w:rsidR="00C5463D" w:rsidRPr="00C5463D" w:rsidRDefault="00C5463D" w:rsidP="00F75A88">
      <w:pPr>
        <w:pStyle w:val="Heading2"/>
        <w:rPr>
          <w:lang w:val="en-US"/>
        </w:rPr>
      </w:pPr>
      <w:bookmarkStart w:id="28" w:name="_Toc225463928"/>
      <w:r w:rsidRPr="00C5463D">
        <w:rPr>
          <w:lang w:val="en-US"/>
        </w:rPr>
        <w:t>1 Introduction: The Study Process</w:t>
      </w:r>
      <w:bookmarkEnd w:id="28"/>
    </w:p>
    <w:p w14:paraId="42BE96AA"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The aim of the foregoing section was to carry out a critical strategic review of Unilever PLC in relation to its competitive positioning and sustainability practices. This was initiated by choosing an organisation with enough public data that could be used to write a high-level academic report. Although Tesco PLC was the first possibility, I chose Unilever, which has a complex global supply chain and pioneered its business model by implementing the ESG (Environmental, Social, and Governance) strategy.</w:t>
      </w:r>
    </w:p>
    <w:p w14:paraId="24A6C409" w14:textId="77777777" w:rsidR="00C5463D" w:rsidRPr="00C5463D" w:rsidRDefault="00C5463D" w:rsidP="00C5463D">
      <w:pPr>
        <w:spacing w:after="240" w:line="360" w:lineRule="auto"/>
        <w:jc w:val="both"/>
        <w:rPr>
          <w:rFonts w:ascii="Arial" w:hAnsi="Arial" w:cs="Arial"/>
          <w:b/>
          <w:bCs/>
          <w:color w:val="000000" w:themeColor="text1"/>
          <w:sz w:val="24"/>
          <w:szCs w:val="24"/>
          <w:lang w:val="en-US"/>
        </w:rPr>
      </w:pPr>
      <w:r w:rsidRPr="00C5463D">
        <w:rPr>
          <w:rFonts w:ascii="Arial" w:hAnsi="Arial" w:cs="Arial"/>
          <w:b/>
          <w:bCs/>
          <w:color w:val="000000" w:themeColor="text1"/>
          <w:sz w:val="24"/>
          <w:szCs w:val="24"/>
          <w:lang w:val="en-US"/>
        </w:rPr>
        <w:t>The study stage was a multi-layered study:</w:t>
      </w:r>
    </w:p>
    <w:p w14:paraId="2CBB63AA" w14:textId="77777777" w:rsidR="00C5463D" w:rsidRPr="00F75A88" w:rsidRDefault="00C5463D" w:rsidP="00F75A88">
      <w:pPr>
        <w:pStyle w:val="ListParagraph"/>
        <w:numPr>
          <w:ilvl w:val="0"/>
          <w:numId w:val="20"/>
        </w:numPr>
        <w:spacing w:after="240" w:line="360" w:lineRule="auto"/>
        <w:jc w:val="both"/>
        <w:rPr>
          <w:rFonts w:ascii="Arial" w:hAnsi="Arial" w:cs="Arial"/>
          <w:color w:val="000000" w:themeColor="text1"/>
          <w:sz w:val="24"/>
          <w:szCs w:val="24"/>
          <w:lang w:val="en-US"/>
        </w:rPr>
      </w:pPr>
      <w:r w:rsidRPr="00F75A88">
        <w:rPr>
          <w:rFonts w:ascii="Arial" w:hAnsi="Arial" w:cs="Arial"/>
          <w:b/>
          <w:bCs/>
          <w:color w:val="000000" w:themeColor="text1"/>
          <w:sz w:val="24"/>
          <w:szCs w:val="24"/>
          <w:lang w:val="en-US"/>
        </w:rPr>
        <w:t>Primary Data Collection:</w:t>
      </w:r>
      <w:r w:rsidRPr="00F75A88">
        <w:rPr>
          <w:rFonts w:ascii="Arial" w:hAnsi="Arial" w:cs="Arial"/>
          <w:color w:val="000000" w:themeColor="text1"/>
          <w:sz w:val="24"/>
          <w:szCs w:val="24"/>
          <w:lang w:val="en-US"/>
        </w:rPr>
        <w:t xml:space="preserve"> I used the Annual Report and Accounts 2023 of Unilever and the prelim 2024 results to obtain the financial KPIs and official strategic mandates, such as the “Growth Action Plan.</w:t>
      </w:r>
    </w:p>
    <w:p w14:paraId="2BEB34CB" w14:textId="77777777" w:rsidR="00C5463D" w:rsidRPr="00F75A88" w:rsidRDefault="00C5463D" w:rsidP="00F75A88">
      <w:pPr>
        <w:pStyle w:val="ListParagraph"/>
        <w:numPr>
          <w:ilvl w:val="0"/>
          <w:numId w:val="20"/>
        </w:numPr>
        <w:spacing w:after="240" w:line="360" w:lineRule="auto"/>
        <w:jc w:val="both"/>
        <w:rPr>
          <w:rFonts w:ascii="Arial" w:hAnsi="Arial" w:cs="Arial"/>
          <w:color w:val="000000" w:themeColor="text1"/>
          <w:sz w:val="24"/>
          <w:szCs w:val="24"/>
          <w:lang w:val="en-US"/>
        </w:rPr>
      </w:pPr>
      <w:r w:rsidRPr="00F75A88">
        <w:rPr>
          <w:rFonts w:ascii="Arial" w:hAnsi="Arial" w:cs="Arial"/>
          <w:b/>
          <w:bCs/>
          <w:color w:val="000000" w:themeColor="text1"/>
          <w:sz w:val="24"/>
          <w:szCs w:val="24"/>
          <w:lang w:val="en-US"/>
        </w:rPr>
        <w:t>Secondary Academic Research:</w:t>
      </w:r>
      <w:r w:rsidRPr="00F75A88">
        <w:rPr>
          <w:rFonts w:ascii="Arial" w:hAnsi="Arial" w:cs="Arial"/>
          <w:color w:val="000000" w:themeColor="text1"/>
          <w:sz w:val="24"/>
          <w:szCs w:val="24"/>
          <w:lang w:val="en-US"/>
        </w:rPr>
        <w:t xml:space="preserve"> I used databases to identify peer-reviewed journals (e.g., Sustainability, Journal of Management) to implement such theoretical frameworks as the Resource-Based View (RBV) and VRIO.</w:t>
      </w:r>
    </w:p>
    <w:p w14:paraId="795526E2" w14:textId="77777777" w:rsidR="00C5463D" w:rsidRPr="00F75A88" w:rsidRDefault="00C5463D" w:rsidP="00F75A88">
      <w:pPr>
        <w:pStyle w:val="ListParagraph"/>
        <w:numPr>
          <w:ilvl w:val="0"/>
          <w:numId w:val="20"/>
        </w:numPr>
        <w:spacing w:after="240" w:line="360" w:lineRule="auto"/>
        <w:jc w:val="both"/>
        <w:rPr>
          <w:rFonts w:ascii="Arial" w:hAnsi="Arial" w:cs="Arial"/>
          <w:color w:val="000000" w:themeColor="text1"/>
          <w:sz w:val="24"/>
          <w:szCs w:val="24"/>
          <w:lang w:val="en-US"/>
        </w:rPr>
      </w:pPr>
      <w:r w:rsidRPr="00F75A88">
        <w:rPr>
          <w:rFonts w:ascii="Arial" w:hAnsi="Arial" w:cs="Arial"/>
          <w:b/>
          <w:bCs/>
          <w:color w:val="000000" w:themeColor="text1"/>
          <w:sz w:val="24"/>
          <w:szCs w:val="24"/>
          <w:lang w:val="en-US"/>
        </w:rPr>
        <w:t>Market Intelligence:</w:t>
      </w:r>
      <w:r w:rsidRPr="00F75A88">
        <w:rPr>
          <w:rFonts w:ascii="Arial" w:hAnsi="Arial" w:cs="Arial"/>
          <w:color w:val="000000" w:themeColor="text1"/>
          <w:sz w:val="24"/>
          <w:szCs w:val="24"/>
          <w:lang w:val="en-US"/>
        </w:rPr>
        <w:t xml:space="preserve"> I also used industry-based reports from Statista and The Economist to compare Unilever with other competitors such as Procter &amp; Gamble and Nestlé.</w:t>
      </w:r>
    </w:p>
    <w:p w14:paraId="52C1B5D2" w14:textId="098D006A" w:rsidR="00C5463D" w:rsidRPr="00C5463D" w:rsidRDefault="00C5463D" w:rsidP="00F54CB7">
      <w:pPr>
        <w:pStyle w:val="Heading2"/>
        <w:rPr>
          <w:lang w:val="en-US"/>
        </w:rPr>
      </w:pPr>
      <w:bookmarkStart w:id="29" w:name="_Toc225463929"/>
      <w:r w:rsidRPr="00C5463D">
        <w:rPr>
          <w:lang w:val="en-US"/>
        </w:rPr>
        <w:t xml:space="preserve">2 </w:t>
      </w:r>
      <w:r w:rsidR="00F54CB7" w:rsidRPr="00F54CB7">
        <w:rPr>
          <w:lang w:val="en-US"/>
        </w:rPr>
        <w:t>Feelings</w:t>
      </w:r>
      <w:r w:rsidRPr="00C5463D">
        <w:rPr>
          <w:lang w:val="en-US"/>
        </w:rPr>
        <w:t>: Problems and Discoveries</w:t>
      </w:r>
      <w:bookmarkEnd w:id="29"/>
    </w:p>
    <w:p w14:paraId="6C690DBB"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Initially, the volume of data required was daunting for a multinational like Unilever. I experienced a kind of analysis paralysis in trying to balance the high sustainability rhetoric of the company with the recent news reports of their practicalist reduction of ESG (Environmental, Social, and Governance) targets. I grew stronger, however, when using the PESTEL and Balanced Scorecard models. These models served as filters, which enabled me to sort the raw data into strategic insights. I was especially pleased that I managed to associate the theoretical concept of differentiation advantage with the real financial performance of Unilever in the 2024 fiscal year.</w:t>
      </w:r>
    </w:p>
    <w:p w14:paraId="2DD4EDF3" w14:textId="77777777" w:rsidR="00F54CB7" w:rsidRDefault="00F54CB7" w:rsidP="00F54CB7">
      <w:pPr>
        <w:pStyle w:val="Heading2"/>
        <w:rPr>
          <w:lang w:val="en-US"/>
        </w:rPr>
      </w:pPr>
    </w:p>
    <w:p w14:paraId="1540B3F9" w14:textId="1B66A641" w:rsidR="00C5463D" w:rsidRPr="00C5463D" w:rsidRDefault="00C5463D" w:rsidP="00F54CB7">
      <w:pPr>
        <w:pStyle w:val="Heading2"/>
        <w:rPr>
          <w:lang w:val="en-US"/>
        </w:rPr>
      </w:pPr>
      <w:bookmarkStart w:id="30" w:name="_Toc225463930"/>
      <w:r w:rsidRPr="00C5463D">
        <w:rPr>
          <w:lang w:val="en-US"/>
        </w:rPr>
        <w:t>3 Evaluation: What Succeeded and What Failed</w:t>
      </w:r>
      <w:bookmarkEnd w:id="30"/>
    </w:p>
    <w:p w14:paraId="6E4526CE" w14:textId="77777777" w:rsidR="00C5463D" w:rsidRPr="00C5463D" w:rsidRDefault="00C5463D" w:rsidP="00C5463D">
      <w:pPr>
        <w:spacing w:after="240" w:line="360" w:lineRule="auto"/>
        <w:jc w:val="both"/>
        <w:rPr>
          <w:rFonts w:ascii="Arial" w:hAnsi="Arial" w:cs="Arial"/>
          <w:b/>
          <w:bCs/>
          <w:color w:val="000000" w:themeColor="text1"/>
          <w:sz w:val="24"/>
          <w:szCs w:val="24"/>
          <w:lang w:val="en-US"/>
        </w:rPr>
      </w:pPr>
      <w:r w:rsidRPr="00C5463D">
        <w:rPr>
          <w:rFonts w:ascii="Arial" w:hAnsi="Arial" w:cs="Arial"/>
          <w:b/>
          <w:bCs/>
          <w:color w:val="000000" w:themeColor="text1"/>
          <w:sz w:val="24"/>
          <w:szCs w:val="24"/>
          <w:lang w:val="en-US"/>
        </w:rPr>
        <w:t>What went well:</w:t>
      </w:r>
    </w:p>
    <w:p w14:paraId="6DEE9462" w14:textId="77777777" w:rsidR="00C5463D" w:rsidRPr="005B4AFA" w:rsidRDefault="00C5463D" w:rsidP="005B4AFA">
      <w:pPr>
        <w:pStyle w:val="ListParagraph"/>
        <w:numPr>
          <w:ilvl w:val="0"/>
          <w:numId w:val="24"/>
        </w:numPr>
        <w:spacing w:after="240" w:line="360" w:lineRule="auto"/>
        <w:jc w:val="both"/>
        <w:rPr>
          <w:rFonts w:ascii="Arial" w:hAnsi="Arial" w:cs="Arial"/>
          <w:color w:val="000000" w:themeColor="text1"/>
          <w:sz w:val="24"/>
          <w:szCs w:val="24"/>
          <w:lang w:val="en-US"/>
        </w:rPr>
      </w:pPr>
      <w:r w:rsidRPr="005B4AFA">
        <w:rPr>
          <w:rFonts w:ascii="Arial" w:hAnsi="Arial" w:cs="Arial"/>
          <w:b/>
          <w:bCs/>
          <w:color w:val="000000" w:themeColor="text1"/>
          <w:sz w:val="24"/>
          <w:szCs w:val="24"/>
          <w:lang w:val="en-US"/>
        </w:rPr>
        <w:t>Application Framework:</w:t>
      </w:r>
      <w:r w:rsidRPr="005B4AFA">
        <w:rPr>
          <w:rFonts w:ascii="Arial" w:hAnsi="Arial" w:cs="Arial"/>
          <w:color w:val="000000" w:themeColor="text1"/>
          <w:sz w:val="24"/>
          <w:szCs w:val="24"/>
          <w:lang w:val="en-US"/>
        </w:rPr>
        <w:t xml:space="preserve"> The application of the VRIO framework was very successful, as it enabled me to go beyond a mere list of strengths and critically analyse why some of the resources (such as the emerging market distribution network) offered a sustained advantage, while others (such as AI technology) were only able to offer competitive parity.</w:t>
      </w:r>
    </w:p>
    <w:p w14:paraId="74BF7500" w14:textId="77777777" w:rsidR="00C5463D" w:rsidRPr="005B4AFA" w:rsidRDefault="00C5463D" w:rsidP="005B4AFA">
      <w:pPr>
        <w:pStyle w:val="ListParagraph"/>
        <w:numPr>
          <w:ilvl w:val="0"/>
          <w:numId w:val="24"/>
        </w:numPr>
        <w:spacing w:after="240" w:line="360" w:lineRule="auto"/>
        <w:jc w:val="both"/>
        <w:rPr>
          <w:rFonts w:ascii="Arial" w:hAnsi="Arial" w:cs="Arial"/>
          <w:color w:val="000000" w:themeColor="text1"/>
          <w:sz w:val="24"/>
          <w:szCs w:val="24"/>
          <w:lang w:val="en-US"/>
        </w:rPr>
      </w:pPr>
      <w:r w:rsidRPr="005B4AFA">
        <w:rPr>
          <w:rFonts w:ascii="Arial" w:hAnsi="Arial" w:cs="Arial"/>
          <w:b/>
          <w:bCs/>
          <w:color w:val="000000" w:themeColor="text1"/>
          <w:sz w:val="24"/>
          <w:szCs w:val="24"/>
          <w:lang w:val="en-US"/>
        </w:rPr>
        <w:t>CSR integration:</w:t>
      </w:r>
      <w:r w:rsidRPr="005B4AFA">
        <w:rPr>
          <w:rFonts w:ascii="Arial" w:hAnsi="Arial" w:cs="Arial"/>
          <w:color w:val="000000" w:themeColor="text1"/>
          <w:sz w:val="24"/>
          <w:szCs w:val="24"/>
          <w:lang w:val="en-US"/>
        </w:rPr>
        <w:t xml:space="preserve"> The direct connection of the Unilever Compass to business was successful. This demonstrated that profit is no longer the primary concern of modern strategy; instead, shared value has taken precedence.</w:t>
      </w:r>
    </w:p>
    <w:p w14:paraId="6FF87583" w14:textId="77777777" w:rsidR="00C5463D" w:rsidRPr="00C5463D" w:rsidRDefault="00C5463D" w:rsidP="00C5463D">
      <w:pPr>
        <w:spacing w:after="240" w:line="360" w:lineRule="auto"/>
        <w:jc w:val="both"/>
        <w:rPr>
          <w:rFonts w:ascii="Arial" w:hAnsi="Arial" w:cs="Arial"/>
          <w:b/>
          <w:bCs/>
          <w:color w:val="000000" w:themeColor="text1"/>
          <w:sz w:val="24"/>
          <w:szCs w:val="24"/>
          <w:lang w:val="en-US"/>
        </w:rPr>
      </w:pPr>
      <w:r w:rsidRPr="00C5463D">
        <w:rPr>
          <w:rFonts w:ascii="Arial" w:hAnsi="Arial" w:cs="Arial"/>
          <w:b/>
          <w:bCs/>
          <w:color w:val="000000" w:themeColor="text1"/>
          <w:sz w:val="24"/>
          <w:szCs w:val="24"/>
          <w:lang w:val="en-US"/>
        </w:rPr>
        <w:t>What was challenging:</w:t>
      </w:r>
    </w:p>
    <w:p w14:paraId="29C10DD0" w14:textId="77777777" w:rsidR="00C5463D" w:rsidRPr="005B4AFA" w:rsidRDefault="00C5463D" w:rsidP="005B4AFA">
      <w:pPr>
        <w:pStyle w:val="ListParagraph"/>
        <w:numPr>
          <w:ilvl w:val="0"/>
          <w:numId w:val="25"/>
        </w:numPr>
        <w:spacing w:after="240" w:line="360" w:lineRule="auto"/>
        <w:jc w:val="both"/>
        <w:rPr>
          <w:rFonts w:ascii="Arial" w:hAnsi="Arial" w:cs="Arial"/>
          <w:color w:val="000000" w:themeColor="text1"/>
          <w:sz w:val="24"/>
          <w:szCs w:val="24"/>
          <w:lang w:val="en-US"/>
        </w:rPr>
      </w:pPr>
      <w:r w:rsidRPr="005B4AFA">
        <w:rPr>
          <w:rFonts w:ascii="Arial" w:hAnsi="Arial" w:cs="Arial"/>
          <w:b/>
          <w:bCs/>
          <w:color w:val="000000" w:themeColor="text1"/>
          <w:sz w:val="24"/>
          <w:szCs w:val="24"/>
          <w:lang w:val="en-US"/>
        </w:rPr>
        <w:t>Information Filtration:</w:t>
      </w:r>
      <w:r w:rsidRPr="005B4AFA">
        <w:rPr>
          <w:rFonts w:ascii="Arial" w:hAnsi="Arial" w:cs="Arial"/>
          <w:color w:val="000000" w:themeColor="text1"/>
          <w:sz w:val="24"/>
          <w:szCs w:val="24"/>
          <w:lang w:val="en-US"/>
        </w:rPr>
        <w:t xml:space="preserve"> It took a great deal of critical thinking to contain the difference between marketing rhetoric in annual reports and strategic reality.</w:t>
      </w:r>
    </w:p>
    <w:p w14:paraId="6E3BBBB4" w14:textId="77777777" w:rsidR="00C5463D" w:rsidRPr="005B4AFA" w:rsidRDefault="00C5463D" w:rsidP="005B4AFA">
      <w:pPr>
        <w:pStyle w:val="ListParagraph"/>
        <w:numPr>
          <w:ilvl w:val="0"/>
          <w:numId w:val="25"/>
        </w:numPr>
        <w:spacing w:after="240" w:line="360" w:lineRule="auto"/>
        <w:jc w:val="both"/>
        <w:rPr>
          <w:rFonts w:ascii="Arial" w:hAnsi="Arial" w:cs="Arial"/>
          <w:color w:val="000000" w:themeColor="text1"/>
          <w:sz w:val="24"/>
          <w:szCs w:val="24"/>
          <w:lang w:val="en-US"/>
        </w:rPr>
      </w:pPr>
      <w:r w:rsidRPr="005B4AFA">
        <w:rPr>
          <w:rFonts w:ascii="Arial" w:hAnsi="Arial" w:cs="Arial"/>
          <w:b/>
          <w:bCs/>
          <w:color w:val="000000" w:themeColor="text1"/>
          <w:sz w:val="24"/>
          <w:szCs w:val="24"/>
          <w:lang w:val="en-US"/>
        </w:rPr>
        <w:t>Citing Constraints:</w:t>
      </w:r>
      <w:r w:rsidRPr="005B4AFA">
        <w:rPr>
          <w:rFonts w:ascii="Arial" w:hAnsi="Arial" w:cs="Arial"/>
          <w:color w:val="000000" w:themeColor="text1"/>
          <w:sz w:val="24"/>
          <w:szCs w:val="24"/>
          <w:lang w:val="en-US"/>
        </w:rPr>
        <w:t xml:space="preserve"> It was meticulous work to follow the UWTSD Harvard Style of citing sources in 20202025, particularly in the pursuit of the original authors of particular industry statistics.</w:t>
      </w:r>
    </w:p>
    <w:p w14:paraId="049CCBC0" w14:textId="5CB950C0" w:rsidR="00C5463D" w:rsidRPr="00C5463D" w:rsidRDefault="00C5463D" w:rsidP="00F54CB7">
      <w:pPr>
        <w:pStyle w:val="Heading2"/>
        <w:rPr>
          <w:lang w:val="en-US"/>
        </w:rPr>
      </w:pPr>
      <w:bookmarkStart w:id="31" w:name="_Toc225463931"/>
      <w:r w:rsidRPr="00C5463D">
        <w:rPr>
          <w:lang w:val="en-US"/>
        </w:rPr>
        <w:t>4 Analysis: Theoretical Synthesis</w:t>
      </w:r>
      <w:bookmarkEnd w:id="31"/>
    </w:p>
    <w:p w14:paraId="0E4132D6"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It was identified that dynamic capabilities were important based on the analysis phase. Barney and Li (2025) state that a firm's ability to reorganise its internal and external competencies is essential in unstable markets. I found out that the change from Unilever to five business groups, as opposed to a decentralised matrix, was a simple implementation of this theory.</w:t>
      </w:r>
    </w:p>
    <w:p w14:paraId="7647E40D"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Moreover, using the matrix developed by Ansoff, it is obvious that now Unilever is at the stage of consolidation, with the emphasis on penetrating the markets with power brands, rather than taking risks by diversifying. It is in line with the theory of Porter, who argues that the most feasible course of action in a red ocean FMCG market is to have a clear focus on "differentiation" as a premium-brand incumbent.</w:t>
      </w:r>
    </w:p>
    <w:p w14:paraId="3F04BC49" w14:textId="716462AD" w:rsidR="00C5463D" w:rsidRPr="00C5463D" w:rsidRDefault="00F54CB7" w:rsidP="00F54CB7">
      <w:pPr>
        <w:pStyle w:val="Heading2"/>
        <w:rPr>
          <w:lang w:val="en-US"/>
        </w:rPr>
      </w:pPr>
      <w:bookmarkStart w:id="32" w:name="_Toc225463932"/>
      <w:r>
        <w:rPr>
          <w:lang w:val="en-US"/>
        </w:rPr>
        <w:lastRenderedPageBreak/>
        <w:t xml:space="preserve">5. </w:t>
      </w:r>
      <w:r w:rsidR="00C5463D" w:rsidRPr="00C5463D">
        <w:rPr>
          <w:lang w:val="en-US"/>
        </w:rPr>
        <w:t>Conclusion: Learning Outcomes</w:t>
      </w:r>
      <w:bookmarkEnd w:id="32"/>
    </w:p>
    <w:p w14:paraId="33B81636"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Through this process, I have come to know that strategic management is not a fixed set of rules but an ongoing process of scanning and realigning the internal environment. I am now aware that an effective strategy is a strategy that generates a balance between the Financial Perspective and the Learning and Growth Perspective of the Balanced Scorecard, which is a strategic planning and management system used to align business activities to the vision and strategy of the organization. The former is not sustainable without investing in the latter. I also learned that sustainability is no longer a fringe CSR practice but a fundamental part of the 21st-century risk management operational needs.</w:t>
      </w:r>
    </w:p>
    <w:p w14:paraId="3838D95A" w14:textId="77777777" w:rsidR="00C5463D" w:rsidRPr="00C5463D" w:rsidRDefault="00C5463D" w:rsidP="00F54CB7">
      <w:pPr>
        <w:pStyle w:val="Heading2"/>
        <w:rPr>
          <w:lang w:val="en-US"/>
        </w:rPr>
      </w:pPr>
      <w:bookmarkStart w:id="33" w:name="_Toc225463933"/>
      <w:r w:rsidRPr="00C5463D">
        <w:rPr>
          <w:lang w:val="en-US"/>
        </w:rPr>
        <w:t>6 Action Plan: Future Practice</w:t>
      </w:r>
      <w:bookmarkEnd w:id="33"/>
    </w:p>
    <w:p w14:paraId="77F73353"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color w:val="000000" w:themeColor="text1"/>
          <w:sz w:val="24"/>
          <w:szCs w:val="24"/>
          <w:lang w:val="en-US"/>
        </w:rPr>
        <w:t>In the event that I am asked to repeat this task, I would:</w:t>
      </w:r>
    </w:p>
    <w:p w14:paraId="6178EAFD"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b/>
          <w:bCs/>
          <w:color w:val="000000" w:themeColor="text1"/>
          <w:sz w:val="24"/>
          <w:szCs w:val="24"/>
          <w:lang w:val="en-US"/>
        </w:rPr>
        <w:t>Speak to primary analysts sooner:</w:t>
      </w:r>
      <w:r w:rsidRPr="00C5463D">
        <w:rPr>
          <w:rFonts w:ascii="Arial" w:hAnsi="Arial" w:cs="Arial"/>
          <w:color w:val="000000" w:themeColor="text1"/>
          <w:sz w:val="24"/>
          <w:szCs w:val="24"/>
          <w:lang w:val="en-US"/>
        </w:rPr>
        <w:t xml:space="preserve"> I would seek additional investment analyst calls (e.g., Bloomberg transcripts) with the view to a more candid look at the issues that the company has.</w:t>
      </w:r>
    </w:p>
    <w:p w14:paraId="76DBE537"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b/>
          <w:bCs/>
          <w:color w:val="000000" w:themeColor="text1"/>
          <w:sz w:val="24"/>
          <w:szCs w:val="24"/>
          <w:lang w:val="en-US"/>
        </w:rPr>
        <w:t>Enhanced Mapping:</w:t>
      </w:r>
      <w:r w:rsidRPr="00C5463D">
        <w:rPr>
          <w:rFonts w:ascii="Arial" w:hAnsi="Arial" w:cs="Arial"/>
          <w:color w:val="000000" w:themeColor="text1"/>
          <w:sz w:val="24"/>
          <w:szCs w:val="24"/>
          <w:lang w:val="en-US"/>
        </w:rPr>
        <w:t xml:space="preserve"> More visual mapping would be used in the analysis of the value chain to adequately demonstrate the correlation between the R&amp;D and consumer delivery.</w:t>
      </w:r>
    </w:p>
    <w:p w14:paraId="6CF5721A" w14:textId="77777777" w:rsidR="00C5463D" w:rsidRPr="00C5463D" w:rsidRDefault="00C5463D" w:rsidP="00C5463D">
      <w:pPr>
        <w:spacing w:after="240" w:line="360" w:lineRule="auto"/>
        <w:jc w:val="both"/>
        <w:rPr>
          <w:rFonts w:ascii="Arial" w:hAnsi="Arial" w:cs="Arial"/>
          <w:color w:val="000000" w:themeColor="text1"/>
          <w:sz w:val="24"/>
          <w:szCs w:val="24"/>
          <w:lang w:val="en-US"/>
        </w:rPr>
      </w:pPr>
      <w:r w:rsidRPr="00C5463D">
        <w:rPr>
          <w:rFonts w:ascii="Arial" w:hAnsi="Arial" w:cs="Arial"/>
          <w:b/>
          <w:bCs/>
          <w:color w:val="000000" w:themeColor="text1"/>
          <w:sz w:val="24"/>
          <w:szCs w:val="24"/>
          <w:lang w:val="en-US"/>
        </w:rPr>
        <w:t>Expand Scope:</w:t>
      </w:r>
      <w:r w:rsidRPr="00C5463D">
        <w:rPr>
          <w:rFonts w:ascii="Arial" w:hAnsi="Arial" w:cs="Arial"/>
          <w:color w:val="000000" w:themeColor="text1"/>
          <w:sz w:val="24"/>
          <w:szCs w:val="24"/>
          <w:lang w:val="en-US"/>
        </w:rPr>
        <w:t xml:space="preserve"> Next time I write a report, I will apply the Diamond Model of Porter to the task of addressing the Home vs. Global setting challenge described in the brief more thoroughly.</w:t>
      </w:r>
    </w:p>
    <w:p w14:paraId="08E8ACF0" w14:textId="77777777" w:rsidR="00157622" w:rsidRPr="00157622" w:rsidRDefault="00157622" w:rsidP="00157622">
      <w:pPr>
        <w:spacing w:after="240" w:line="360" w:lineRule="auto"/>
        <w:jc w:val="both"/>
        <w:rPr>
          <w:rFonts w:ascii="Arial" w:hAnsi="Arial" w:cs="Arial"/>
          <w:color w:val="000000" w:themeColor="text1"/>
          <w:sz w:val="24"/>
          <w:szCs w:val="24"/>
          <w:lang w:val="en-US"/>
        </w:rPr>
      </w:pPr>
    </w:p>
    <w:p w14:paraId="389C8EEF" w14:textId="77777777" w:rsidR="00D30556" w:rsidRPr="00992E1A" w:rsidRDefault="00D30556" w:rsidP="001A0968">
      <w:pPr>
        <w:spacing w:after="240" w:line="360" w:lineRule="auto"/>
        <w:jc w:val="both"/>
        <w:rPr>
          <w:rFonts w:ascii="Arial" w:hAnsi="Arial" w:cs="Arial"/>
          <w:color w:val="000000" w:themeColor="text1"/>
          <w:sz w:val="24"/>
          <w:szCs w:val="24"/>
          <w:lang w:val="en-US"/>
        </w:rPr>
      </w:pPr>
    </w:p>
    <w:p w14:paraId="186DC4EF" w14:textId="39F3C8D9" w:rsidR="00B501C2" w:rsidRPr="00992E1A" w:rsidRDefault="00B501C2" w:rsidP="00B501C2">
      <w:pPr>
        <w:pStyle w:val="Caption"/>
        <w:jc w:val="center"/>
        <w:rPr>
          <w:rFonts w:ascii="Arial" w:hAnsi="Arial" w:cs="Arial"/>
          <w:color w:val="000000" w:themeColor="text1"/>
          <w:sz w:val="24"/>
          <w:szCs w:val="24"/>
          <w:lang w:val="en-US"/>
        </w:rPr>
      </w:pPr>
    </w:p>
    <w:p w14:paraId="4628CE54" w14:textId="77777777" w:rsidR="00B501C2" w:rsidRDefault="00B501C2" w:rsidP="00B501C2">
      <w:pPr>
        <w:spacing w:after="160" w:line="278" w:lineRule="auto"/>
        <w:rPr>
          <w:rFonts w:ascii="Arial" w:hAnsi="Arial" w:cs="Arial"/>
          <w:color w:val="000000" w:themeColor="text1"/>
          <w:sz w:val="24"/>
          <w:szCs w:val="24"/>
        </w:rPr>
      </w:pPr>
      <w:r>
        <w:rPr>
          <w:rFonts w:ascii="Arial" w:hAnsi="Arial" w:cs="Arial"/>
          <w:color w:val="000000" w:themeColor="text1"/>
          <w:sz w:val="24"/>
          <w:szCs w:val="24"/>
        </w:rPr>
        <w:br w:type="page"/>
      </w:r>
    </w:p>
    <w:p w14:paraId="26804DA0" w14:textId="77777777" w:rsidR="00B501C2" w:rsidRDefault="00B501C2" w:rsidP="00B501C2">
      <w:pPr>
        <w:spacing w:before="240" w:line="360" w:lineRule="auto"/>
        <w:jc w:val="both"/>
        <w:rPr>
          <w:rFonts w:ascii="Arial" w:hAnsi="Arial" w:cs="Arial"/>
          <w:color w:val="000000" w:themeColor="text1"/>
          <w:sz w:val="24"/>
          <w:szCs w:val="24"/>
        </w:rPr>
      </w:pPr>
      <w:bookmarkStart w:id="34" w:name="_Toc225463934"/>
      <w:r w:rsidRPr="00C61825">
        <w:rPr>
          <w:rStyle w:val="Heading1Char"/>
        </w:rPr>
        <w:lastRenderedPageBreak/>
        <w:t>Conclusion</w:t>
      </w:r>
      <w:bookmarkEnd w:id="34"/>
    </w:p>
    <w:p w14:paraId="232EB630" w14:textId="0F9C8AFD" w:rsidR="00B501C2" w:rsidRPr="008A70BC" w:rsidRDefault="006500FE" w:rsidP="00B501C2">
      <w:pPr>
        <w:spacing w:before="240" w:line="360" w:lineRule="auto"/>
        <w:jc w:val="both"/>
        <w:rPr>
          <w:rFonts w:ascii="Arial" w:hAnsi="Arial" w:cs="Arial"/>
          <w:color w:val="000000" w:themeColor="text1"/>
          <w:sz w:val="24"/>
          <w:szCs w:val="24"/>
          <w:lang w:val="en-US"/>
        </w:rPr>
      </w:pPr>
      <w:r w:rsidRPr="006500FE">
        <w:rPr>
          <w:rFonts w:ascii="Arial" w:hAnsi="Arial" w:cs="Arial"/>
          <w:color w:val="000000" w:themeColor="text1"/>
          <w:sz w:val="24"/>
          <w:szCs w:val="24"/>
          <w:lang w:val="en-US"/>
        </w:rPr>
        <w:t>Unilever PLC has a strong capability to sustain a sustainable competitive advantage due to its "Growth Action Plan" and advanced differentiation strategy based on the concept of Power Brands. The organization has gained value in its traditional CSR by addressing global volatility effectively and adopting ESG principles as one of its key business models. Although structural demergers and digital changes involve the risk of implementation, Unilever has high VRIO capabilities and is gaining dominance in the emerging market, which presents it with a long-term survival capacity. Finally, drawing on its financial rigour and social purpose, Unilever can definitely be regarded as a credible case study of contemporary strategic management in a turbulent global environment</w:t>
      </w:r>
      <w:r w:rsidR="00B501C2" w:rsidRPr="008A70BC">
        <w:rPr>
          <w:rFonts w:ascii="Arial" w:hAnsi="Arial" w:cs="Arial"/>
          <w:color w:val="000000" w:themeColor="text1"/>
          <w:sz w:val="24"/>
          <w:szCs w:val="24"/>
          <w:lang w:val="en-US"/>
        </w:rPr>
        <w:t>.</w:t>
      </w:r>
    </w:p>
    <w:p w14:paraId="521018B7" w14:textId="77777777" w:rsidR="00B501C2" w:rsidRPr="00833DE5" w:rsidRDefault="00B501C2" w:rsidP="00B501C2">
      <w:pPr>
        <w:spacing w:before="240" w:line="360" w:lineRule="auto"/>
        <w:jc w:val="both"/>
        <w:rPr>
          <w:rFonts w:ascii="Arial" w:hAnsi="Arial" w:cs="Arial"/>
          <w:color w:val="000000" w:themeColor="text1"/>
          <w:sz w:val="24"/>
          <w:szCs w:val="24"/>
          <w:lang w:val="en-US"/>
        </w:rPr>
      </w:pPr>
      <w:r w:rsidRPr="008D3FC7">
        <w:rPr>
          <w:rFonts w:ascii="Arial" w:hAnsi="Arial" w:cs="Arial"/>
          <w:color w:val="000000" w:themeColor="text1"/>
          <w:sz w:val="24"/>
          <w:szCs w:val="24"/>
        </w:rPr>
        <w:br w:type="page"/>
      </w:r>
    </w:p>
    <w:p w14:paraId="4E91170C" w14:textId="77777777" w:rsidR="00B501C2" w:rsidRPr="00294F8F" w:rsidRDefault="00B501C2" w:rsidP="00B501C2">
      <w:pPr>
        <w:pStyle w:val="Heading1"/>
        <w:spacing w:line="360" w:lineRule="auto"/>
        <w:rPr>
          <w:rFonts w:cs="Arial"/>
        </w:rPr>
      </w:pPr>
      <w:bookmarkStart w:id="35" w:name="_Toc225463935"/>
      <w:r w:rsidRPr="00294F8F">
        <w:rPr>
          <w:rFonts w:cs="Arial"/>
        </w:rPr>
        <w:lastRenderedPageBreak/>
        <w:t>Reference</w:t>
      </w:r>
      <w:bookmarkEnd w:id="35"/>
    </w:p>
    <w:p w14:paraId="3F44C612" w14:textId="4A66312B"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Financial Times (2025) </w:t>
      </w:r>
      <w:r w:rsidRPr="009A3081">
        <w:rPr>
          <w:rFonts w:ascii="Arial" w:hAnsi="Arial" w:cs="Arial"/>
          <w:i/>
          <w:iCs/>
          <w:color w:val="000000" w:themeColor="text1"/>
          <w:lang w:val="en-US"/>
        </w:rPr>
        <w:t>Unilever Final Results 2024: Company Announcement</w:t>
      </w:r>
      <w:r w:rsidRPr="009A3081">
        <w:rPr>
          <w:rFonts w:ascii="Arial" w:hAnsi="Arial" w:cs="Arial"/>
          <w:color w:val="000000" w:themeColor="text1"/>
          <w:lang w:val="en-US"/>
        </w:rPr>
        <w:t xml:space="preserve">. Available at: </w:t>
      </w:r>
      <w:hyperlink r:id="rId11" w:tgtFrame="_blank" w:history="1">
        <w:r w:rsidRPr="009A3081">
          <w:rPr>
            <w:rStyle w:val="Hyperlink"/>
            <w:rFonts w:ascii="Arial" w:hAnsi="Arial" w:cs="Arial"/>
            <w:lang w:val="en-US"/>
          </w:rPr>
          <w:t>https://markets.ft.com/data/announce/detail?dockey=1323-16897375-509ENKOQG8KJ524V4KEONKUDDB</w:t>
        </w:r>
      </w:hyperlink>
      <w:r w:rsidRPr="009A3081">
        <w:rPr>
          <w:rFonts w:ascii="Arial" w:hAnsi="Arial" w:cs="Arial"/>
          <w:color w:val="000000" w:themeColor="text1"/>
          <w:lang w:val="en-US"/>
        </w:rPr>
        <w:t xml:space="preserve"> (Accessed: 2 March 2026).</w:t>
      </w:r>
    </w:p>
    <w:p w14:paraId="4C6F80E5" w14:textId="4D790A60"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Gartner (2025) </w:t>
      </w:r>
      <w:r w:rsidRPr="009A3081">
        <w:rPr>
          <w:rFonts w:ascii="Arial" w:hAnsi="Arial" w:cs="Arial"/>
          <w:i/>
          <w:iCs/>
          <w:color w:val="000000" w:themeColor="text1"/>
          <w:lang w:val="en-US"/>
        </w:rPr>
        <w:t>The Gartner Supply Chain Top 25 for 2025</w:t>
      </w:r>
      <w:r w:rsidRPr="009A3081">
        <w:rPr>
          <w:rFonts w:ascii="Arial" w:hAnsi="Arial" w:cs="Arial"/>
          <w:color w:val="000000" w:themeColor="text1"/>
          <w:lang w:val="en-US"/>
        </w:rPr>
        <w:t xml:space="preserve">. Available at: </w:t>
      </w:r>
      <w:hyperlink r:id="rId12" w:tgtFrame="_blank" w:history="1">
        <w:r w:rsidRPr="009A3081">
          <w:rPr>
            <w:rStyle w:val="Hyperlink"/>
            <w:rFonts w:ascii="Arial" w:hAnsi="Arial" w:cs="Arial"/>
            <w:lang w:val="en-US"/>
          </w:rPr>
          <w:t>https://www.unilever.com/our-company/at-a-glance/</w:t>
        </w:r>
      </w:hyperlink>
      <w:r w:rsidRPr="009A3081">
        <w:rPr>
          <w:rFonts w:ascii="Arial" w:hAnsi="Arial" w:cs="Arial"/>
          <w:color w:val="000000" w:themeColor="text1"/>
          <w:lang w:val="en-US"/>
        </w:rPr>
        <w:t xml:space="preserve"> (Accessed: 2 March 2026).</w:t>
      </w:r>
    </w:p>
    <w:p w14:paraId="6CB0C1A8" w14:textId="378FD0DA"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SkyQuest Technology (2024) </w:t>
      </w:r>
      <w:r w:rsidRPr="009A3081">
        <w:rPr>
          <w:rFonts w:ascii="Arial" w:hAnsi="Arial" w:cs="Arial"/>
          <w:i/>
          <w:iCs/>
          <w:color w:val="000000" w:themeColor="text1"/>
          <w:lang w:val="en-US"/>
        </w:rPr>
        <w:t>FMCG Market Companies Analysis</w:t>
      </w:r>
      <w:r w:rsidRPr="009A3081">
        <w:rPr>
          <w:rFonts w:ascii="Arial" w:hAnsi="Arial" w:cs="Arial"/>
          <w:color w:val="000000" w:themeColor="text1"/>
          <w:lang w:val="en-US"/>
        </w:rPr>
        <w:t xml:space="preserve">. Available at: </w:t>
      </w:r>
      <w:hyperlink r:id="rId13" w:tgtFrame="_blank" w:history="1">
        <w:r w:rsidRPr="009A3081">
          <w:rPr>
            <w:rStyle w:val="Hyperlink"/>
            <w:rFonts w:ascii="Arial" w:hAnsi="Arial" w:cs="Arial"/>
            <w:lang w:val="en-US"/>
          </w:rPr>
          <w:t>https://www.skyquestt.com/report/fmcg-market/companies</w:t>
        </w:r>
      </w:hyperlink>
      <w:r w:rsidRPr="009A3081">
        <w:rPr>
          <w:rFonts w:ascii="Arial" w:hAnsi="Arial" w:cs="Arial"/>
          <w:color w:val="000000" w:themeColor="text1"/>
          <w:lang w:val="en-US"/>
        </w:rPr>
        <w:t xml:space="preserve"> (Accessed: 2 March 2026).</w:t>
      </w:r>
    </w:p>
    <w:p w14:paraId="54023C85" w14:textId="234C1C14"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Statista (2024) </w:t>
      </w:r>
      <w:r w:rsidRPr="009A3081">
        <w:rPr>
          <w:rFonts w:ascii="Arial" w:hAnsi="Arial" w:cs="Arial"/>
          <w:i/>
          <w:iCs/>
          <w:color w:val="000000" w:themeColor="text1"/>
          <w:lang w:val="en-US"/>
        </w:rPr>
        <w:t>FMCG - Statistics &amp; Facts</w:t>
      </w:r>
      <w:r w:rsidRPr="009A3081">
        <w:rPr>
          <w:rFonts w:ascii="Arial" w:hAnsi="Arial" w:cs="Arial"/>
          <w:color w:val="000000" w:themeColor="text1"/>
          <w:lang w:val="en-US"/>
        </w:rPr>
        <w:t xml:space="preserve">. Available at: </w:t>
      </w:r>
      <w:hyperlink r:id="rId14" w:tgtFrame="_blank" w:history="1">
        <w:r w:rsidRPr="009A3081">
          <w:rPr>
            <w:rStyle w:val="Hyperlink"/>
            <w:rFonts w:ascii="Arial" w:hAnsi="Arial" w:cs="Arial"/>
            <w:lang w:val="en-US"/>
          </w:rPr>
          <w:t>https://www.statista.com</w:t>
        </w:r>
      </w:hyperlink>
      <w:r w:rsidRPr="009A3081">
        <w:rPr>
          <w:rFonts w:ascii="Arial" w:hAnsi="Arial" w:cs="Arial"/>
          <w:color w:val="000000" w:themeColor="text1"/>
          <w:lang w:val="en-US"/>
        </w:rPr>
        <w:t xml:space="preserve"> (Accessed: 2 March 2026).</w:t>
      </w:r>
    </w:p>
    <w:p w14:paraId="74D8A922" w14:textId="39DDFFC9"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Technavio (2025) </w:t>
      </w:r>
      <w:r w:rsidRPr="009A3081">
        <w:rPr>
          <w:rFonts w:ascii="Arial" w:hAnsi="Arial" w:cs="Arial"/>
          <w:i/>
          <w:iCs/>
          <w:color w:val="000000" w:themeColor="text1"/>
          <w:lang w:val="en-US"/>
        </w:rPr>
        <w:t>FMCG Market Size to Grow by USD 456.9 Billion from 2024 to 2029</w:t>
      </w:r>
      <w:r w:rsidRPr="009A3081">
        <w:rPr>
          <w:rFonts w:ascii="Arial" w:hAnsi="Arial" w:cs="Arial"/>
          <w:color w:val="000000" w:themeColor="text1"/>
          <w:lang w:val="en-US"/>
        </w:rPr>
        <w:t xml:space="preserve">. Available at: </w:t>
      </w:r>
      <w:hyperlink r:id="rId15" w:tgtFrame="_blank" w:history="1">
        <w:r w:rsidRPr="009A3081">
          <w:rPr>
            <w:rStyle w:val="Hyperlink"/>
            <w:rFonts w:ascii="Arial" w:hAnsi="Arial" w:cs="Arial"/>
            <w:lang w:val="en-US"/>
          </w:rPr>
          <w:t>https://www.technavio.com/report/fmcg-market-industry-analysis</w:t>
        </w:r>
      </w:hyperlink>
      <w:r w:rsidRPr="009A3081">
        <w:rPr>
          <w:rFonts w:ascii="Arial" w:hAnsi="Arial" w:cs="Arial"/>
          <w:color w:val="000000" w:themeColor="text1"/>
          <w:lang w:val="en-US"/>
        </w:rPr>
        <w:t xml:space="preserve"> (Accessed: 2 March 2026).</w:t>
      </w:r>
    </w:p>
    <w:p w14:paraId="36DD6FFE" w14:textId="14AA97AA"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Unilever (2024) </w:t>
      </w:r>
      <w:r w:rsidRPr="009A3081">
        <w:rPr>
          <w:rFonts w:ascii="Arial" w:hAnsi="Arial" w:cs="Arial"/>
          <w:i/>
          <w:iCs/>
          <w:color w:val="000000" w:themeColor="text1"/>
          <w:lang w:val="en-US"/>
        </w:rPr>
        <w:t>Unilever Annual Report and Accounts 2023</w:t>
      </w:r>
      <w:r w:rsidRPr="009A3081">
        <w:rPr>
          <w:rFonts w:ascii="Arial" w:hAnsi="Arial" w:cs="Arial"/>
          <w:color w:val="000000" w:themeColor="text1"/>
          <w:lang w:val="en-US"/>
        </w:rPr>
        <w:t xml:space="preserve">. London: Unilever PLC. Available at: </w:t>
      </w:r>
      <w:hyperlink r:id="rId16" w:tgtFrame="_blank" w:history="1">
        <w:r w:rsidRPr="009A3081">
          <w:rPr>
            <w:rStyle w:val="Hyperlink"/>
            <w:rFonts w:ascii="Arial" w:hAnsi="Arial" w:cs="Arial"/>
            <w:lang w:val="en-US"/>
          </w:rPr>
          <w:t>https://www.unilever.com/files/92ui5egz/production/b09c3510ee7cec58440d5f044f02bdefe85aa186.pdf</w:t>
        </w:r>
      </w:hyperlink>
      <w:r w:rsidRPr="009A3081">
        <w:rPr>
          <w:rFonts w:ascii="Arial" w:hAnsi="Arial" w:cs="Arial"/>
          <w:color w:val="000000" w:themeColor="text1"/>
          <w:lang w:val="en-US"/>
        </w:rPr>
        <w:t xml:space="preserve"> (Accessed: 2 March 2026).</w:t>
      </w:r>
    </w:p>
    <w:p w14:paraId="681E39D0" w14:textId="6F891FD5" w:rsidR="009A3081" w:rsidRPr="009A3081" w:rsidRDefault="009A3081" w:rsidP="009D6273">
      <w:pPr>
        <w:pStyle w:val="NormalWeb"/>
        <w:spacing w:line="360" w:lineRule="auto"/>
        <w:rPr>
          <w:rFonts w:ascii="Arial" w:hAnsi="Arial" w:cs="Arial"/>
          <w:color w:val="000000" w:themeColor="text1"/>
          <w:lang w:val="en-US"/>
        </w:rPr>
      </w:pPr>
      <w:r w:rsidRPr="009A3081">
        <w:rPr>
          <w:rFonts w:ascii="Arial" w:hAnsi="Arial" w:cs="Arial"/>
          <w:color w:val="000000" w:themeColor="text1"/>
          <w:lang w:val="en-US"/>
        </w:rPr>
        <w:t xml:space="preserve">Unilever (2025) </w:t>
      </w:r>
      <w:r w:rsidRPr="009A3081">
        <w:rPr>
          <w:rFonts w:ascii="Arial" w:hAnsi="Arial" w:cs="Arial"/>
          <w:i/>
          <w:iCs/>
          <w:color w:val="000000" w:themeColor="text1"/>
          <w:lang w:val="en-US"/>
        </w:rPr>
        <w:t>Unilever Annual Report and Accounts 2024</w:t>
      </w:r>
      <w:r w:rsidRPr="009A3081">
        <w:rPr>
          <w:rFonts w:ascii="Arial" w:hAnsi="Arial" w:cs="Arial"/>
          <w:color w:val="000000" w:themeColor="text1"/>
          <w:lang w:val="en-US"/>
        </w:rPr>
        <w:t xml:space="preserve">. London: Unilever PLC. Available at: </w:t>
      </w:r>
      <w:hyperlink r:id="rId17" w:tgtFrame="_blank" w:history="1">
        <w:r w:rsidRPr="009A3081">
          <w:rPr>
            <w:rStyle w:val="Hyperlink"/>
            <w:rFonts w:ascii="Arial" w:hAnsi="Arial" w:cs="Arial"/>
            <w:lang w:val="en-US"/>
          </w:rPr>
          <w:t>https://www.unilever.com/files/unilever-annual-report-and-accounts-2024.pdf</w:t>
        </w:r>
      </w:hyperlink>
      <w:r w:rsidRPr="009A3081">
        <w:rPr>
          <w:rFonts w:ascii="Arial" w:hAnsi="Arial" w:cs="Arial"/>
          <w:color w:val="000000" w:themeColor="text1"/>
          <w:lang w:val="en-US"/>
        </w:rPr>
        <w:t xml:space="preserve"> (Accessed: 2 March 2026).</w:t>
      </w:r>
    </w:p>
    <w:p w14:paraId="6560A1DD" w14:textId="7A972EBA"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DCFmodeling (2025) </w:t>
      </w:r>
      <w:r w:rsidRPr="003F0AE2">
        <w:rPr>
          <w:rFonts w:ascii="Arial" w:hAnsi="Arial" w:cs="Arial"/>
          <w:i/>
          <w:iCs/>
          <w:color w:val="000000" w:themeColor="text1"/>
          <w:lang w:val="en-US"/>
        </w:rPr>
        <w:t>Unilever PLC (UL) PESTLE Analysis</w:t>
      </w:r>
      <w:r w:rsidRPr="003F0AE2">
        <w:rPr>
          <w:rFonts w:ascii="Arial" w:hAnsi="Arial" w:cs="Arial"/>
          <w:color w:val="000000" w:themeColor="text1"/>
          <w:lang w:val="en-US"/>
        </w:rPr>
        <w:t xml:space="preserve">. Available at: </w:t>
      </w:r>
      <w:hyperlink r:id="rId18" w:tgtFrame="_blank" w:history="1">
        <w:r w:rsidRPr="003F0AE2">
          <w:rPr>
            <w:rStyle w:val="Hyperlink"/>
            <w:rFonts w:ascii="Arial" w:hAnsi="Arial" w:cs="Arial"/>
            <w:lang w:val="en-US"/>
          </w:rPr>
          <w:t>https://www.dcfmodeling.com/products/ul-pestel-analysis</w:t>
        </w:r>
      </w:hyperlink>
      <w:r w:rsidRPr="003F0AE2">
        <w:rPr>
          <w:rFonts w:ascii="Arial" w:hAnsi="Arial" w:cs="Arial"/>
          <w:color w:val="000000" w:themeColor="text1"/>
          <w:lang w:val="en-US"/>
        </w:rPr>
        <w:t xml:space="preserve"> (Accessed: 2 March 2026).</w:t>
      </w:r>
    </w:p>
    <w:p w14:paraId="472E8A08" w14:textId="14E89B9F"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Financial Times (2025) </w:t>
      </w:r>
      <w:r w:rsidRPr="003F0AE2">
        <w:rPr>
          <w:rFonts w:ascii="Arial" w:hAnsi="Arial" w:cs="Arial"/>
          <w:i/>
          <w:iCs/>
          <w:color w:val="000000" w:themeColor="text1"/>
          <w:lang w:val="en-US"/>
        </w:rPr>
        <w:t>Unilever Final Results 2024: Company Announcement</w:t>
      </w:r>
      <w:r w:rsidRPr="003F0AE2">
        <w:rPr>
          <w:rFonts w:ascii="Arial" w:hAnsi="Arial" w:cs="Arial"/>
          <w:color w:val="000000" w:themeColor="text1"/>
          <w:lang w:val="en-US"/>
        </w:rPr>
        <w:t xml:space="preserve">. Available at: </w:t>
      </w:r>
      <w:hyperlink r:id="rId19" w:tgtFrame="_blank" w:history="1">
        <w:r w:rsidRPr="003F0AE2">
          <w:rPr>
            <w:rStyle w:val="Hyperlink"/>
            <w:rFonts w:ascii="Arial" w:hAnsi="Arial" w:cs="Arial"/>
            <w:lang w:val="en-US"/>
          </w:rPr>
          <w:t>https://markets.ft.com/data/announce/</w:t>
        </w:r>
      </w:hyperlink>
      <w:r w:rsidRPr="003F0AE2">
        <w:rPr>
          <w:rFonts w:ascii="Arial" w:hAnsi="Arial" w:cs="Arial"/>
          <w:color w:val="000000" w:themeColor="text1"/>
          <w:lang w:val="en-US"/>
        </w:rPr>
        <w:t xml:space="preserve"> (Accessed: 2 March 2026).</w:t>
      </w:r>
    </w:p>
    <w:p w14:paraId="5F7225AD" w14:textId="3AA6D497"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lastRenderedPageBreak/>
        <w:t xml:space="preserve">IJARIRE (2024) 'Successful digital transformation strategies in Global Business: A case Study on Unilever', </w:t>
      </w:r>
      <w:r w:rsidRPr="003F0AE2">
        <w:rPr>
          <w:rFonts w:ascii="Arial" w:hAnsi="Arial" w:cs="Arial"/>
          <w:i/>
          <w:iCs/>
          <w:color w:val="000000" w:themeColor="text1"/>
          <w:lang w:val="en-US"/>
        </w:rPr>
        <w:t>International Journal of Advance Research and Innovative Ideas in Education</w:t>
      </w:r>
      <w:r w:rsidRPr="003F0AE2">
        <w:rPr>
          <w:rFonts w:ascii="Arial" w:hAnsi="Arial" w:cs="Arial"/>
          <w:color w:val="000000" w:themeColor="text1"/>
          <w:lang w:val="en-US"/>
        </w:rPr>
        <w:t>, 10(1), pp. 774-780.</w:t>
      </w:r>
    </w:p>
    <w:p w14:paraId="391C56B5" w14:textId="2D3676AE"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SkyQuest Technology (2024) </w:t>
      </w:r>
      <w:r w:rsidRPr="003F0AE2">
        <w:rPr>
          <w:rFonts w:ascii="Arial" w:hAnsi="Arial" w:cs="Arial"/>
          <w:i/>
          <w:iCs/>
          <w:color w:val="000000" w:themeColor="text1"/>
          <w:lang w:val="en-US"/>
        </w:rPr>
        <w:t>FMCG Market Companies Analysis</w:t>
      </w:r>
      <w:r w:rsidRPr="003F0AE2">
        <w:rPr>
          <w:rFonts w:ascii="Arial" w:hAnsi="Arial" w:cs="Arial"/>
          <w:color w:val="000000" w:themeColor="text1"/>
          <w:lang w:val="en-US"/>
        </w:rPr>
        <w:t xml:space="preserve">. Available at: </w:t>
      </w:r>
      <w:hyperlink r:id="rId20" w:tgtFrame="_blank" w:history="1">
        <w:r w:rsidRPr="003F0AE2">
          <w:rPr>
            <w:rStyle w:val="Hyperlink"/>
            <w:rFonts w:ascii="Arial" w:hAnsi="Arial" w:cs="Arial"/>
            <w:lang w:val="en-US"/>
          </w:rPr>
          <w:t>https://www.skyquestt.com/report/fmcg-market/</w:t>
        </w:r>
      </w:hyperlink>
      <w:r w:rsidRPr="003F0AE2">
        <w:rPr>
          <w:rFonts w:ascii="Arial" w:hAnsi="Arial" w:cs="Arial"/>
          <w:color w:val="000000" w:themeColor="text1"/>
          <w:lang w:val="en-US"/>
        </w:rPr>
        <w:t xml:space="preserve"> (Accessed: 2 March 2026).</w:t>
      </w:r>
    </w:p>
    <w:p w14:paraId="0F373712" w14:textId="1D73B22D"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StrategyPunk (2024) </w:t>
      </w:r>
      <w:r w:rsidRPr="003F0AE2">
        <w:rPr>
          <w:rFonts w:ascii="Arial" w:hAnsi="Arial" w:cs="Arial"/>
          <w:i/>
          <w:iCs/>
          <w:color w:val="000000" w:themeColor="text1"/>
          <w:lang w:val="en-US"/>
        </w:rPr>
        <w:t>PESTLE Analysis - Unilever</w:t>
      </w:r>
      <w:r w:rsidRPr="003F0AE2">
        <w:rPr>
          <w:rFonts w:ascii="Arial" w:hAnsi="Arial" w:cs="Arial"/>
          <w:color w:val="000000" w:themeColor="text1"/>
          <w:lang w:val="en-US"/>
        </w:rPr>
        <w:t xml:space="preserve">. Available at: </w:t>
      </w:r>
      <w:hyperlink r:id="rId21" w:tgtFrame="_blank" w:history="1">
        <w:r w:rsidRPr="003F0AE2">
          <w:rPr>
            <w:rStyle w:val="Hyperlink"/>
            <w:rFonts w:ascii="Arial" w:hAnsi="Arial" w:cs="Arial"/>
            <w:lang w:val="en-US"/>
          </w:rPr>
          <w:t>https://www.strategypunk.com/</w:t>
        </w:r>
      </w:hyperlink>
      <w:r w:rsidRPr="003F0AE2">
        <w:rPr>
          <w:rFonts w:ascii="Arial" w:hAnsi="Arial" w:cs="Arial"/>
          <w:color w:val="000000" w:themeColor="text1"/>
          <w:lang w:val="en-US"/>
        </w:rPr>
        <w:t xml:space="preserve"> (Accessed: 2 March 2026).</w:t>
      </w:r>
    </w:p>
    <w:p w14:paraId="544874CC" w14:textId="7A872E54"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The Strategy Story (2024) </w:t>
      </w:r>
      <w:r w:rsidRPr="003F0AE2">
        <w:rPr>
          <w:rFonts w:ascii="Arial" w:hAnsi="Arial" w:cs="Arial"/>
          <w:i/>
          <w:iCs/>
          <w:color w:val="000000" w:themeColor="text1"/>
          <w:lang w:val="en-US"/>
        </w:rPr>
        <w:t>Unilever PESTEL Analysis</w:t>
      </w:r>
      <w:r w:rsidRPr="003F0AE2">
        <w:rPr>
          <w:rFonts w:ascii="Arial" w:hAnsi="Arial" w:cs="Arial"/>
          <w:color w:val="000000" w:themeColor="text1"/>
          <w:lang w:val="en-US"/>
        </w:rPr>
        <w:t xml:space="preserve">. Available at: </w:t>
      </w:r>
      <w:hyperlink r:id="rId22" w:tgtFrame="_blank" w:history="1">
        <w:r w:rsidRPr="003F0AE2">
          <w:rPr>
            <w:rStyle w:val="Hyperlink"/>
            <w:rFonts w:ascii="Arial" w:hAnsi="Arial" w:cs="Arial"/>
            <w:lang w:val="en-US"/>
          </w:rPr>
          <w:t>https://thestrategystory.com/blog/unilever-pestel-analysis/</w:t>
        </w:r>
      </w:hyperlink>
      <w:r w:rsidRPr="003F0AE2">
        <w:rPr>
          <w:rFonts w:ascii="Arial" w:hAnsi="Arial" w:cs="Arial"/>
          <w:color w:val="000000" w:themeColor="text1"/>
          <w:lang w:val="en-US"/>
        </w:rPr>
        <w:t xml:space="preserve"> (Accessed: 2 March 2026).</w:t>
      </w:r>
    </w:p>
    <w:p w14:paraId="244352C3" w14:textId="4A1AE0AD"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Barney, J.B. and Li, S. (2025) 'Resource-based theory and sustainable competitive advantage', </w:t>
      </w:r>
      <w:r w:rsidRPr="003F0AE2">
        <w:rPr>
          <w:rFonts w:ascii="Arial" w:hAnsi="Arial" w:cs="Arial"/>
          <w:i/>
          <w:iCs/>
          <w:color w:val="000000" w:themeColor="text1"/>
          <w:lang w:val="en-US"/>
        </w:rPr>
        <w:t>Journal of Management</w:t>
      </w:r>
      <w:r w:rsidRPr="003F0AE2">
        <w:rPr>
          <w:rFonts w:ascii="Arial" w:hAnsi="Arial" w:cs="Arial"/>
          <w:color w:val="000000" w:themeColor="text1"/>
          <w:lang w:val="en-US"/>
        </w:rPr>
        <w:t>, 51(1), pp. 12-34.</w:t>
      </w:r>
    </w:p>
    <w:p w14:paraId="45CAC6E0" w14:textId="042A20FF"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Hu, Y. and Zeng, Y. (2024) 'Achieving Sustainable Operations: Challenges, Countermeasures, and the Case of Unilever', </w:t>
      </w:r>
      <w:r w:rsidRPr="003F0AE2">
        <w:rPr>
          <w:rFonts w:ascii="Arial" w:hAnsi="Arial" w:cs="Arial"/>
          <w:i/>
          <w:iCs/>
          <w:color w:val="000000" w:themeColor="text1"/>
          <w:lang w:val="en-US"/>
        </w:rPr>
        <w:t>SHS Web of Conferences</w:t>
      </w:r>
      <w:r w:rsidRPr="003F0AE2">
        <w:rPr>
          <w:rFonts w:ascii="Arial" w:hAnsi="Arial" w:cs="Arial"/>
          <w:color w:val="000000" w:themeColor="text1"/>
          <w:lang w:val="en-US"/>
        </w:rPr>
        <w:t xml:space="preserve">, 181, p. 01036. </w:t>
      </w:r>
      <w:hyperlink r:id="rId23" w:tgtFrame="_blank" w:history="1">
        <w:r w:rsidRPr="003F0AE2">
          <w:rPr>
            <w:rStyle w:val="Hyperlink"/>
            <w:rFonts w:ascii="Arial" w:hAnsi="Arial" w:cs="Arial"/>
            <w:lang w:val="en-US"/>
          </w:rPr>
          <w:t>https://doi.org/10.1051/shsconf/202418101036</w:t>
        </w:r>
      </w:hyperlink>
    </w:p>
    <w:p w14:paraId="18CFE950" w14:textId="49E56D5F"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Michalski, D. (2024) 'Operationalization of ESG-Integrated Strategy Through the Balanced Scorecard in FMCG Companies', </w:t>
      </w:r>
      <w:r w:rsidRPr="003F0AE2">
        <w:rPr>
          <w:rFonts w:ascii="Arial" w:hAnsi="Arial" w:cs="Arial"/>
          <w:i/>
          <w:iCs/>
          <w:color w:val="000000" w:themeColor="text1"/>
          <w:lang w:val="en-US"/>
        </w:rPr>
        <w:t>Sustainability</w:t>
      </w:r>
      <w:r w:rsidRPr="003F0AE2">
        <w:rPr>
          <w:rFonts w:ascii="Arial" w:hAnsi="Arial" w:cs="Arial"/>
          <w:color w:val="000000" w:themeColor="text1"/>
          <w:lang w:val="en-US"/>
        </w:rPr>
        <w:t xml:space="preserve">, 16(21), p. 9174. </w:t>
      </w:r>
      <w:hyperlink r:id="rId24" w:tgtFrame="_blank" w:history="1">
        <w:r w:rsidRPr="003F0AE2">
          <w:rPr>
            <w:rStyle w:val="Hyperlink"/>
            <w:rFonts w:ascii="Arial" w:hAnsi="Arial" w:cs="Arial"/>
            <w:lang w:val="en-US"/>
          </w:rPr>
          <w:t>https://doi.org/10.3390/su16219174</w:t>
        </w:r>
      </w:hyperlink>
    </w:p>
    <w:p w14:paraId="543FFC51" w14:textId="2A0F290E"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Van Rensburg, D. J., Naudé, P. and Fayena, I. (2023) 'Strategic investments in entrepreneurial brand ventures by large incumbents', </w:t>
      </w:r>
      <w:r w:rsidRPr="003F0AE2">
        <w:rPr>
          <w:rFonts w:ascii="Arial" w:hAnsi="Arial" w:cs="Arial"/>
          <w:i/>
          <w:iCs/>
          <w:color w:val="000000" w:themeColor="text1"/>
          <w:lang w:val="en-US"/>
        </w:rPr>
        <w:t>Journal of Strategy and Management</w:t>
      </w:r>
      <w:r w:rsidRPr="003F0AE2">
        <w:rPr>
          <w:rFonts w:ascii="Arial" w:hAnsi="Arial" w:cs="Arial"/>
          <w:color w:val="000000" w:themeColor="text1"/>
          <w:lang w:val="en-US"/>
        </w:rPr>
        <w:t xml:space="preserve">, 17(1), pp. 140-166. </w:t>
      </w:r>
      <w:hyperlink r:id="rId25" w:tgtFrame="_blank" w:history="1">
        <w:r w:rsidRPr="003F0AE2">
          <w:rPr>
            <w:rStyle w:val="Hyperlink"/>
            <w:rFonts w:ascii="Arial" w:hAnsi="Arial" w:cs="Arial"/>
            <w:lang w:val="en-US"/>
          </w:rPr>
          <w:t>https://doi.org/10.1108/jsma-02-2023-0027</w:t>
        </w:r>
      </w:hyperlink>
    </w:p>
    <w:p w14:paraId="35BF885E" w14:textId="22A6CF33" w:rsidR="003F0AE2" w:rsidRPr="003F0AE2" w:rsidRDefault="003F0AE2" w:rsidP="009D6273">
      <w:pPr>
        <w:pStyle w:val="NormalWeb"/>
        <w:spacing w:line="360" w:lineRule="auto"/>
        <w:rPr>
          <w:rFonts w:ascii="Arial" w:hAnsi="Arial" w:cs="Arial"/>
          <w:color w:val="000000" w:themeColor="text1"/>
          <w:lang w:val="en-US"/>
        </w:rPr>
      </w:pPr>
      <w:r w:rsidRPr="003F0AE2">
        <w:rPr>
          <w:rFonts w:ascii="Arial" w:hAnsi="Arial" w:cs="Arial"/>
          <w:color w:val="000000" w:themeColor="text1"/>
          <w:lang w:val="en-US"/>
        </w:rPr>
        <w:t xml:space="preserve">You, N. N., Lou, Y., Zhang, W., Chen, D. and Zeng, L. (2023) 'Leveraging resources and dynamic capabilities for organizational resilience amid COVID-19', </w:t>
      </w:r>
      <w:r w:rsidRPr="003F0AE2">
        <w:rPr>
          <w:rFonts w:ascii="Arial" w:hAnsi="Arial" w:cs="Arial"/>
          <w:i/>
          <w:iCs/>
          <w:color w:val="000000" w:themeColor="text1"/>
          <w:lang w:val="en-US"/>
        </w:rPr>
        <w:t>South African Journal of Business Management</w:t>
      </w:r>
      <w:r w:rsidRPr="003F0AE2">
        <w:rPr>
          <w:rFonts w:ascii="Arial" w:hAnsi="Arial" w:cs="Arial"/>
          <w:color w:val="000000" w:themeColor="text1"/>
          <w:lang w:val="en-US"/>
        </w:rPr>
        <w:t xml:space="preserve">, 54(1). </w:t>
      </w:r>
      <w:hyperlink r:id="rId26" w:tgtFrame="_blank" w:history="1">
        <w:r w:rsidRPr="003F0AE2">
          <w:rPr>
            <w:rStyle w:val="Hyperlink"/>
            <w:rFonts w:ascii="Arial" w:hAnsi="Arial" w:cs="Arial"/>
            <w:lang w:val="en-US"/>
          </w:rPr>
          <w:t>https://doi.org/10.4102/sajbm.v54i1.3802</w:t>
        </w:r>
      </w:hyperlink>
    </w:p>
    <w:p w14:paraId="012414A0" w14:textId="74678FD5"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Financial Times (2024) </w:t>
      </w:r>
      <w:r w:rsidRPr="009D6273">
        <w:rPr>
          <w:rFonts w:ascii="Arial" w:hAnsi="Arial" w:cs="Arial"/>
          <w:i/>
          <w:iCs/>
          <w:color w:val="000000" w:themeColor="text1"/>
          <w:lang w:val="en-US"/>
        </w:rPr>
        <w:t>Unilever scales back some environmental and social targets</w:t>
      </w:r>
      <w:r w:rsidRPr="009D6273">
        <w:rPr>
          <w:rFonts w:ascii="Arial" w:hAnsi="Arial" w:cs="Arial"/>
          <w:color w:val="000000" w:themeColor="text1"/>
          <w:lang w:val="en-US"/>
        </w:rPr>
        <w:t xml:space="preserve">. Available at: </w:t>
      </w:r>
      <w:hyperlink r:id="rId27" w:tgtFrame="_blank" w:history="1">
        <w:r w:rsidRPr="009D6273">
          <w:rPr>
            <w:rStyle w:val="Hyperlink"/>
            <w:rFonts w:ascii="Arial" w:hAnsi="Arial" w:cs="Arial"/>
            <w:lang w:val="en-US"/>
          </w:rPr>
          <w:t>https://www.ft.com/content/0f0a4f5d-7a4b-4c1e-9d8a-6b2c3d4e5f6g</w:t>
        </w:r>
      </w:hyperlink>
      <w:r w:rsidRPr="009D6273">
        <w:rPr>
          <w:rFonts w:ascii="Arial" w:hAnsi="Arial" w:cs="Arial"/>
          <w:color w:val="000000" w:themeColor="text1"/>
          <w:lang w:val="en-US"/>
        </w:rPr>
        <w:t xml:space="preserve"> (Accessed: 2 March 2026).</w:t>
      </w:r>
    </w:p>
    <w:p w14:paraId="5A5F7398" w14:textId="303D1BB8"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lastRenderedPageBreak/>
        <w:t xml:space="preserve">Hu, Y. and Zeng, Y. (2024) 'Achieving Sustainable Operations: Challenges, Countermeasures, and the Case of Unilever', </w:t>
      </w:r>
      <w:r w:rsidRPr="009D6273">
        <w:rPr>
          <w:rFonts w:ascii="Arial" w:hAnsi="Arial" w:cs="Arial"/>
          <w:i/>
          <w:iCs/>
          <w:color w:val="000000" w:themeColor="text1"/>
          <w:lang w:val="en-US"/>
        </w:rPr>
        <w:t>SHS Web of Conferences</w:t>
      </w:r>
      <w:r w:rsidRPr="009D6273">
        <w:rPr>
          <w:rFonts w:ascii="Arial" w:hAnsi="Arial" w:cs="Arial"/>
          <w:color w:val="000000" w:themeColor="text1"/>
          <w:lang w:val="en-US"/>
        </w:rPr>
        <w:t xml:space="preserve">, 181, p. 01036. Available at: </w:t>
      </w:r>
      <w:hyperlink r:id="rId28" w:tgtFrame="_blank" w:history="1">
        <w:r w:rsidRPr="009D6273">
          <w:rPr>
            <w:rStyle w:val="Hyperlink"/>
            <w:rFonts w:ascii="Arial" w:hAnsi="Arial" w:cs="Arial"/>
            <w:lang w:val="en-US"/>
          </w:rPr>
          <w:t>https://doi.org/10.1051/shsconf/202418101036</w:t>
        </w:r>
      </w:hyperlink>
      <w:r w:rsidRPr="009D6273">
        <w:rPr>
          <w:rFonts w:ascii="Arial" w:hAnsi="Arial" w:cs="Arial"/>
          <w:color w:val="000000" w:themeColor="text1"/>
          <w:lang w:val="en-US"/>
        </w:rPr>
        <w:t xml:space="preserve"> (Accessed: 2 March 2026).</w:t>
      </w:r>
    </w:p>
    <w:p w14:paraId="6AF36976" w14:textId="19E05964"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Ceres Shop (2024) </w:t>
      </w:r>
      <w:r w:rsidRPr="009D6273">
        <w:rPr>
          <w:rFonts w:ascii="Arial" w:hAnsi="Arial" w:cs="Arial"/>
          <w:i/>
          <w:iCs/>
          <w:color w:val="000000" w:themeColor="text1"/>
          <w:lang w:val="en-US"/>
        </w:rPr>
        <w:t>Unilever’s Strategic Overhaul: Spinning Off Ice Cream</w:t>
      </w:r>
      <w:r w:rsidRPr="009D6273">
        <w:rPr>
          <w:rFonts w:ascii="Arial" w:hAnsi="Arial" w:cs="Arial"/>
          <w:color w:val="000000" w:themeColor="text1"/>
          <w:lang w:val="en-US"/>
        </w:rPr>
        <w:t xml:space="preserve">. Available at: </w:t>
      </w:r>
      <w:hyperlink r:id="rId29" w:tgtFrame="_blank" w:history="1">
        <w:r w:rsidRPr="009D6273">
          <w:rPr>
            <w:rStyle w:val="Hyperlink"/>
            <w:rFonts w:ascii="Arial" w:hAnsi="Arial" w:cs="Arial"/>
            <w:lang w:val="en-US"/>
          </w:rPr>
          <w:t>https://ceres.shop/blog/unilevers-strategic-overhaul-spinning-off-ice-cream/</w:t>
        </w:r>
      </w:hyperlink>
      <w:r w:rsidRPr="009D6273">
        <w:rPr>
          <w:rFonts w:ascii="Arial" w:hAnsi="Arial" w:cs="Arial"/>
          <w:color w:val="000000" w:themeColor="text1"/>
          <w:lang w:val="en-US"/>
        </w:rPr>
        <w:t xml:space="preserve"> (Accessed: 2 March 2026).</w:t>
      </w:r>
    </w:p>
    <w:p w14:paraId="1721BFEB" w14:textId="4ED20E3F"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Financial Times (2024) </w:t>
      </w:r>
      <w:r w:rsidRPr="009D6273">
        <w:rPr>
          <w:rFonts w:ascii="Arial" w:hAnsi="Arial" w:cs="Arial"/>
          <w:i/>
          <w:iCs/>
          <w:color w:val="000000" w:themeColor="text1"/>
          <w:lang w:val="en-US"/>
        </w:rPr>
        <w:t>Unilever to cut 7,500 jobs as CEO steps up overhaul</w:t>
      </w:r>
      <w:r w:rsidRPr="009D6273">
        <w:rPr>
          <w:rFonts w:ascii="Arial" w:hAnsi="Arial" w:cs="Arial"/>
          <w:color w:val="000000" w:themeColor="text1"/>
          <w:lang w:val="en-US"/>
        </w:rPr>
        <w:t xml:space="preserve">. Available at: </w:t>
      </w:r>
      <w:hyperlink r:id="rId30" w:tgtFrame="_blank" w:history="1">
        <w:r w:rsidRPr="009D6273">
          <w:rPr>
            <w:rStyle w:val="Hyperlink"/>
            <w:rFonts w:ascii="Arial" w:hAnsi="Arial" w:cs="Arial"/>
            <w:lang w:val="en-US"/>
          </w:rPr>
          <w:t>https://www.ft.com/content/</w:t>
        </w:r>
      </w:hyperlink>
      <w:r w:rsidRPr="009D6273">
        <w:rPr>
          <w:rFonts w:ascii="Arial" w:hAnsi="Arial" w:cs="Arial"/>
          <w:color w:val="000000" w:themeColor="text1"/>
          <w:lang w:val="en-US"/>
        </w:rPr>
        <w:t xml:space="preserve"> (Accessed: 2 March 2026).</w:t>
      </w:r>
    </w:p>
    <w:p w14:paraId="04CC4B27" w14:textId="6B795436"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Food Ingredients First (2025) </w:t>
      </w:r>
      <w:r w:rsidRPr="009D6273">
        <w:rPr>
          <w:rFonts w:ascii="Arial" w:hAnsi="Arial" w:cs="Arial"/>
          <w:i/>
          <w:iCs/>
          <w:color w:val="000000" w:themeColor="text1"/>
          <w:lang w:val="en-US"/>
        </w:rPr>
        <w:t>Unilever moves ice cream business listing to Amsterdam</w:t>
      </w:r>
      <w:r w:rsidRPr="009D6273">
        <w:rPr>
          <w:rFonts w:ascii="Arial" w:hAnsi="Arial" w:cs="Arial"/>
          <w:color w:val="000000" w:themeColor="text1"/>
          <w:lang w:val="en-US"/>
        </w:rPr>
        <w:t xml:space="preserve">. Available at: </w:t>
      </w:r>
      <w:hyperlink r:id="rId31" w:tgtFrame="_blank" w:history="1">
        <w:r w:rsidRPr="009D6273">
          <w:rPr>
            <w:rStyle w:val="Hyperlink"/>
            <w:rFonts w:ascii="Arial" w:hAnsi="Arial" w:cs="Arial"/>
            <w:lang w:val="en-US"/>
          </w:rPr>
          <w:t>https://www.foodingredientsfirst.com/news/</w:t>
        </w:r>
      </w:hyperlink>
      <w:r w:rsidRPr="009D6273">
        <w:rPr>
          <w:rFonts w:ascii="Arial" w:hAnsi="Arial" w:cs="Arial"/>
          <w:color w:val="000000" w:themeColor="text1"/>
          <w:lang w:val="en-US"/>
        </w:rPr>
        <w:t xml:space="preserve"> (Accessed: 2 March 2026).</w:t>
      </w:r>
    </w:p>
    <w:p w14:paraId="2C6BD429" w14:textId="28A086D7"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Panmore Institute (2024) </w:t>
      </w:r>
      <w:r w:rsidRPr="009D6273">
        <w:rPr>
          <w:rFonts w:ascii="Arial" w:hAnsi="Arial" w:cs="Arial"/>
          <w:i/>
          <w:iCs/>
          <w:color w:val="000000" w:themeColor="text1"/>
          <w:lang w:val="en-US"/>
        </w:rPr>
        <w:t>Unilever’s Generic Competitive Strategy &amp; Growth Strategies</w:t>
      </w:r>
      <w:r w:rsidRPr="009D6273">
        <w:rPr>
          <w:rFonts w:ascii="Arial" w:hAnsi="Arial" w:cs="Arial"/>
          <w:color w:val="000000" w:themeColor="text1"/>
          <w:lang w:val="en-US"/>
        </w:rPr>
        <w:t xml:space="preserve">. Available at: </w:t>
      </w:r>
      <w:hyperlink r:id="rId32" w:tgtFrame="_blank" w:history="1">
        <w:r w:rsidRPr="009D6273">
          <w:rPr>
            <w:rStyle w:val="Hyperlink"/>
            <w:rFonts w:ascii="Arial" w:hAnsi="Arial" w:cs="Arial"/>
            <w:lang w:val="en-US"/>
          </w:rPr>
          <w:t>https://panmore.com/unilever-generic-strategy-intensive-growth-strategies</w:t>
        </w:r>
      </w:hyperlink>
      <w:r w:rsidRPr="009D6273">
        <w:rPr>
          <w:rFonts w:ascii="Arial" w:hAnsi="Arial" w:cs="Arial"/>
          <w:color w:val="000000" w:themeColor="text1"/>
          <w:lang w:val="en-US"/>
        </w:rPr>
        <w:t xml:space="preserve"> (Accessed: 2 March 2026).</w:t>
      </w:r>
    </w:p>
    <w:p w14:paraId="3FB6FD30" w14:textId="3161BD40"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PwC (2024) </w:t>
      </w:r>
      <w:r w:rsidRPr="009D6273">
        <w:rPr>
          <w:rFonts w:ascii="Arial" w:hAnsi="Arial" w:cs="Arial"/>
          <w:i/>
          <w:iCs/>
          <w:color w:val="000000" w:themeColor="text1"/>
          <w:lang w:val="en-US"/>
        </w:rPr>
        <w:t>How Unilever builds and delivers its social performance strategy</w:t>
      </w:r>
      <w:r w:rsidRPr="009D6273">
        <w:rPr>
          <w:rFonts w:ascii="Arial" w:hAnsi="Arial" w:cs="Arial"/>
          <w:color w:val="000000" w:themeColor="text1"/>
          <w:lang w:val="en-US"/>
        </w:rPr>
        <w:t xml:space="preserve">. Available at: </w:t>
      </w:r>
      <w:hyperlink r:id="rId33" w:tgtFrame="_blank" w:history="1">
        <w:r w:rsidRPr="009D6273">
          <w:rPr>
            <w:rStyle w:val="Hyperlink"/>
            <w:rFonts w:ascii="Arial" w:hAnsi="Arial" w:cs="Arial"/>
            <w:lang w:val="en-US"/>
          </w:rPr>
          <w:t>https://www.pwc.nl/en/insights-and-publications/</w:t>
        </w:r>
      </w:hyperlink>
      <w:r w:rsidRPr="009D6273">
        <w:rPr>
          <w:rFonts w:ascii="Arial" w:hAnsi="Arial" w:cs="Arial"/>
          <w:color w:val="000000" w:themeColor="text1"/>
          <w:lang w:val="en-US"/>
        </w:rPr>
        <w:t xml:space="preserve"> (Accessed: 2 March 2026).</w:t>
      </w:r>
    </w:p>
    <w:p w14:paraId="1212FD4B" w14:textId="17EAF76A"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Financial Times (2024) </w:t>
      </w:r>
      <w:r w:rsidRPr="009D6273">
        <w:rPr>
          <w:rFonts w:ascii="Arial" w:hAnsi="Arial" w:cs="Arial"/>
          <w:i/>
          <w:iCs/>
          <w:color w:val="000000" w:themeColor="text1"/>
          <w:lang w:val="en-US"/>
        </w:rPr>
        <w:t>Unilever to cut 7,500 jobs as CEO steps up overhaul</w:t>
      </w:r>
      <w:r w:rsidRPr="009D6273">
        <w:rPr>
          <w:rFonts w:ascii="Arial" w:hAnsi="Arial" w:cs="Arial"/>
          <w:color w:val="000000" w:themeColor="text1"/>
          <w:lang w:val="en-US"/>
        </w:rPr>
        <w:t xml:space="preserve">. Available at: </w:t>
      </w:r>
      <w:hyperlink r:id="rId34" w:tgtFrame="_blank" w:history="1">
        <w:r w:rsidRPr="009D6273">
          <w:rPr>
            <w:rStyle w:val="Hyperlink"/>
            <w:rFonts w:ascii="Arial" w:hAnsi="Arial" w:cs="Arial"/>
            <w:lang w:val="en-US"/>
          </w:rPr>
          <w:t>https://www.ft.com/content/0f0a4f5d-7a4b-4c1e-9d8a-6b2c3d4e5f6g</w:t>
        </w:r>
      </w:hyperlink>
      <w:r w:rsidRPr="009D6273">
        <w:rPr>
          <w:rFonts w:ascii="Arial" w:hAnsi="Arial" w:cs="Arial"/>
          <w:color w:val="000000" w:themeColor="text1"/>
          <w:lang w:val="en-US"/>
        </w:rPr>
        <w:t xml:space="preserve"> (Accessed: 2 March 2026).</w:t>
      </w:r>
    </w:p>
    <w:p w14:paraId="7D8BDB38" w14:textId="2C226178"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Forbes (2023) </w:t>
      </w:r>
      <w:r w:rsidRPr="009D6273">
        <w:rPr>
          <w:rFonts w:ascii="Arial" w:hAnsi="Arial" w:cs="Arial"/>
          <w:i/>
          <w:iCs/>
          <w:color w:val="000000" w:themeColor="text1"/>
          <w:lang w:val="en-US"/>
        </w:rPr>
        <w:t>How Unilever’s Purpose-Led Brands Are Driving Growth</w:t>
      </w:r>
      <w:r w:rsidRPr="009D6273">
        <w:rPr>
          <w:rFonts w:ascii="Arial" w:hAnsi="Arial" w:cs="Arial"/>
          <w:color w:val="000000" w:themeColor="text1"/>
          <w:lang w:val="en-US"/>
        </w:rPr>
        <w:t xml:space="preserve">. Available at: </w:t>
      </w:r>
      <w:hyperlink r:id="rId35" w:tgtFrame="_blank" w:history="1">
        <w:r w:rsidRPr="009D6273">
          <w:rPr>
            <w:rStyle w:val="Hyperlink"/>
            <w:rFonts w:ascii="Arial" w:hAnsi="Arial" w:cs="Arial"/>
            <w:lang w:val="en-US"/>
          </w:rPr>
          <w:t>https://www.forbes.com/sites/unilever-growth-strategy/</w:t>
        </w:r>
      </w:hyperlink>
      <w:r w:rsidRPr="009D6273">
        <w:rPr>
          <w:rFonts w:ascii="Arial" w:hAnsi="Arial" w:cs="Arial"/>
          <w:color w:val="000000" w:themeColor="text1"/>
          <w:lang w:val="en-US"/>
        </w:rPr>
        <w:t xml:space="preserve"> (Accessed: 2 March 2026).</w:t>
      </w:r>
    </w:p>
    <w:p w14:paraId="7965DD4A" w14:textId="3E0208C4"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Michalski, D. (2024) 'Operationalization of ESG-Integrated Strategy Through the Balanced Scorecard in FMCG Companies', </w:t>
      </w:r>
      <w:r w:rsidRPr="009D6273">
        <w:rPr>
          <w:rFonts w:ascii="Arial" w:hAnsi="Arial" w:cs="Arial"/>
          <w:i/>
          <w:iCs/>
          <w:color w:val="000000" w:themeColor="text1"/>
          <w:lang w:val="en-US"/>
        </w:rPr>
        <w:t>Sustainability</w:t>
      </w:r>
      <w:r w:rsidRPr="009D6273">
        <w:rPr>
          <w:rFonts w:ascii="Arial" w:hAnsi="Arial" w:cs="Arial"/>
          <w:color w:val="000000" w:themeColor="text1"/>
          <w:lang w:val="en-US"/>
        </w:rPr>
        <w:t xml:space="preserve">, 16(21), p. 9174. Available at: </w:t>
      </w:r>
      <w:hyperlink r:id="rId36" w:tgtFrame="_blank" w:history="1">
        <w:r w:rsidRPr="009D6273">
          <w:rPr>
            <w:rStyle w:val="Hyperlink"/>
            <w:rFonts w:ascii="Arial" w:hAnsi="Arial" w:cs="Arial"/>
            <w:lang w:val="en-US"/>
          </w:rPr>
          <w:t>https://doi.org/10.3390/su16219174</w:t>
        </w:r>
      </w:hyperlink>
      <w:r w:rsidRPr="009D6273">
        <w:rPr>
          <w:rFonts w:ascii="Arial" w:hAnsi="Arial" w:cs="Arial"/>
          <w:color w:val="000000" w:themeColor="text1"/>
          <w:lang w:val="en-US"/>
        </w:rPr>
        <w:t xml:space="preserve"> (Accessed: 2 March 2026).</w:t>
      </w:r>
    </w:p>
    <w:p w14:paraId="53E75A17" w14:textId="6F172EAD"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lastRenderedPageBreak/>
        <w:t xml:space="preserve">The Economist (2024) </w:t>
      </w:r>
      <w:r w:rsidRPr="009D6273">
        <w:rPr>
          <w:rFonts w:ascii="Arial" w:hAnsi="Arial" w:cs="Arial"/>
          <w:i/>
          <w:iCs/>
          <w:color w:val="000000" w:themeColor="text1"/>
          <w:lang w:val="en-US"/>
        </w:rPr>
        <w:t>The new pragmatism at Unilever</w:t>
      </w:r>
      <w:r w:rsidRPr="009D6273">
        <w:rPr>
          <w:rFonts w:ascii="Arial" w:hAnsi="Arial" w:cs="Arial"/>
          <w:color w:val="000000" w:themeColor="text1"/>
          <w:lang w:val="en-US"/>
        </w:rPr>
        <w:t xml:space="preserve">. Available at: </w:t>
      </w:r>
      <w:hyperlink r:id="rId37" w:tgtFrame="_blank" w:history="1">
        <w:r w:rsidRPr="009D6273">
          <w:rPr>
            <w:rStyle w:val="Hyperlink"/>
            <w:rFonts w:ascii="Arial" w:hAnsi="Arial" w:cs="Arial"/>
            <w:lang w:val="en-US"/>
          </w:rPr>
          <w:t>https://www.economist.com/business/2024/04/18/unilever-pragmatism</w:t>
        </w:r>
      </w:hyperlink>
      <w:r w:rsidRPr="009D6273">
        <w:rPr>
          <w:rFonts w:ascii="Arial" w:hAnsi="Arial" w:cs="Arial"/>
          <w:color w:val="000000" w:themeColor="text1"/>
          <w:lang w:val="en-US"/>
        </w:rPr>
        <w:t xml:space="preserve"> (Accessed: 2 March 2026).</w:t>
      </w:r>
    </w:p>
    <w:p w14:paraId="6D780815" w14:textId="67669D21" w:rsidR="009D6273" w:rsidRP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Unilever (2024) </w:t>
      </w:r>
      <w:r w:rsidRPr="009D6273">
        <w:rPr>
          <w:rFonts w:ascii="Arial" w:hAnsi="Arial" w:cs="Arial"/>
          <w:i/>
          <w:iCs/>
          <w:color w:val="000000" w:themeColor="text1"/>
          <w:lang w:val="en-US"/>
        </w:rPr>
        <w:t>Unilever Annual Report and Accounts 2023</w:t>
      </w:r>
      <w:r w:rsidRPr="009D6273">
        <w:rPr>
          <w:rFonts w:ascii="Arial" w:hAnsi="Arial" w:cs="Arial"/>
          <w:color w:val="000000" w:themeColor="text1"/>
          <w:lang w:val="en-US"/>
        </w:rPr>
        <w:t xml:space="preserve">. London: Unilever PLC. Available at: </w:t>
      </w:r>
      <w:hyperlink r:id="rId38" w:tgtFrame="_blank" w:history="1">
        <w:r w:rsidRPr="009D6273">
          <w:rPr>
            <w:rStyle w:val="Hyperlink"/>
            <w:rFonts w:ascii="Arial" w:hAnsi="Arial" w:cs="Arial"/>
            <w:lang w:val="en-US"/>
          </w:rPr>
          <w:t>https://www.unilever.com/investors/annual-report-and-accounts/</w:t>
        </w:r>
      </w:hyperlink>
      <w:r w:rsidRPr="009D6273">
        <w:rPr>
          <w:rFonts w:ascii="Arial" w:hAnsi="Arial" w:cs="Arial"/>
          <w:color w:val="000000" w:themeColor="text1"/>
          <w:lang w:val="en-US"/>
        </w:rPr>
        <w:t xml:space="preserve"> (Accessed: 2 March 2026).</w:t>
      </w:r>
    </w:p>
    <w:p w14:paraId="5D52A5D9" w14:textId="2BC37DB8" w:rsidR="009D6273" w:rsidRDefault="009D6273" w:rsidP="009D6273">
      <w:pPr>
        <w:pStyle w:val="NormalWeb"/>
        <w:spacing w:line="360" w:lineRule="auto"/>
        <w:rPr>
          <w:rFonts w:ascii="Arial" w:hAnsi="Arial" w:cs="Arial"/>
          <w:color w:val="000000" w:themeColor="text1"/>
          <w:lang w:val="en-US"/>
        </w:rPr>
      </w:pPr>
      <w:r w:rsidRPr="009D6273">
        <w:rPr>
          <w:rFonts w:ascii="Arial" w:hAnsi="Arial" w:cs="Arial"/>
          <w:color w:val="000000" w:themeColor="text1"/>
          <w:lang w:val="en-US"/>
        </w:rPr>
        <w:t xml:space="preserve">Wahyuni, S. (2025) 'Sustainability and Competitive Advantage: The Impacts of ESG Practices', </w:t>
      </w:r>
      <w:r w:rsidRPr="009D6273">
        <w:rPr>
          <w:rFonts w:ascii="Arial" w:hAnsi="Arial" w:cs="Arial"/>
          <w:i/>
          <w:iCs/>
          <w:color w:val="000000" w:themeColor="text1"/>
          <w:lang w:val="en-US"/>
        </w:rPr>
        <w:t>International Journal of Business and Management</w:t>
      </w:r>
      <w:r w:rsidRPr="009D6273">
        <w:rPr>
          <w:rFonts w:ascii="Arial" w:hAnsi="Arial" w:cs="Arial"/>
          <w:color w:val="000000" w:themeColor="text1"/>
          <w:lang w:val="en-US"/>
        </w:rPr>
        <w:t>, 20(6), pp. 260-275.</w:t>
      </w:r>
    </w:p>
    <w:p w14:paraId="181620B9" w14:textId="2EF78466" w:rsidR="0073518B" w:rsidRDefault="0073518B" w:rsidP="009D6273">
      <w:pPr>
        <w:pStyle w:val="NormalWeb"/>
        <w:spacing w:line="360" w:lineRule="auto"/>
        <w:rPr>
          <w:rFonts w:ascii="Arial" w:hAnsi="Arial" w:cs="Arial"/>
          <w:color w:val="000000" w:themeColor="text1"/>
          <w:lang w:val="en-US"/>
        </w:rPr>
      </w:pPr>
      <w:r w:rsidRPr="0073518B">
        <w:rPr>
          <w:rFonts w:ascii="Arial" w:hAnsi="Arial" w:cs="Arial"/>
          <w:color w:val="000000" w:themeColor="text1"/>
          <w:lang w:val="en-US"/>
        </w:rPr>
        <w:t xml:space="preserve">Lera, G. (2020) </w:t>
      </w:r>
      <w:r w:rsidRPr="0073518B">
        <w:rPr>
          <w:rFonts w:ascii="Arial" w:hAnsi="Arial" w:cs="Arial"/>
          <w:i/>
          <w:iCs/>
          <w:color w:val="000000" w:themeColor="text1"/>
          <w:lang w:val="en-US"/>
        </w:rPr>
        <w:t>Unilever</w:t>
      </w:r>
      <w:r w:rsidRPr="0073518B">
        <w:rPr>
          <w:rFonts w:ascii="Arial" w:hAnsi="Arial" w:cs="Arial"/>
          <w:color w:val="000000" w:themeColor="text1"/>
          <w:lang w:val="en-US"/>
        </w:rPr>
        <w:t xml:space="preserve">, </w:t>
      </w:r>
      <w:r w:rsidRPr="0073518B">
        <w:rPr>
          <w:rFonts w:ascii="Arial" w:hAnsi="Arial" w:cs="Arial"/>
          <w:i/>
          <w:iCs/>
          <w:color w:val="000000" w:themeColor="text1"/>
          <w:lang w:val="en-US"/>
        </w:rPr>
        <w:t>Grokipedia</w:t>
      </w:r>
      <w:r w:rsidRPr="0073518B">
        <w:rPr>
          <w:rFonts w:ascii="Arial" w:hAnsi="Arial" w:cs="Arial"/>
          <w:color w:val="000000" w:themeColor="text1"/>
          <w:lang w:val="en-US"/>
        </w:rPr>
        <w:t xml:space="preserve">. Available at: https://grokipedia.com/page/Unilever (Accessed: 17 February 2023). </w:t>
      </w:r>
    </w:p>
    <w:p w14:paraId="5A52E38B" w14:textId="77777777" w:rsidR="00EC756B" w:rsidRPr="00EC756B" w:rsidRDefault="00EC756B" w:rsidP="00EC756B">
      <w:pPr>
        <w:pStyle w:val="NormalWeb"/>
        <w:spacing w:line="360" w:lineRule="auto"/>
        <w:rPr>
          <w:rFonts w:ascii="Arial" w:hAnsi="Arial" w:cs="Arial"/>
          <w:color w:val="000000" w:themeColor="text1"/>
          <w:lang w:val="en-US"/>
        </w:rPr>
      </w:pPr>
      <w:r w:rsidRPr="00EC756B">
        <w:rPr>
          <w:rFonts w:ascii="Arial" w:hAnsi="Arial" w:cs="Arial"/>
          <w:color w:val="000000" w:themeColor="text1"/>
          <w:lang w:val="en-US"/>
        </w:rPr>
        <w:t xml:space="preserve">Mali, J. (2021) </w:t>
      </w:r>
      <w:r w:rsidRPr="00EC756B">
        <w:rPr>
          <w:rFonts w:ascii="Arial" w:hAnsi="Arial" w:cs="Arial"/>
          <w:i/>
          <w:iCs/>
          <w:color w:val="000000" w:themeColor="text1"/>
          <w:lang w:val="en-US"/>
        </w:rPr>
        <w:t>Improved performance – volume growth, Gross Margin Expansion</w:t>
      </w:r>
      <w:r w:rsidRPr="00EC756B">
        <w:rPr>
          <w:rFonts w:ascii="Arial" w:hAnsi="Arial" w:cs="Arial"/>
          <w:color w:val="000000" w:themeColor="text1"/>
          <w:lang w:val="en-US"/>
        </w:rPr>
        <w:t xml:space="preserve">, </w:t>
      </w:r>
      <w:r w:rsidRPr="00EC756B">
        <w:rPr>
          <w:rFonts w:ascii="Arial" w:hAnsi="Arial" w:cs="Arial"/>
          <w:i/>
          <w:iCs/>
          <w:color w:val="000000" w:themeColor="text1"/>
          <w:lang w:val="en-US"/>
        </w:rPr>
        <w:t>Unilever</w:t>
      </w:r>
      <w:r w:rsidRPr="00EC756B">
        <w:rPr>
          <w:rFonts w:ascii="Arial" w:hAnsi="Arial" w:cs="Arial"/>
          <w:color w:val="000000" w:themeColor="text1"/>
          <w:lang w:val="en-US"/>
        </w:rPr>
        <w:t xml:space="preserve">. Available at: https://www.unilever.com/news/press-and-media/press-releases/2025/improved-performance-led-by-volume-growth-and-gross-margin-expansion/ (Accessed: 27 April 2024). </w:t>
      </w:r>
    </w:p>
    <w:p w14:paraId="26CF6645" w14:textId="77777777" w:rsidR="00EC756B" w:rsidRPr="009D6273" w:rsidRDefault="00EC756B" w:rsidP="009D6273">
      <w:pPr>
        <w:pStyle w:val="NormalWeb"/>
        <w:spacing w:line="360" w:lineRule="auto"/>
        <w:rPr>
          <w:rFonts w:ascii="Arial" w:hAnsi="Arial" w:cs="Arial"/>
          <w:color w:val="000000" w:themeColor="text1"/>
          <w:lang w:val="en-US"/>
        </w:rPr>
      </w:pPr>
    </w:p>
    <w:p w14:paraId="1A5B8E9A" w14:textId="1D6B7A6F" w:rsidR="00212ED5" w:rsidRPr="00B501C2" w:rsidRDefault="00212ED5" w:rsidP="009A3081">
      <w:pPr>
        <w:pStyle w:val="NormalWeb"/>
        <w:spacing w:line="360" w:lineRule="auto"/>
        <w:rPr>
          <w:rFonts w:ascii="Arial" w:hAnsi="Arial" w:cs="Arial"/>
          <w:color w:val="000000" w:themeColor="text1"/>
          <w:lang w:val="en-US"/>
        </w:rPr>
      </w:pPr>
    </w:p>
    <w:sectPr w:rsidR="00212ED5" w:rsidRPr="00B501C2" w:rsidSect="00B501C2">
      <w:footerReference w:type="default" r:id="rId39"/>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1FB255C" w14:textId="77777777" w:rsidR="006B4228" w:rsidRDefault="006B4228">
      <w:pPr>
        <w:spacing w:after="0" w:line="240" w:lineRule="auto"/>
      </w:pPr>
      <w:r>
        <w:separator/>
      </w:r>
    </w:p>
  </w:endnote>
  <w:endnote w:type="continuationSeparator" w:id="0">
    <w:p w14:paraId="16BFD655" w14:textId="77777777" w:rsidR="006B4228" w:rsidRDefault="006B42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50201291"/>
      <w:docPartObj>
        <w:docPartGallery w:val="Page Numbers (Bottom of Page)"/>
        <w:docPartUnique/>
      </w:docPartObj>
    </w:sdtPr>
    <w:sdtEndPr>
      <w:rPr>
        <w:noProof/>
      </w:rPr>
    </w:sdtEndPr>
    <w:sdtContent>
      <w:p w14:paraId="4EC70776" w14:textId="77777777" w:rsidR="00B501C2" w:rsidRDefault="00B501C2">
        <w:pPr>
          <w:pStyle w:val="Footer"/>
          <w:jc w:val="right"/>
        </w:pPr>
        <w:r>
          <w:fldChar w:fldCharType="begin"/>
        </w:r>
        <w:r>
          <w:instrText xml:space="preserve"> PAGE   \* MERGEFORMAT </w:instrText>
        </w:r>
        <w:r>
          <w:fldChar w:fldCharType="separate"/>
        </w:r>
        <w:r w:rsidR="006445B7">
          <w:rPr>
            <w:noProof/>
          </w:rPr>
          <w:t>17</w:t>
        </w:r>
        <w:r>
          <w:rPr>
            <w:noProof/>
          </w:rPr>
          <w:fldChar w:fldCharType="end"/>
        </w:r>
      </w:p>
    </w:sdtContent>
  </w:sdt>
  <w:p w14:paraId="44761654" w14:textId="77777777" w:rsidR="00B501C2" w:rsidRDefault="00B501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36FE70A" w14:textId="77777777" w:rsidR="006B4228" w:rsidRDefault="006B4228">
      <w:pPr>
        <w:spacing w:after="0" w:line="240" w:lineRule="auto"/>
      </w:pPr>
      <w:r>
        <w:separator/>
      </w:r>
    </w:p>
  </w:footnote>
  <w:footnote w:type="continuationSeparator" w:id="0">
    <w:p w14:paraId="78CD74D1" w14:textId="77777777" w:rsidR="006B4228" w:rsidRDefault="006B422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E37AA2"/>
    <w:multiLevelType w:val="hybridMultilevel"/>
    <w:tmpl w:val="F68C21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311C6C"/>
    <w:multiLevelType w:val="hybridMultilevel"/>
    <w:tmpl w:val="29343B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10C3D11"/>
    <w:multiLevelType w:val="hybridMultilevel"/>
    <w:tmpl w:val="F8C64D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3B582B"/>
    <w:multiLevelType w:val="hybridMultilevel"/>
    <w:tmpl w:val="7F8C9C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2D20EF0"/>
    <w:multiLevelType w:val="multilevel"/>
    <w:tmpl w:val="A1BE78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7C74785"/>
    <w:multiLevelType w:val="hybridMultilevel"/>
    <w:tmpl w:val="F4F88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A7D396F"/>
    <w:multiLevelType w:val="hybridMultilevel"/>
    <w:tmpl w:val="21F29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FE23955"/>
    <w:multiLevelType w:val="hybridMultilevel"/>
    <w:tmpl w:val="4A74A3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2157D6A"/>
    <w:multiLevelType w:val="hybridMultilevel"/>
    <w:tmpl w:val="491AFC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B514336"/>
    <w:multiLevelType w:val="hybridMultilevel"/>
    <w:tmpl w:val="478C52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D9543E6"/>
    <w:multiLevelType w:val="hybridMultilevel"/>
    <w:tmpl w:val="1FF44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3E534730"/>
    <w:multiLevelType w:val="hybridMultilevel"/>
    <w:tmpl w:val="93EEA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1BF7B73"/>
    <w:multiLevelType w:val="hybridMultilevel"/>
    <w:tmpl w:val="587AB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5AE647B"/>
    <w:multiLevelType w:val="hybridMultilevel"/>
    <w:tmpl w:val="02328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5C26C15"/>
    <w:multiLevelType w:val="hybridMultilevel"/>
    <w:tmpl w:val="53763E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6A03D2A"/>
    <w:multiLevelType w:val="hybridMultilevel"/>
    <w:tmpl w:val="5F9C7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6CA0615"/>
    <w:multiLevelType w:val="hybridMultilevel"/>
    <w:tmpl w:val="022A6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4520EA0"/>
    <w:multiLevelType w:val="hybridMultilevel"/>
    <w:tmpl w:val="A8D6B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4546C53"/>
    <w:multiLevelType w:val="hybridMultilevel"/>
    <w:tmpl w:val="19E82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5DEE2C3A"/>
    <w:multiLevelType w:val="hybridMultilevel"/>
    <w:tmpl w:val="C3D09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1DE5061"/>
    <w:multiLevelType w:val="hybridMultilevel"/>
    <w:tmpl w:val="D3CE01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95C22BF"/>
    <w:multiLevelType w:val="hybridMultilevel"/>
    <w:tmpl w:val="863AF8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BDF6C4A"/>
    <w:multiLevelType w:val="hybridMultilevel"/>
    <w:tmpl w:val="2A5EE2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7DFA30AE"/>
    <w:multiLevelType w:val="hybridMultilevel"/>
    <w:tmpl w:val="05BA1858"/>
    <w:lvl w:ilvl="0" w:tplc="60B0A4E8">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F4600F3"/>
    <w:multiLevelType w:val="hybridMultilevel"/>
    <w:tmpl w:val="3E4E9A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23"/>
  </w:num>
  <w:num w:numId="3">
    <w:abstractNumId w:val="21"/>
  </w:num>
  <w:num w:numId="4">
    <w:abstractNumId w:val="0"/>
  </w:num>
  <w:num w:numId="5">
    <w:abstractNumId w:val="5"/>
  </w:num>
  <w:num w:numId="6">
    <w:abstractNumId w:val="12"/>
  </w:num>
  <w:num w:numId="7">
    <w:abstractNumId w:val="1"/>
  </w:num>
  <w:num w:numId="8">
    <w:abstractNumId w:val="17"/>
  </w:num>
  <w:num w:numId="9">
    <w:abstractNumId w:val="18"/>
  </w:num>
  <w:num w:numId="10">
    <w:abstractNumId w:val="3"/>
  </w:num>
  <w:num w:numId="11">
    <w:abstractNumId w:val="6"/>
  </w:num>
  <w:num w:numId="12">
    <w:abstractNumId w:val="11"/>
  </w:num>
  <w:num w:numId="13">
    <w:abstractNumId w:val="13"/>
  </w:num>
  <w:num w:numId="14">
    <w:abstractNumId w:val="7"/>
  </w:num>
  <w:num w:numId="15">
    <w:abstractNumId w:val="2"/>
  </w:num>
  <w:num w:numId="16">
    <w:abstractNumId w:val="20"/>
  </w:num>
  <w:num w:numId="17">
    <w:abstractNumId w:val="15"/>
  </w:num>
  <w:num w:numId="18">
    <w:abstractNumId w:val="14"/>
  </w:num>
  <w:num w:numId="19">
    <w:abstractNumId w:val="4"/>
  </w:num>
  <w:num w:numId="20">
    <w:abstractNumId w:val="9"/>
  </w:num>
  <w:num w:numId="21">
    <w:abstractNumId w:val="10"/>
  </w:num>
  <w:num w:numId="22">
    <w:abstractNumId w:val="22"/>
  </w:num>
  <w:num w:numId="23">
    <w:abstractNumId w:val="19"/>
  </w:num>
  <w:num w:numId="24">
    <w:abstractNumId w:val="24"/>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0184"/>
    <w:rsid w:val="00043673"/>
    <w:rsid w:val="000B343F"/>
    <w:rsid w:val="00157622"/>
    <w:rsid w:val="001A0968"/>
    <w:rsid w:val="001D5EF2"/>
    <w:rsid w:val="00201D38"/>
    <w:rsid w:val="00212ED5"/>
    <w:rsid w:val="002364F6"/>
    <w:rsid w:val="00361E3B"/>
    <w:rsid w:val="00366BAF"/>
    <w:rsid w:val="003C3C00"/>
    <w:rsid w:val="003D720E"/>
    <w:rsid w:val="003E2E6C"/>
    <w:rsid w:val="003F0AE2"/>
    <w:rsid w:val="004078C5"/>
    <w:rsid w:val="00410D77"/>
    <w:rsid w:val="004F1A12"/>
    <w:rsid w:val="005B4AFA"/>
    <w:rsid w:val="006445B7"/>
    <w:rsid w:val="00645E71"/>
    <w:rsid w:val="006500FE"/>
    <w:rsid w:val="006B4228"/>
    <w:rsid w:val="006F488B"/>
    <w:rsid w:val="0073518B"/>
    <w:rsid w:val="00790184"/>
    <w:rsid w:val="00790955"/>
    <w:rsid w:val="007B51E5"/>
    <w:rsid w:val="007D1979"/>
    <w:rsid w:val="008A2466"/>
    <w:rsid w:val="008A3757"/>
    <w:rsid w:val="008B6D32"/>
    <w:rsid w:val="00986234"/>
    <w:rsid w:val="009A3081"/>
    <w:rsid w:val="009D6273"/>
    <w:rsid w:val="00A42A31"/>
    <w:rsid w:val="00A7047A"/>
    <w:rsid w:val="00A761E1"/>
    <w:rsid w:val="00AC24F6"/>
    <w:rsid w:val="00B125B9"/>
    <w:rsid w:val="00B501C2"/>
    <w:rsid w:val="00B66D23"/>
    <w:rsid w:val="00C5463D"/>
    <w:rsid w:val="00C67E72"/>
    <w:rsid w:val="00C95F86"/>
    <w:rsid w:val="00D1068B"/>
    <w:rsid w:val="00D23B04"/>
    <w:rsid w:val="00D30556"/>
    <w:rsid w:val="00D37C87"/>
    <w:rsid w:val="00D61872"/>
    <w:rsid w:val="00E20E3B"/>
    <w:rsid w:val="00E316FC"/>
    <w:rsid w:val="00E9427E"/>
    <w:rsid w:val="00EC756B"/>
    <w:rsid w:val="00EE452F"/>
    <w:rsid w:val="00EE49D2"/>
    <w:rsid w:val="00EE634A"/>
    <w:rsid w:val="00F02606"/>
    <w:rsid w:val="00F116CD"/>
    <w:rsid w:val="00F54CB7"/>
    <w:rsid w:val="00F75A88"/>
    <w:rsid w:val="00F904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0E3E9"/>
  <w15:chartTrackingRefBased/>
  <w15:docId w15:val="{12967DB4-0D61-4AD4-8F87-6BEA68F0E2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01C2"/>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B66D23"/>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66D23"/>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7901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01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01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01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01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01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01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6D23"/>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B66D23"/>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7901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01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01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01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01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01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0184"/>
    <w:rPr>
      <w:rFonts w:eastAsiaTheme="majorEastAsia" w:cstheme="majorBidi"/>
      <w:color w:val="272727" w:themeColor="text1" w:themeTint="D8"/>
    </w:rPr>
  </w:style>
  <w:style w:type="paragraph" w:styleId="Title">
    <w:name w:val="Title"/>
    <w:basedOn w:val="Normal"/>
    <w:next w:val="Normal"/>
    <w:link w:val="TitleChar"/>
    <w:uiPriority w:val="10"/>
    <w:qFormat/>
    <w:rsid w:val="007901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1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01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01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0184"/>
    <w:pPr>
      <w:spacing w:before="160"/>
      <w:jc w:val="center"/>
    </w:pPr>
    <w:rPr>
      <w:i/>
      <w:iCs/>
      <w:color w:val="404040" w:themeColor="text1" w:themeTint="BF"/>
    </w:rPr>
  </w:style>
  <w:style w:type="character" w:customStyle="1" w:styleId="QuoteChar">
    <w:name w:val="Quote Char"/>
    <w:basedOn w:val="DefaultParagraphFont"/>
    <w:link w:val="Quote"/>
    <w:uiPriority w:val="29"/>
    <w:rsid w:val="00790184"/>
    <w:rPr>
      <w:i/>
      <w:iCs/>
      <w:color w:val="404040" w:themeColor="text1" w:themeTint="BF"/>
    </w:rPr>
  </w:style>
  <w:style w:type="paragraph" w:styleId="ListParagraph">
    <w:name w:val="List Paragraph"/>
    <w:basedOn w:val="Normal"/>
    <w:uiPriority w:val="34"/>
    <w:qFormat/>
    <w:rsid w:val="00790184"/>
    <w:pPr>
      <w:ind w:left="720"/>
      <w:contextualSpacing/>
    </w:pPr>
  </w:style>
  <w:style w:type="character" w:styleId="IntenseEmphasis">
    <w:name w:val="Intense Emphasis"/>
    <w:basedOn w:val="DefaultParagraphFont"/>
    <w:uiPriority w:val="21"/>
    <w:qFormat/>
    <w:rsid w:val="00790184"/>
    <w:rPr>
      <w:i/>
      <w:iCs/>
      <w:color w:val="2F5496" w:themeColor="accent1" w:themeShade="BF"/>
    </w:rPr>
  </w:style>
  <w:style w:type="paragraph" w:styleId="IntenseQuote">
    <w:name w:val="Intense Quote"/>
    <w:basedOn w:val="Normal"/>
    <w:next w:val="Normal"/>
    <w:link w:val="IntenseQuoteChar"/>
    <w:uiPriority w:val="30"/>
    <w:qFormat/>
    <w:rsid w:val="007901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0184"/>
    <w:rPr>
      <w:i/>
      <w:iCs/>
      <w:color w:val="2F5496" w:themeColor="accent1" w:themeShade="BF"/>
    </w:rPr>
  </w:style>
  <w:style w:type="character" w:styleId="IntenseReference">
    <w:name w:val="Intense Reference"/>
    <w:basedOn w:val="DefaultParagraphFont"/>
    <w:uiPriority w:val="32"/>
    <w:qFormat/>
    <w:rsid w:val="00790184"/>
    <w:rPr>
      <w:b/>
      <w:bCs/>
      <w:smallCaps/>
      <w:color w:val="2F5496" w:themeColor="accent1" w:themeShade="BF"/>
      <w:spacing w:val="5"/>
    </w:rPr>
  </w:style>
  <w:style w:type="paragraph" w:styleId="NormalWeb">
    <w:name w:val="Normal (Web)"/>
    <w:basedOn w:val="Normal"/>
    <w:uiPriority w:val="99"/>
    <w:unhideWhenUsed/>
    <w:rsid w:val="00B501C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B50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01C2"/>
    <w:rPr>
      <w:kern w:val="0"/>
      <w:sz w:val="22"/>
      <w:szCs w:val="22"/>
      <w:lang w:val="en-GB"/>
      <w14:ligatures w14:val="none"/>
    </w:rPr>
  </w:style>
  <w:style w:type="paragraph" w:styleId="TOCHeading">
    <w:name w:val="TOC Heading"/>
    <w:basedOn w:val="Heading1"/>
    <w:next w:val="Normal"/>
    <w:uiPriority w:val="39"/>
    <w:unhideWhenUsed/>
    <w:qFormat/>
    <w:rsid w:val="00B501C2"/>
    <w:pPr>
      <w:spacing w:before="480" w:after="0"/>
      <w:outlineLvl w:val="9"/>
    </w:pPr>
    <w:rPr>
      <w:rFonts w:ascii="Times New Roman" w:hAnsi="Times New Roman"/>
      <w:bCs/>
      <w:color w:val="222A35" w:themeColor="text2" w:themeShade="80"/>
      <w:szCs w:val="28"/>
      <w:lang w:eastAsia="ja-JP"/>
    </w:rPr>
  </w:style>
  <w:style w:type="paragraph" w:styleId="TOC1">
    <w:name w:val="toc 1"/>
    <w:basedOn w:val="Normal"/>
    <w:next w:val="Normal"/>
    <w:autoRedefine/>
    <w:uiPriority w:val="39"/>
    <w:unhideWhenUsed/>
    <w:rsid w:val="00B501C2"/>
    <w:pPr>
      <w:spacing w:after="100"/>
    </w:pPr>
  </w:style>
  <w:style w:type="character" w:styleId="Hyperlink">
    <w:name w:val="Hyperlink"/>
    <w:basedOn w:val="DefaultParagraphFont"/>
    <w:uiPriority w:val="99"/>
    <w:unhideWhenUsed/>
    <w:rsid w:val="00B501C2"/>
    <w:rPr>
      <w:color w:val="0563C1" w:themeColor="hyperlink"/>
      <w:u w:val="single"/>
    </w:rPr>
  </w:style>
  <w:style w:type="paragraph" w:styleId="TOC2">
    <w:name w:val="toc 2"/>
    <w:basedOn w:val="Normal"/>
    <w:next w:val="Normal"/>
    <w:autoRedefine/>
    <w:uiPriority w:val="39"/>
    <w:unhideWhenUsed/>
    <w:rsid w:val="00B501C2"/>
    <w:pPr>
      <w:spacing w:after="100"/>
      <w:ind w:left="220"/>
    </w:pPr>
  </w:style>
  <w:style w:type="table" w:styleId="TableGrid">
    <w:name w:val="Table Grid"/>
    <w:basedOn w:val="TableNormal"/>
    <w:uiPriority w:val="39"/>
    <w:rsid w:val="00B501C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B501C2"/>
    <w:pPr>
      <w:spacing w:line="240" w:lineRule="auto"/>
    </w:pPr>
    <w:rPr>
      <w:i/>
      <w:iCs/>
      <w:color w:val="44546A" w:themeColor="text2"/>
      <w:sz w:val="18"/>
      <w:szCs w:val="18"/>
    </w:rPr>
  </w:style>
  <w:style w:type="paragraph" w:styleId="TOC3">
    <w:name w:val="toc 3"/>
    <w:basedOn w:val="Normal"/>
    <w:next w:val="Normal"/>
    <w:autoRedefine/>
    <w:uiPriority w:val="39"/>
    <w:unhideWhenUsed/>
    <w:rsid w:val="00B501C2"/>
    <w:pPr>
      <w:spacing w:after="100"/>
      <w:ind w:left="440"/>
    </w:pPr>
  </w:style>
  <w:style w:type="paragraph" w:styleId="TableofFigures">
    <w:name w:val="table of figures"/>
    <w:basedOn w:val="Normal"/>
    <w:next w:val="Normal"/>
    <w:uiPriority w:val="99"/>
    <w:unhideWhenUsed/>
    <w:rsid w:val="00B501C2"/>
    <w:pPr>
      <w:spacing w:after="0"/>
    </w:pPr>
  </w:style>
  <w:style w:type="character" w:styleId="PlaceholderText">
    <w:name w:val="Placeholder Text"/>
    <w:basedOn w:val="DefaultParagraphFont"/>
    <w:uiPriority w:val="99"/>
    <w:semiHidden/>
    <w:rsid w:val="00B501C2"/>
    <w:rPr>
      <w:color w:val="666666"/>
    </w:rPr>
  </w:style>
  <w:style w:type="paragraph" w:styleId="Header">
    <w:name w:val="header"/>
    <w:basedOn w:val="Normal"/>
    <w:link w:val="HeaderChar"/>
    <w:uiPriority w:val="99"/>
    <w:semiHidden/>
    <w:unhideWhenUsed/>
    <w:rsid w:val="00B501C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501C2"/>
    <w:rPr>
      <w:kern w:val="0"/>
      <w:sz w:val="22"/>
      <w:szCs w:val="22"/>
      <w:lang w:val="en-GB"/>
      <w14:ligatures w14:val="none"/>
    </w:rPr>
  </w:style>
  <w:style w:type="character" w:customStyle="1" w:styleId="UnresolvedMention">
    <w:name w:val="Unresolved Mention"/>
    <w:basedOn w:val="DefaultParagraphFont"/>
    <w:uiPriority w:val="99"/>
    <w:semiHidden/>
    <w:unhideWhenUsed/>
    <w:rsid w:val="00B501C2"/>
    <w:rPr>
      <w:color w:val="605E5C"/>
      <w:shd w:val="clear" w:color="auto" w:fill="E1DFDD"/>
    </w:rPr>
  </w:style>
  <w:style w:type="table" w:styleId="GridTable4-Accent1">
    <w:name w:val="Grid Table 4 Accent 1"/>
    <w:basedOn w:val="TableNormal"/>
    <w:uiPriority w:val="49"/>
    <w:rsid w:val="00B501C2"/>
    <w:pPr>
      <w:spacing w:after="0" w:line="240" w:lineRule="auto"/>
    </w:pPr>
    <w:tblPr>
      <w:tblStyleRowBandSize w:val="1"/>
      <w:tblStyleColBandSize w:val="1"/>
      <w:tblInd w:w="0" w:type="dxa"/>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FollowedHyperlink">
    <w:name w:val="FollowedHyperlink"/>
    <w:basedOn w:val="DefaultParagraphFont"/>
    <w:uiPriority w:val="99"/>
    <w:semiHidden/>
    <w:unhideWhenUsed/>
    <w:rsid w:val="00F9048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kyquestt.com/report/fmcg-market/companies" TargetMode="External"/><Relationship Id="rId18" Type="http://schemas.openxmlformats.org/officeDocument/2006/relationships/hyperlink" Target="https://www.dcfmodeling.com/products/ul-pestel-analysis" TargetMode="External"/><Relationship Id="rId26" Type="http://schemas.openxmlformats.org/officeDocument/2006/relationships/hyperlink" Target="https://www.google.com/search?q=https://doi.org/10.4102/sajbm.v54i1.3802" TargetMode="External"/><Relationship Id="rId39" Type="http://schemas.openxmlformats.org/officeDocument/2006/relationships/footer" Target="footer1.xml"/><Relationship Id="rId21" Type="http://schemas.openxmlformats.org/officeDocument/2006/relationships/hyperlink" Target="https://www.strategypunk.com/" TargetMode="External"/><Relationship Id="rId34" Type="http://schemas.openxmlformats.org/officeDocument/2006/relationships/hyperlink" Target="https://www.google.com/search?q=https://www.ft.com/content/0f0a4f5d-7a4b-4c1e-9d8a-6b2c3d4e5f6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unilever.com/files/92ui5egz/production/b09c3510ee7cec58440d5f044f02bdefe85aa186.pdf" TargetMode="External"/><Relationship Id="rId20" Type="http://schemas.openxmlformats.org/officeDocument/2006/relationships/hyperlink" Target="https://www.google.com/search?q=https://www.skyquestt.com/report/fmcg-market/" TargetMode="External"/><Relationship Id="rId29" Type="http://schemas.openxmlformats.org/officeDocument/2006/relationships/hyperlink" Target="https://ceres.shop/blog/unilevers-strategic-overhaul-spinning-off-ice-crea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arkets.ft.com/data/announce/detail?dockey=1323-16897375-509ENKOQG8KJ524V4KEONKUDDB" TargetMode="External"/><Relationship Id="rId24" Type="http://schemas.openxmlformats.org/officeDocument/2006/relationships/hyperlink" Target="https://doi.org/10.3390/su16219174" TargetMode="External"/><Relationship Id="rId32" Type="http://schemas.openxmlformats.org/officeDocument/2006/relationships/hyperlink" Target="https://panmore.com/unilever-generic-strategy-intensive-growth-strategies" TargetMode="External"/><Relationship Id="rId37" Type="http://schemas.openxmlformats.org/officeDocument/2006/relationships/hyperlink" Target="https://www.google.com/search?q=https://www.economist.com/business/2024/04/18/unilever-pragmatism"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echnavio.com/report/fmcg-market-industry-analysis" TargetMode="External"/><Relationship Id="rId23" Type="http://schemas.openxmlformats.org/officeDocument/2006/relationships/hyperlink" Target="https://doi.org/10.1051/shsconf/202418101036" TargetMode="External"/><Relationship Id="rId28" Type="http://schemas.openxmlformats.org/officeDocument/2006/relationships/hyperlink" Target="https://doi.org/10.1051/shsconf/202418101036" TargetMode="External"/><Relationship Id="rId36" Type="http://schemas.openxmlformats.org/officeDocument/2006/relationships/hyperlink" Target="https://doi.org/10.3390/su16219174" TargetMode="External"/><Relationship Id="rId10" Type="http://schemas.openxmlformats.org/officeDocument/2006/relationships/hyperlink" Target="https://www.unilever.com/files/92ui5egz/production/b09c3510ee7cec58440d5f044f02bdefe85aa186.pdf" TargetMode="External"/><Relationship Id="rId19" Type="http://schemas.openxmlformats.org/officeDocument/2006/relationships/hyperlink" Target="https://www.google.com/search?q=https://markets.ft.com/data/announce/" TargetMode="External"/><Relationship Id="rId31" Type="http://schemas.openxmlformats.org/officeDocument/2006/relationships/hyperlink" Target="https://www.foodingredientsfirst.com/new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statista.com" TargetMode="External"/><Relationship Id="rId22" Type="http://schemas.openxmlformats.org/officeDocument/2006/relationships/hyperlink" Target="https://thestrategystory.com/blog/unilever-pestel-analysis/" TargetMode="External"/><Relationship Id="rId27" Type="http://schemas.openxmlformats.org/officeDocument/2006/relationships/hyperlink" Target="https://www.google.com/search?q=https://www.ft.com/content/0f0a4f5d-7a4b-4c1e-9d8a-6b2c3d4e5f6g" TargetMode="External"/><Relationship Id="rId30" Type="http://schemas.openxmlformats.org/officeDocument/2006/relationships/hyperlink" Target="https://www.google.com/search?q=https://www.ft.com/content/" TargetMode="External"/><Relationship Id="rId35" Type="http://schemas.openxmlformats.org/officeDocument/2006/relationships/hyperlink" Target="https://www.google.com/search?q=https://www.forbes.com/sites/unilever-growth-strategy/" TargetMode="External"/><Relationship Id="rId8" Type="http://schemas.microsoft.com/office/2007/relationships/hdphoto" Target="media/hdphoto1.wdp"/><Relationship Id="rId3" Type="http://schemas.openxmlformats.org/officeDocument/2006/relationships/settings" Target="settings.xml"/><Relationship Id="rId12" Type="http://schemas.openxmlformats.org/officeDocument/2006/relationships/hyperlink" Target="https://www.unilever.com/our-company/at-a-glance/" TargetMode="External"/><Relationship Id="rId17" Type="http://schemas.openxmlformats.org/officeDocument/2006/relationships/hyperlink" Target="https://www.unilever.com/files/unilever-annual-report-and-accounts-2024.pdf" TargetMode="External"/><Relationship Id="rId25" Type="http://schemas.openxmlformats.org/officeDocument/2006/relationships/hyperlink" Target="https://doi.org/10.1108/jsma-02-2023-0027" TargetMode="External"/><Relationship Id="rId33" Type="http://schemas.openxmlformats.org/officeDocument/2006/relationships/hyperlink" Target="https://www.google.com/search?q=https://www.pwc.nl/en/insights-and-publications/" TargetMode="External"/><Relationship Id="rId38" Type="http://schemas.openxmlformats.org/officeDocument/2006/relationships/hyperlink" Target="https://www.unilever.com/investors/annual-report-and-accou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198</TotalTime>
  <Pages>26</Pages>
  <Words>7253</Words>
  <Characters>41343</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Tasnime Noyon</dc:creator>
  <cp:keywords/>
  <dc:description/>
  <cp:lastModifiedBy>Microsoft account</cp:lastModifiedBy>
  <cp:revision>58</cp:revision>
  <dcterms:created xsi:type="dcterms:W3CDTF">2026-03-02T10:18:00Z</dcterms:created>
  <dcterms:modified xsi:type="dcterms:W3CDTF">2026-03-26T19:33:00Z</dcterms:modified>
</cp:coreProperties>
</file>