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998EC1" w14:textId="77777777" w:rsidR="00ED652C" w:rsidRDefault="00ED652C" w:rsidP="002C0C84">
      <w:pPr>
        <w:rPr>
          <w:rFonts w:asciiTheme="minorBidi" w:hAnsiTheme="minorBidi"/>
          <w:b/>
          <w:bCs/>
          <w:sz w:val="22"/>
        </w:rPr>
      </w:pPr>
    </w:p>
    <w:p w14:paraId="0BB4EFC0" w14:textId="75066577" w:rsidR="00667177" w:rsidRPr="00ED652C" w:rsidRDefault="002C0C84" w:rsidP="00ED652C">
      <w:pPr>
        <w:jc w:val="center"/>
        <w:rPr>
          <w:rFonts w:asciiTheme="minorBidi" w:hAnsiTheme="minorBidi"/>
          <w:b/>
          <w:bCs/>
          <w:sz w:val="36"/>
          <w:szCs w:val="36"/>
        </w:rPr>
      </w:pPr>
      <w:r w:rsidRPr="00ED652C">
        <w:rPr>
          <w:rFonts w:asciiTheme="minorBidi" w:hAnsiTheme="minorBidi"/>
          <w:b/>
          <w:bCs/>
          <w:sz w:val="36"/>
          <w:szCs w:val="36"/>
        </w:rPr>
        <w:t>Module Code: LCHS7002</w:t>
      </w:r>
    </w:p>
    <w:p w14:paraId="413F23A8" w14:textId="116F80E4" w:rsidR="002C0C84" w:rsidRPr="00ED652C" w:rsidRDefault="002C0C84" w:rsidP="00ED652C">
      <w:pPr>
        <w:jc w:val="center"/>
        <w:rPr>
          <w:rFonts w:asciiTheme="minorBidi" w:hAnsiTheme="minorBidi"/>
          <w:b/>
          <w:bCs/>
          <w:sz w:val="36"/>
          <w:szCs w:val="36"/>
        </w:rPr>
      </w:pPr>
      <w:r w:rsidRPr="00ED652C">
        <w:rPr>
          <w:rFonts w:asciiTheme="minorBidi" w:hAnsiTheme="minorBidi"/>
          <w:b/>
          <w:bCs/>
          <w:sz w:val="36"/>
          <w:szCs w:val="36"/>
        </w:rPr>
        <w:t>Module Title: Health Care System, Organisation and Leadership</w:t>
      </w:r>
    </w:p>
    <w:p w14:paraId="7EA6809C" w14:textId="7DB06BA3" w:rsidR="002C0C84" w:rsidRPr="00ED652C" w:rsidRDefault="00ED652C" w:rsidP="00ED652C">
      <w:pPr>
        <w:jc w:val="center"/>
        <w:rPr>
          <w:rFonts w:asciiTheme="minorBidi" w:hAnsiTheme="minorBidi"/>
          <w:b/>
          <w:bCs/>
          <w:sz w:val="36"/>
          <w:szCs w:val="36"/>
        </w:rPr>
      </w:pPr>
      <w:r w:rsidRPr="00ED652C">
        <w:rPr>
          <w:rFonts w:asciiTheme="minorBidi" w:hAnsiTheme="minorBidi"/>
          <w:b/>
          <w:bCs/>
          <w:sz w:val="36"/>
          <w:szCs w:val="36"/>
        </w:rPr>
        <w:t>Case Study Analysis Report: Comparative report on COVID19 leadership responses</w:t>
      </w:r>
    </w:p>
    <w:p w14:paraId="3B417EBA" w14:textId="77777777" w:rsidR="002C0C84" w:rsidRPr="00ED652C" w:rsidRDefault="002C0C84" w:rsidP="00ED652C">
      <w:pPr>
        <w:jc w:val="center"/>
        <w:rPr>
          <w:rFonts w:asciiTheme="minorBidi" w:hAnsiTheme="minorBidi"/>
          <w:b/>
          <w:bCs/>
          <w:sz w:val="36"/>
          <w:szCs w:val="36"/>
        </w:rPr>
      </w:pPr>
    </w:p>
    <w:p w14:paraId="4A15CEA7" w14:textId="77777777" w:rsidR="00ED652C" w:rsidRDefault="002C0C84" w:rsidP="00ED652C">
      <w:pPr>
        <w:jc w:val="center"/>
        <w:rPr>
          <w:rFonts w:asciiTheme="minorBidi" w:hAnsiTheme="minorBidi"/>
          <w:sz w:val="22"/>
        </w:rPr>
      </w:pPr>
      <w:r w:rsidRPr="00ED652C">
        <w:rPr>
          <w:rFonts w:asciiTheme="minorBidi" w:hAnsiTheme="minorBidi"/>
          <w:b/>
          <w:bCs/>
          <w:sz w:val="32"/>
          <w:szCs w:val="32"/>
        </w:rPr>
        <w:t>Title:</w:t>
      </w:r>
      <w:r w:rsidRPr="00ED652C">
        <w:rPr>
          <w:rFonts w:asciiTheme="minorBidi" w:hAnsiTheme="minorBidi"/>
          <w:sz w:val="32"/>
          <w:szCs w:val="32"/>
        </w:rPr>
        <w:t xml:space="preserve"> </w:t>
      </w:r>
      <w:r w:rsidR="00CC2988" w:rsidRPr="00ED652C">
        <w:rPr>
          <w:rFonts w:asciiTheme="minorBidi" w:hAnsiTheme="minorBidi"/>
          <w:sz w:val="32"/>
          <w:szCs w:val="32"/>
        </w:rPr>
        <w:t>“Public Health Systems and Crisis Leadership During COVID-19: Evidence from Spain, South Korea and Canada”</w:t>
      </w:r>
    </w:p>
    <w:p w14:paraId="0FDB4DEF" w14:textId="77777777" w:rsidR="00ED652C" w:rsidRDefault="00ED652C" w:rsidP="00ED652C">
      <w:pPr>
        <w:jc w:val="center"/>
        <w:rPr>
          <w:rFonts w:asciiTheme="minorBidi" w:hAnsiTheme="minorBidi"/>
          <w:sz w:val="22"/>
        </w:rPr>
      </w:pPr>
    </w:p>
    <w:p w14:paraId="7CEB898E" w14:textId="77777777" w:rsidR="00ED652C" w:rsidRDefault="00ED652C" w:rsidP="00ED652C">
      <w:pPr>
        <w:jc w:val="center"/>
        <w:rPr>
          <w:rFonts w:asciiTheme="minorBidi" w:hAnsiTheme="minorBidi"/>
          <w:sz w:val="22"/>
        </w:rPr>
      </w:pPr>
    </w:p>
    <w:p w14:paraId="3DA3EE79" w14:textId="77777777" w:rsidR="00ED652C" w:rsidRDefault="00ED652C" w:rsidP="00ED652C">
      <w:pPr>
        <w:jc w:val="center"/>
        <w:rPr>
          <w:rFonts w:asciiTheme="minorBidi" w:hAnsiTheme="minorBidi"/>
          <w:sz w:val="22"/>
        </w:rPr>
      </w:pPr>
    </w:p>
    <w:p w14:paraId="0EDADC9C" w14:textId="77777777" w:rsidR="00ED652C" w:rsidRDefault="00ED652C" w:rsidP="00ED652C">
      <w:pPr>
        <w:jc w:val="center"/>
        <w:rPr>
          <w:rFonts w:asciiTheme="minorBidi" w:hAnsiTheme="minorBidi"/>
          <w:sz w:val="22"/>
        </w:rPr>
      </w:pPr>
    </w:p>
    <w:p w14:paraId="3982DBA8" w14:textId="4966A83B" w:rsidR="00ED652C" w:rsidRPr="00ED652C" w:rsidRDefault="00ED652C" w:rsidP="00ED652C">
      <w:pPr>
        <w:jc w:val="left"/>
        <w:rPr>
          <w:rFonts w:asciiTheme="minorBidi" w:hAnsiTheme="minorBidi"/>
          <w:i/>
          <w:iCs/>
          <w:sz w:val="22"/>
        </w:rPr>
      </w:pPr>
      <w:r w:rsidRPr="00ED652C">
        <w:rPr>
          <w:rFonts w:asciiTheme="minorBidi" w:hAnsiTheme="minorBidi"/>
          <w:i/>
          <w:iCs/>
          <w:sz w:val="22"/>
        </w:rPr>
        <w:t>Student Name:</w:t>
      </w:r>
      <w:r w:rsidR="00697445" w:rsidRPr="00697445">
        <w:t xml:space="preserve"> </w:t>
      </w:r>
      <w:r w:rsidR="00697445" w:rsidRPr="00697445">
        <w:rPr>
          <w:rFonts w:asciiTheme="minorBidi" w:hAnsiTheme="minorBidi"/>
          <w:i/>
          <w:iCs/>
          <w:sz w:val="22"/>
        </w:rPr>
        <w:t>MD PIYEL MIA</w:t>
      </w:r>
    </w:p>
    <w:p w14:paraId="47A47FDF" w14:textId="108E3ACC" w:rsidR="00DE54CF" w:rsidRDefault="00ED652C" w:rsidP="00ED652C">
      <w:pPr>
        <w:jc w:val="left"/>
        <w:rPr>
          <w:rFonts w:asciiTheme="minorBidi" w:hAnsiTheme="minorBidi"/>
          <w:i/>
          <w:iCs/>
          <w:sz w:val="22"/>
        </w:rPr>
      </w:pPr>
      <w:r w:rsidRPr="00ED652C">
        <w:rPr>
          <w:rFonts w:asciiTheme="minorBidi" w:hAnsiTheme="minorBidi"/>
          <w:i/>
          <w:iCs/>
          <w:sz w:val="22"/>
        </w:rPr>
        <w:t>Student ID:</w:t>
      </w:r>
      <w:r w:rsidR="00697445" w:rsidRPr="00697445">
        <w:t xml:space="preserve"> </w:t>
      </w:r>
      <w:r w:rsidR="00697445" w:rsidRPr="00697445">
        <w:rPr>
          <w:rFonts w:asciiTheme="minorBidi" w:hAnsiTheme="minorBidi"/>
          <w:i/>
          <w:iCs/>
          <w:sz w:val="22"/>
        </w:rPr>
        <w:t>2434371</w:t>
      </w:r>
    </w:p>
    <w:p w14:paraId="64D70E85" w14:textId="2C914AB5" w:rsidR="006D473A" w:rsidRDefault="006D473A" w:rsidP="00ED652C">
      <w:pPr>
        <w:jc w:val="left"/>
        <w:rPr>
          <w:rFonts w:asciiTheme="minorBidi" w:hAnsiTheme="minorBidi"/>
          <w:i/>
          <w:iCs/>
          <w:sz w:val="22"/>
        </w:rPr>
      </w:pPr>
      <w:r>
        <w:rPr>
          <w:rFonts w:asciiTheme="minorBidi" w:hAnsiTheme="minorBidi"/>
          <w:i/>
          <w:iCs/>
          <w:sz w:val="22"/>
        </w:rPr>
        <w:t>Lecture</w:t>
      </w:r>
      <w:r w:rsidR="00C63FAD">
        <w:rPr>
          <w:rFonts w:asciiTheme="minorBidi" w:hAnsiTheme="minorBidi"/>
          <w:i/>
          <w:iCs/>
          <w:sz w:val="22"/>
        </w:rPr>
        <w:t>r Name: Dr</w:t>
      </w:r>
      <w:r w:rsidR="00A66CE1">
        <w:rPr>
          <w:rFonts w:asciiTheme="minorBidi" w:hAnsiTheme="minorBidi"/>
          <w:i/>
          <w:iCs/>
          <w:sz w:val="22"/>
        </w:rPr>
        <w:t xml:space="preserve"> CHRISTOPHER MAFU</w:t>
      </w:r>
      <w:r w:rsidR="00192257">
        <w:rPr>
          <w:rFonts w:asciiTheme="minorBidi" w:hAnsiTheme="minorBidi"/>
          <w:i/>
          <w:iCs/>
          <w:sz w:val="22"/>
        </w:rPr>
        <w:t>VA</w:t>
      </w:r>
    </w:p>
    <w:p w14:paraId="4A277D14" w14:textId="77777777" w:rsidR="00DE54CF" w:rsidRDefault="00DE54CF">
      <w:pPr>
        <w:spacing w:line="259" w:lineRule="auto"/>
        <w:jc w:val="left"/>
        <w:rPr>
          <w:rFonts w:asciiTheme="minorBidi" w:hAnsiTheme="minorBidi"/>
          <w:i/>
          <w:iCs/>
          <w:sz w:val="22"/>
        </w:rPr>
      </w:pPr>
      <w:r>
        <w:rPr>
          <w:rFonts w:asciiTheme="minorBidi" w:hAnsiTheme="minorBidi"/>
          <w:i/>
          <w:iCs/>
          <w:sz w:val="22"/>
        </w:rPr>
        <w:br w:type="page"/>
      </w:r>
    </w:p>
    <w:p w14:paraId="5958563C" w14:textId="4572D3DA" w:rsidR="00DE54CF" w:rsidRPr="00934C23" w:rsidRDefault="00DE54CF" w:rsidP="00934C23">
      <w:pPr>
        <w:pStyle w:val="Heading1"/>
      </w:pPr>
      <w:bookmarkStart w:id="0" w:name="_Toc216139998"/>
      <w:r w:rsidRPr="00934C23">
        <w:lastRenderedPageBreak/>
        <w:t>Executive Summary</w:t>
      </w:r>
      <w:bookmarkEnd w:id="0"/>
      <w:r w:rsidRPr="00934C23">
        <w:t xml:space="preserve"> </w:t>
      </w:r>
    </w:p>
    <w:p w14:paraId="6E434A5A" w14:textId="39AF1B0E" w:rsidR="00667177" w:rsidRPr="00DE54CF" w:rsidRDefault="00DE54CF" w:rsidP="00DE54CF">
      <w:pPr>
        <w:rPr>
          <w:rFonts w:asciiTheme="minorBidi" w:hAnsiTheme="minorBidi"/>
          <w:sz w:val="22"/>
        </w:rPr>
      </w:pPr>
      <w:r w:rsidRPr="00DE54CF">
        <w:rPr>
          <w:rFonts w:asciiTheme="minorBidi" w:hAnsiTheme="minorBidi"/>
          <w:sz w:val="22"/>
        </w:rPr>
        <w:t>The report critically evaluate</w:t>
      </w:r>
      <w:r w:rsidR="00697445">
        <w:rPr>
          <w:rFonts w:asciiTheme="minorBidi" w:hAnsiTheme="minorBidi"/>
          <w:sz w:val="22"/>
        </w:rPr>
        <w:t>d</w:t>
      </w:r>
      <w:r w:rsidRPr="00DE54CF">
        <w:rPr>
          <w:rFonts w:asciiTheme="minorBidi" w:hAnsiTheme="minorBidi"/>
          <w:sz w:val="22"/>
        </w:rPr>
        <w:t xml:space="preserve"> the role of differences in health system organisation and leadership strategies in determining national responses to COVID-19 in Spain, South Korea and Canada. It is concerned with the consequences of centralised and decentralised systems of governance and how they interact with crisis leadership ability. The discussion show</w:t>
      </w:r>
      <w:r w:rsidR="00697445">
        <w:rPr>
          <w:rFonts w:asciiTheme="minorBidi" w:hAnsiTheme="minorBidi"/>
          <w:sz w:val="22"/>
        </w:rPr>
        <w:t xml:space="preserve">ed </w:t>
      </w:r>
      <w:r w:rsidRPr="00DE54CF">
        <w:rPr>
          <w:rFonts w:asciiTheme="minorBidi" w:hAnsiTheme="minorBidi"/>
          <w:sz w:val="22"/>
        </w:rPr>
        <w:t>that the high level of centralisation with the support of crisis, transformational and distributed leadership in South Korea made early containment fast, the people highly obeyed, and mortality low. The lack of coordinated crisis control in the early days was initially limited by the model of decentralisation in Spain, where the high early excess mortality was observed but later, with central coordination in the vaccination process, it was one of the most successful rollouts in Europe. The federal-decentralised system of Canada was less concerned with early containment and early vaccine acquisition momentum but, instead, emphasised collaborative and situational leadership, which favoured long-term service stability and recovery. Comprehensively, the results prove</w:t>
      </w:r>
      <w:r w:rsidR="00697445">
        <w:rPr>
          <w:rFonts w:asciiTheme="minorBidi" w:hAnsiTheme="minorBidi"/>
          <w:sz w:val="22"/>
        </w:rPr>
        <w:t>d</w:t>
      </w:r>
      <w:r w:rsidRPr="00DE54CF">
        <w:rPr>
          <w:rFonts w:asciiTheme="minorBidi" w:hAnsiTheme="minorBidi"/>
          <w:sz w:val="22"/>
        </w:rPr>
        <w:t xml:space="preserve"> that centralisation as well as decentralisation cannot be applied individually to ensure the best results. Instead, effective system resilience and future preparedness to a pandemic depends on adaptive leadership, legal preparedness and hybrid governance capability.</w:t>
      </w:r>
      <w:r w:rsidR="00667177" w:rsidRPr="00DE54CF">
        <w:rPr>
          <w:rFonts w:asciiTheme="minorBidi" w:hAnsiTheme="minorBidi"/>
          <w:sz w:val="22"/>
        </w:rPr>
        <w:br w:type="page"/>
      </w:r>
    </w:p>
    <w:sdt>
      <w:sdtPr>
        <w:rPr>
          <w:rFonts w:ascii="Times New Roman" w:eastAsiaTheme="minorHAnsi" w:hAnsi="Times New Roman" w:cstheme="minorBidi"/>
          <w:b w:val="0"/>
          <w:color w:val="auto"/>
          <w:kern w:val="2"/>
          <w:sz w:val="22"/>
          <w:szCs w:val="22"/>
          <w:lang w:val="en-GB"/>
          <w14:ligatures w14:val="standardContextual"/>
        </w:rPr>
        <w:id w:val="-1853644887"/>
        <w:docPartObj>
          <w:docPartGallery w:val="Table of Contents"/>
          <w:docPartUnique/>
        </w:docPartObj>
      </w:sdtPr>
      <w:sdtEndPr>
        <w:rPr>
          <w:rFonts w:asciiTheme="minorBidi" w:hAnsiTheme="minorBidi"/>
          <w:bCs/>
          <w:noProof/>
        </w:rPr>
      </w:sdtEndPr>
      <w:sdtContent>
        <w:p w14:paraId="62E9F079" w14:textId="60D79026" w:rsidR="00667177" w:rsidRPr="00DE54CF" w:rsidRDefault="00667177" w:rsidP="00934C23">
          <w:pPr>
            <w:pStyle w:val="TOCHeading"/>
            <w:rPr>
              <w:b w:val="0"/>
            </w:rPr>
          </w:pPr>
          <w:r w:rsidRPr="00DE54CF">
            <w:t>Table of Contents</w:t>
          </w:r>
        </w:p>
        <w:p w14:paraId="441552C0" w14:textId="6B0A86E9" w:rsidR="00934C23" w:rsidRDefault="00667177">
          <w:pPr>
            <w:pStyle w:val="TOC1"/>
            <w:tabs>
              <w:tab w:val="right" w:leader="dot" w:pos="9016"/>
            </w:tabs>
            <w:rPr>
              <w:rFonts w:asciiTheme="minorHAnsi" w:eastAsiaTheme="minorEastAsia" w:hAnsiTheme="minorHAnsi"/>
              <w:noProof/>
              <w:kern w:val="0"/>
              <w:sz w:val="22"/>
              <w:lang w:eastAsia="en-GB"/>
              <w14:ligatures w14:val="none"/>
            </w:rPr>
          </w:pPr>
          <w:r w:rsidRPr="00DE54CF">
            <w:rPr>
              <w:rFonts w:asciiTheme="minorBidi" w:hAnsiTheme="minorBidi"/>
              <w:sz w:val="22"/>
            </w:rPr>
            <w:fldChar w:fldCharType="begin"/>
          </w:r>
          <w:r w:rsidRPr="00DE54CF">
            <w:rPr>
              <w:rFonts w:asciiTheme="minorBidi" w:hAnsiTheme="minorBidi"/>
              <w:sz w:val="22"/>
            </w:rPr>
            <w:instrText xml:space="preserve"> TOC \o "1-3" \h \z \u </w:instrText>
          </w:r>
          <w:r w:rsidRPr="00DE54CF">
            <w:rPr>
              <w:rFonts w:asciiTheme="minorBidi" w:hAnsiTheme="minorBidi"/>
              <w:sz w:val="22"/>
            </w:rPr>
            <w:fldChar w:fldCharType="separate"/>
          </w:r>
          <w:hyperlink w:anchor="_Toc216139998" w:history="1">
            <w:r w:rsidR="00934C23" w:rsidRPr="00E23AF3">
              <w:rPr>
                <w:rStyle w:val="Hyperlink"/>
                <w:noProof/>
              </w:rPr>
              <w:t>Executive Summary</w:t>
            </w:r>
            <w:r w:rsidR="00934C23">
              <w:rPr>
                <w:noProof/>
                <w:webHidden/>
              </w:rPr>
              <w:tab/>
            </w:r>
            <w:r w:rsidR="00934C23">
              <w:rPr>
                <w:noProof/>
                <w:webHidden/>
              </w:rPr>
              <w:fldChar w:fldCharType="begin"/>
            </w:r>
            <w:r w:rsidR="00934C23">
              <w:rPr>
                <w:noProof/>
                <w:webHidden/>
              </w:rPr>
              <w:instrText xml:space="preserve"> PAGEREF _Toc216139998 \h </w:instrText>
            </w:r>
            <w:r w:rsidR="00934C23">
              <w:rPr>
                <w:noProof/>
                <w:webHidden/>
              </w:rPr>
            </w:r>
            <w:r w:rsidR="00934C23">
              <w:rPr>
                <w:noProof/>
                <w:webHidden/>
              </w:rPr>
              <w:fldChar w:fldCharType="separate"/>
            </w:r>
            <w:r w:rsidR="00934C23">
              <w:rPr>
                <w:noProof/>
                <w:webHidden/>
              </w:rPr>
              <w:t>2</w:t>
            </w:r>
            <w:r w:rsidR="00934C23">
              <w:rPr>
                <w:noProof/>
                <w:webHidden/>
              </w:rPr>
              <w:fldChar w:fldCharType="end"/>
            </w:r>
          </w:hyperlink>
        </w:p>
        <w:p w14:paraId="01145CEE" w14:textId="668A181A" w:rsidR="00934C23" w:rsidRDefault="00C00D01">
          <w:pPr>
            <w:pStyle w:val="TOC1"/>
            <w:tabs>
              <w:tab w:val="right" w:leader="dot" w:pos="9016"/>
            </w:tabs>
            <w:rPr>
              <w:rFonts w:asciiTheme="minorHAnsi" w:eastAsiaTheme="minorEastAsia" w:hAnsiTheme="minorHAnsi"/>
              <w:noProof/>
              <w:kern w:val="0"/>
              <w:sz w:val="22"/>
              <w:lang w:eastAsia="en-GB"/>
              <w14:ligatures w14:val="none"/>
            </w:rPr>
          </w:pPr>
          <w:hyperlink w:anchor="_Toc216139999" w:history="1">
            <w:r w:rsidR="00934C23" w:rsidRPr="00E23AF3">
              <w:rPr>
                <w:rStyle w:val="Hyperlink"/>
                <w:noProof/>
              </w:rPr>
              <w:t>1. Introduction</w:t>
            </w:r>
            <w:r w:rsidR="00934C23">
              <w:rPr>
                <w:noProof/>
                <w:webHidden/>
              </w:rPr>
              <w:tab/>
            </w:r>
            <w:r w:rsidR="00934C23">
              <w:rPr>
                <w:noProof/>
                <w:webHidden/>
              </w:rPr>
              <w:fldChar w:fldCharType="begin"/>
            </w:r>
            <w:r w:rsidR="00934C23">
              <w:rPr>
                <w:noProof/>
                <w:webHidden/>
              </w:rPr>
              <w:instrText xml:space="preserve"> PAGEREF _Toc216139999 \h </w:instrText>
            </w:r>
            <w:r w:rsidR="00934C23">
              <w:rPr>
                <w:noProof/>
                <w:webHidden/>
              </w:rPr>
            </w:r>
            <w:r w:rsidR="00934C23">
              <w:rPr>
                <w:noProof/>
                <w:webHidden/>
              </w:rPr>
              <w:fldChar w:fldCharType="separate"/>
            </w:r>
            <w:r w:rsidR="00934C23">
              <w:rPr>
                <w:noProof/>
                <w:webHidden/>
              </w:rPr>
              <w:t>6</w:t>
            </w:r>
            <w:r w:rsidR="00934C23">
              <w:rPr>
                <w:noProof/>
                <w:webHidden/>
              </w:rPr>
              <w:fldChar w:fldCharType="end"/>
            </w:r>
          </w:hyperlink>
        </w:p>
        <w:p w14:paraId="053DCD63" w14:textId="13664ED9" w:rsidR="00934C23" w:rsidRDefault="00C00D01">
          <w:pPr>
            <w:pStyle w:val="TOC2"/>
            <w:tabs>
              <w:tab w:val="right" w:leader="dot" w:pos="9016"/>
            </w:tabs>
            <w:rPr>
              <w:rFonts w:asciiTheme="minorHAnsi" w:eastAsiaTheme="minorEastAsia" w:hAnsiTheme="minorHAnsi"/>
              <w:noProof/>
              <w:kern w:val="0"/>
              <w:sz w:val="22"/>
              <w:lang w:eastAsia="en-GB"/>
              <w14:ligatures w14:val="none"/>
            </w:rPr>
          </w:pPr>
          <w:hyperlink w:anchor="_Toc216140000" w:history="1">
            <w:r w:rsidR="00934C23" w:rsidRPr="00E23AF3">
              <w:rPr>
                <w:rStyle w:val="Hyperlink"/>
                <w:rFonts w:asciiTheme="minorBidi" w:hAnsiTheme="minorBidi"/>
                <w:noProof/>
              </w:rPr>
              <w:t>1.1 Global Context of the COVID-19 Pandemic</w:t>
            </w:r>
            <w:r w:rsidR="00934C23">
              <w:rPr>
                <w:noProof/>
                <w:webHidden/>
              </w:rPr>
              <w:tab/>
            </w:r>
            <w:r w:rsidR="00934C23">
              <w:rPr>
                <w:noProof/>
                <w:webHidden/>
              </w:rPr>
              <w:fldChar w:fldCharType="begin"/>
            </w:r>
            <w:r w:rsidR="00934C23">
              <w:rPr>
                <w:noProof/>
                <w:webHidden/>
              </w:rPr>
              <w:instrText xml:space="preserve"> PAGEREF _Toc216140000 \h </w:instrText>
            </w:r>
            <w:r w:rsidR="00934C23">
              <w:rPr>
                <w:noProof/>
                <w:webHidden/>
              </w:rPr>
            </w:r>
            <w:r w:rsidR="00934C23">
              <w:rPr>
                <w:noProof/>
                <w:webHidden/>
              </w:rPr>
              <w:fldChar w:fldCharType="separate"/>
            </w:r>
            <w:r w:rsidR="00934C23">
              <w:rPr>
                <w:noProof/>
                <w:webHidden/>
              </w:rPr>
              <w:t>6</w:t>
            </w:r>
            <w:r w:rsidR="00934C23">
              <w:rPr>
                <w:noProof/>
                <w:webHidden/>
              </w:rPr>
              <w:fldChar w:fldCharType="end"/>
            </w:r>
          </w:hyperlink>
        </w:p>
        <w:p w14:paraId="2EFD07EA" w14:textId="507BCD4A" w:rsidR="00934C23" w:rsidRDefault="00C00D01">
          <w:pPr>
            <w:pStyle w:val="TOC2"/>
            <w:tabs>
              <w:tab w:val="right" w:leader="dot" w:pos="9016"/>
            </w:tabs>
            <w:rPr>
              <w:rFonts w:asciiTheme="minorHAnsi" w:eastAsiaTheme="minorEastAsia" w:hAnsiTheme="minorHAnsi"/>
              <w:noProof/>
              <w:kern w:val="0"/>
              <w:sz w:val="22"/>
              <w:lang w:eastAsia="en-GB"/>
              <w14:ligatures w14:val="none"/>
            </w:rPr>
          </w:pPr>
          <w:hyperlink w:anchor="_Toc216140001" w:history="1">
            <w:r w:rsidR="00934C23" w:rsidRPr="00E23AF3">
              <w:rPr>
                <w:rStyle w:val="Hyperlink"/>
                <w:rFonts w:asciiTheme="minorBidi" w:hAnsiTheme="minorBidi"/>
                <w:noProof/>
              </w:rPr>
              <w:t>1.2 Reason and extend of the Comparative Analysis.</w:t>
            </w:r>
            <w:r w:rsidR="00934C23">
              <w:rPr>
                <w:noProof/>
                <w:webHidden/>
              </w:rPr>
              <w:tab/>
            </w:r>
            <w:r w:rsidR="00934C23">
              <w:rPr>
                <w:noProof/>
                <w:webHidden/>
              </w:rPr>
              <w:fldChar w:fldCharType="begin"/>
            </w:r>
            <w:r w:rsidR="00934C23">
              <w:rPr>
                <w:noProof/>
                <w:webHidden/>
              </w:rPr>
              <w:instrText xml:space="preserve"> PAGEREF _Toc216140001 \h </w:instrText>
            </w:r>
            <w:r w:rsidR="00934C23">
              <w:rPr>
                <w:noProof/>
                <w:webHidden/>
              </w:rPr>
            </w:r>
            <w:r w:rsidR="00934C23">
              <w:rPr>
                <w:noProof/>
                <w:webHidden/>
              </w:rPr>
              <w:fldChar w:fldCharType="separate"/>
            </w:r>
            <w:r w:rsidR="00934C23">
              <w:rPr>
                <w:noProof/>
                <w:webHidden/>
              </w:rPr>
              <w:t>6</w:t>
            </w:r>
            <w:r w:rsidR="00934C23">
              <w:rPr>
                <w:noProof/>
                <w:webHidden/>
              </w:rPr>
              <w:fldChar w:fldCharType="end"/>
            </w:r>
          </w:hyperlink>
        </w:p>
        <w:p w14:paraId="3C255CC7" w14:textId="2337667B" w:rsidR="00934C23" w:rsidRDefault="00C00D01">
          <w:pPr>
            <w:pStyle w:val="TOC2"/>
            <w:tabs>
              <w:tab w:val="right" w:leader="dot" w:pos="9016"/>
            </w:tabs>
            <w:rPr>
              <w:rFonts w:asciiTheme="minorHAnsi" w:eastAsiaTheme="minorEastAsia" w:hAnsiTheme="minorHAnsi"/>
              <w:noProof/>
              <w:kern w:val="0"/>
              <w:sz w:val="22"/>
              <w:lang w:eastAsia="en-GB"/>
              <w14:ligatures w14:val="none"/>
            </w:rPr>
          </w:pPr>
          <w:hyperlink w:anchor="_Toc216140002" w:history="1">
            <w:r w:rsidR="00934C23" w:rsidRPr="00E23AF3">
              <w:rPr>
                <w:rStyle w:val="Hyperlink"/>
                <w:rFonts w:asciiTheme="minorBidi" w:hAnsiTheme="minorBidi"/>
                <w:noProof/>
              </w:rPr>
              <w:t>1.3 Centralisation vs Decentralisation of Pandemic Response.</w:t>
            </w:r>
            <w:r w:rsidR="00934C23">
              <w:rPr>
                <w:noProof/>
                <w:webHidden/>
              </w:rPr>
              <w:tab/>
            </w:r>
            <w:r w:rsidR="00934C23">
              <w:rPr>
                <w:noProof/>
                <w:webHidden/>
              </w:rPr>
              <w:fldChar w:fldCharType="begin"/>
            </w:r>
            <w:r w:rsidR="00934C23">
              <w:rPr>
                <w:noProof/>
                <w:webHidden/>
              </w:rPr>
              <w:instrText xml:space="preserve"> PAGEREF _Toc216140002 \h </w:instrText>
            </w:r>
            <w:r w:rsidR="00934C23">
              <w:rPr>
                <w:noProof/>
                <w:webHidden/>
              </w:rPr>
            </w:r>
            <w:r w:rsidR="00934C23">
              <w:rPr>
                <w:noProof/>
                <w:webHidden/>
              </w:rPr>
              <w:fldChar w:fldCharType="separate"/>
            </w:r>
            <w:r w:rsidR="00934C23">
              <w:rPr>
                <w:noProof/>
                <w:webHidden/>
              </w:rPr>
              <w:t>6</w:t>
            </w:r>
            <w:r w:rsidR="00934C23">
              <w:rPr>
                <w:noProof/>
                <w:webHidden/>
              </w:rPr>
              <w:fldChar w:fldCharType="end"/>
            </w:r>
          </w:hyperlink>
        </w:p>
        <w:p w14:paraId="006524C3" w14:textId="31473517" w:rsidR="00934C23" w:rsidRDefault="00C00D01">
          <w:pPr>
            <w:pStyle w:val="TOC2"/>
            <w:tabs>
              <w:tab w:val="right" w:leader="dot" w:pos="9016"/>
            </w:tabs>
            <w:rPr>
              <w:rFonts w:asciiTheme="minorHAnsi" w:eastAsiaTheme="minorEastAsia" w:hAnsiTheme="minorHAnsi"/>
              <w:noProof/>
              <w:kern w:val="0"/>
              <w:sz w:val="22"/>
              <w:lang w:eastAsia="en-GB"/>
              <w14:ligatures w14:val="none"/>
            </w:rPr>
          </w:pPr>
          <w:hyperlink w:anchor="_Toc216140003" w:history="1">
            <w:r w:rsidR="00934C23" w:rsidRPr="00E23AF3">
              <w:rPr>
                <w:rStyle w:val="Hyperlink"/>
                <w:rFonts w:asciiTheme="minorBidi" w:hAnsiTheme="minorBidi"/>
                <w:noProof/>
              </w:rPr>
              <w:t>1.4 The role of Leadership in Health System Crisis management.</w:t>
            </w:r>
            <w:r w:rsidR="00934C23">
              <w:rPr>
                <w:noProof/>
                <w:webHidden/>
              </w:rPr>
              <w:tab/>
            </w:r>
            <w:r w:rsidR="00934C23">
              <w:rPr>
                <w:noProof/>
                <w:webHidden/>
              </w:rPr>
              <w:fldChar w:fldCharType="begin"/>
            </w:r>
            <w:r w:rsidR="00934C23">
              <w:rPr>
                <w:noProof/>
                <w:webHidden/>
              </w:rPr>
              <w:instrText xml:space="preserve"> PAGEREF _Toc216140003 \h </w:instrText>
            </w:r>
            <w:r w:rsidR="00934C23">
              <w:rPr>
                <w:noProof/>
                <w:webHidden/>
              </w:rPr>
            </w:r>
            <w:r w:rsidR="00934C23">
              <w:rPr>
                <w:noProof/>
                <w:webHidden/>
              </w:rPr>
              <w:fldChar w:fldCharType="separate"/>
            </w:r>
            <w:r w:rsidR="00934C23">
              <w:rPr>
                <w:noProof/>
                <w:webHidden/>
              </w:rPr>
              <w:t>6</w:t>
            </w:r>
            <w:r w:rsidR="00934C23">
              <w:rPr>
                <w:noProof/>
                <w:webHidden/>
              </w:rPr>
              <w:fldChar w:fldCharType="end"/>
            </w:r>
          </w:hyperlink>
        </w:p>
        <w:p w14:paraId="433FFC32" w14:textId="01D1DF24" w:rsidR="00934C23" w:rsidRDefault="00C00D01">
          <w:pPr>
            <w:pStyle w:val="TOC1"/>
            <w:tabs>
              <w:tab w:val="right" w:leader="dot" w:pos="9016"/>
            </w:tabs>
            <w:rPr>
              <w:rFonts w:asciiTheme="minorHAnsi" w:eastAsiaTheme="minorEastAsia" w:hAnsiTheme="minorHAnsi"/>
              <w:noProof/>
              <w:kern w:val="0"/>
              <w:sz w:val="22"/>
              <w:lang w:eastAsia="en-GB"/>
              <w14:ligatures w14:val="none"/>
            </w:rPr>
          </w:pPr>
          <w:hyperlink w:anchor="_Toc216140004" w:history="1">
            <w:r w:rsidR="00934C23" w:rsidRPr="00E23AF3">
              <w:rPr>
                <w:rStyle w:val="Hyperlink"/>
                <w:noProof/>
              </w:rPr>
              <w:t>2. Critical Review of Centralised and Decentralised Health System Response to COVID-19.</w:t>
            </w:r>
            <w:r w:rsidR="00934C23">
              <w:rPr>
                <w:noProof/>
                <w:webHidden/>
              </w:rPr>
              <w:tab/>
            </w:r>
            <w:r w:rsidR="00934C23">
              <w:rPr>
                <w:noProof/>
                <w:webHidden/>
              </w:rPr>
              <w:fldChar w:fldCharType="begin"/>
            </w:r>
            <w:r w:rsidR="00934C23">
              <w:rPr>
                <w:noProof/>
                <w:webHidden/>
              </w:rPr>
              <w:instrText xml:space="preserve"> PAGEREF _Toc216140004 \h </w:instrText>
            </w:r>
            <w:r w:rsidR="00934C23">
              <w:rPr>
                <w:noProof/>
                <w:webHidden/>
              </w:rPr>
            </w:r>
            <w:r w:rsidR="00934C23">
              <w:rPr>
                <w:noProof/>
                <w:webHidden/>
              </w:rPr>
              <w:fldChar w:fldCharType="separate"/>
            </w:r>
            <w:r w:rsidR="00934C23">
              <w:rPr>
                <w:noProof/>
                <w:webHidden/>
              </w:rPr>
              <w:t>7</w:t>
            </w:r>
            <w:r w:rsidR="00934C23">
              <w:rPr>
                <w:noProof/>
                <w:webHidden/>
              </w:rPr>
              <w:fldChar w:fldCharType="end"/>
            </w:r>
          </w:hyperlink>
        </w:p>
        <w:p w14:paraId="08BADC37" w14:textId="4BA73A46" w:rsidR="00934C23" w:rsidRDefault="00C00D01">
          <w:pPr>
            <w:pStyle w:val="TOC2"/>
            <w:tabs>
              <w:tab w:val="right" w:leader="dot" w:pos="9016"/>
            </w:tabs>
            <w:rPr>
              <w:rFonts w:asciiTheme="minorHAnsi" w:eastAsiaTheme="minorEastAsia" w:hAnsiTheme="minorHAnsi"/>
              <w:noProof/>
              <w:kern w:val="0"/>
              <w:sz w:val="22"/>
              <w:lang w:eastAsia="en-GB"/>
              <w14:ligatures w14:val="none"/>
            </w:rPr>
          </w:pPr>
          <w:hyperlink w:anchor="_Toc216140005" w:history="1">
            <w:r w:rsidR="00934C23" w:rsidRPr="00E23AF3">
              <w:rPr>
                <w:rStyle w:val="Hyperlink"/>
                <w:rFonts w:asciiTheme="minorBidi" w:hAnsiTheme="minorBidi"/>
                <w:noProof/>
              </w:rPr>
              <w:t>2.1 Spain: A Mainly Decentralised Response to Health System.</w:t>
            </w:r>
            <w:r w:rsidR="00934C23">
              <w:rPr>
                <w:noProof/>
                <w:webHidden/>
              </w:rPr>
              <w:tab/>
            </w:r>
            <w:r w:rsidR="00934C23">
              <w:rPr>
                <w:noProof/>
                <w:webHidden/>
              </w:rPr>
              <w:fldChar w:fldCharType="begin"/>
            </w:r>
            <w:r w:rsidR="00934C23">
              <w:rPr>
                <w:noProof/>
                <w:webHidden/>
              </w:rPr>
              <w:instrText xml:space="preserve"> PAGEREF _Toc216140005 \h </w:instrText>
            </w:r>
            <w:r w:rsidR="00934C23">
              <w:rPr>
                <w:noProof/>
                <w:webHidden/>
              </w:rPr>
            </w:r>
            <w:r w:rsidR="00934C23">
              <w:rPr>
                <w:noProof/>
                <w:webHidden/>
              </w:rPr>
              <w:fldChar w:fldCharType="separate"/>
            </w:r>
            <w:r w:rsidR="00934C23">
              <w:rPr>
                <w:noProof/>
                <w:webHidden/>
              </w:rPr>
              <w:t>7</w:t>
            </w:r>
            <w:r w:rsidR="00934C23">
              <w:rPr>
                <w:noProof/>
                <w:webHidden/>
              </w:rPr>
              <w:fldChar w:fldCharType="end"/>
            </w:r>
          </w:hyperlink>
        </w:p>
        <w:p w14:paraId="039EE7E0" w14:textId="5C08B282" w:rsidR="00934C23" w:rsidRDefault="00C00D01">
          <w:pPr>
            <w:pStyle w:val="TOC3"/>
            <w:tabs>
              <w:tab w:val="right" w:leader="dot" w:pos="9016"/>
            </w:tabs>
            <w:rPr>
              <w:rFonts w:asciiTheme="minorHAnsi" w:eastAsiaTheme="minorEastAsia" w:hAnsiTheme="minorHAnsi"/>
              <w:noProof/>
              <w:kern w:val="0"/>
              <w:sz w:val="22"/>
              <w:lang w:eastAsia="en-GB"/>
              <w14:ligatures w14:val="none"/>
            </w:rPr>
          </w:pPr>
          <w:hyperlink w:anchor="_Toc216140006" w:history="1">
            <w:r w:rsidR="00934C23" w:rsidRPr="00E23AF3">
              <w:rPr>
                <w:rStyle w:val="Hyperlink"/>
                <w:rFonts w:asciiTheme="minorBidi" w:hAnsiTheme="minorBidi"/>
                <w:noProof/>
              </w:rPr>
              <w:t>2.1.1 Spanish Healthcare System structure.</w:t>
            </w:r>
            <w:r w:rsidR="00934C23">
              <w:rPr>
                <w:noProof/>
                <w:webHidden/>
              </w:rPr>
              <w:tab/>
            </w:r>
            <w:r w:rsidR="00934C23">
              <w:rPr>
                <w:noProof/>
                <w:webHidden/>
              </w:rPr>
              <w:fldChar w:fldCharType="begin"/>
            </w:r>
            <w:r w:rsidR="00934C23">
              <w:rPr>
                <w:noProof/>
                <w:webHidden/>
              </w:rPr>
              <w:instrText xml:space="preserve"> PAGEREF _Toc216140006 \h </w:instrText>
            </w:r>
            <w:r w:rsidR="00934C23">
              <w:rPr>
                <w:noProof/>
                <w:webHidden/>
              </w:rPr>
            </w:r>
            <w:r w:rsidR="00934C23">
              <w:rPr>
                <w:noProof/>
                <w:webHidden/>
              </w:rPr>
              <w:fldChar w:fldCharType="separate"/>
            </w:r>
            <w:r w:rsidR="00934C23">
              <w:rPr>
                <w:noProof/>
                <w:webHidden/>
              </w:rPr>
              <w:t>7</w:t>
            </w:r>
            <w:r w:rsidR="00934C23">
              <w:rPr>
                <w:noProof/>
                <w:webHidden/>
              </w:rPr>
              <w:fldChar w:fldCharType="end"/>
            </w:r>
          </w:hyperlink>
        </w:p>
        <w:p w14:paraId="02323134" w14:textId="0A8303CE" w:rsidR="00934C23" w:rsidRDefault="00C00D01">
          <w:pPr>
            <w:pStyle w:val="TOC3"/>
            <w:tabs>
              <w:tab w:val="right" w:leader="dot" w:pos="9016"/>
            </w:tabs>
            <w:rPr>
              <w:rFonts w:asciiTheme="minorHAnsi" w:eastAsiaTheme="minorEastAsia" w:hAnsiTheme="minorHAnsi"/>
              <w:noProof/>
              <w:kern w:val="0"/>
              <w:sz w:val="22"/>
              <w:lang w:eastAsia="en-GB"/>
              <w14:ligatures w14:val="none"/>
            </w:rPr>
          </w:pPr>
          <w:hyperlink w:anchor="_Toc216140007" w:history="1">
            <w:r w:rsidR="00934C23" w:rsidRPr="00E23AF3">
              <w:rPr>
                <w:rStyle w:val="Hyperlink"/>
                <w:rFonts w:asciiTheme="minorBidi" w:hAnsiTheme="minorBidi"/>
                <w:noProof/>
              </w:rPr>
              <w:t>2.1.2 Decentralised and Centralised Decision-Making in the COVID-19.</w:t>
            </w:r>
            <w:r w:rsidR="00934C23">
              <w:rPr>
                <w:noProof/>
                <w:webHidden/>
              </w:rPr>
              <w:tab/>
            </w:r>
            <w:r w:rsidR="00934C23">
              <w:rPr>
                <w:noProof/>
                <w:webHidden/>
              </w:rPr>
              <w:fldChar w:fldCharType="begin"/>
            </w:r>
            <w:r w:rsidR="00934C23">
              <w:rPr>
                <w:noProof/>
                <w:webHidden/>
              </w:rPr>
              <w:instrText xml:space="preserve"> PAGEREF _Toc216140007 \h </w:instrText>
            </w:r>
            <w:r w:rsidR="00934C23">
              <w:rPr>
                <w:noProof/>
                <w:webHidden/>
              </w:rPr>
            </w:r>
            <w:r w:rsidR="00934C23">
              <w:rPr>
                <w:noProof/>
                <w:webHidden/>
              </w:rPr>
              <w:fldChar w:fldCharType="separate"/>
            </w:r>
            <w:r w:rsidR="00934C23">
              <w:rPr>
                <w:noProof/>
                <w:webHidden/>
              </w:rPr>
              <w:t>7</w:t>
            </w:r>
            <w:r w:rsidR="00934C23">
              <w:rPr>
                <w:noProof/>
                <w:webHidden/>
              </w:rPr>
              <w:fldChar w:fldCharType="end"/>
            </w:r>
          </w:hyperlink>
        </w:p>
        <w:p w14:paraId="5A964D8A" w14:textId="2AEDC8B9" w:rsidR="00934C23" w:rsidRDefault="00C00D01">
          <w:pPr>
            <w:pStyle w:val="TOC3"/>
            <w:tabs>
              <w:tab w:val="right" w:leader="dot" w:pos="9016"/>
            </w:tabs>
            <w:rPr>
              <w:rFonts w:asciiTheme="minorHAnsi" w:eastAsiaTheme="minorEastAsia" w:hAnsiTheme="minorHAnsi"/>
              <w:noProof/>
              <w:kern w:val="0"/>
              <w:sz w:val="22"/>
              <w:lang w:eastAsia="en-GB"/>
              <w14:ligatures w14:val="none"/>
            </w:rPr>
          </w:pPr>
          <w:hyperlink w:anchor="_Toc216140008" w:history="1">
            <w:r w:rsidR="00934C23" w:rsidRPr="00E23AF3">
              <w:rPr>
                <w:rStyle w:val="Hyperlink"/>
                <w:rFonts w:ascii="Arial" w:hAnsi="Arial" w:cs="Arial"/>
                <w:noProof/>
              </w:rPr>
              <w:t>2.1.3 Benefits of the Systems approach in Spain.</w:t>
            </w:r>
            <w:r w:rsidR="00934C23">
              <w:rPr>
                <w:noProof/>
                <w:webHidden/>
              </w:rPr>
              <w:tab/>
            </w:r>
            <w:r w:rsidR="00934C23">
              <w:rPr>
                <w:noProof/>
                <w:webHidden/>
              </w:rPr>
              <w:fldChar w:fldCharType="begin"/>
            </w:r>
            <w:r w:rsidR="00934C23">
              <w:rPr>
                <w:noProof/>
                <w:webHidden/>
              </w:rPr>
              <w:instrText xml:space="preserve"> PAGEREF _Toc216140008 \h </w:instrText>
            </w:r>
            <w:r w:rsidR="00934C23">
              <w:rPr>
                <w:noProof/>
                <w:webHidden/>
              </w:rPr>
            </w:r>
            <w:r w:rsidR="00934C23">
              <w:rPr>
                <w:noProof/>
                <w:webHidden/>
              </w:rPr>
              <w:fldChar w:fldCharType="separate"/>
            </w:r>
            <w:r w:rsidR="00934C23">
              <w:rPr>
                <w:noProof/>
                <w:webHidden/>
              </w:rPr>
              <w:t>8</w:t>
            </w:r>
            <w:r w:rsidR="00934C23">
              <w:rPr>
                <w:noProof/>
                <w:webHidden/>
              </w:rPr>
              <w:fldChar w:fldCharType="end"/>
            </w:r>
          </w:hyperlink>
        </w:p>
        <w:p w14:paraId="53298312" w14:textId="7E812E61" w:rsidR="00934C23" w:rsidRDefault="00C00D01">
          <w:pPr>
            <w:pStyle w:val="TOC3"/>
            <w:tabs>
              <w:tab w:val="right" w:leader="dot" w:pos="9016"/>
            </w:tabs>
            <w:rPr>
              <w:rFonts w:asciiTheme="minorHAnsi" w:eastAsiaTheme="minorEastAsia" w:hAnsiTheme="minorHAnsi"/>
              <w:noProof/>
              <w:kern w:val="0"/>
              <w:sz w:val="22"/>
              <w:lang w:eastAsia="en-GB"/>
              <w14:ligatures w14:val="none"/>
            </w:rPr>
          </w:pPr>
          <w:hyperlink w:anchor="_Toc216140009" w:history="1">
            <w:r w:rsidR="00934C23" w:rsidRPr="00E23AF3">
              <w:rPr>
                <w:rStyle w:val="Hyperlink"/>
                <w:rFonts w:asciiTheme="minorBidi" w:hAnsiTheme="minorBidi"/>
                <w:noProof/>
              </w:rPr>
              <w:t>2.1.4 Weaknesses and Problems of the Spanish Response.</w:t>
            </w:r>
            <w:r w:rsidR="00934C23">
              <w:rPr>
                <w:noProof/>
                <w:webHidden/>
              </w:rPr>
              <w:tab/>
            </w:r>
            <w:r w:rsidR="00934C23">
              <w:rPr>
                <w:noProof/>
                <w:webHidden/>
              </w:rPr>
              <w:fldChar w:fldCharType="begin"/>
            </w:r>
            <w:r w:rsidR="00934C23">
              <w:rPr>
                <w:noProof/>
                <w:webHidden/>
              </w:rPr>
              <w:instrText xml:space="preserve"> PAGEREF _Toc216140009 \h </w:instrText>
            </w:r>
            <w:r w:rsidR="00934C23">
              <w:rPr>
                <w:noProof/>
                <w:webHidden/>
              </w:rPr>
            </w:r>
            <w:r w:rsidR="00934C23">
              <w:rPr>
                <w:noProof/>
                <w:webHidden/>
              </w:rPr>
              <w:fldChar w:fldCharType="separate"/>
            </w:r>
            <w:r w:rsidR="00934C23">
              <w:rPr>
                <w:noProof/>
                <w:webHidden/>
              </w:rPr>
              <w:t>8</w:t>
            </w:r>
            <w:r w:rsidR="00934C23">
              <w:rPr>
                <w:noProof/>
                <w:webHidden/>
              </w:rPr>
              <w:fldChar w:fldCharType="end"/>
            </w:r>
          </w:hyperlink>
        </w:p>
        <w:p w14:paraId="7A963582" w14:textId="523BBBB3" w:rsidR="00934C23" w:rsidRDefault="00C00D01">
          <w:pPr>
            <w:pStyle w:val="TOC3"/>
            <w:tabs>
              <w:tab w:val="right" w:leader="dot" w:pos="9016"/>
            </w:tabs>
            <w:rPr>
              <w:rFonts w:asciiTheme="minorHAnsi" w:eastAsiaTheme="minorEastAsia" w:hAnsiTheme="minorHAnsi"/>
              <w:noProof/>
              <w:kern w:val="0"/>
              <w:sz w:val="22"/>
              <w:lang w:eastAsia="en-GB"/>
              <w14:ligatures w14:val="none"/>
            </w:rPr>
          </w:pPr>
          <w:hyperlink w:anchor="_Toc216140010" w:history="1">
            <w:r w:rsidR="00934C23" w:rsidRPr="00E23AF3">
              <w:rPr>
                <w:rStyle w:val="Hyperlink"/>
                <w:rFonts w:asciiTheme="minorBidi" w:hAnsiTheme="minorBidi"/>
                <w:noProof/>
              </w:rPr>
              <w:t>2.1.5 Effect on Health Results and Vaccination Performance.</w:t>
            </w:r>
            <w:r w:rsidR="00934C23">
              <w:rPr>
                <w:noProof/>
                <w:webHidden/>
              </w:rPr>
              <w:tab/>
            </w:r>
            <w:r w:rsidR="00934C23">
              <w:rPr>
                <w:noProof/>
                <w:webHidden/>
              </w:rPr>
              <w:fldChar w:fldCharType="begin"/>
            </w:r>
            <w:r w:rsidR="00934C23">
              <w:rPr>
                <w:noProof/>
                <w:webHidden/>
              </w:rPr>
              <w:instrText xml:space="preserve"> PAGEREF _Toc216140010 \h </w:instrText>
            </w:r>
            <w:r w:rsidR="00934C23">
              <w:rPr>
                <w:noProof/>
                <w:webHidden/>
              </w:rPr>
            </w:r>
            <w:r w:rsidR="00934C23">
              <w:rPr>
                <w:noProof/>
                <w:webHidden/>
              </w:rPr>
              <w:fldChar w:fldCharType="separate"/>
            </w:r>
            <w:r w:rsidR="00934C23">
              <w:rPr>
                <w:noProof/>
                <w:webHidden/>
              </w:rPr>
              <w:t>9</w:t>
            </w:r>
            <w:r w:rsidR="00934C23">
              <w:rPr>
                <w:noProof/>
                <w:webHidden/>
              </w:rPr>
              <w:fldChar w:fldCharType="end"/>
            </w:r>
          </w:hyperlink>
        </w:p>
        <w:p w14:paraId="6F8FB29C" w14:textId="0180BCCC" w:rsidR="00934C23" w:rsidRDefault="00C00D01">
          <w:pPr>
            <w:pStyle w:val="TOC2"/>
            <w:tabs>
              <w:tab w:val="right" w:leader="dot" w:pos="9016"/>
            </w:tabs>
            <w:rPr>
              <w:rFonts w:asciiTheme="minorHAnsi" w:eastAsiaTheme="minorEastAsia" w:hAnsiTheme="minorHAnsi"/>
              <w:noProof/>
              <w:kern w:val="0"/>
              <w:sz w:val="22"/>
              <w:lang w:eastAsia="en-GB"/>
              <w14:ligatures w14:val="none"/>
            </w:rPr>
          </w:pPr>
          <w:hyperlink w:anchor="_Toc216140011" w:history="1">
            <w:r w:rsidR="00934C23" w:rsidRPr="00E23AF3">
              <w:rPr>
                <w:rStyle w:val="Hyperlink"/>
                <w:rFonts w:asciiTheme="minorBidi" w:hAnsiTheme="minorBidi"/>
                <w:noProof/>
              </w:rPr>
              <w:t>2.2 South Korea: A Highly Centralised and Technologically Driven Response</w:t>
            </w:r>
            <w:r w:rsidR="00934C23">
              <w:rPr>
                <w:noProof/>
                <w:webHidden/>
              </w:rPr>
              <w:tab/>
            </w:r>
            <w:r w:rsidR="00934C23">
              <w:rPr>
                <w:noProof/>
                <w:webHidden/>
              </w:rPr>
              <w:fldChar w:fldCharType="begin"/>
            </w:r>
            <w:r w:rsidR="00934C23">
              <w:rPr>
                <w:noProof/>
                <w:webHidden/>
              </w:rPr>
              <w:instrText xml:space="preserve"> PAGEREF _Toc216140011 \h </w:instrText>
            </w:r>
            <w:r w:rsidR="00934C23">
              <w:rPr>
                <w:noProof/>
                <w:webHidden/>
              </w:rPr>
            </w:r>
            <w:r w:rsidR="00934C23">
              <w:rPr>
                <w:noProof/>
                <w:webHidden/>
              </w:rPr>
              <w:fldChar w:fldCharType="separate"/>
            </w:r>
            <w:r w:rsidR="00934C23">
              <w:rPr>
                <w:noProof/>
                <w:webHidden/>
              </w:rPr>
              <w:t>10</w:t>
            </w:r>
            <w:r w:rsidR="00934C23">
              <w:rPr>
                <w:noProof/>
                <w:webHidden/>
              </w:rPr>
              <w:fldChar w:fldCharType="end"/>
            </w:r>
          </w:hyperlink>
        </w:p>
        <w:p w14:paraId="76C40A92" w14:textId="7EFBCCB0" w:rsidR="00934C23" w:rsidRDefault="00C00D01">
          <w:pPr>
            <w:pStyle w:val="TOC3"/>
            <w:tabs>
              <w:tab w:val="right" w:leader="dot" w:pos="9016"/>
            </w:tabs>
            <w:rPr>
              <w:rFonts w:asciiTheme="minorHAnsi" w:eastAsiaTheme="minorEastAsia" w:hAnsiTheme="minorHAnsi"/>
              <w:noProof/>
              <w:kern w:val="0"/>
              <w:sz w:val="22"/>
              <w:lang w:eastAsia="en-GB"/>
              <w14:ligatures w14:val="none"/>
            </w:rPr>
          </w:pPr>
          <w:hyperlink w:anchor="_Toc216140012" w:history="1">
            <w:r w:rsidR="00934C23" w:rsidRPr="00E23AF3">
              <w:rPr>
                <w:rStyle w:val="Hyperlink"/>
                <w:rFonts w:asciiTheme="minorBidi" w:hAnsiTheme="minorBidi"/>
                <w:noProof/>
              </w:rPr>
              <w:t>2.2.1 Organisation of South Korea’s Healthcare and Public Health System</w:t>
            </w:r>
            <w:r w:rsidR="00934C23">
              <w:rPr>
                <w:noProof/>
                <w:webHidden/>
              </w:rPr>
              <w:tab/>
            </w:r>
            <w:r w:rsidR="00934C23">
              <w:rPr>
                <w:noProof/>
                <w:webHidden/>
              </w:rPr>
              <w:fldChar w:fldCharType="begin"/>
            </w:r>
            <w:r w:rsidR="00934C23">
              <w:rPr>
                <w:noProof/>
                <w:webHidden/>
              </w:rPr>
              <w:instrText xml:space="preserve"> PAGEREF _Toc216140012 \h </w:instrText>
            </w:r>
            <w:r w:rsidR="00934C23">
              <w:rPr>
                <w:noProof/>
                <w:webHidden/>
              </w:rPr>
            </w:r>
            <w:r w:rsidR="00934C23">
              <w:rPr>
                <w:noProof/>
                <w:webHidden/>
              </w:rPr>
              <w:fldChar w:fldCharType="separate"/>
            </w:r>
            <w:r w:rsidR="00934C23">
              <w:rPr>
                <w:noProof/>
                <w:webHidden/>
              </w:rPr>
              <w:t>10</w:t>
            </w:r>
            <w:r w:rsidR="00934C23">
              <w:rPr>
                <w:noProof/>
                <w:webHidden/>
              </w:rPr>
              <w:fldChar w:fldCharType="end"/>
            </w:r>
          </w:hyperlink>
        </w:p>
        <w:p w14:paraId="59D685A3" w14:textId="11747EB5" w:rsidR="00934C23" w:rsidRDefault="00C00D01">
          <w:pPr>
            <w:pStyle w:val="TOC3"/>
            <w:tabs>
              <w:tab w:val="right" w:leader="dot" w:pos="9016"/>
            </w:tabs>
            <w:rPr>
              <w:rFonts w:asciiTheme="minorHAnsi" w:eastAsiaTheme="minorEastAsia" w:hAnsiTheme="minorHAnsi"/>
              <w:noProof/>
              <w:kern w:val="0"/>
              <w:sz w:val="22"/>
              <w:lang w:eastAsia="en-GB"/>
              <w14:ligatures w14:val="none"/>
            </w:rPr>
          </w:pPr>
          <w:hyperlink w:anchor="_Toc216140013" w:history="1">
            <w:r w:rsidR="00934C23" w:rsidRPr="00E23AF3">
              <w:rPr>
                <w:rStyle w:val="Hyperlink"/>
                <w:rFonts w:asciiTheme="minorBidi" w:hAnsiTheme="minorBidi"/>
                <w:noProof/>
              </w:rPr>
              <w:t>2.2.2 Crisis Co-ordination and Centralised Government Control.</w:t>
            </w:r>
            <w:r w:rsidR="00934C23">
              <w:rPr>
                <w:noProof/>
                <w:webHidden/>
              </w:rPr>
              <w:tab/>
            </w:r>
            <w:r w:rsidR="00934C23">
              <w:rPr>
                <w:noProof/>
                <w:webHidden/>
              </w:rPr>
              <w:fldChar w:fldCharType="begin"/>
            </w:r>
            <w:r w:rsidR="00934C23">
              <w:rPr>
                <w:noProof/>
                <w:webHidden/>
              </w:rPr>
              <w:instrText xml:space="preserve"> PAGEREF _Toc216140013 \h </w:instrText>
            </w:r>
            <w:r w:rsidR="00934C23">
              <w:rPr>
                <w:noProof/>
                <w:webHidden/>
              </w:rPr>
            </w:r>
            <w:r w:rsidR="00934C23">
              <w:rPr>
                <w:noProof/>
                <w:webHidden/>
              </w:rPr>
              <w:fldChar w:fldCharType="separate"/>
            </w:r>
            <w:r w:rsidR="00934C23">
              <w:rPr>
                <w:noProof/>
                <w:webHidden/>
              </w:rPr>
              <w:t>10</w:t>
            </w:r>
            <w:r w:rsidR="00934C23">
              <w:rPr>
                <w:noProof/>
                <w:webHidden/>
              </w:rPr>
              <w:fldChar w:fldCharType="end"/>
            </w:r>
          </w:hyperlink>
        </w:p>
        <w:p w14:paraId="15D1AF22" w14:textId="20368BCD" w:rsidR="00934C23" w:rsidRDefault="00C00D01">
          <w:pPr>
            <w:pStyle w:val="TOC3"/>
            <w:tabs>
              <w:tab w:val="right" w:leader="dot" w:pos="9016"/>
            </w:tabs>
            <w:rPr>
              <w:rFonts w:asciiTheme="minorHAnsi" w:eastAsiaTheme="minorEastAsia" w:hAnsiTheme="minorHAnsi"/>
              <w:noProof/>
              <w:kern w:val="0"/>
              <w:sz w:val="22"/>
              <w:lang w:eastAsia="en-GB"/>
              <w14:ligatures w14:val="none"/>
            </w:rPr>
          </w:pPr>
          <w:hyperlink w:anchor="_Toc216140014" w:history="1">
            <w:r w:rsidR="00934C23" w:rsidRPr="00E23AF3">
              <w:rPr>
                <w:rStyle w:val="Hyperlink"/>
                <w:rFonts w:ascii="Arial" w:hAnsi="Arial" w:cs="Arial"/>
                <w:noProof/>
              </w:rPr>
              <w:t>2.2.3 South Korean Systems Approach Strengths.</w:t>
            </w:r>
            <w:r w:rsidR="00934C23">
              <w:rPr>
                <w:noProof/>
                <w:webHidden/>
              </w:rPr>
              <w:tab/>
            </w:r>
            <w:r w:rsidR="00934C23">
              <w:rPr>
                <w:noProof/>
                <w:webHidden/>
              </w:rPr>
              <w:fldChar w:fldCharType="begin"/>
            </w:r>
            <w:r w:rsidR="00934C23">
              <w:rPr>
                <w:noProof/>
                <w:webHidden/>
              </w:rPr>
              <w:instrText xml:space="preserve"> PAGEREF _Toc216140014 \h </w:instrText>
            </w:r>
            <w:r w:rsidR="00934C23">
              <w:rPr>
                <w:noProof/>
                <w:webHidden/>
              </w:rPr>
            </w:r>
            <w:r w:rsidR="00934C23">
              <w:rPr>
                <w:noProof/>
                <w:webHidden/>
              </w:rPr>
              <w:fldChar w:fldCharType="separate"/>
            </w:r>
            <w:r w:rsidR="00934C23">
              <w:rPr>
                <w:noProof/>
                <w:webHidden/>
              </w:rPr>
              <w:t>10</w:t>
            </w:r>
            <w:r w:rsidR="00934C23">
              <w:rPr>
                <w:noProof/>
                <w:webHidden/>
              </w:rPr>
              <w:fldChar w:fldCharType="end"/>
            </w:r>
          </w:hyperlink>
        </w:p>
        <w:p w14:paraId="28387AED" w14:textId="7480F206" w:rsidR="00934C23" w:rsidRDefault="00C00D01">
          <w:pPr>
            <w:pStyle w:val="TOC3"/>
            <w:tabs>
              <w:tab w:val="right" w:leader="dot" w:pos="9016"/>
            </w:tabs>
            <w:rPr>
              <w:rFonts w:asciiTheme="minorHAnsi" w:eastAsiaTheme="minorEastAsia" w:hAnsiTheme="minorHAnsi"/>
              <w:noProof/>
              <w:kern w:val="0"/>
              <w:sz w:val="22"/>
              <w:lang w:eastAsia="en-GB"/>
              <w14:ligatures w14:val="none"/>
            </w:rPr>
          </w:pPr>
          <w:hyperlink w:anchor="_Toc216140015" w:history="1">
            <w:r w:rsidR="00934C23" w:rsidRPr="00E23AF3">
              <w:rPr>
                <w:rStyle w:val="Hyperlink"/>
                <w:rFonts w:asciiTheme="minorBidi" w:hAnsiTheme="minorBidi"/>
                <w:noProof/>
              </w:rPr>
              <w:t>2.2.4 Ethical, Social and Operational Problems.</w:t>
            </w:r>
            <w:r w:rsidR="00934C23">
              <w:rPr>
                <w:noProof/>
                <w:webHidden/>
              </w:rPr>
              <w:tab/>
            </w:r>
            <w:r w:rsidR="00934C23">
              <w:rPr>
                <w:noProof/>
                <w:webHidden/>
              </w:rPr>
              <w:fldChar w:fldCharType="begin"/>
            </w:r>
            <w:r w:rsidR="00934C23">
              <w:rPr>
                <w:noProof/>
                <w:webHidden/>
              </w:rPr>
              <w:instrText xml:space="preserve"> PAGEREF _Toc216140015 \h </w:instrText>
            </w:r>
            <w:r w:rsidR="00934C23">
              <w:rPr>
                <w:noProof/>
                <w:webHidden/>
              </w:rPr>
            </w:r>
            <w:r w:rsidR="00934C23">
              <w:rPr>
                <w:noProof/>
                <w:webHidden/>
              </w:rPr>
              <w:fldChar w:fldCharType="separate"/>
            </w:r>
            <w:r w:rsidR="00934C23">
              <w:rPr>
                <w:noProof/>
                <w:webHidden/>
              </w:rPr>
              <w:t>11</w:t>
            </w:r>
            <w:r w:rsidR="00934C23">
              <w:rPr>
                <w:noProof/>
                <w:webHidden/>
              </w:rPr>
              <w:fldChar w:fldCharType="end"/>
            </w:r>
          </w:hyperlink>
        </w:p>
        <w:p w14:paraId="19D0AC31" w14:textId="1381AE0B" w:rsidR="00934C23" w:rsidRDefault="00C00D01">
          <w:pPr>
            <w:pStyle w:val="TOC3"/>
            <w:tabs>
              <w:tab w:val="right" w:leader="dot" w:pos="9016"/>
            </w:tabs>
            <w:rPr>
              <w:rFonts w:asciiTheme="minorHAnsi" w:eastAsiaTheme="minorEastAsia" w:hAnsiTheme="minorHAnsi"/>
              <w:noProof/>
              <w:kern w:val="0"/>
              <w:sz w:val="22"/>
              <w:lang w:eastAsia="en-GB"/>
              <w14:ligatures w14:val="none"/>
            </w:rPr>
          </w:pPr>
          <w:hyperlink w:anchor="_Toc216140016" w:history="1">
            <w:r w:rsidR="00934C23" w:rsidRPr="00E23AF3">
              <w:rPr>
                <w:rStyle w:val="Hyperlink"/>
                <w:rFonts w:asciiTheme="minorBidi" w:hAnsiTheme="minorBidi"/>
                <w:noProof/>
              </w:rPr>
              <w:t>2.2.5 Infection Control and Public Trust Impact.</w:t>
            </w:r>
            <w:r w:rsidR="00934C23">
              <w:rPr>
                <w:noProof/>
                <w:webHidden/>
              </w:rPr>
              <w:tab/>
            </w:r>
            <w:r w:rsidR="00934C23">
              <w:rPr>
                <w:noProof/>
                <w:webHidden/>
              </w:rPr>
              <w:fldChar w:fldCharType="begin"/>
            </w:r>
            <w:r w:rsidR="00934C23">
              <w:rPr>
                <w:noProof/>
                <w:webHidden/>
              </w:rPr>
              <w:instrText xml:space="preserve"> PAGEREF _Toc216140016 \h </w:instrText>
            </w:r>
            <w:r w:rsidR="00934C23">
              <w:rPr>
                <w:noProof/>
                <w:webHidden/>
              </w:rPr>
            </w:r>
            <w:r w:rsidR="00934C23">
              <w:rPr>
                <w:noProof/>
                <w:webHidden/>
              </w:rPr>
              <w:fldChar w:fldCharType="separate"/>
            </w:r>
            <w:r w:rsidR="00934C23">
              <w:rPr>
                <w:noProof/>
                <w:webHidden/>
              </w:rPr>
              <w:t>12</w:t>
            </w:r>
            <w:r w:rsidR="00934C23">
              <w:rPr>
                <w:noProof/>
                <w:webHidden/>
              </w:rPr>
              <w:fldChar w:fldCharType="end"/>
            </w:r>
          </w:hyperlink>
        </w:p>
        <w:p w14:paraId="756AA253" w14:textId="65E754ED" w:rsidR="00934C23" w:rsidRDefault="00C00D01">
          <w:pPr>
            <w:pStyle w:val="TOC2"/>
            <w:tabs>
              <w:tab w:val="right" w:leader="dot" w:pos="9016"/>
            </w:tabs>
            <w:rPr>
              <w:rFonts w:asciiTheme="minorHAnsi" w:eastAsiaTheme="minorEastAsia" w:hAnsiTheme="minorHAnsi"/>
              <w:noProof/>
              <w:kern w:val="0"/>
              <w:sz w:val="22"/>
              <w:lang w:eastAsia="en-GB"/>
              <w14:ligatures w14:val="none"/>
            </w:rPr>
          </w:pPr>
          <w:hyperlink w:anchor="_Toc216140017" w:history="1">
            <w:r w:rsidR="00934C23" w:rsidRPr="00E23AF3">
              <w:rPr>
                <w:rStyle w:val="Hyperlink"/>
                <w:rFonts w:asciiTheme="minorBidi" w:hAnsiTheme="minorBidi"/>
                <w:noProof/>
              </w:rPr>
              <w:t>2.3 Canada: Federal and Decentralised Public Health Response.</w:t>
            </w:r>
            <w:r w:rsidR="00934C23">
              <w:rPr>
                <w:noProof/>
                <w:webHidden/>
              </w:rPr>
              <w:tab/>
            </w:r>
            <w:r w:rsidR="00934C23">
              <w:rPr>
                <w:noProof/>
                <w:webHidden/>
              </w:rPr>
              <w:fldChar w:fldCharType="begin"/>
            </w:r>
            <w:r w:rsidR="00934C23">
              <w:rPr>
                <w:noProof/>
                <w:webHidden/>
              </w:rPr>
              <w:instrText xml:space="preserve"> PAGEREF _Toc216140017 \h </w:instrText>
            </w:r>
            <w:r w:rsidR="00934C23">
              <w:rPr>
                <w:noProof/>
                <w:webHidden/>
              </w:rPr>
            </w:r>
            <w:r w:rsidR="00934C23">
              <w:rPr>
                <w:noProof/>
                <w:webHidden/>
              </w:rPr>
              <w:fldChar w:fldCharType="separate"/>
            </w:r>
            <w:r w:rsidR="00934C23">
              <w:rPr>
                <w:noProof/>
                <w:webHidden/>
              </w:rPr>
              <w:t>13</w:t>
            </w:r>
            <w:r w:rsidR="00934C23">
              <w:rPr>
                <w:noProof/>
                <w:webHidden/>
              </w:rPr>
              <w:fldChar w:fldCharType="end"/>
            </w:r>
          </w:hyperlink>
        </w:p>
        <w:p w14:paraId="16E231C8" w14:textId="495E33AD" w:rsidR="00934C23" w:rsidRDefault="00C00D01">
          <w:pPr>
            <w:pStyle w:val="TOC3"/>
            <w:tabs>
              <w:tab w:val="right" w:leader="dot" w:pos="9016"/>
            </w:tabs>
            <w:rPr>
              <w:rFonts w:asciiTheme="minorHAnsi" w:eastAsiaTheme="minorEastAsia" w:hAnsiTheme="minorHAnsi"/>
              <w:noProof/>
              <w:kern w:val="0"/>
              <w:sz w:val="22"/>
              <w:lang w:eastAsia="en-GB"/>
              <w14:ligatures w14:val="none"/>
            </w:rPr>
          </w:pPr>
          <w:hyperlink w:anchor="_Toc216140018" w:history="1">
            <w:r w:rsidR="00934C23" w:rsidRPr="00E23AF3">
              <w:rPr>
                <w:rStyle w:val="Hyperlink"/>
                <w:rFonts w:asciiTheme="minorBidi" w:hAnsiTheme="minorBidi"/>
                <w:noProof/>
              </w:rPr>
              <w:t>2.3.1 The Canadian Federal Healthcare System Structure.</w:t>
            </w:r>
            <w:r w:rsidR="00934C23">
              <w:rPr>
                <w:noProof/>
                <w:webHidden/>
              </w:rPr>
              <w:tab/>
            </w:r>
            <w:r w:rsidR="00934C23">
              <w:rPr>
                <w:noProof/>
                <w:webHidden/>
              </w:rPr>
              <w:fldChar w:fldCharType="begin"/>
            </w:r>
            <w:r w:rsidR="00934C23">
              <w:rPr>
                <w:noProof/>
                <w:webHidden/>
              </w:rPr>
              <w:instrText xml:space="preserve"> PAGEREF _Toc216140018 \h </w:instrText>
            </w:r>
            <w:r w:rsidR="00934C23">
              <w:rPr>
                <w:noProof/>
                <w:webHidden/>
              </w:rPr>
            </w:r>
            <w:r w:rsidR="00934C23">
              <w:rPr>
                <w:noProof/>
                <w:webHidden/>
              </w:rPr>
              <w:fldChar w:fldCharType="separate"/>
            </w:r>
            <w:r w:rsidR="00934C23">
              <w:rPr>
                <w:noProof/>
                <w:webHidden/>
              </w:rPr>
              <w:t>13</w:t>
            </w:r>
            <w:r w:rsidR="00934C23">
              <w:rPr>
                <w:noProof/>
                <w:webHidden/>
              </w:rPr>
              <w:fldChar w:fldCharType="end"/>
            </w:r>
          </w:hyperlink>
        </w:p>
        <w:p w14:paraId="7E9C8139" w14:textId="3653ED58" w:rsidR="00934C23" w:rsidRDefault="00C00D01">
          <w:pPr>
            <w:pStyle w:val="TOC3"/>
            <w:tabs>
              <w:tab w:val="right" w:leader="dot" w:pos="9016"/>
            </w:tabs>
            <w:rPr>
              <w:rFonts w:asciiTheme="minorHAnsi" w:eastAsiaTheme="minorEastAsia" w:hAnsiTheme="minorHAnsi"/>
              <w:noProof/>
              <w:kern w:val="0"/>
              <w:sz w:val="22"/>
              <w:lang w:eastAsia="en-GB"/>
              <w14:ligatures w14:val="none"/>
            </w:rPr>
          </w:pPr>
          <w:hyperlink w:anchor="_Toc216140019" w:history="1">
            <w:r w:rsidR="00934C23" w:rsidRPr="00E23AF3">
              <w:rPr>
                <w:rStyle w:val="Hyperlink"/>
                <w:rFonts w:asciiTheme="minorBidi" w:hAnsiTheme="minorBidi"/>
                <w:noProof/>
              </w:rPr>
              <w:t>2.3.2 Power Distribution between the federal and provincial governments during COVID-19.</w:t>
            </w:r>
            <w:r w:rsidR="00934C23">
              <w:rPr>
                <w:noProof/>
                <w:webHidden/>
              </w:rPr>
              <w:tab/>
            </w:r>
            <w:r w:rsidR="00934C23">
              <w:rPr>
                <w:noProof/>
                <w:webHidden/>
              </w:rPr>
              <w:fldChar w:fldCharType="begin"/>
            </w:r>
            <w:r w:rsidR="00934C23">
              <w:rPr>
                <w:noProof/>
                <w:webHidden/>
              </w:rPr>
              <w:instrText xml:space="preserve"> PAGEREF _Toc216140019 \h </w:instrText>
            </w:r>
            <w:r w:rsidR="00934C23">
              <w:rPr>
                <w:noProof/>
                <w:webHidden/>
              </w:rPr>
            </w:r>
            <w:r w:rsidR="00934C23">
              <w:rPr>
                <w:noProof/>
                <w:webHidden/>
              </w:rPr>
              <w:fldChar w:fldCharType="separate"/>
            </w:r>
            <w:r w:rsidR="00934C23">
              <w:rPr>
                <w:noProof/>
                <w:webHidden/>
              </w:rPr>
              <w:t>13</w:t>
            </w:r>
            <w:r w:rsidR="00934C23">
              <w:rPr>
                <w:noProof/>
                <w:webHidden/>
              </w:rPr>
              <w:fldChar w:fldCharType="end"/>
            </w:r>
          </w:hyperlink>
        </w:p>
        <w:p w14:paraId="5516510E" w14:textId="09EF6C8A" w:rsidR="00934C23" w:rsidRDefault="00C00D01">
          <w:pPr>
            <w:pStyle w:val="TOC3"/>
            <w:tabs>
              <w:tab w:val="right" w:leader="dot" w:pos="9016"/>
            </w:tabs>
            <w:rPr>
              <w:rFonts w:asciiTheme="minorHAnsi" w:eastAsiaTheme="minorEastAsia" w:hAnsiTheme="minorHAnsi"/>
              <w:noProof/>
              <w:kern w:val="0"/>
              <w:sz w:val="22"/>
              <w:lang w:eastAsia="en-GB"/>
              <w14:ligatures w14:val="none"/>
            </w:rPr>
          </w:pPr>
          <w:hyperlink w:anchor="_Toc216140020" w:history="1">
            <w:r w:rsidR="00934C23" w:rsidRPr="00E23AF3">
              <w:rPr>
                <w:rStyle w:val="Hyperlink"/>
                <w:rFonts w:asciiTheme="minorBidi" w:hAnsiTheme="minorBidi"/>
                <w:noProof/>
              </w:rPr>
              <w:t>2.3.3 Advantages of the Decentralised Approach taken by Canada.</w:t>
            </w:r>
            <w:r w:rsidR="00934C23">
              <w:rPr>
                <w:noProof/>
                <w:webHidden/>
              </w:rPr>
              <w:tab/>
            </w:r>
            <w:r w:rsidR="00934C23">
              <w:rPr>
                <w:noProof/>
                <w:webHidden/>
              </w:rPr>
              <w:fldChar w:fldCharType="begin"/>
            </w:r>
            <w:r w:rsidR="00934C23">
              <w:rPr>
                <w:noProof/>
                <w:webHidden/>
              </w:rPr>
              <w:instrText xml:space="preserve"> PAGEREF _Toc216140020 \h </w:instrText>
            </w:r>
            <w:r w:rsidR="00934C23">
              <w:rPr>
                <w:noProof/>
                <w:webHidden/>
              </w:rPr>
            </w:r>
            <w:r w:rsidR="00934C23">
              <w:rPr>
                <w:noProof/>
                <w:webHidden/>
              </w:rPr>
              <w:fldChar w:fldCharType="separate"/>
            </w:r>
            <w:r w:rsidR="00934C23">
              <w:rPr>
                <w:noProof/>
                <w:webHidden/>
              </w:rPr>
              <w:t>13</w:t>
            </w:r>
            <w:r w:rsidR="00934C23">
              <w:rPr>
                <w:noProof/>
                <w:webHidden/>
              </w:rPr>
              <w:fldChar w:fldCharType="end"/>
            </w:r>
          </w:hyperlink>
        </w:p>
        <w:p w14:paraId="54306EE9" w14:textId="5F92BE64" w:rsidR="00934C23" w:rsidRDefault="00C00D01">
          <w:pPr>
            <w:pStyle w:val="TOC3"/>
            <w:tabs>
              <w:tab w:val="right" w:leader="dot" w:pos="9016"/>
            </w:tabs>
            <w:rPr>
              <w:rFonts w:asciiTheme="minorHAnsi" w:eastAsiaTheme="minorEastAsia" w:hAnsiTheme="minorHAnsi"/>
              <w:noProof/>
              <w:kern w:val="0"/>
              <w:sz w:val="22"/>
              <w:lang w:eastAsia="en-GB"/>
              <w14:ligatures w14:val="none"/>
            </w:rPr>
          </w:pPr>
          <w:hyperlink w:anchor="_Toc216140021" w:history="1">
            <w:r w:rsidR="00934C23" w:rsidRPr="00E23AF3">
              <w:rPr>
                <w:rStyle w:val="Hyperlink"/>
                <w:rFonts w:asciiTheme="minorBidi" w:hAnsiTheme="minorBidi"/>
                <w:noProof/>
              </w:rPr>
              <w:t>2.3.4 Coordination and Vaccine Procurement Problems.</w:t>
            </w:r>
            <w:r w:rsidR="00934C23">
              <w:rPr>
                <w:noProof/>
                <w:webHidden/>
              </w:rPr>
              <w:tab/>
            </w:r>
            <w:r w:rsidR="00934C23">
              <w:rPr>
                <w:noProof/>
                <w:webHidden/>
              </w:rPr>
              <w:fldChar w:fldCharType="begin"/>
            </w:r>
            <w:r w:rsidR="00934C23">
              <w:rPr>
                <w:noProof/>
                <w:webHidden/>
              </w:rPr>
              <w:instrText xml:space="preserve"> PAGEREF _Toc216140021 \h </w:instrText>
            </w:r>
            <w:r w:rsidR="00934C23">
              <w:rPr>
                <w:noProof/>
                <w:webHidden/>
              </w:rPr>
            </w:r>
            <w:r w:rsidR="00934C23">
              <w:rPr>
                <w:noProof/>
                <w:webHidden/>
              </w:rPr>
              <w:fldChar w:fldCharType="separate"/>
            </w:r>
            <w:r w:rsidR="00934C23">
              <w:rPr>
                <w:noProof/>
                <w:webHidden/>
              </w:rPr>
              <w:t>14</w:t>
            </w:r>
            <w:r w:rsidR="00934C23">
              <w:rPr>
                <w:noProof/>
                <w:webHidden/>
              </w:rPr>
              <w:fldChar w:fldCharType="end"/>
            </w:r>
          </w:hyperlink>
        </w:p>
        <w:p w14:paraId="611BBEE7" w14:textId="27EB36E7" w:rsidR="00934C23" w:rsidRDefault="00C00D01">
          <w:pPr>
            <w:pStyle w:val="TOC3"/>
            <w:tabs>
              <w:tab w:val="right" w:leader="dot" w:pos="9016"/>
            </w:tabs>
            <w:rPr>
              <w:rFonts w:asciiTheme="minorHAnsi" w:eastAsiaTheme="minorEastAsia" w:hAnsiTheme="minorHAnsi"/>
              <w:noProof/>
              <w:kern w:val="0"/>
              <w:sz w:val="22"/>
              <w:lang w:eastAsia="en-GB"/>
              <w14:ligatures w14:val="none"/>
            </w:rPr>
          </w:pPr>
          <w:hyperlink w:anchor="_Toc216140022" w:history="1">
            <w:r w:rsidR="00934C23" w:rsidRPr="00E23AF3">
              <w:rPr>
                <w:rStyle w:val="Hyperlink"/>
                <w:rFonts w:asciiTheme="minorBidi" w:hAnsiTheme="minorBidi"/>
                <w:noProof/>
              </w:rPr>
              <w:t>2.3.5 Performance of the System and Health Results.</w:t>
            </w:r>
            <w:r w:rsidR="00934C23">
              <w:rPr>
                <w:noProof/>
                <w:webHidden/>
              </w:rPr>
              <w:tab/>
            </w:r>
            <w:r w:rsidR="00934C23">
              <w:rPr>
                <w:noProof/>
                <w:webHidden/>
              </w:rPr>
              <w:fldChar w:fldCharType="begin"/>
            </w:r>
            <w:r w:rsidR="00934C23">
              <w:rPr>
                <w:noProof/>
                <w:webHidden/>
              </w:rPr>
              <w:instrText xml:space="preserve"> PAGEREF _Toc216140022 \h </w:instrText>
            </w:r>
            <w:r w:rsidR="00934C23">
              <w:rPr>
                <w:noProof/>
                <w:webHidden/>
              </w:rPr>
            </w:r>
            <w:r w:rsidR="00934C23">
              <w:rPr>
                <w:noProof/>
                <w:webHidden/>
              </w:rPr>
              <w:fldChar w:fldCharType="separate"/>
            </w:r>
            <w:r w:rsidR="00934C23">
              <w:rPr>
                <w:noProof/>
                <w:webHidden/>
              </w:rPr>
              <w:t>15</w:t>
            </w:r>
            <w:r w:rsidR="00934C23">
              <w:rPr>
                <w:noProof/>
                <w:webHidden/>
              </w:rPr>
              <w:fldChar w:fldCharType="end"/>
            </w:r>
          </w:hyperlink>
        </w:p>
        <w:p w14:paraId="00779118" w14:textId="1A53F2F8" w:rsidR="00934C23" w:rsidRDefault="00C00D01">
          <w:pPr>
            <w:pStyle w:val="TOC2"/>
            <w:tabs>
              <w:tab w:val="right" w:leader="dot" w:pos="9016"/>
            </w:tabs>
            <w:rPr>
              <w:rFonts w:asciiTheme="minorHAnsi" w:eastAsiaTheme="minorEastAsia" w:hAnsiTheme="minorHAnsi"/>
              <w:noProof/>
              <w:kern w:val="0"/>
              <w:sz w:val="22"/>
              <w:lang w:eastAsia="en-GB"/>
              <w14:ligatures w14:val="none"/>
            </w:rPr>
          </w:pPr>
          <w:hyperlink w:anchor="_Toc216140023" w:history="1">
            <w:r w:rsidR="00934C23" w:rsidRPr="00E23AF3">
              <w:rPr>
                <w:rStyle w:val="Hyperlink"/>
                <w:rFonts w:asciiTheme="minorBidi" w:hAnsiTheme="minorBidi"/>
                <w:noProof/>
              </w:rPr>
              <w:t>2.4 Comparative Evaluation of Centralisation and Decentralisation Across Spain, South Korea and Canada</w:t>
            </w:r>
            <w:r w:rsidR="00934C23">
              <w:rPr>
                <w:noProof/>
                <w:webHidden/>
              </w:rPr>
              <w:tab/>
            </w:r>
            <w:r w:rsidR="00934C23">
              <w:rPr>
                <w:noProof/>
                <w:webHidden/>
              </w:rPr>
              <w:fldChar w:fldCharType="begin"/>
            </w:r>
            <w:r w:rsidR="00934C23">
              <w:rPr>
                <w:noProof/>
                <w:webHidden/>
              </w:rPr>
              <w:instrText xml:space="preserve"> PAGEREF _Toc216140023 \h </w:instrText>
            </w:r>
            <w:r w:rsidR="00934C23">
              <w:rPr>
                <w:noProof/>
                <w:webHidden/>
              </w:rPr>
            </w:r>
            <w:r w:rsidR="00934C23">
              <w:rPr>
                <w:noProof/>
                <w:webHidden/>
              </w:rPr>
              <w:fldChar w:fldCharType="separate"/>
            </w:r>
            <w:r w:rsidR="00934C23">
              <w:rPr>
                <w:noProof/>
                <w:webHidden/>
              </w:rPr>
              <w:t>16</w:t>
            </w:r>
            <w:r w:rsidR="00934C23">
              <w:rPr>
                <w:noProof/>
                <w:webHidden/>
              </w:rPr>
              <w:fldChar w:fldCharType="end"/>
            </w:r>
          </w:hyperlink>
        </w:p>
        <w:p w14:paraId="0605EBC9" w14:textId="26F57A16" w:rsidR="00934C23" w:rsidRDefault="00C00D01">
          <w:pPr>
            <w:pStyle w:val="TOC3"/>
            <w:tabs>
              <w:tab w:val="right" w:leader="dot" w:pos="9016"/>
            </w:tabs>
            <w:rPr>
              <w:rFonts w:asciiTheme="minorHAnsi" w:eastAsiaTheme="minorEastAsia" w:hAnsiTheme="minorHAnsi"/>
              <w:noProof/>
              <w:kern w:val="0"/>
              <w:sz w:val="22"/>
              <w:lang w:eastAsia="en-GB"/>
              <w14:ligatures w14:val="none"/>
            </w:rPr>
          </w:pPr>
          <w:hyperlink w:anchor="_Toc216140024" w:history="1">
            <w:r w:rsidR="00934C23" w:rsidRPr="00E23AF3">
              <w:rPr>
                <w:rStyle w:val="Hyperlink"/>
                <w:rFonts w:asciiTheme="minorBidi" w:hAnsiTheme="minorBidi"/>
                <w:noProof/>
              </w:rPr>
              <w:t>2.4.1 Major Structural Differences between Health System Governance.</w:t>
            </w:r>
            <w:r w:rsidR="00934C23">
              <w:rPr>
                <w:noProof/>
                <w:webHidden/>
              </w:rPr>
              <w:tab/>
            </w:r>
            <w:r w:rsidR="00934C23">
              <w:rPr>
                <w:noProof/>
                <w:webHidden/>
              </w:rPr>
              <w:fldChar w:fldCharType="begin"/>
            </w:r>
            <w:r w:rsidR="00934C23">
              <w:rPr>
                <w:noProof/>
                <w:webHidden/>
              </w:rPr>
              <w:instrText xml:space="preserve"> PAGEREF _Toc216140024 \h </w:instrText>
            </w:r>
            <w:r w:rsidR="00934C23">
              <w:rPr>
                <w:noProof/>
                <w:webHidden/>
              </w:rPr>
            </w:r>
            <w:r w:rsidR="00934C23">
              <w:rPr>
                <w:noProof/>
                <w:webHidden/>
              </w:rPr>
              <w:fldChar w:fldCharType="separate"/>
            </w:r>
            <w:r w:rsidR="00934C23">
              <w:rPr>
                <w:noProof/>
                <w:webHidden/>
              </w:rPr>
              <w:t>16</w:t>
            </w:r>
            <w:r w:rsidR="00934C23">
              <w:rPr>
                <w:noProof/>
                <w:webHidden/>
              </w:rPr>
              <w:fldChar w:fldCharType="end"/>
            </w:r>
          </w:hyperlink>
        </w:p>
        <w:p w14:paraId="2C333BFD" w14:textId="43E7C12B" w:rsidR="00934C23" w:rsidRDefault="00C00D01">
          <w:pPr>
            <w:pStyle w:val="TOC3"/>
            <w:tabs>
              <w:tab w:val="right" w:leader="dot" w:pos="9016"/>
            </w:tabs>
            <w:rPr>
              <w:rFonts w:asciiTheme="minorHAnsi" w:eastAsiaTheme="minorEastAsia" w:hAnsiTheme="minorHAnsi"/>
              <w:noProof/>
              <w:kern w:val="0"/>
              <w:sz w:val="22"/>
              <w:lang w:eastAsia="en-GB"/>
              <w14:ligatures w14:val="none"/>
            </w:rPr>
          </w:pPr>
          <w:hyperlink w:anchor="_Toc216140025" w:history="1">
            <w:r w:rsidR="00934C23" w:rsidRPr="00E23AF3">
              <w:rPr>
                <w:rStyle w:val="Hyperlink"/>
                <w:rFonts w:asciiTheme="minorBidi" w:hAnsiTheme="minorBidi"/>
                <w:noProof/>
              </w:rPr>
              <w:t>2.4.2 Comparative Strengths and Weaknesses</w:t>
            </w:r>
            <w:r w:rsidR="00934C23">
              <w:rPr>
                <w:noProof/>
                <w:webHidden/>
              </w:rPr>
              <w:tab/>
            </w:r>
            <w:r w:rsidR="00934C23">
              <w:rPr>
                <w:noProof/>
                <w:webHidden/>
              </w:rPr>
              <w:fldChar w:fldCharType="begin"/>
            </w:r>
            <w:r w:rsidR="00934C23">
              <w:rPr>
                <w:noProof/>
                <w:webHidden/>
              </w:rPr>
              <w:instrText xml:space="preserve"> PAGEREF _Toc216140025 \h </w:instrText>
            </w:r>
            <w:r w:rsidR="00934C23">
              <w:rPr>
                <w:noProof/>
                <w:webHidden/>
              </w:rPr>
            </w:r>
            <w:r w:rsidR="00934C23">
              <w:rPr>
                <w:noProof/>
                <w:webHidden/>
              </w:rPr>
              <w:fldChar w:fldCharType="separate"/>
            </w:r>
            <w:r w:rsidR="00934C23">
              <w:rPr>
                <w:noProof/>
                <w:webHidden/>
              </w:rPr>
              <w:t>16</w:t>
            </w:r>
            <w:r w:rsidR="00934C23">
              <w:rPr>
                <w:noProof/>
                <w:webHidden/>
              </w:rPr>
              <w:fldChar w:fldCharType="end"/>
            </w:r>
          </w:hyperlink>
        </w:p>
        <w:p w14:paraId="44912033" w14:textId="31E04524" w:rsidR="00934C23" w:rsidRDefault="00C00D01">
          <w:pPr>
            <w:pStyle w:val="TOC3"/>
            <w:tabs>
              <w:tab w:val="right" w:leader="dot" w:pos="9016"/>
            </w:tabs>
            <w:rPr>
              <w:rFonts w:asciiTheme="minorHAnsi" w:eastAsiaTheme="minorEastAsia" w:hAnsiTheme="minorHAnsi"/>
              <w:noProof/>
              <w:kern w:val="0"/>
              <w:sz w:val="22"/>
              <w:lang w:eastAsia="en-GB"/>
              <w14:ligatures w14:val="none"/>
            </w:rPr>
          </w:pPr>
          <w:hyperlink w:anchor="_Toc216140026" w:history="1">
            <w:r w:rsidR="00934C23" w:rsidRPr="00E23AF3">
              <w:rPr>
                <w:rStyle w:val="Hyperlink"/>
                <w:rFonts w:asciiTheme="minorBidi" w:hAnsiTheme="minorBidi"/>
                <w:noProof/>
              </w:rPr>
              <w:t>2.4.3 Systems-Level Implications of Preparedness to pandemics.</w:t>
            </w:r>
            <w:r w:rsidR="00934C23">
              <w:rPr>
                <w:noProof/>
                <w:webHidden/>
              </w:rPr>
              <w:tab/>
            </w:r>
            <w:r w:rsidR="00934C23">
              <w:rPr>
                <w:noProof/>
                <w:webHidden/>
              </w:rPr>
              <w:fldChar w:fldCharType="begin"/>
            </w:r>
            <w:r w:rsidR="00934C23">
              <w:rPr>
                <w:noProof/>
                <w:webHidden/>
              </w:rPr>
              <w:instrText xml:space="preserve"> PAGEREF _Toc216140026 \h </w:instrText>
            </w:r>
            <w:r w:rsidR="00934C23">
              <w:rPr>
                <w:noProof/>
                <w:webHidden/>
              </w:rPr>
            </w:r>
            <w:r w:rsidR="00934C23">
              <w:rPr>
                <w:noProof/>
                <w:webHidden/>
              </w:rPr>
              <w:fldChar w:fldCharType="separate"/>
            </w:r>
            <w:r w:rsidR="00934C23">
              <w:rPr>
                <w:noProof/>
                <w:webHidden/>
              </w:rPr>
              <w:t>17</w:t>
            </w:r>
            <w:r w:rsidR="00934C23">
              <w:rPr>
                <w:noProof/>
                <w:webHidden/>
              </w:rPr>
              <w:fldChar w:fldCharType="end"/>
            </w:r>
          </w:hyperlink>
        </w:p>
        <w:p w14:paraId="0E8D236D" w14:textId="20306ED2" w:rsidR="00934C23" w:rsidRDefault="00C00D01">
          <w:pPr>
            <w:pStyle w:val="TOC1"/>
            <w:tabs>
              <w:tab w:val="right" w:leader="dot" w:pos="9016"/>
            </w:tabs>
            <w:rPr>
              <w:rFonts w:asciiTheme="minorHAnsi" w:eastAsiaTheme="minorEastAsia" w:hAnsiTheme="minorHAnsi"/>
              <w:noProof/>
              <w:kern w:val="0"/>
              <w:sz w:val="22"/>
              <w:lang w:eastAsia="en-GB"/>
              <w14:ligatures w14:val="none"/>
            </w:rPr>
          </w:pPr>
          <w:hyperlink w:anchor="_Toc216140027" w:history="1">
            <w:r w:rsidR="00934C23" w:rsidRPr="00E23AF3">
              <w:rPr>
                <w:rStyle w:val="Hyperlink"/>
                <w:noProof/>
              </w:rPr>
              <w:t>3. A Critical Approach to Leadership Styles under the COVID-19 pandemic.</w:t>
            </w:r>
            <w:r w:rsidR="00934C23">
              <w:rPr>
                <w:noProof/>
                <w:webHidden/>
              </w:rPr>
              <w:tab/>
            </w:r>
            <w:r w:rsidR="00934C23">
              <w:rPr>
                <w:noProof/>
                <w:webHidden/>
              </w:rPr>
              <w:fldChar w:fldCharType="begin"/>
            </w:r>
            <w:r w:rsidR="00934C23">
              <w:rPr>
                <w:noProof/>
                <w:webHidden/>
              </w:rPr>
              <w:instrText xml:space="preserve"> PAGEREF _Toc216140027 \h </w:instrText>
            </w:r>
            <w:r w:rsidR="00934C23">
              <w:rPr>
                <w:noProof/>
                <w:webHidden/>
              </w:rPr>
            </w:r>
            <w:r w:rsidR="00934C23">
              <w:rPr>
                <w:noProof/>
                <w:webHidden/>
              </w:rPr>
              <w:fldChar w:fldCharType="separate"/>
            </w:r>
            <w:r w:rsidR="00934C23">
              <w:rPr>
                <w:noProof/>
                <w:webHidden/>
              </w:rPr>
              <w:t>18</w:t>
            </w:r>
            <w:r w:rsidR="00934C23">
              <w:rPr>
                <w:noProof/>
                <w:webHidden/>
              </w:rPr>
              <w:fldChar w:fldCharType="end"/>
            </w:r>
          </w:hyperlink>
        </w:p>
        <w:p w14:paraId="5794D521" w14:textId="03D1D4A4" w:rsidR="00934C23" w:rsidRDefault="00C00D01">
          <w:pPr>
            <w:pStyle w:val="TOC2"/>
            <w:tabs>
              <w:tab w:val="right" w:leader="dot" w:pos="9016"/>
            </w:tabs>
            <w:rPr>
              <w:rFonts w:asciiTheme="minorHAnsi" w:eastAsiaTheme="minorEastAsia" w:hAnsiTheme="minorHAnsi"/>
              <w:noProof/>
              <w:kern w:val="0"/>
              <w:sz w:val="22"/>
              <w:lang w:eastAsia="en-GB"/>
              <w14:ligatures w14:val="none"/>
            </w:rPr>
          </w:pPr>
          <w:hyperlink w:anchor="_Toc216140028" w:history="1">
            <w:r w:rsidR="00934C23" w:rsidRPr="00E23AF3">
              <w:rPr>
                <w:rStyle w:val="Hyperlink"/>
                <w:rFonts w:asciiTheme="minorBidi" w:hAnsiTheme="minorBidi"/>
                <w:noProof/>
              </w:rPr>
              <w:t>3.1 Spanish Leadership: Salvador Illa and the Reaction of the National Government.</w:t>
            </w:r>
            <w:r w:rsidR="00934C23">
              <w:rPr>
                <w:noProof/>
                <w:webHidden/>
              </w:rPr>
              <w:tab/>
            </w:r>
            <w:r w:rsidR="00934C23">
              <w:rPr>
                <w:noProof/>
                <w:webHidden/>
              </w:rPr>
              <w:fldChar w:fldCharType="begin"/>
            </w:r>
            <w:r w:rsidR="00934C23">
              <w:rPr>
                <w:noProof/>
                <w:webHidden/>
              </w:rPr>
              <w:instrText xml:space="preserve"> PAGEREF _Toc216140028 \h </w:instrText>
            </w:r>
            <w:r w:rsidR="00934C23">
              <w:rPr>
                <w:noProof/>
                <w:webHidden/>
              </w:rPr>
            </w:r>
            <w:r w:rsidR="00934C23">
              <w:rPr>
                <w:noProof/>
                <w:webHidden/>
              </w:rPr>
              <w:fldChar w:fldCharType="separate"/>
            </w:r>
            <w:r w:rsidR="00934C23">
              <w:rPr>
                <w:noProof/>
                <w:webHidden/>
              </w:rPr>
              <w:t>18</w:t>
            </w:r>
            <w:r w:rsidR="00934C23">
              <w:rPr>
                <w:noProof/>
                <w:webHidden/>
              </w:rPr>
              <w:fldChar w:fldCharType="end"/>
            </w:r>
          </w:hyperlink>
        </w:p>
        <w:p w14:paraId="03C1263D" w14:textId="5C7C425A" w:rsidR="00934C23" w:rsidRDefault="00C00D01">
          <w:pPr>
            <w:pStyle w:val="TOC3"/>
            <w:tabs>
              <w:tab w:val="right" w:leader="dot" w:pos="9016"/>
            </w:tabs>
            <w:rPr>
              <w:rFonts w:asciiTheme="minorHAnsi" w:eastAsiaTheme="minorEastAsia" w:hAnsiTheme="minorHAnsi"/>
              <w:noProof/>
              <w:kern w:val="0"/>
              <w:sz w:val="22"/>
              <w:lang w:eastAsia="en-GB"/>
              <w14:ligatures w14:val="none"/>
            </w:rPr>
          </w:pPr>
          <w:hyperlink w:anchor="_Toc216140029" w:history="1">
            <w:r w:rsidR="00934C23" w:rsidRPr="00E23AF3">
              <w:rPr>
                <w:rStyle w:val="Hyperlink"/>
                <w:rFonts w:asciiTheme="minorBidi" w:hAnsiTheme="minorBidi"/>
                <w:noProof/>
              </w:rPr>
              <w:t>3.1.1 Leadership Environment and Governmental System.</w:t>
            </w:r>
            <w:r w:rsidR="00934C23">
              <w:rPr>
                <w:noProof/>
                <w:webHidden/>
              </w:rPr>
              <w:tab/>
            </w:r>
            <w:r w:rsidR="00934C23">
              <w:rPr>
                <w:noProof/>
                <w:webHidden/>
              </w:rPr>
              <w:fldChar w:fldCharType="begin"/>
            </w:r>
            <w:r w:rsidR="00934C23">
              <w:rPr>
                <w:noProof/>
                <w:webHidden/>
              </w:rPr>
              <w:instrText xml:space="preserve"> PAGEREF _Toc216140029 \h </w:instrText>
            </w:r>
            <w:r w:rsidR="00934C23">
              <w:rPr>
                <w:noProof/>
                <w:webHidden/>
              </w:rPr>
            </w:r>
            <w:r w:rsidR="00934C23">
              <w:rPr>
                <w:noProof/>
                <w:webHidden/>
              </w:rPr>
              <w:fldChar w:fldCharType="separate"/>
            </w:r>
            <w:r w:rsidR="00934C23">
              <w:rPr>
                <w:noProof/>
                <w:webHidden/>
              </w:rPr>
              <w:t>18</w:t>
            </w:r>
            <w:r w:rsidR="00934C23">
              <w:rPr>
                <w:noProof/>
                <w:webHidden/>
              </w:rPr>
              <w:fldChar w:fldCharType="end"/>
            </w:r>
          </w:hyperlink>
        </w:p>
        <w:p w14:paraId="23E49E12" w14:textId="2FB78D4E" w:rsidR="00934C23" w:rsidRDefault="00C00D01">
          <w:pPr>
            <w:pStyle w:val="TOC3"/>
            <w:tabs>
              <w:tab w:val="right" w:leader="dot" w:pos="9016"/>
            </w:tabs>
            <w:rPr>
              <w:rFonts w:asciiTheme="minorHAnsi" w:eastAsiaTheme="minorEastAsia" w:hAnsiTheme="minorHAnsi"/>
              <w:noProof/>
              <w:kern w:val="0"/>
              <w:sz w:val="22"/>
              <w:lang w:eastAsia="en-GB"/>
              <w14:ligatures w14:val="none"/>
            </w:rPr>
          </w:pPr>
          <w:hyperlink w:anchor="_Toc216140030" w:history="1">
            <w:r w:rsidR="00934C23" w:rsidRPr="00E23AF3">
              <w:rPr>
                <w:rStyle w:val="Hyperlink"/>
                <w:rFonts w:asciiTheme="minorBidi" w:hAnsiTheme="minorBidi"/>
                <w:noProof/>
              </w:rPr>
              <w:t>3.1.2 Leadership Theories as Applied to the Spanish Response.</w:t>
            </w:r>
            <w:r w:rsidR="00934C23">
              <w:rPr>
                <w:noProof/>
                <w:webHidden/>
              </w:rPr>
              <w:tab/>
            </w:r>
            <w:r w:rsidR="00934C23">
              <w:rPr>
                <w:noProof/>
                <w:webHidden/>
              </w:rPr>
              <w:fldChar w:fldCharType="begin"/>
            </w:r>
            <w:r w:rsidR="00934C23">
              <w:rPr>
                <w:noProof/>
                <w:webHidden/>
              </w:rPr>
              <w:instrText xml:space="preserve"> PAGEREF _Toc216140030 \h </w:instrText>
            </w:r>
            <w:r w:rsidR="00934C23">
              <w:rPr>
                <w:noProof/>
                <w:webHidden/>
              </w:rPr>
            </w:r>
            <w:r w:rsidR="00934C23">
              <w:rPr>
                <w:noProof/>
                <w:webHidden/>
              </w:rPr>
              <w:fldChar w:fldCharType="separate"/>
            </w:r>
            <w:r w:rsidR="00934C23">
              <w:rPr>
                <w:noProof/>
                <w:webHidden/>
              </w:rPr>
              <w:t>19</w:t>
            </w:r>
            <w:r w:rsidR="00934C23">
              <w:rPr>
                <w:noProof/>
                <w:webHidden/>
              </w:rPr>
              <w:fldChar w:fldCharType="end"/>
            </w:r>
          </w:hyperlink>
        </w:p>
        <w:p w14:paraId="1490DCF4" w14:textId="3A6E8DA6" w:rsidR="00934C23" w:rsidRDefault="00C00D01">
          <w:pPr>
            <w:pStyle w:val="TOC3"/>
            <w:tabs>
              <w:tab w:val="right" w:leader="dot" w:pos="9016"/>
            </w:tabs>
            <w:rPr>
              <w:rFonts w:asciiTheme="minorHAnsi" w:eastAsiaTheme="minorEastAsia" w:hAnsiTheme="minorHAnsi"/>
              <w:noProof/>
              <w:kern w:val="0"/>
              <w:sz w:val="22"/>
              <w:lang w:eastAsia="en-GB"/>
              <w14:ligatures w14:val="none"/>
            </w:rPr>
          </w:pPr>
          <w:hyperlink w:anchor="_Toc216140031" w:history="1">
            <w:r w:rsidR="00934C23" w:rsidRPr="00E23AF3">
              <w:rPr>
                <w:rStyle w:val="Hyperlink"/>
                <w:rFonts w:asciiTheme="minorBidi" w:hAnsiTheme="minorBidi"/>
                <w:noProof/>
              </w:rPr>
              <w:t>3.1.3 Strengths of Leadership Approach.</w:t>
            </w:r>
            <w:r w:rsidR="00934C23">
              <w:rPr>
                <w:noProof/>
                <w:webHidden/>
              </w:rPr>
              <w:tab/>
            </w:r>
            <w:r w:rsidR="00934C23">
              <w:rPr>
                <w:noProof/>
                <w:webHidden/>
              </w:rPr>
              <w:fldChar w:fldCharType="begin"/>
            </w:r>
            <w:r w:rsidR="00934C23">
              <w:rPr>
                <w:noProof/>
                <w:webHidden/>
              </w:rPr>
              <w:instrText xml:space="preserve"> PAGEREF _Toc216140031 \h </w:instrText>
            </w:r>
            <w:r w:rsidR="00934C23">
              <w:rPr>
                <w:noProof/>
                <w:webHidden/>
              </w:rPr>
            </w:r>
            <w:r w:rsidR="00934C23">
              <w:rPr>
                <w:noProof/>
                <w:webHidden/>
              </w:rPr>
              <w:fldChar w:fldCharType="separate"/>
            </w:r>
            <w:r w:rsidR="00934C23">
              <w:rPr>
                <w:noProof/>
                <w:webHidden/>
              </w:rPr>
              <w:t>21</w:t>
            </w:r>
            <w:r w:rsidR="00934C23">
              <w:rPr>
                <w:noProof/>
                <w:webHidden/>
              </w:rPr>
              <w:fldChar w:fldCharType="end"/>
            </w:r>
          </w:hyperlink>
        </w:p>
        <w:p w14:paraId="147929E6" w14:textId="046BBA26" w:rsidR="00934C23" w:rsidRDefault="00C00D01">
          <w:pPr>
            <w:pStyle w:val="TOC3"/>
            <w:tabs>
              <w:tab w:val="right" w:leader="dot" w:pos="9016"/>
            </w:tabs>
            <w:rPr>
              <w:rFonts w:asciiTheme="minorHAnsi" w:eastAsiaTheme="minorEastAsia" w:hAnsiTheme="minorHAnsi"/>
              <w:noProof/>
              <w:kern w:val="0"/>
              <w:sz w:val="22"/>
              <w:lang w:eastAsia="en-GB"/>
              <w14:ligatures w14:val="none"/>
            </w:rPr>
          </w:pPr>
          <w:hyperlink w:anchor="_Toc216140032" w:history="1">
            <w:r w:rsidR="00934C23" w:rsidRPr="00E23AF3">
              <w:rPr>
                <w:rStyle w:val="Hyperlink"/>
                <w:rFonts w:asciiTheme="minorBidi" w:hAnsiTheme="minorBidi"/>
                <w:noProof/>
              </w:rPr>
              <w:t>3.1.4 Weaknesses, Delays and Policy Failures.</w:t>
            </w:r>
            <w:r w:rsidR="00934C23">
              <w:rPr>
                <w:noProof/>
                <w:webHidden/>
              </w:rPr>
              <w:tab/>
            </w:r>
            <w:r w:rsidR="00934C23">
              <w:rPr>
                <w:noProof/>
                <w:webHidden/>
              </w:rPr>
              <w:fldChar w:fldCharType="begin"/>
            </w:r>
            <w:r w:rsidR="00934C23">
              <w:rPr>
                <w:noProof/>
                <w:webHidden/>
              </w:rPr>
              <w:instrText xml:space="preserve"> PAGEREF _Toc216140032 \h </w:instrText>
            </w:r>
            <w:r w:rsidR="00934C23">
              <w:rPr>
                <w:noProof/>
                <w:webHidden/>
              </w:rPr>
            </w:r>
            <w:r w:rsidR="00934C23">
              <w:rPr>
                <w:noProof/>
                <w:webHidden/>
              </w:rPr>
              <w:fldChar w:fldCharType="separate"/>
            </w:r>
            <w:r w:rsidR="00934C23">
              <w:rPr>
                <w:noProof/>
                <w:webHidden/>
              </w:rPr>
              <w:t>21</w:t>
            </w:r>
            <w:r w:rsidR="00934C23">
              <w:rPr>
                <w:noProof/>
                <w:webHidden/>
              </w:rPr>
              <w:fldChar w:fldCharType="end"/>
            </w:r>
          </w:hyperlink>
        </w:p>
        <w:p w14:paraId="07492B4F" w14:textId="01B295B3" w:rsidR="00934C23" w:rsidRDefault="00C00D01">
          <w:pPr>
            <w:pStyle w:val="TOC3"/>
            <w:tabs>
              <w:tab w:val="right" w:leader="dot" w:pos="9016"/>
            </w:tabs>
            <w:rPr>
              <w:rFonts w:asciiTheme="minorHAnsi" w:eastAsiaTheme="minorEastAsia" w:hAnsiTheme="minorHAnsi"/>
              <w:noProof/>
              <w:kern w:val="0"/>
              <w:sz w:val="22"/>
              <w:lang w:eastAsia="en-GB"/>
              <w14:ligatures w14:val="none"/>
            </w:rPr>
          </w:pPr>
          <w:hyperlink w:anchor="_Toc216140033" w:history="1">
            <w:r w:rsidR="00934C23" w:rsidRPr="00E23AF3">
              <w:rPr>
                <w:rStyle w:val="Hyperlink"/>
                <w:rFonts w:asciiTheme="minorBidi" w:hAnsiTheme="minorBidi"/>
                <w:noProof/>
              </w:rPr>
              <w:t>3.1.5 Impact of Leadership on Vaccination Success</w:t>
            </w:r>
            <w:r w:rsidR="00934C23">
              <w:rPr>
                <w:noProof/>
                <w:webHidden/>
              </w:rPr>
              <w:tab/>
            </w:r>
            <w:r w:rsidR="00934C23">
              <w:rPr>
                <w:noProof/>
                <w:webHidden/>
              </w:rPr>
              <w:fldChar w:fldCharType="begin"/>
            </w:r>
            <w:r w:rsidR="00934C23">
              <w:rPr>
                <w:noProof/>
                <w:webHidden/>
              </w:rPr>
              <w:instrText xml:space="preserve"> PAGEREF _Toc216140033 \h </w:instrText>
            </w:r>
            <w:r w:rsidR="00934C23">
              <w:rPr>
                <w:noProof/>
                <w:webHidden/>
              </w:rPr>
            </w:r>
            <w:r w:rsidR="00934C23">
              <w:rPr>
                <w:noProof/>
                <w:webHidden/>
              </w:rPr>
              <w:fldChar w:fldCharType="separate"/>
            </w:r>
            <w:r w:rsidR="00934C23">
              <w:rPr>
                <w:noProof/>
                <w:webHidden/>
              </w:rPr>
              <w:t>21</w:t>
            </w:r>
            <w:r w:rsidR="00934C23">
              <w:rPr>
                <w:noProof/>
                <w:webHidden/>
              </w:rPr>
              <w:fldChar w:fldCharType="end"/>
            </w:r>
          </w:hyperlink>
        </w:p>
        <w:p w14:paraId="1D0F2582" w14:textId="0544A4EF" w:rsidR="00934C23" w:rsidRDefault="00C00D01">
          <w:pPr>
            <w:pStyle w:val="TOC2"/>
            <w:tabs>
              <w:tab w:val="right" w:leader="dot" w:pos="9016"/>
            </w:tabs>
            <w:rPr>
              <w:rFonts w:asciiTheme="minorHAnsi" w:eastAsiaTheme="minorEastAsia" w:hAnsiTheme="minorHAnsi"/>
              <w:noProof/>
              <w:kern w:val="0"/>
              <w:sz w:val="22"/>
              <w:lang w:eastAsia="en-GB"/>
              <w14:ligatures w14:val="none"/>
            </w:rPr>
          </w:pPr>
          <w:hyperlink w:anchor="_Toc216140034" w:history="1">
            <w:r w:rsidR="00934C23" w:rsidRPr="00E23AF3">
              <w:rPr>
                <w:rStyle w:val="Hyperlink"/>
                <w:rFonts w:asciiTheme="minorBidi" w:hAnsiTheme="minorBidi"/>
                <w:noProof/>
              </w:rPr>
              <w:t>3.2 South Korean Leadership: Prime Minister- Chung Sye-kyun.</w:t>
            </w:r>
            <w:r w:rsidR="00934C23">
              <w:rPr>
                <w:noProof/>
                <w:webHidden/>
              </w:rPr>
              <w:tab/>
            </w:r>
            <w:r w:rsidR="00934C23">
              <w:rPr>
                <w:noProof/>
                <w:webHidden/>
              </w:rPr>
              <w:fldChar w:fldCharType="begin"/>
            </w:r>
            <w:r w:rsidR="00934C23">
              <w:rPr>
                <w:noProof/>
                <w:webHidden/>
              </w:rPr>
              <w:instrText xml:space="preserve"> PAGEREF _Toc216140034 \h </w:instrText>
            </w:r>
            <w:r w:rsidR="00934C23">
              <w:rPr>
                <w:noProof/>
                <w:webHidden/>
              </w:rPr>
            </w:r>
            <w:r w:rsidR="00934C23">
              <w:rPr>
                <w:noProof/>
                <w:webHidden/>
              </w:rPr>
              <w:fldChar w:fldCharType="separate"/>
            </w:r>
            <w:r w:rsidR="00934C23">
              <w:rPr>
                <w:noProof/>
                <w:webHidden/>
              </w:rPr>
              <w:t>22</w:t>
            </w:r>
            <w:r w:rsidR="00934C23">
              <w:rPr>
                <w:noProof/>
                <w:webHidden/>
              </w:rPr>
              <w:fldChar w:fldCharType="end"/>
            </w:r>
          </w:hyperlink>
        </w:p>
        <w:p w14:paraId="691E9B5B" w14:textId="539EDEC3" w:rsidR="00934C23" w:rsidRDefault="00C00D01">
          <w:pPr>
            <w:pStyle w:val="TOC3"/>
            <w:tabs>
              <w:tab w:val="right" w:leader="dot" w:pos="9016"/>
            </w:tabs>
            <w:rPr>
              <w:rFonts w:asciiTheme="minorHAnsi" w:eastAsiaTheme="minorEastAsia" w:hAnsiTheme="minorHAnsi"/>
              <w:noProof/>
              <w:kern w:val="0"/>
              <w:sz w:val="22"/>
              <w:lang w:eastAsia="en-GB"/>
              <w14:ligatures w14:val="none"/>
            </w:rPr>
          </w:pPr>
          <w:hyperlink w:anchor="_Toc216140035" w:history="1">
            <w:r w:rsidR="00934C23" w:rsidRPr="00E23AF3">
              <w:rPr>
                <w:rStyle w:val="Hyperlink"/>
                <w:rFonts w:asciiTheme="minorBidi" w:hAnsiTheme="minorBidi"/>
                <w:noProof/>
              </w:rPr>
              <w:t>3.2.1 South Korea Crisis Leadership Background.</w:t>
            </w:r>
            <w:r w:rsidR="00934C23">
              <w:rPr>
                <w:noProof/>
                <w:webHidden/>
              </w:rPr>
              <w:tab/>
            </w:r>
            <w:r w:rsidR="00934C23">
              <w:rPr>
                <w:noProof/>
                <w:webHidden/>
              </w:rPr>
              <w:fldChar w:fldCharType="begin"/>
            </w:r>
            <w:r w:rsidR="00934C23">
              <w:rPr>
                <w:noProof/>
                <w:webHidden/>
              </w:rPr>
              <w:instrText xml:space="preserve"> PAGEREF _Toc216140035 \h </w:instrText>
            </w:r>
            <w:r w:rsidR="00934C23">
              <w:rPr>
                <w:noProof/>
                <w:webHidden/>
              </w:rPr>
            </w:r>
            <w:r w:rsidR="00934C23">
              <w:rPr>
                <w:noProof/>
                <w:webHidden/>
              </w:rPr>
              <w:fldChar w:fldCharType="separate"/>
            </w:r>
            <w:r w:rsidR="00934C23">
              <w:rPr>
                <w:noProof/>
                <w:webHidden/>
              </w:rPr>
              <w:t>22</w:t>
            </w:r>
            <w:r w:rsidR="00934C23">
              <w:rPr>
                <w:noProof/>
                <w:webHidden/>
              </w:rPr>
              <w:fldChar w:fldCharType="end"/>
            </w:r>
          </w:hyperlink>
        </w:p>
        <w:p w14:paraId="563AD590" w14:textId="7E872B30" w:rsidR="00934C23" w:rsidRDefault="00C00D01">
          <w:pPr>
            <w:pStyle w:val="TOC3"/>
            <w:tabs>
              <w:tab w:val="right" w:leader="dot" w:pos="9016"/>
            </w:tabs>
            <w:rPr>
              <w:rFonts w:asciiTheme="minorHAnsi" w:eastAsiaTheme="minorEastAsia" w:hAnsiTheme="minorHAnsi"/>
              <w:noProof/>
              <w:kern w:val="0"/>
              <w:sz w:val="22"/>
              <w:lang w:eastAsia="en-GB"/>
              <w14:ligatures w14:val="none"/>
            </w:rPr>
          </w:pPr>
          <w:hyperlink w:anchor="_Toc216140036" w:history="1">
            <w:r w:rsidR="00934C23" w:rsidRPr="00E23AF3">
              <w:rPr>
                <w:rStyle w:val="Hyperlink"/>
                <w:rFonts w:asciiTheme="minorBidi" w:hAnsiTheme="minorBidi"/>
                <w:noProof/>
              </w:rPr>
              <w:t>3.2.2 Implementation of Transformational, Crisis and Distributed Leadership.</w:t>
            </w:r>
            <w:r w:rsidR="00934C23">
              <w:rPr>
                <w:noProof/>
                <w:webHidden/>
              </w:rPr>
              <w:tab/>
            </w:r>
            <w:r w:rsidR="00934C23">
              <w:rPr>
                <w:noProof/>
                <w:webHidden/>
              </w:rPr>
              <w:fldChar w:fldCharType="begin"/>
            </w:r>
            <w:r w:rsidR="00934C23">
              <w:rPr>
                <w:noProof/>
                <w:webHidden/>
              </w:rPr>
              <w:instrText xml:space="preserve"> PAGEREF _Toc216140036 \h </w:instrText>
            </w:r>
            <w:r w:rsidR="00934C23">
              <w:rPr>
                <w:noProof/>
                <w:webHidden/>
              </w:rPr>
            </w:r>
            <w:r w:rsidR="00934C23">
              <w:rPr>
                <w:noProof/>
                <w:webHidden/>
              </w:rPr>
              <w:fldChar w:fldCharType="separate"/>
            </w:r>
            <w:r w:rsidR="00934C23">
              <w:rPr>
                <w:noProof/>
                <w:webHidden/>
              </w:rPr>
              <w:t>22</w:t>
            </w:r>
            <w:r w:rsidR="00934C23">
              <w:rPr>
                <w:noProof/>
                <w:webHidden/>
              </w:rPr>
              <w:fldChar w:fldCharType="end"/>
            </w:r>
          </w:hyperlink>
        </w:p>
        <w:p w14:paraId="2A1FD78C" w14:textId="3E87E494" w:rsidR="00934C23" w:rsidRDefault="00C00D01">
          <w:pPr>
            <w:pStyle w:val="TOC3"/>
            <w:tabs>
              <w:tab w:val="right" w:leader="dot" w:pos="9016"/>
            </w:tabs>
            <w:rPr>
              <w:rFonts w:asciiTheme="minorHAnsi" w:eastAsiaTheme="minorEastAsia" w:hAnsiTheme="minorHAnsi"/>
              <w:noProof/>
              <w:kern w:val="0"/>
              <w:sz w:val="22"/>
              <w:lang w:eastAsia="en-GB"/>
              <w14:ligatures w14:val="none"/>
            </w:rPr>
          </w:pPr>
          <w:hyperlink w:anchor="_Toc216140037" w:history="1">
            <w:r w:rsidR="00934C23" w:rsidRPr="00E23AF3">
              <w:rPr>
                <w:rStyle w:val="Hyperlink"/>
                <w:rFonts w:asciiTheme="minorBidi" w:hAnsiTheme="minorBidi"/>
                <w:noProof/>
              </w:rPr>
              <w:t>3.2.3 Advantages of Open and Innovation-Based Leadership</w:t>
            </w:r>
            <w:r w:rsidR="00934C23">
              <w:rPr>
                <w:noProof/>
                <w:webHidden/>
              </w:rPr>
              <w:tab/>
            </w:r>
            <w:r w:rsidR="00934C23">
              <w:rPr>
                <w:noProof/>
                <w:webHidden/>
              </w:rPr>
              <w:fldChar w:fldCharType="begin"/>
            </w:r>
            <w:r w:rsidR="00934C23">
              <w:rPr>
                <w:noProof/>
                <w:webHidden/>
              </w:rPr>
              <w:instrText xml:space="preserve"> PAGEREF _Toc216140037 \h </w:instrText>
            </w:r>
            <w:r w:rsidR="00934C23">
              <w:rPr>
                <w:noProof/>
                <w:webHidden/>
              </w:rPr>
            </w:r>
            <w:r w:rsidR="00934C23">
              <w:rPr>
                <w:noProof/>
                <w:webHidden/>
              </w:rPr>
              <w:fldChar w:fldCharType="separate"/>
            </w:r>
            <w:r w:rsidR="00934C23">
              <w:rPr>
                <w:noProof/>
                <w:webHidden/>
              </w:rPr>
              <w:t>23</w:t>
            </w:r>
            <w:r w:rsidR="00934C23">
              <w:rPr>
                <w:noProof/>
                <w:webHidden/>
              </w:rPr>
              <w:fldChar w:fldCharType="end"/>
            </w:r>
          </w:hyperlink>
        </w:p>
        <w:p w14:paraId="229CCE5C" w14:textId="41F7AFB3" w:rsidR="00934C23" w:rsidRDefault="00C00D01">
          <w:pPr>
            <w:pStyle w:val="TOC3"/>
            <w:tabs>
              <w:tab w:val="right" w:leader="dot" w:pos="9016"/>
            </w:tabs>
            <w:rPr>
              <w:rFonts w:asciiTheme="minorHAnsi" w:eastAsiaTheme="minorEastAsia" w:hAnsiTheme="minorHAnsi"/>
              <w:noProof/>
              <w:kern w:val="0"/>
              <w:sz w:val="22"/>
              <w:lang w:eastAsia="en-GB"/>
              <w14:ligatures w14:val="none"/>
            </w:rPr>
          </w:pPr>
          <w:hyperlink w:anchor="_Toc216140038" w:history="1">
            <w:r w:rsidR="00934C23" w:rsidRPr="00E23AF3">
              <w:rPr>
                <w:rStyle w:val="Hyperlink"/>
                <w:rFonts w:asciiTheme="minorBidi" w:hAnsiTheme="minorBidi"/>
                <w:noProof/>
              </w:rPr>
              <w:t>3.2.4 Leadership Ethical and Privacy-Related Issues</w:t>
            </w:r>
            <w:r w:rsidR="00934C23">
              <w:rPr>
                <w:noProof/>
                <w:webHidden/>
              </w:rPr>
              <w:tab/>
            </w:r>
            <w:r w:rsidR="00934C23">
              <w:rPr>
                <w:noProof/>
                <w:webHidden/>
              </w:rPr>
              <w:fldChar w:fldCharType="begin"/>
            </w:r>
            <w:r w:rsidR="00934C23">
              <w:rPr>
                <w:noProof/>
                <w:webHidden/>
              </w:rPr>
              <w:instrText xml:space="preserve"> PAGEREF _Toc216140038 \h </w:instrText>
            </w:r>
            <w:r w:rsidR="00934C23">
              <w:rPr>
                <w:noProof/>
                <w:webHidden/>
              </w:rPr>
            </w:r>
            <w:r w:rsidR="00934C23">
              <w:rPr>
                <w:noProof/>
                <w:webHidden/>
              </w:rPr>
              <w:fldChar w:fldCharType="separate"/>
            </w:r>
            <w:r w:rsidR="00934C23">
              <w:rPr>
                <w:noProof/>
                <w:webHidden/>
              </w:rPr>
              <w:t>23</w:t>
            </w:r>
            <w:r w:rsidR="00934C23">
              <w:rPr>
                <w:noProof/>
                <w:webHidden/>
              </w:rPr>
              <w:fldChar w:fldCharType="end"/>
            </w:r>
          </w:hyperlink>
        </w:p>
        <w:p w14:paraId="74A5513F" w14:textId="481F2EA1" w:rsidR="00934C23" w:rsidRDefault="00C00D01">
          <w:pPr>
            <w:pStyle w:val="TOC3"/>
            <w:tabs>
              <w:tab w:val="right" w:leader="dot" w:pos="9016"/>
            </w:tabs>
            <w:rPr>
              <w:rFonts w:asciiTheme="minorHAnsi" w:eastAsiaTheme="minorEastAsia" w:hAnsiTheme="minorHAnsi"/>
              <w:noProof/>
              <w:kern w:val="0"/>
              <w:sz w:val="22"/>
              <w:lang w:eastAsia="en-GB"/>
              <w14:ligatures w14:val="none"/>
            </w:rPr>
          </w:pPr>
          <w:hyperlink w:anchor="_Toc216140039" w:history="1">
            <w:r w:rsidR="00934C23" w:rsidRPr="00E23AF3">
              <w:rPr>
                <w:rStyle w:val="Hyperlink"/>
                <w:rFonts w:asciiTheme="minorBidi" w:hAnsiTheme="minorBidi"/>
                <w:noProof/>
              </w:rPr>
              <w:t>3.2.5 Leadership Instruction on People Compliance and Results</w:t>
            </w:r>
            <w:r w:rsidR="00934C23">
              <w:rPr>
                <w:noProof/>
                <w:webHidden/>
              </w:rPr>
              <w:tab/>
            </w:r>
            <w:r w:rsidR="00934C23">
              <w:rPr>
                <w:noProof/>
                <w:webHidden/>
              </w:rPr>
              <w:fldChar w:fldCharType="begin"/>
            </w:r>
            <w:r w:rsidR="00934C23">
              <w:rPr>
                <w:noProof/>
                <w:webHidden/>
              </w:rPr>
              <w:instrText xml:space="preserve"> PAGEREF _Toc216140039 \h </w:instrText>
            </w:r>
            <w:r w:rsidR="00934C23">
              <w:rPr>
                <w:noProof/>
                <w:webHidden/>
              </w:rPr>
            </w:r>
            <w:r w:rsidR="00934C23">
              <w:rPr>
                <w:noProof/>
                <w:webHidden/>
              </w:rPr>
              <w:fldChar w:fldCharType="separate"/>
            </w:r>
            <w:r w:rsidR="00934C23">
              <w:rPr>
                <w:noProof/>
                <w:webHidden/>
              </w:rPr>
              <w:t>24</w:t>
            </w:r>
            <w:r w:rsidR="00934C23">
              <w:rPr>
                <w:noProof/>
                <w:webHidden/>
              </w:rPr>
              <w:fldChar w:fldCharType="end"/>
            </w:r>
          </w:hyperlink>
        </w:p>
        <w:p w14:paraId="052AD613" w14:textId="67BE9A96" w:rsidR="00934C23" w:rsidRDefault="00C00D01">
          <w:pPr>
            <w:pStyle w:val="TOC2"/>
            <w:tabs>
              <w:tab w:val="right" w:leader="dot" w:pos="9016"/>
            </w:tabs>
            <w:rPr>
              <w:rFonts w:asciiTheme="minorHAnsi" w:eastAsiaTheme="minorEastAsia" w:hAnsiTheme="minorHAnsi"/>
              <w:noProof/>
              <w:kern w:val="0"/>
              <w:sz w:val="22"/>
              <w:lang w:eastAsia="en-GB"/>
              <w14:ligatures w14:val="none"/>
            </w:rPr>
          </w:pPr>
          <w:hyperlink w:anchor="_Toc216140040" w:history="1">
            <w:r w:rsidR="00934C23" w:rsidRPr="00E23AF3">
              <w:rPr>
                <w:rStyle w:val="Hyperlink"/>
                <w:rFonts w:asciiTheme="minorBidi" w:hAnsiTheme="minorBidi"/>
                <w:noProof/>
              </w:rPr>
              <w:t>3.3 Leadership in Canada: Prime Minister Justin Trudeau</w:t>
            </w:r>
            <w:r w:rsidR="00934C23">
              <w:rPr>
                <w:noProof/>
                <w:webHidden/>
              </w:rPr>
              <w:tab/>
            </w:r>
            <w:r w:rsidR="00934C23">
              <w:rPr>
                <w:noProof/>
                <w:webHidden/>
              </w:rPr>
              <w:fldChar w:fldCharType="begin"/>
            </w:r>
            <w:r w:rsidR="00934C23">
              <w:rPr>
                <w:noProof/>
                <w:webHidden/>
              </w:rPr>
              <w:instrText xml:space="preserve"> PAGEREF _Toc216140040 \h </w:instrText>
            </w:r>
            <w:r w:rsidR="00934C23">
              <w:rPr>
                <w:noProof/>
                <w:webHidden/>
              </w:rPr>
            </w:r>
            <w:r w:rsidR="00934C23">
              <w:rPr>
                <w:noProof/>
                <w:webHidden/>
              </w:rPr>
              <w:fldChar w:fldCharType="separate"/>
            </w:r>
            <w:r w:rsidR="00934C23">
              <w:rPr>
                <w:noProof/>
                <w:webHidden/>
              </w:rPr>
              <w:t>24</w:t>
            </w:r>
            <w:r w:rsidR="00934C23">
              <w:rPr>
                <w:noProof/>
                <w:webHidden/>
              </w:rPr>
              <w:fldChar w:fldCharType="end"/>
            </w:r>
          </w:hyperlink>
        </w:p>
        <w:p w14:paraId="576357DD" w14:textId="19E4D6A4" w:rsidR="00934C23" w:rsidRDefault="00C00D01">
          <w:pPr>
            <w:pStyle w:val="TOC3"/>
            <w:tabs>
              <w:tab w:val="right" w:leader="dot" w:pos="9016"/>
            </w:tabs>
            <w:rPr>
              <w:rFonts w:asciiTheme="minorHAnsi" w:eastAsiaTheme="minorEastAsia" w:hAnsiTheme="minorHAnsi"/>
              <w:noProof/>
              <w:kern w:val="0"/>
              <w:sz w:val="22"/>
              <w:lang w:eastAsia="en-GB"/>
              <w14:ligatures w14:val="none"/>
            </w:rPr>
          </w:pPr>
          <w:hyperlink w:anchor="_Toc216140041" w:history="1">
            <w:r w:rsidR="00934C23" w:rsidRPr="00E23AF3">
              <w:rPr>
                <w:rStyle w:val="Hyperlink"/>
                <w:rFonts w:asciiTheme="minorBidi" w:hAnsiTheme="minorBidi"/>
                <w:noProof/>
              </w:rPr>
              <w:t>3.3.1 Federal Leadership in a Decentralised Health System</w:t>
            </w:r>
            <w:r w:rsidR="00934C23">
              <w:rPr>
                <w:noProof/>
                <w:webHidden/>
              </w:rPr>
              <w:tab/>
            </w:r>
            <w:r w:rsidR="00934C23">
              <w:rPr>
                <w:noProof/>
                <w:webHidden/>
              </w:rPr>
              <w:fldChar w:fldCharType="begin"/>
            </w:r>
            <w:r w:rsidR="00934C23">
              <w:rPr>
                <w:noProof/>
                <w:webHidden/>
              </w:rPr>
              <w:instrText xml:space="preserve"> PAGEREF _Toc216140041 \h </w:instrText>
            </w:r>
            <w:r w:rsidR="00934C23">
              <w:rPr>
                <w:noProof/>
                <w:webHidden/>
              </w:rPr>
            </w:r>
            <w:r w:rsidR="00934C23">
              <w:rPr>
                <w:noProof/>
                <w:webHidden/>
              </w:rPr>
              <w:fldChar w:fldCharType="separate"/>
            </w:r>
            <w:r w:rsidR="00934C23">
              <w:rPr>
                <w:noProof/>
                <w:webHidden/>
              </w:rPr>
              <w:t>24</w:t>
            </w:r>
            <w:r w:rsidR="00934C23">
              <w:rPr>
                <w:noProof/>
                <w:webHidden/>
              </w:rPr>
              <w:fldChar w:fldCharType="end"/>
            </w:r>
          </w:hyperlink>
        </w:p>
        <w:p w14:paraId="192EA5A2" w14:textId="6BD0A91A" w:rsidR="00934C23" w:rsidRDefault="00C00D01">
          <w:pPr>
            <w:pStyle w:val="TOC3"/>
            <w:tabs>
              <w:tab w:val="right" w:leader="dot" w:pos="9016"/>
            </w:tabs>
            <w:rPr>
              <w:rFonts w:asciiTheme="minorHAnsi" w:eastAsiaTheme="minorEastAsia" w:hAnsiTheme="minorHAnsi"/>
              <w:noProof/>
              <w:kern w:val="0"/>
              <w:sz w:val="22"/>
              <w:lang w:eastAsia="en-GB"/>
              <w14:ligatures w14:val="none"/>
            </w:rPr>
          </w:pPr>
          <w:hyperlink w:anchor="_Toc216140042" w:history="1">
            <w:r w:rsidR="00934C23" w:rsidRPr="00E23AF3">
              <w:rPr>
                <w:rStyle w:val="Hyperlink"/>
                <w:rFonts w:asciiTheme="minorBidi" w:hAnsiTheme="minorBidi"/>
                <w:noProof/>
              </w:rPr>
              <w:t>3.3.2 Utilisation of Distributed, Situational and Transitional Leadership.</w:t>
            </w:r>
            <w:r w:rsidR="00934C23">
              <w:rPr>
                <w:noProof/>
                <w:webHidden/>
              </w:rPr>
              <w:tab/>
            </w:r>
            <w:r w:rsidR="00934C23">
              <w:rPr>
                <w:noProof/>
                <w:webHidden/>
              </w:rPr>
              <w:fldChar w:fldCharType="begin"/>
            </w:r>
            <w:r w:rsidR="00934C23">
              <w:rPr>
                <w:noProof/>
                <w:webHidden/>
              </w:rPr>
              <w:instrText xml:space="preserve"> PAGEREF _Toc216140042 \h </w:instrText>
            </w:r>
            <w:r w:rsidR="00934C23">
              <w:rPr>
                <w:noProof/>
                <w:webHidden/>
              </w:rPr>
            </w:r>
            <w:r w:rsidR="00934C23">
              <w:rPr>
                <w:noProof/>
                <w:webHidden/>
              </w:rPr>
              <w:fldChar w:fldCharType="separate"/>
            </w:r>
            <w:r w:rsidR="00934C23">
              <w:rPr>
                <w:noProof/>
                <w:webHidden/>
              </w:rPr>
              <w:t>24</w:t>
            </w:r>
            <w:r w:rsidR="00934C23">
              <w:rPr>
                <w:noProof/>
                <w:webHidden/>
              </w:rPr>
              <w:fldChar w:fldCharType="end"/>
            </w:r>
          </w:hyperlink>
        </w:p>
        <w:p w14:paraId="2D95045B" w14:textId="766313E5" w:rsidR="00934C23" w:rsidRDefault="00C00D01">
          <w:pPr>
            <w:pStyle w:val="TOC3"/>
            <w:tabs>
              <w:tab w:val="right" w:leader="dot" w:pos="9016"/>
            </w:tabs>
            <w:rPr>
              <w:rFonts w:asciiTheme="minorHAnsi" w:eastAsiaTheme="minorEastAsia" w:hAnsiTheme="minorHAnsi"/>
              <w:noProof/>
              <w:kern w:val="0"/>
              <w:sz w:val="22"/>
              <w:lang w:eastAsia="en-GB"/>
              <w14:ligatures w14:val="none"/>
            </w:rPr>
          </w:pPr>
          <w:hyperlink w:anchor="_Toc216140043" w:history="1">
            <w:r w:rsidR="00934C23" w:rsidRPr="00E23AF3">
              <w:rPr>
                <w:rStyle w:val="Hyperlink"/>
                <w:rFonts w:asciiTheme="minorBidi" w:hAnsiTheme="minorBidi"/>
                <w:noProof/>
              </w:rPr>
              <w:t>3.3.3 Unifying National Leadership Strengths.</w:t>
            </w:r>
            <w:r w:rsidR="00934C23">
              <w:rPr>
                <w:noProof/>
                <w:webHidden/>
              </w:rPr>
              <w:tab/>
            </w:r>
            <w:r w:rsidR="00934C23">
              <w:rPr>
                <w:noProof/>
                <w:webHidden/>
              </w:rPr>
              <w:fldChar w:fldCharType="begin"/>
            </w:r>
            <w:r w:rsidR="00934C23">
              <w:rPr>
                <w:noProof/>
                <w:webHidden/>
              </w:rPr>
              <w:instrText xml:space="preserve"> PAGEREF _Toc216140043 \h </w:instrText>
            </w:r>
            <w:r w:rsidR="00934C23">
              <w:rPr>
                <w:noProof/>
                <w:webHidden/>
              </w:rPr>
            </w:r>
            <w:r w:rsidR="00934C23">
              <w:rPr>
                <w:noProof/>
                <w:webHidden/>
              </w:rPr>
              <w:fldChar w:fldCharType="separate"/>
            </w:r>
            <w:r w:rsidR="00934C23">
              <w:rPr>
                <w:noProof/>
                <w:webHidden/>
              </w:rPr>
              <w:t>25</w:t>
            </w:r>
            <w:r w:rsidR="00934C23">
              <w:rPr>
                <w:noProof/>
                <w:webHidden/>
              </w:rPr>
              <w:fldChar w:fldCharType="end"/>
            </w:r>
          </w:hyperlink>
        </w:p>
        <w:p w14:paraId="48D4DBFE" w14:textId="675705D4" w:rsidR="00934C23" w:rsidRDefault="00C00D01">
          <w:pPr>
            <w:pStyle w:val="TOC3"/>
            <w:tabs>
              <w:tab w:val="right" w:leader="dot" w:pos="9016"/>
            </w:tabs>
            <w:rPr>
              <w:rFonts w:asciiTheme="minorHAnsi" w:eastAsiaTheme="minorEastAsia" w:hAnsiTheme="minorHAnsi"/>
              <w:noProof/>
              <w:kern w:val="0"/>
              <w:sz w:val="22"/>
              <w:lang w:eastAsia="en-GB"/>
              <w14:ligatures w14:val="none"/>
            </w:rPr>
          </w:pPr>
          <w:hyperlink w:anchor="_Toc216140044" w:history="1">
            <w:r w:rsidR="00934C23" w:rsidRPr="00E23AF3">
              <w:rPr>
                <w:rStyle w:val="Hyperlink"/>
                <w:rFonts w:asciiTheme="minorBidi" w:hAnsiTheme="minorBidi"/>
                <w:noProof/>
              </w:rPr>
              <w:t>3.3.4 Weaknesses in Intergovernmental Co-ordination.</w:t>
            </w:r>
            <w:r w:rsidR="00934C23">
              <w:rPr>
                <w:noProof/>
                <w:webHidden/>
              </w:rPr>
              <w:tab/>
            </w:r>
            <w:r w:rsidR="00934C23">
              <w:rPr>
                <w:noProof/>
                <w:webHidden/>
              </w:rPr>
              <w:fldChar w:fldCharType="begin"/>
            </w:r>
            <w:r w:rsidR="00934C23">
              <w:rPr>
                <w:noProof/>
                <w:webHidden/>
              </w:rPr>
              <w:instrText xml:space="preserve"> PAGEREF _Toc216140044 \h </w:instrText>
            </w:r>
            <w:r w:rsidR="00934C23">
              <w:rPr>
                <w:noProof/>
                <w:webHidden/>
              </w:rPr>
            </w:r>
            <w:r w:rsidR="00934C23">
              <w:rPr>
                <w:noProof/>
                <w:webHidden/>
              </w:rPr>
              <w:fldChar w:fldCharType="separate"/>
            </w:r>
            <w:r w:rsidR="00934C23">
              <w:rPr>
                <w:noProof/>
                <w:webHidden/>
              </w:rPr>
              <w:t>26</w:t>
            </w:r>
            <w:r w:rsidR="00934C23">
              <w:rPr>
                <w:noProof/>
                <w:webHidden/>
              </w:rPr>
              <w:fldChar w:fldCharType="end"/>
            </w:r>
          </w:hyperlink>
        </w:p>
        <w:p w14:paraId="29087D4F" w14:textId="3AFF33E4" w:rsidR="00934C23" w:rsidRDefault="00C00D01">
          <w:pPr>
            <w:pStyle w:val="TOC3"/>
            <w:tabs>
              <w:tab w:val="right" w:leader="dot" w:pos="9016"/>
            </w:tabs>
            <w:rPr>
              <w:rFonts w:asciiTheme="minorHAnsi" w:eastAsiaTheme="minorEastAsia" w:hAnsiTheme="minorHAnsi"/>
              <w:noProof/>
              <w:kern w:val="0"/>
              <w:sz w:val="22"/>
              <w:lang w:eastAsia="en-GB"/>
              <w14:ligatures w14:val="none"/>
            </w:rPr>
          </w:pPr>
          <w:hyperlink w:anchor="_Toc216140045" w:history="1">
            <w:r w:rsidR="00934C23" w:rsidRPr="00E23AF3">
              <w:rPr>
                <w:rStyle w:val="Hyperlink"/>
                <w:rFonts w:asciiTheme="minorBidi" w:hAnsiTheme="minorBidi"/>
                <w:noProof/>
              </w:rPr>
              <w:t>3.3.5 Leadership Impact on Vaccine Roll-Out and Recovery.</w:t>
            </w:r>
            <w:r w:rsidR="00934C23">
              <w:rPr>
                <w:noProof/>
                <w:webHidden/>
              </w:rPr>
              <w:tab/>
            </w:r>
            <w:r w:rsidR="00934C23">
              <w:rPr>
                <w:noProof/>
                <w:webHidden/>
              </w:rPr>
              <w:fldChar w:fldCharType="begin"/>
            </w:r>
            <w:r w:rsidR="00934C23">
              <w:rPr>
                <w:noProof/>
                <w:webHidden/>
              </w:rPr>
              <w:instrText xml:space="preserve"> PAGEREF _Toc216140045 \h </w:instrText>
            </w:r>
            <w:r w:rsidR="00934C23">
              <w:rPr>
                <w:noProof/>
                <w:webHidden/>
              </w:rPr>
            </w:r>
            <w:r w:rsidR="00934C23">
              <w:rPr>
                <w:noProof/>
                <w:webHidden/>
              </w:rPr>
              <w:fldChar w:fldCharType="separate"/>
            </w:r>
            <w:r w:rsidR="00934C23">
              <w:rPr>
                <w:noProof/>
                <w:webHidden/>
              </w:rPr>
              <w:t>26</w:t>
            </w:r>
            <w:r w:rsidR="00934C23">
              <w:rPr>
                <w:noProof/>
                <w:webHidden/>
              </w:rPr>
              <w:fldChar w:fldCharType="end"/>
            </w:r>
          </w:hyperlink>
        </w:p>
        <w:p w14:paraId="45BC17F7" w14:textId="7284D001" w:rsidR="00934C23" w:rsidRDefault="00C00D01">
          <w:pPr>
            <w:pStyle w:val="TOC2"/>
            <w:tabs>
              <w:tab w:val="right" w:leader="dot" w:pos="9016"/>
            </w:tabs>
            <w:rPr>
              <w:rFonts w:asciiTheme="minorHAnsi" w:eastAsiaTheme="minorEastAsia" w:hAnsiTheme="minorHAnsi"/>
              <w:noProof/>
              <w:kern w:val="0"/>
              <w:sz w:val="22"/>
              <w:lang w:eastAsia="en-GB"/>
              <w14:ligatures w14:val="none"/>
            </w:rPr>
          </w:pPr>
          <w:hyperlink w:anchor="_Toc216140046" w:history="1">
            <w:r w:rsidR="00934C23" w:rsidRPr="00E23AF3">
              <w:rPr>
                <w:rStyle w:val="Hyperlink"/>
                <w:rFonts w:asciiTheme="minorBidi" w:hAnsiTheme="minorBidi"/>
                <w:noProof/>
              </w:rPr>
              <w:t>3.4 Comparative Analysis of the Leadership Effectiveness among the three Countries.</w:t>
            </w:r>
            <w:r w:rsidR="00934C23">
              <w:rPr>
                <w:noProof/>
                <w:webHidden/>
              </w:rPr>
              <w:tab/>
            </w:r>
            <w:r w:rsidR="00934C23">
              <w:rPr>
                <w:noProof/>
                <w:webHidden/>
              </w:rPr>
              <w:fldChar w:fldCharType="begin"/>
            </w:r>
            <w:r w:rsidR="00934C23">
              <w:rPr>
                <w:noProof/>
                <w:webHidden/>
              </w:rPr>
              <w:instrText xml:space="preserve"> PAGEREF _Toc216140046 \h </w:instrText>
            </w:r>
            <w:r w:rsidR="00934C23">
              <w:rPr>
                <w:noProof/>
                <w:webHidden/>
              </w:rPr>
            </w:r>
            <w:r w:rsidR="00934C23">
              <w:rPr>
                <w:noProof/>
                <w:webHidden/>
              </w:rPr>
              <w:fldChar w:fldCharType="separate"/>
            </w:r>
            <w:r w:rsidR="00934C23">
              <w:rPr>
                <w:noProof/>
                <w:webHidden/>
              </w:rPr>
              <w:t>27</w:t>
            </w:r>
            <w:r w:rsidR="00934C23">
              <w:rPr>
                <w:noProof/>
                <w:webHidden/>
              </w:rPr>
              <w:fldChar w:fldCharType="end"/>
            </w:r>
          </w:hyperlink>
        </w:p>
        <w:p w14:paraId="5BF03785" w14:textId="588A286D" w:rsidR="00934C23" w:rsidRDefault="00C00D01">
          <w:pPr>
            <w:pStyle w:val="TOC3"/>
            <w:tabs>
              <w:tab w:val="right" w:leader="dot" w:pos="9016"/>
            </w:tabs>
            <w:rPr>
              <w:rFonts w:asciiTheme="minorHAnsi" w:eastAsiaTheme="minorEastAsia" w:hAnsiTheme="minorHAnsi"/>
              <w:noProof/>
              <w:kern w:val="0"/>
              <w:sz w:val="22"/>
              <w:lang w:eastAsia="en-GB"/>
              <w14:ligatures w14:val="none"/>
            </w:rPr>
          </w:pPr>
          <w:hyperlink w:anchor="_Toc216140047" w:history="1">
            <w:r w:rsidR="00934C23" w:rsidRPr="00E23AF3">
              <w:rPr>
                <w:rStyle w:val="Hyperlink"/>
                <w:rFonts w:asciiTheme="minorBidi" w:hAnsiTheme="minorBidi"/>
                <w:noProof/>
              </w:rPr>
              <w:t>3.4.1 Differences in Leadership Authority and Decision-Making Power.</w:t>
            </w:r>
            <w:r w:rsidR="00934C23">
              <w:rPr>
                <w:noProof/>
                <w:webHidden/>
              </w:rPr>
              <w:tab/>
            </w:r>
            <w:r w:rsidR="00934C23">
              <w:rPr>
                <w:noProof/>
                <w:webHidden/>
              </w:rPr>
              <w:fldChar w:fldCharType="begin"/>
            </w:r>
            <w:r w:rsidR="00934C23">
              <w:rPr>
                <w:noProof/>
                <w:webHidden/>
              </w:rPr>
              <w:instrText xml:space="preserve"> PAGEREF _Toc216140047 \h </w:instrText>
            </w:r>
            <w:r w:rsidR="00934C23">
              <w:rPr>
                <w:noProof/>
                <w:webHidden/>
              </w:rPr>
            </w:r>
            <w:r w:rsidR="00934C23">
              <w:rPr>
                <w:noProof/>
                <w:webHidden/>
              </w:rPr>
              <w:fldChar w:fldCharType="separate"/>
            </w:r>
            <w:r w:rsidR="00934C23">
              <w:rPr>
                <w:noProof/>
                <w:webHidden/>
              </w:rPr>
              <w:t>27</w:t>
            </w:r>
            <w:r w:rsidR="00934C23">
              <w:rPr>
                <w:noProof/>
                <w:webHidden/>
              </w:rPr>
              <w:fldChar w:fldCharType="end"/>
            </w:r>
          </w:hyperlink>
        </w:p>
        <w:p w14:paraId="298ECC86" w14:textId="0FA25B35" w:rsidR="00934C23" w:rsidRDefault="00C00D01">
          <w:pPr>
            <w:pStyle w:val="TOC3"/>
            <w:tabs>
              <w:tab w:val="right" w:leader="dot" w:pos="9016"/>
            </w:tabs>
            <w:rPr>
              <w:rFonts w:asciiTheme="minorHAnsi" w:eastAsiaTheme="minorEastAsia" w:hAnsiTheme="minorHAnsi"/>
              <w:noProof/>
              <w:kern w:val="0"/>
              <w:sz w:val="22"/>
              <w:lang w:eastAsia="en-GB"/>
              <w14:ligatures w14:val="none"/>
            </w:rPr>
          </w:pPr>
          <w:hyperlink w:anchor="_Toc216140048" w:history="1">
            <w:r w:rsidR="00934C23" w:rsidRPr="00E23AF3">
              <w:rPr>
                <w:rStyle w:val="Hyperlink"/>
                <w:rFonts w:asciiTheme="minorBidi" w:hAnsiTheme="minorBidi"/>
                <w:noProof/>
              </w:rPr>
              <w:t>3.4.2 Leadership Influence on Health System Performance</w:t>
            </w:r>
            <w:r w:rsidR="00934C23">
              <w:rPr>
                <w:noProof/>
                <w:webHidden/>
              </w:rPr>
              <w:tab/>
            </w:r>
            <w:r w:rsidR="00934C23">
              <w:rPr>
                <w:noProof/>
                <w:webHidden/>
              </w:rPr>
              <w:fldChar w:fldCharType="begin"/>
            </w:r>
            <w:r w:rsidR="00934C23">
              <w:rPr>
                <w:noProof/>
                <w:webHidden/>
              </w:rPr>
              <w:instrText xml:space="preserve"> PAGEREF _Toc216140048 \h </w:instrText>
            </w:r>
            <w:r w:rsidR="00934C23">
              <w:rPr>
                <w:noProof/>
                <w:webHidden/>
              </w:rPr>
            </w:r>
            <w:r w:rsidR="00934C23">
              <w:rPr>
                <w:noProof/>
                <w:webHidden/>
              </w:rPr>
              <w:fldChar w:fldCharType="separate"/>
            </w:r>
            <w:r w:rsidR="00934C23">
              <w:rPr>
                <w:noProof/>
                <w:webHidden/>
              </w:rPr>
              <w:t>27</w:t>
            </w:r>
            <w:r w:rsidR="00934C23">
              <w:rPr>
                <w:noProof/>
                <w:webHidden/>
              </w:rPr>
              <w:fldChar w:fldCharType="end"/>
            </w:r>
          </w:hyperlink>
        </w:p>
        <w:p w14:paraId="6648F709" w14:textId="2B6AD177" w:rsidR="00934C23" w:rsidRDefault="00C00D01">
          <w:pPr>
            <w:pStyle w:val="TOC3"/>
            <w:tabs>
              <w:tab w:val="right" w:leader="dot" w:pos="9016"/>
            </w:tabs>
            <w:rPr>
              <w:rFonts w:asciiTheme="minorHAnsi" w:eastAsiaTheme="minorEastAsia" w:hAnsiTheme="minorHAnsi"/>
              <w:noProof/>
              <w:kern w:val="0"/>
              <w:sz w:val="22"/>
              <w:lang w:eastAsia="en-GB"/>
              <w14:ligatures w14:val="none"/>
            </w:rPr>
          </w:pPr>
          <w:hyperlink w:anchor="_Toc216140049" w:history="1">
            <w:r w:rsidR="00934C23" w:rsidRPr="00E23AF3">
              <w:rPr>
                <w:rStyle w:val="Hyperlink"/>
                <w:rFonts w:asciiTheme="minorBidi" w:hAnsiTheme="minorBidi"/>
                <w:noProof/>
              </w:rPr>
              <w:t>3.4.3 Future Public health crisis leadership lessons.</w:t>
            </w:r>
            <w:r w:rsidR="00934C23">
              <w:rPr>
                <w:noProof/>
                <w:webHidden/>
              </w:rPr>
              <w:tab/>
            </w:r>
            <w:r w:rsidR="00934C23">
              <w:rPr>
                <w:noProof/>
                <w:webHidden/>
              </w:rPr>
              <w:fldChar w:fldCharType="begin"/>
            </w:r>
            <w:r w:rsidR="00934C23">
              <w:rPr>
                <w:noProof/>
                <w:webHidden/>
              </w:rPr>
              <w:instrText xml:space="preserve"> PAGEREF _Toc216140049 \h </w:instrText>
            </w:r>
            <w:r w:rsidR="00934C23">
              <w:rPr>
                <w:noProof/>
                <w:webHidden/>
              </w:rPr>
            </w:r>
            <w:r w:rsidR="00934C23">
              <w:rPr>
                <w:noProof/>
                <w:webHidden/>
              </w:rPr>
              <w:fldChar w:fldCharType="separate"/>
            </w:r>
            <w:r w:rsidR="00934C23">
              <w:rPr>
                <w:noProof/>
                <w:webHidden/>
              </w:rPr>
              <w:t>27</w:t>
            </w:r>
            <w:r w:rsidR="00934C23">
              <w:rPr>
                <w:noProof/>
                <w:webHidden/>
              </w:rPr>
              <w:fldChar w:fldCharType="end"/>
            </w:r>
          </w:hyperlink>
        </w:p>
        <w:p w14:paraId="183A039E" w14:textId="3C865761" w:rsidR="00934C23" w:rsidRDefault="00C00D01">
          <w:pPr>
            <w:pStyle w:val="TOC1"/>
            <w:tabs>
              <w:tab w:val="right" w:leader="dot" w:pos="9016"/>
            </w:tabs>
            <w:rPr>
              <w:rFonts w:asciiTheme="minorHAnsi" w:eastAsiaTheme="minorEastAsia" w:hAnsiTheme="minorHAnsi"/>
              <w:noProof/>
              <w:kern w:val="0"/>
              <w:sz w:val="22"/>
              <w:lang w:eastAsia="en-GB"/>
              <w14:ligatures w14:val="none"/>
            </w:rPr>
          </w:pPr>
          <w:hyperlink w:anchor="_Toc216140050" w:history="1">
            <w:r w:rsidR="00934C23" w:rsidRPr="00E23AF3">
              <w:rPr>
                <w:rStyle w:val="Hyperlink"/>
                <w:noProof/>
              </w:rPr>
              <w:t>4. Conclusion</w:t>
            </w:r>
            <w:r w:rsidR="00934C23">
              <w:rPr>
                <w:noProof/>
                <w:webHidden/>
              </w:rPr>
              <w:tab/>
            </w:r>
            <w:r w:rsidR="00934C23">
              <w:rPr>
                <w:noProof/>
                <w:webHidden/>
              </w:rPr>
              <w:fldChar w:fldCharType="begin"/>
            </w:r>
            <w:r w:rsidR="00934C23">
              <w:rPr>
                <w:noProof/>
                <w:webHidden/>
              </w:rPr>
              <w:instrText xml:space="preserve"> PAGEREF _Toc216140050 \h </w:instrText>
            </w:r>
            <w:r w:rsidR="00934C23">
              <w:rPr>
                <w:noProof/>
                <w:webHidden/>
              </w:rPr>
            </w:r>
            <w:r w:rsidR="00934C23">
              <w:rPr>
                <w:noProof/>
                <w:webHidden/>
              </w:rPr>
              <w:fldChar w:fldCharType="separate"/>
            </w:r>
            <w:r w:rsidR="00934C23">
              <w:rPr>
                <w:noProof/>
                <w:webHidden/>
              </w:rPr>
              <w:t>28</w:t>
            </w:r>
            <w:r w:rsidR="00934C23">
              <w:rPr>
                <w:noProof/>
                <w:webHidden/>
              </w:rPr>
              <w:fldChar w:fldCharType="end"/>
            </w:r>
          </w:hyperlink>
        </w:p>
        <w:p w14:paraId="04A974BB" w14:textId="455A015E" w:rsidR="00934C23" w:rsidRDefault="00C00D01">
          <w:pPr>
            <w:pStyle w:val="TOC1"/>
            <w:tabs>
              <w:tab w:val="right" w:leader="dot" w:pos="9016"/>
            </w:tabs>
            <w:rPr>
              <w:rFonts w:asciiTheme="minorHAnsi" w:eastAsiaTheme="minorEastAsia" w:hAnsiTheme="minorHAnsi"/>
              <w:noProof/>
              <w:kern w:val="0"/>
              <w:sz w:val="22"/>
              <w:lang w:eastAsia="en-GB"/>
              <w14:ligatures w14:val="none"/>
            </w:rPr>
          </w:pPr>
          <w:hyperlink w:anchor="_Toc216140051" w:history="1">
            <w:r w:rsidR="00934C23" w:rsidRPr="00E23AF3">
              <w:rPr>
                <w:rStyle w:val="Hyperlink"/>
                <w:noProof/>
              </w:rPr>
              <w:t>References</w:t>
            </w:r>
            <w:r w:rsidR="00934C23">
              <w:rPr>
                <w:noProof/>
                <w:webHidden/>
              </w:rPr>
              <w:tab/>
            </w:r>
            <w:r w:rsidR="00934C23">
              <w:rPr>
                <w:noProof/>
                <w:webHidden/>
              </w:rPr>
              <w:fldChar w:fldCharType="begin"/>
            </w:r>
            <w:r w:rsidR="00934C23">
              <w:rPr>
                <w:noProof/>
                <w:webHidden/>
              </w:rPr>
              <w:instrText xml:space="preserve"> PAGEREF _Toc216140051 \h </w:instrText>
            </w:r>
            <w:r w:rsidR="00934C23">
              <w:rPr>
                <w:noProof/>
                <w:webHidden/>
              </w:rPr>
            </w:r>
            <w:r w:rsidR="00934C23">
              <w:rPr>
                <w:noProof/>
                <w:webHidden/>
              </w:rPr>
              <w:fldChar w:fldCharType="separate"/>
            </w:r>
            <w:r w:rsidR="00934C23">
              <w:rPr>
                <w:noProof/>
                <w:webHidden/>
              </w:rPr>
              <w:t>29</w:t>
            </w:r>
            <w:r w:rsidR="00934C23">
              <w:rPr>
                <w:noProof/>
                <w:webHidden/>
              </w:rPr>
              <w:fldChar w:fldCharType="end"/>
            </w:r>
          </w:hyperlink>
        </w:p>
        <w:p w14:paraId="43BB4233" w14:textId="73EFE37A" w:rsidR="00667177" w:rsidRPr="002C0C84" w:rsidRDefault="00667177" w:rsidP="00667177">
          <w:pPr>
            <w:spacing w:line="276" w:lineRule="auto"/>
            <w:rPr>
              <w:rFonts w:asciiTheme="minorBidi" w:hAnsiTheme="minorBidi"/>
              <w:sz w:val="22"/>
            </w:rPr>
          </w:pPr>
          <w:r w:rsidRPr="00DE54CF">
            <w:rPr>
              <w:rFonts w:asciiTheme="minorBidi" w:hAnsiTheme="minorBidi"/>
              <w:noProof/>
              <w:sz w:val="22"/>
            </w:rPr>
            <w:fldChar w:fldCharType="end"/>
          </w:r>
        </w:p>
      </w:sdtContent>
    </w:sdt>
    <w:p w14:paraId="378AFFA6" w14:textId="77777777" w:rsidR="00667177" w:rsidRPr="002C0C84" w:rsidRDefault="00667177" w:rsidP="00667177">
      <w:pPr>
        <w:spacing w:line="276" w:lineRule="auto"/>
        <w:rPr>
          <w:rFonts w:asciiTheme="minorBidi" w:hAnsiTheme="minorBidi"/>
          <w:b/>
          <w:bCs/>
          <w:sz w:val="22"/>
        </w:rPr>
      </w:pPr>
      <w:r w:rsidRPr="002C0C84">
        <w:rPr>
          <w:rFonts w:asciiTheme="minorBidi" w:hAnsiTheme="minorBidi"/>
          <w:b/>
          <w:bCs/>
          <w:sz w:val="22"/>
        </w:rPr>
        <w:br w:type="page"/>
      </w:r>
    </w:p>
    <w:p w14:paraId="155BC592" w14:textId="375E4BB4" w:rsidR="00317218" w:rsidRPr="002C0C84" w:rsidRDefault="00317218" w:rsidP="00934C23">
      <w:pPr>
        <w:pStyle w:val="Heading1"/>
      </w:pPr>
      <w:bookmarkStart w:id="1" w:name="_Toc216139999"/>
      <w:r w:rsidRPr="002C0C84">
        <w:lastRenderedPageBreak/>
        <w:t>1. Introduction</w:t>
      </w:r>
      <w:bookmarkEnd w:id="1"/>
    </w:p>
    <w:p w14:paraId="7CB73A7E" w14:textId="77777777" w:rsidR="00317218" w:rsidRPr="002C0C84" w:rsidRDefault="00317218" w:rsidP="00667177">
      <w:pPr>
        <w:pStyle w:val="Heading2"/>
        <w:rPr>
          <w:rFonts w:asciiTheme="minorBidi" w:hAnsiTheme="minorBidi" w:cstheme="minorBidi"/>
        </w:rPr>
      </w:pPr>
      <w:bookmarkStart w:id="2" w:name="_Toc216140000"/>
      <w:r w:rsidRPr="002C0C84">
        <w:rPr>
          <w:rFonts w:asciiTheme="minorBidi" w:hAnsiTheme="minorBidi" w:cstheme="minorBidi"/>
        </w:rPr>
        <w:t>1.1 Global Context of the COVID-19 Pandemic</w:t>
      </w:r>
      <w:bookmarkEnd w:id="2"/>
    </w:p>
    <w:p w14:paraId="342663E7" w14:textId="566D1A66" w:rsidR="006311D3" w:rsidRPr="002C0C84" w:rsidRDefault="006311D3" w:rsidP="00667177">
      <w:pPr>
        <w:rPr>
          <w:rFonts w:asciiTheme="minorBidi" w:hAnsiTheme="minorBidi"/>
          <w:sz w:val="22"/>
        </w:rPr>
      </w:pPr>
      <w:r w:rsidRPr="002C0C84">
        <w:rPr>
          <w:rFonts w:asciiTheme="minorBidi" w:hAnsiTheme="minorBidi"/>
          <w:sz w:val="22"/>
        </w:rPr>
        <w:t>COVID-19 was the largest international situation of global public health crisis in the twenty first century that caused unprecedented disturbance in health systems, economies and governance system throughout the world</w:t>
      </w:r>
      <w:r w:rsidR="00C10859">
        <w:rPr>
          <w:rFonts w:asciiTheme="minorBidi" w:hAnsiTheme="minorBidi"/>
          <w:sz w:val="22"/>
        </w:rPr>
        <w:t xml:space="preserve"> </w:t>
      </w:r>
      <w:r w:rsidR="00C10859" w:rsidRPr="00C10859">
        <w:rPr>
          <w:rFonts w:asciiTheme="minorBidi" w:hAnsiTheme="minorBidi"/>
          <w:sz w:val="22"/>
        </w:rPr>
        <w:t>(Taylor et al., 2022)</w:t>
      </w:r>
      <w:r w:rsidRPr="002C0C84">
        <w:rPr>
          <w:rFonts w:asciiTheme="minorBidi" w:hAnsiTheme="minorBidi"/>
          <w:sz w:val="22"/>
        </w:rPr>
        <w:t>. In early 2020, the rapid transmission of the disease was faced by health systems, which rapidly increased mortality and extreme strain on hospitals as well, and it revealed the structural weaknesses in preparedness, surveillance and emergency governance during a long time. The difference between the responses of various countries revealed underlying disparities in the organisation of health systems, political power and leadership, turning COVID-19 into a severe challenge of state resistance and the control of crises.</w:t>
      </w:r>
    </w:p>
    <w:p w14:paraId="3FD35AAD" w14:textId="77777777" w:rsidR="006311D3" w:rsidRPr="002C0C84" w:rsidRDefault="006311D3" w:rsidP="00667177">
      <w:pPr>
        <w:pStyle w:val="Heading2"/>
        <w:rPr>
          <w:rFonts w:asciiTheme="minorBidi" w:hAnsiTheme="minorBidi" w:cstheme="minorBidi"/>
        </w:rPr>
      </w:pPr>
      <w:bookmarkStart w:id="3" w:name="_Toc216140001"/>
      <w:r w:rsidRPr="002C0C84">
        <w:rPr>
          <w:rFonts w:asciiTheme="minorBidi" w:hAnsiTheme="minorBidi" w:cstheme="minorBidi"/>
        </w:rPr>
        <w:t>1.2 Reason and extend of the Comparative Analysis.</w:t>
      </w:r>
      <w:bookmarkEnd w:id="3"/>
    </w:p>
    <w:p w14:paraId="2A4A7CCF" w14:textId="77777777" w:rsidR="006311D3" w:rsidRPr="002C0C84" w:rsidRDefault="006311D3" w:rsidP="00667177">
      <w:pPr>
        <w:rPr>
          <w:rFonts w:asciiTheme="minorBidi" w:hAnsiTheme="minorBidi"/>
          <w:sz w:val="22"/>
        </w:rPr>
      </w:pPr>
      <w:r w:rsidRPr="002C0C84">
        <w:rPr>
          <w:rFonts w:asciiTheme="minorBidi" w:hAnsiTheme="minorBidi"/>
          <w:sz w:val="22"/>
        </w:rPr>
        <w:t>The report presents a critical comparative analysis of Spanish, South Korean and Canadian health system responses to COVID-19. The reason why these countries were chosen was because they differed in governance structures with a decentralised governance structure on one side to a highly centralised state control on the other. The review assesses the role of variations in system organisation and leadership styles in influencing policy execution, service delivery and population health.</w:t>
      </w:r>
    </w:p>
    <w:p w14:paraId="06A2E280" w14:textId="77777777" w:rsidR="006311D3" w:rsidRPr="002C0C84" w:rsidRDefault="006311D3" w:rsidP="00667177">
      <w:pPr>
        <w:pStyle w:val="Heading2"/>
        <w:rPr>
          <w:rFonts w:asciiTheme="minorBidi" w:hAnsiTheme="minorBidi" w:cstheme="minorBidi"/>
        </w:rPr>
      </w:pPr>
      <w:bookmarkStart w:id="4" w:name="_Toc216140002"/>
      <w:r w:rsidRPr="002C0C84">
        <w:rPr>
          <w:rFonts w:asciiTheme="minorBidi" w:hAnsiTheme="minorBidi" w:cstheme="minorBidi"/>
        </w:rPr>
        <w:t>1.3 Centralisation vs Decentralisation of Pandemic Response.</w:t>
      </w:r>
      <w:bookmarkEnd w:id="4"/>
    </w:p>
    <w:p w14:paraId="31D7FF0D" w14:textId="1D0C9378" w:rsidR="006311D3" w:rsidRPr="002C0C84" w:rsidRDefault="006311D3" w:rsidP="00667177">
      <w:pPr>
        <w:rPr>
          <w:rFonts w:asciiTheme="minorBidi" w:hAnsiTheme="minorBidi"/>
          <w:sz w:val="22"/>
        </w:rPr>
      </w:pPr>
      <w:r w:rsidRPr="002C0C84">
        <w:rPr>
          <w:rFonts w:asciiTheme="minorBidi" w:hAnsiTheme="minorBidi"/>
          <w:sz w:val="22"/>
        </w:rPr>
        <w:t>Centralisation is the process whereby a decision</w:t>
      </w:r>
      <w:r w:rsidR="00667177" w:rsidRPr="002C0C84">
        <w:rPr>
          <w:rFonts w:asciiTheme="minorBidi" w:hAnsiTheme="minorBidi"/>
          <w:sz w:val="22"/>
        </w:rPr>
        <w:t>-</w:t>
      </w:r>
      <w:r w:rsidRPr="002C0C84">
        <w:rPr>
          <w:rFonts w:asciiTheme="minorBidi" w:hAnsiTheme="minorBidi"/>
          <w:sz w:val="22"/>
        </w:rPr>
        <w:t>making power is concentrated at a national level whereas decentralisation dispenses the power to subnational jurisdictions</w:t>
      </w:r>
      <w:r w:rsidR="00C10859">
        <w:rPr>
          <w:rFonts w:asciiTheme="minorBidi" w:hAnsiTheme="minorBidi"/>
          <w:sz w:val="22"/>
        </w:rPr>
        <w:t xml:space="preserve"> </w:t>
      </w:r>
      <w:r w:rsidR="00C10859" w:rsidRPr="00C10859">
        <w:rPr>
          <w:rFonts w:asciiTheme="minorBidi" w:hAnsiTheme="minorBidi"/>
          <w:sz w:val="22"/>
        </w:rPr>
        <w:t>(Smith et al., 2023)</w:t>
      </w:r>
      <w:r w:rsidRPr="002C0C84">
        <w:rPr>
          <w:rFonts w:asciiTheme="minorBidi" w:hAnsiTheme="minorBidi"/>
          <w:sz w:val="22"/>
        </w:rPr>
        <w:t>. This structural difference defines the pace, consistency and implementation of policy responses in times of pandemic. COVID-19 demonstrated the benefits of the centralised command in its operations and the capability of the decentralised governance in adapting.</w:t>
      </w:r>
    </w:p>
    <w:p w14:paraId="46605231" w14:textId="77777777" w:rsidR="006311D3" w:rsidRPr="002C0C84" w:rsidRDefault="006311D3" w:rsidP="00667177">
      <w:pPr>
        <w:pStyle w:val="Heading2"/>
        <w:rPr>
          <w:rFonts w:asciiTheme="minorBidi" w:hAnsiTheme="minorBidi" w:cstheme="minorBidi"/>
        </w:rPr>
      </w:pPr>
      <w:bookmarkStart w:id="5" w:name="_Toc216140003"/>
      <w:r w:rsidRPr="002C0C84">
        <w:rPr>
          <w:rFonts w:asciiTheme="minorBidi" w:hAnsiTheme="minorBidi" w:cstheme="minorBidi"/>
        </w:rPr>
        <w:t>1.4 The role of Leadership in Health System Crisis management.</w:t>
      </w:r>
      <w:bookmarkEnd w:id="5"/>
    </w:p>
    <w:p w14:paraId="783DEBAD" w14:textId="77777777" w:rsidR="006311D3" w:rsidRPr="002C0C84" w:rsidRDefault="006311D3" w:rsidP="00667177">
      <w:pPr>
        <w:rPr>
          <w:rFonts w:asciiTheme="minorBidi" w:hAnsiTheme="minorBidi"/>
          <w:sz w:val="22"/>
        </w:rPr>
      </w:pPr>
      <w:r w:rsidRPr="002C0C84">
        <w:rPr>
          <w:rFonts w:asciiTheme="minorBidi" w:hAnsiTheme="minorBidi"/>
          <w:sz w:val="22"/>
        </w:rPr>
        <w:t>The ability to decide the direction of the crisis, risk communication, system mobilisation and public trust are decisive factors in leadership that influence the direction of a crisis. Leadership performance in COVID-19 had a direct impact on compliance, coordination and system recovery in all the contexts of a nation.</w:t>
      </w:r>
    </w:p>
    <w:p w14:paraId="484C7FA6" w14:textId="77777777" w:rsidR="006311D3" w:rsidRPr="002C0C84" w:rsidRDefault="006311D3" w:rsidP="00667177">
      <w:pPr>
        <w:rPr>
          <w:rFonts w:asciiTheme="minorBidi" w:hAnsiTheme="minorBidi"/>
          <w:sz w:val="22"/>
        </w:rPr>
      </w:pPr>
    </w:p>
    <w:p w14:paraId="39C9E769" w14:textId="77777777" w:rsidR="006311D3" w:rsidRPr="002C0C84" w:rsidRDefault="006311D3" w:rsidP="00934C23">
      <w:pPr>
        <w:pStyle w:val="Heading1"/>
      </w:pPr>
      <w:bookmarkStart w:id="6" w:name="_Toc216140004"/>
      <w:r w:rsidRPr="002C0C84">
        <w:lastRenderedPageBreak/>
        <w:t>2. Critical Review of Centralised and Decentralised Health System Response to COVID-19.</w:t>
      </w:r>
      <w:bookmarkEnd w:id="6"/>
    </w:p>
    <w:p w14:paraId="11BF7466" w14:textId="77777777" w:rsidR="006311D3" w:rsidRPr="002C0C84" w:rsidRDefault="006311D3" w:rsidP="00667177">
      <w:pPr>
        <w:pStyle w:val="Heading2"/>
        <w:rPr>
          <w:rFonts w:asciiTheme="minorBidi" w:hAnsiTheme="minorBidi" w:cstheme="minorBidi"/>
        </w:rPr>
      </w:pPr>
      <w:bookmarkStart w:id="7" w:name="_Toc216140005"/>
      <w:r w:rsidRPr="002C0C84">
        <w:rPr>
          <w:rFonts w:asciiTheme="minorBidi" w:hAnsiTheme="minorBidi" w:cstheme="minorBidi"/>
        </w:rPr>
        <w:t>2.1 Spain: A Mainly Decentralised Response to Health System.</w:t>
      </w:r>
      <w:bookmarkEnd w:id="7"/>
    </w:p>
    <w:p w14:paraId="4BA1D32B" w14:textId="489C1C58" w:rsidR="00CC2988" w:rsidRPr="00C91EA0" w:rsidRDefault="006311D3" w:rsidP="00C91EA0">
      <w:pPr>
        <w:pStyle w:val="Heading3"/>
        <w:rPr>
          <w:rFonts w:asciiTheme="minorBidi" w:hAnsiTheme="minorBidi" w:cstheme="minorBidi"/>
        </w:rPr>
      </w:pPr>
      <w:bookmarkStart w:id="8" w:name="_Toc216140006"/>
      <w:r w:rsidRPr="002C0C84">
        <w:rPr>
          <w:rFonts w:asciiTheme="minorBidi" w:hAnsiTheme="minorBidi" w:cstheme="minorBidi"/>
        </w:rPr>
        <w:t>2.1.1 Spanish Healthcare System structure.</w:t>
      </w:r>
      <w:bookmarkEnd w:id="8"/>
    </w:p>
    <w:p w14:paraId="71396119" w14:textId="4A9E129C" w:rsidR="006311D3" w:rsidRPr="002C0C84" w:rsidRDefault="006311D3" w:rsidP="00667177">
      <w:pPr>
        <w:rPr>
          <w:rFonts w:asciiTheme="minorBidi" w:hAnsiTheme="minorBidi"/>
          <w:sz w:val="22"/>
        </w:rPr>
      </w:pPr>
      <w:r w:rsidRPr="002C0C84">
        <w:rPr>
          <w:rFonts w:asciiTheme="minorBidi" w:hAnsiTheme="minorBidi"/>
          <w:sz w:val="22"/>
        </w:rPr>
        <w:t>In Spain, the National Health System is highly decentralised where the seventeen autonomous communities play the major role in planning, funding and delivering health services although the central Ministry of Health plays a coordinating and regulating role. This multi</w:t>
      </w:r>
      <w:r w:rsidR="00CC2988" w:rsidRPr="002C0C84">
        <w:rPr>
          <w:rFonts w:asciiTheme="minorBidi" w:hAnsiTheme="minorBidi"/>
          <w:sz w:val="22"/>
        </w:rPr>
        <w:t>-</w:t>
      </w:r>
      <w:r w:rsidRPr="002C0C84">
        <w:rPr>
          <w:rFonts w:asciiTheme="minorBidi" w:hAnsiTheme="minorBidi"/>
          <w:sz w:val="22"/>
        </w:rPr>
        <w:t xml:space="preserve">level </w:t>
      </w:r>
      <w:r w:rsidR="00CC2988" w:rsidRPr="002C0C84">
        <w:rPr>
          <w:rFonts w:asciiTheme="minorBidi" w:hAnsiTheme="minorBidi"/>
          <w:sz w:val="22"/>
        </w:rPr>
        <w:t xml:space="preserve">quality </w:t>
      </w:r>
      <w:r w:rsidRPr="002C0C84">
        <w:rPr>
          <w:rFonts w:asciiTheme="minorBidi" w:hAnsiTheme="minorBidi"/>
          <w:sz w:val="22"/>
        </w:rPr>
        <w:t>was created with the purpose of enhancing responsiveness and regional accountability yet it also led to fragmented power at the time of a fast national emergency (Greer, 2021; Erkoreka and Hernando-Pérez, 2023). Spain has a history of good primary care coverage and universal access before the COVID-19 outbreak, but there was a strong regional disparity between hospital capacity and workforce density</w:t>
      </w:r>
      <w:r w:rsidR="00C10859">
        <w:rPr>
          <w:rFonts w:asciiTheme="minorBidi" w:hAnsiTheme="minorBidi"/>
          <w:sz w:val="22"/>
        </w:rPr>
        <w:t xml:space="preserve"> </w:t>
      </w:r>
      <w:r w:rsidR="00C10859" w:rsidRPr="00C10859">
        <w:rPr>
          <w:rFonts w:asciiTheme="minorBidi" w:hAnsiTheme="minorBidi"/>
          <w:sz w:val="22"/>
        </w:rPr>
        <w:t>(Phillips et al., 2022)</w:t>
      </w:r>
      <w:r w:rsidRPr="002C0C84">
        <w:rPr>
          <w:rFonts w:asciiTheme="minorBidi" w:hAnsiTheme="minorBidi"/>
          <w:sz w:val="22"/>
        </w:rPr>
        <w:t>.</w:t>
      </w:r>
    </w:p>
    <w:p w14:paraId="414EFE88" w14:textId="77777777" w:rsidR="006311D3" w:rsidRPr="002C0C84" w:rsidRDefault="006311D3" w:rsidP="00667177">
      <w:pPr>
        <w:pStyle w:val="Heading3"/>
        <w:rPr>
          <w:rFonts w:asciiTheme="minorBidi" w:hAnsiTheme="minorBidi" w:cstheme="minorBidi"/>
        </w:rPr>
      </w:pPr>
      <w:bookmarkStart w:id="9" w:name="_Toc216140007"/>
      <w:r w:rsidRPr="002C0C84">
        <w:rPr>
          <w:rFonts w:asciiTheme="minorBidi" w:hAnsiTheme="minorBidi" w:cstheme="minorBidi"/>
        </w:rPr>
        <w:t>2.1.2 Decentralised and Centralised Decision-Making in the COVID-19.</w:t>
      </w:r>
      <w:bookmarkEnd w:id="9"/>
    </w:p>
    <w:p w14:paraId="012FE1BD" w14:textId="77777777" w:rsidR="002C0C84" w:rsidRDefault="006311D3" w:rsidP="002C0C84">
      <w:pPr>
        <w:rPr>
          <w:rFonts w:asciiTheme="minorBidi" w:hAnsiTheme="minorBidi"/>
          <w:sz w:val="22"/>
        </w:rPr>
      </w:pPr>
      <w:r w:rsidRPr="002C0C84">
        <w:rPr>
          <w:rFonts w:asciiTheme="minorBidi" w:hAnsiTheme="minorBidi"/>
          <w:sz w:val="22"/>
        </w:rPr>
        <w:t xml:space="preserve">In March 2020 (during the first wave of COVID-19), Spain declared a countrywide State of Alarm, temporarily re-centralising authority by removing the key health decision-making powers of the regional governments and placing them in central hands. It involved coordination in hospitals, acquisition of personal protective equipment and mobility restrictions enforcement (Greer et al., 2022). Nevertheless, this re-centralisation followed following the high initial rates of transmission, especially in Madrid and Catalonia where the regulation of surveillance and containment had hitherto been controlled by regional autonomy. After the initial wave, Spain quickly returned to decentralised governance, devolving the control of the pandemic to the regions, including the testing policy, local lockdown and resource allocation to health systems (Erkoreka and Hernando-Pérez, 2023). </w:t>
      </w:r>
    </w:p>
    <w:p w14:paraId="7F3400FF" w14:textId="06A4F3F6" w:rsidR="006311D3" w:rsidRPr="00934C23" w:rsidRDefault="006311D3" w:rsidP="002C0C84">
      <w:pPr>
        <w:pStyle w:val="Heading3"/>
        <w:rPr>
          <w:rFonts w:ascii="Arial" w:hAnsi="Arial" w:cs="Arial"/>
        </w:rPr>
      </w:pPr>
      <w:bookmarkStart w:id="10" w:name="_Toc216140008"/>
      <w:r w:rsidRPr="00934C23">
        <w:rPr>
          <w:rFonts w:ascii="Arial" w:hAnsi="Arial" w:cs="Arial"/>
        </w:rPr>
        <w:t>2.1.3 Benefits of the Systems approach in Spain.</w:t>
      </w:r>
      <w:bookmarkEnd w:id="10"/>
    </w:p>
    <w:p w14:paraId="59FBDAB0" w14:textId="5857A4CF" w:rsidR="006311D3" w:rsidRPr="002C0C84" w:rsidRDefault="006311D3" w:rsidP="00CC2988">
      <w:pPr>
        <w:rPr>
          <w:rFonts w:asciiTheme="minorBidi" w:hAnsiTheme="minorBidi"/>
          <w:sz w:val="22"/>
        </w:rPr>
      </w:pPr>
      <w:r w:rsidRPr="002C0C84">
        <w:rPr>
          <w:rFonts w:asciiTheme="minorBidi" w:hAnsiTheme="minorBidi"/>
          <w:sz w:val="22"/>
        </w:rPr>
        <w:t>The decentralised system in Spain allowed response to be locally oriented once institutional paralysis was surmounted. New systems of contact tracing and community tests were rapidly expanded in regions with good primary care networks and digital health infrastructure, including the Basque Country, with relatively better outcomes of the first wave of outbreaks containing (Erkoreka and Hernando-Pérez, 2023). Even the regional autonomy model enabled non-pharmaceutical interventions to be differentiated depending on epidemiological risk patterns as opposed to national restrictions</w:t>
      </w:r>
      <w:r w:rsidR="00C10859">
        <w:rPr>
          <w:rFonts w:asciiTheme="minorBidi" w:hAnsiTheme="minorBidi"/>
          <w:sz w:val="22"/>
        </w:rPr>
        <w:t xml:space="preserve"> </w:t>
      </w:r>
      <w:r w:rsidR="00C10859" w:rsidRPr="00C10859">
        <w:rPr>
          <w:rFonts w:asciiTheme="minorBidi" w:hAnsiTheme="minorBidi"/>
          <w:sz w:val="22"/>
        </w:rPr>
        <w:t>(Pereira et al., 2021)</w:t>
      </w:r>
      <w:r w:rsidRPr="002C0C84">
        <w:rPr>
          <w:rFonts w:asciiTheme="minorBidi" w:hAnsiTheme="minorBidi"/>
          <w:sz w:val="22"/>
        </w:rPr>
        <w:t xml:space="preserve">. Moreover, after the national vaccination programme was initiated based on central coordination, its decentralised </w:t>
      </w:r>
      <w:r w:rsidRPr="002C0C84">
        <w:rPr>
          <w:rFonts w:asciiTheme="minorBidi" w:hAnsiTheme="minorBidi"/>
          <w:sz w:val="22"/>
        </w:rPr>
        <w:lastRenderedPageBreak/>
        <w:t>implementation allowed making a rapid distribution of the vaccine using the infrastructure of immunisation on a regional scale. As of September 2021, Spain had over 77</w:t>
      </w:r>
      <w:r w:rsidR="002C0C84">
        <w:rPr>
          <w:rFonts w:asciiTheme="minorBidi" w:hAnsiTheme="minorBidi"/>
          <w:sz w:val="22"/>
        </w:rPr>
        <w:t>%</w:t>
      </w:r>
      <w:r w:rsidRPr="002C0C84">
        <w:rPr>
          <w:rFonts w:asciiTheme="minorBidi" w:hAnsiTheme="minorBidi"/>
          <w:sz w:val="22"/>
        </w:rPr>
        <w:t xml:space="preserve"> full vaccination coverage, one of the highest in Europe, which was related to successful connexions between the central procurement authority and the regional delivery systems (Greer, 2021; Angelici et al., 2023).</w:t>
      </w:r>
    </w:p>
    <w:p w14:paraId="2E016F00" w14:textId="77777777" w:rsidR="006311D3" w:rsidRPr="002C0C84" w:rsidRDefault="006311D3" w:rsidP="00667177">
      <w:pPr>
        <w:pStyle w:val="Heading3"/>
        <w:rPr>
          <w:rFonts w:asciiTheme="minorBidi" w:hAnsiTheme="minorBidi" w:cstheme="minorBidi"/>
        </w:rPr>
      </w:pPr>
      <w:bookmarkStart w:id="11" w:name="_Toc216140009"/>
      <w:r w:rsidRPr="002C0C84">
        <w:rPr>
          <w:rFonts w:asciiTheme="minorBidi" w:hAnsiTheme="minorBidi" w:cstheme="minorBidi"/>
        </w:rPr>
        <w:t>2.1.4 Weaknesses and Problems of the Spanish Response.</w:t>
      </w:r>
      <w:bookmarkEnd w:id="11"/>
    </w:p>
    <w:p w14:paraId="080C1D68" w14:textId="77777777" w:rsidR="006311D3" w:rsidRPr="002C0C84" w:rsidRDefault="006311D3" w:rsidP="00667177">
      <w:pPr>
        <w:rPr>
          <w:rFonts w:asciiTheme="minorBidi" w:hAnsiTheme="minorBidi"/>
          <w:sz w:val="22"/>
        </w:rPr>
      </w:pPr>
      <w:r w:rsidRPr="002C0C84">
        <w:rPr>
          <w:rFonts w:asciiTheme="minorBidi" w:hAnsiTheme="minorBidi"/>
          <w:sz w:val="22"/>
        </w:rPr>
        <w:t>It was structurally weak in the initial stages of the crisis in Spain, as it was decentralised. A lack of coherent national escalation due to the absence of common early surveillance thresholds, and the lack of coherence between interregional coordination led to the rapid cross-territorial transmission (Legido-Quigley et al., 2020). Saturation in hospitals happened in weeks, and at times the occupancy of the intensive care units of the hospitals rose beyond 200 percent of the actual capacity between March and April 2020. Ekoreka and Hernando-Pérez (2023) easily reveal that political competition on a regional level impeded the level of coordinated containment strategies and watered down governance accountability at the different levels. Also, disjointed procurement in the first response stage of the emergency triggered extreme shortages of personal protective equipment and diagnostic capacity. Angelici et al. (2023) also point out that transfers of blame between the national and regional authorities weakened the trust of the population and compliance rates with mobility restrictions during subsequent waves.</w:t>
      </w:r>
    </w:p>
    <w:p w14:paraId="53D0E06B" w14:textId="77777777" w:rsidR="006311D3" w:rsidRPr="002C0C84" w:rsidRDefault="006311D3" w:rsidP="00667177">
      <w:pPr>
        <w:rPr>
          <w:rFonts w:asciiTheme="minorBidi" w:hAnsiTheme="minorBidi"/>
          <w:sz w:val="22"/>
        </w:rPr>
      </w:pPr>
    </w:p>
    <w:p w14:paraId="4C02BD36" w14:textId="77777777" w:rsidR="00420E9F" w:rsidRPr="002C0C84" w:rsidRDefault="00420E9F">
      <w:pPr>
        <w:spacing w:line="259" w:lineRule="auto"/>
        <w:jc w:val="left"/>
        <w:rPr>
          <w:rFonts w:asciiTheme="minorBidi" w:eastAsiaTheme="majorEastAsia" w:hAnsiTheme="minorBidi"/>
          <w:color w:val="2F5496" w:themeColor="accent1" w:themeShade="BF"/>
          <w:sz w:val="28"/>
          <w:szCs w:val="28"/>
        </w:rPr>
      </w:pPr>
      <w:r w:rsidRPr="002C0C84">
        <w:rPr>
          <w:rFonts w:asciiTheme="minorBidi" w:hAnsiTheme="minorBidi"/>
        </w:rPr>
        <w:br w:type="page"/>
      </w:r>
    </w:p>
    <w:p w14:paraId="0F3E4736" w14:textId="53ADA2C0" w:rsidR="006311D3" w:rsidRPr="002C0C84" w:rsidRDefault="006311D3" w:rsidP="00667177">
      <w:pPr>
        <w:pStyle w:val="Heading3"/>
        <w:rPr>
          <w:rFonts w:asciiTheme="minorBidi" w:hAnsiTheme="minorBidi" w:cstheme="minorBidi"/>
        </w:rPr>
      </w:pPr>
      <w:bookmarkStart w:id="12" w:name="_Toc216140010"/>
      <w:r w:rsidRPr="002C0C84">
        <w:rPr>
          <w:rFonts w:asciiTheme="minorBidi" w:hAnsiTheme="minorBidi" w:cstheme="minorBidi"/>
        </w:rPr>
        <w:lastRenderedPageBreak/>
        <w:t>2.1.5 Effect on Health Results and Vaccination Performance.</w:t>
      </w:r>
      <w:bookmarkEnd w:id="12"/>
    </w:p>
    <w:p w14:paraId="2069EA49" w14:textId="2F8F14A1" w:rsidR="00420E9F" w:rsidRPr="002C0C84" w:rsidRDefault="00420E9F" w:rsidP="00667177">
      <w:pPr>
        <w:rPr>
          <w:rFonts w:asciiTheme="minorBidi" w:hAnsiTheme="minorBidi"/>
          <w:sz w:val="22"/>
        </w:rPr>
      </w:pPr>
      <w:r w:rsidRPr="002C0C84">
        <w:rPr>
          <w:rFonts w:asciiTheme="minorBidi" w:hAnsiTheme="minorBidi"/>
          <w:noProof/>
          <w:sz w:val="22"/>
        </w:rPr>
        <w:drawing>
          <wp:anchor distT="0" distB="0" distL="114300" distR="114300" simplePos="0" relativeHeight="251658240" behindDoc="0" locked="0" layoutInCell="1" allowOverlap="1" wp14:anchorId="082F3F9D" wp14:editId="3378BBD1">
            <wp:simplePos x="0" y="0"/>
            <wp:positionH relativeFrom="margin">
              <wp:align>center</wp:align>
            </wp:positionH>
            <wp:positionV relativeFrom="paragraph">
              <wp:posOffset>221615</wp:posOffset>
            </wp:positionV>
            <wp:extent cx="4625340" cy="3162130"/>
            <wp:effectExtent l="0" t="0" r="3810" b="635"/>
            <wp:wrapSquare wrapText="bothSides"/>
            <wp:docPr id="7402741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625340" cy="3162130"/>
                    </a:xfrm>
                    <a:prstGeom prst="rect">
                      <a:avLst/>
                    </a:prstGeom>
                    <a:noFill/>
                  </pic:spPr>
                </pic:pic>
              </a:graphicData>
            </a:graphic>
            <wp14:sizeRelH relativeFrom="margin">
              <wp14:pctWidth>0</wp14:pctWidth>
            </wp14:sizeRelH>
            <wp14:sizeRelV relativeFrom="margin">
              <wp14:pctHeight>0</wp14:pctHeight>
            </wp14:sizeRelV>
          </wp:anchor>
        </w:drawing>
      </w:r>
    </w:p>
    <w:p w14:paraId="3019C27C" w14:textId="77777777" w:rsidR="00420E9F" w:rsidRPr="002C0C84" w:rsidRDefault="00420E9F" w:rsidP="00667177">
      <w:pPr>
        <w:rPr>
          <w:rFonts w:asciiTheme="minorBidi" w:hAnsiTheme="minorBidi"/>
          <w:sz w:val="22"/>
        </w:rPr>
      </w:pPr>
    </w:p>
    <w:p w14:paraId="2323D373" w14:textId="77777777" w:rsidR="00420E9F" w:rsidRPr="002C0C84" w:rsidRDefault="00420E9F" w:rsidP="00667177">
      <w:pPr>
        <w:rPr>
          <w:rFonts w:asciiTheme="minorBidi" w:hAnsiTheme="minorBidi"/>
          <w:sz w:val="22"/>
        </w:rPr>
      </w:pPr>
    </w:p>
    <w:p w14:paraId="60184D99" w14:textId="77777777" w:rsidR="00420E9F" w:rsidRPr="002C0C84" w:rsidRDefault="00420E9F" w:rsidP="00667177">
      <w:pPr>
        <w:rPr>
          <w:rFonts w:asciiTheme="minorBidi" w:hAnsiTheme="minorBidi"/>
          <w:sz w:val="22"/>
        </w:rPr>
      </w:pPr>
    </w:p>
    <w:p w14:paraId="216DB48D" w14:textId="77777777" w:rsidR="00420E9F" w:rsidRPr="002C0C84" w:rsidRDefault="00420E9F" w:rsidP="00667177">
      <w:pPr>
        <w:rPr>
          <w:rFonts w:asciiTheme="minorBidi" w:hAnsiTheme="minorBidi"/>
          <w:sz w:val="22"/>
        </w:rPr>
      </w:pPr>
    </w:p>
    <w:p w14:paraId="05C1D343" w14:textId="77777777" w:rsidR="00420E9F" w:rsidRPr="002C0C84" w:rsidRDefault="00420E9F" w:rsidP="00667177">
      <w:pPr>
        <w:rPr>
          <w:rFonts w:asciiTheme="minorBidi" w:hAnsiTheme="minorBidi"/>
          <w:sz w:val="22"/>
        </w:rPr>
      </w:pPr>
    </w:p>
    <w:p w14:paraId="5E4A0DE6" w14:textId="77777777" w:rsidR="00420E9F" w:rsidRPr="002C0C84" w:rsidRDefault="00420E9F" w:rsidP="00667177">
      <w:pPr>
        <w:rPr>
          <w:rFonts w:asciiTheme="minorBidi" w:hAnsiTheme="minorBidi"/>
          <w:sz w:val="22"/>
        </w:rPr>
      </w:pPr>
    </w:p>
    <w:p w14:paraId="67ADDAC2" w14:textId="77777777" w:rsidR="00420E9F" w:rsidRPr="002C0C84" w:rsidRDefault="00420E9F" w:rsidP="00667177">
      <w:pPr>
        <w:rPr>
          <w:rFonts w:asciiTheme="minorBidi" w:hAnsiTheme="minorBidi"/>
          <w:sz w:val="22"/>
        </w:rPr>
      </w:pPr>
    </w:p>
    <w:p w14:paraId="1D7CB0AE" w14:textId="77777777" w:rsidR="00420E9F" w:rsidRPr="002C0C84" w:rsidRDefault="00420E9F" w:rsidP="00667177">
      <w:pPr>
        <w:rPr>
          <w:rFonts w:asciiTheme="minorBidi" w:hAnsiTheme="minorBidi"/>
          <w:sz w:val="22"/>
        </w:rPr>
      </w:pPr>
    </w:p>
    <w:p w14:paraId="42CCDDB1" w14:textId="77777777" w:rsidR="00420E9F" w:rsidRPr="002C0C84" w:rsidRDefault="00420E9F" w:rsidP="00667177">
      <w:pPr>
        <w:rPr>
          <w:rFonts w:asciiTheme="minorBidi" w:hAnsiTheme="minorBidi"/>
          <w:sz w:val="22"/>
        </w:rPr>
      </w:pPr>
    </w:p>
    <w:p w14:paraId="62E53B4E" w14:textId="1F173E2E" w:rsidR="00420E9F" w:rsidRPr="002C0C84" w:rsidRDefault="00420E9F" w:rsidP="00667177">
      <w:pPr>
        <w:rPr>
          <w:rFonts w:asciiTheme="minorBidi" w:hAnsiTheme="minorBidi"/>
          <w:sz w:val="22"/>
        </w:rPr>
      </w:pPr>
      <w:r w:rsidRPr="002C0C84">
        <w:rPr>
          <w:rFonts w:asciiTheme="minorBidi" w:hAnsiTheme="minorBidi"/>
          <w:noProof/>
        </w:rPr>
        <mc:AlternateContent>
          <mc:Choice Requires="wps">
            <w:drawing>
              <wp:anchor distT="0" distB="0" distL="114300" distR="114300" simplePos="0" relativeHeight="251660288" behindDoc="0" locked="0" layoutInCell="1" allowOverlap="1" wp14:anchorId="5517B44E" wp14:editId="4F595907">
                <wp:simplePos x="0" y="0"/>
                <wp:positionH relativeFrom="margin">
                  <wp:align>center</wp:align>
                </wp:positionH>
                <wp:positionV relativeFrom="paragraph">
                  <wp:posOffset>148590</wp:posOffset>
                </wp:positionV>
                <wp:extent cx="4221480" cy="635"/>
                <wp:effectExtent l="0" t="0" r="7620" b="8255"/>
                <wp:wrapSquare wrapText="bothSides"/>
                <wp:docPr id="1716563241" name="Text Box 1"/>
                <wp:cNvGraphicFramePr/>
                <a:graphic xmlns:a="http://schemas.openxmlformats.org/drawingml/2006/main">
                  <a:graphicData uri="http://schemas.microsoft.com/office/word/2010/wordprocessingShape">
                    <wps:wsp>
                      <wps:cNvSpPr txBox="1"/>
                      <wps:spPr>
                        <a:xfrm>
                          <a:off x="0" y="0"/>
                          <a:ext cx="4221480" cy="635"/>
                        </a:xfrm>
                        <a:prstGeom prst="rect">
                          <a:avLst/>
                        </a:prstGeom>
                        <a:solidFill>
                          <a:prstClr val="white"/>
                        </a:solidFill>
                        <a:ln>
                          <a:noFill/>
                        </a:ln>
                      </wps:spPr>
                      <wps:txbx>
                        <w:txbxContent>
                          <w:p w14:paraId="5B303790" w14:textId="2CEE6AE1" w:rsidR="00420E9F" w:rsidRPr="00420E9F" w:rsidRDefault="00420E9F" w:rsidP="00420E9F">
                            <w:pPr>
                              <w:pStyle w:val="Caption"/>
                              <w:rPr>
                                <w:rFonts w:asciiTheme="minorBidi" w:hAnsiTheme="minorBidi"/>
                                <w:noProof/>
                                <w:sz w:val="22"/>
                                <w:szCs w:val="22"/>
                              </w:rPr>
                            </w:pPr>
                            <w:r w:rsidRPr="00420E9F">
                              <w:t xml:space="preserve">Figure </w:t>
                            </w:r>
                            <w:r w:rsidR="00C91EA0">
                              <w:t>1</w:t>
                            </w:r>
                            <w:r w:rsidRPr="00420E9F">
                              <w:t xml:space="preserve"> Spain Hospitalisation and Death Decline After Vaccination (Angelici et al., 2023)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5517B44E" id="_x0000_t202" coordsize="21600,21600" o:spt="202" path="m,l,21600r21600,l21600,xe">
                <v:stroke joinstyle="miter"/>
                <v:path gradientshapeok="t" o:connecttype="rect"/>
              </v:shapetype>
              <v:shape id="Text Box 1" o:spid="_x0000_s1026" type="#_x0000_t202" style="position:absolute;left:0;text-align:left;margin-left:0;margin-top:11.7pt;width:332.4pt;height:.05pt;z-index:25166028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" stroked="f">
                <v:textbox style="mso-fit-shape-to-text:t" inset="0,0,0,0">
                  <w:txbxContent>
                    <w:p w14:paraId="5B303790" w14:textId="2CEE6AE1" w:rsidR="00420E9F" w:rsidRPr="00420E9F" w:rsidRDefault="00420E9F" w:rsidP="00420E9F">
                      <w:pPr>
                        <w:pStyle w:val="Caption"/>
                        <w:rPr>
                          <w:rFonts w:asciiTheme="minorBidi" w:hAnsiTheme="minorBidi"/>
                          <w:noProof/>
                          <w:sz w:val="22"/>
                          <w:szCs w:val="22"/>
                        </w:rPr>
                      </w:pPr>
                      <w:r w:rsidRPr="00420E9F">
                        <w:t xml:space="preserve">Figure </w:t>
                      </w:r>
                      <w:r w:rsidR="00C91EA0">
                        <w:t>1</w:t>
                      </w:r>
                      <w:r w:rsidRPr="00420E9F">
                        <w:t xml:space="preserve"> Spain Hospitalisation and Death Decline After Vaccination (Angelici et al., 2023)</w:t>
                      </w:r>
                    </w:p>
                  </w:txbxContent>
                </v:textbox>
                <w10:wrap type="square" anchorx="margin"/>
              </v:shape>
            </w:pict>
          </mc:Fallback>
        </mc:AlternateContent>
      </w:r>
    </w:p>
    <w:p w14:paraId="002937D5" w14:textId="77777777" w:rsidR="00420E9F" w:rsidRPr="002C0C84" w:rsidRDefault="00420E9F" w:rsidP="00667177">
      <w:pPr>
        <w:rPr>
          <w:rFonts w:asciiTheme="minorBidi" w:hAnsiTheme="minorBidi"/>
          <w:sz w:val="22"/>
        </w:rPr>
      </w:pPr>
    </w:p>
    <w:p w14:paraId="15870B16" w14:textId="235E119C" w:rsidR="00AE5C80" w:rsidRPr="002C0C84" w:rsidRDefault="006311D3" w:rsidP="00667177">
      <w:pPr>
        <w:rPr>
          <w:rFonts w:asciiTheme="minorBidi" w:hAnsiTheme="minorBidi"/>
          <w:sz w:val="22"/>
        </w:rPr>
      </w:pPr>
      <w:r w:rsidRPr="002C0C84">
        <w:rPr>
          <w:rFonts w:asciiTheme="minorBidi" w:hAnsiTheme="minorBidi"/>
          <w:sz w:val="22"/>
        </w:rPr>
        <w:t>On June 2021, Spain documented one of the worst early excess mortality rates in Western Europe, with an excess mortality of more than 84,000 in the first year of the pandemic, which is indicative of systemic vulnerability during the early response of decentralisation (Greer, 2021). The subsequent centralised approach to vaccination however switched this trend significantly. By mid-2021, the hospitalisation and fatality rates in Spain had dropped sharply, which was better than a number of other well-decentralised systems. This result shows that decentralised implementation can deliver high performance being accompanied by high central procurement authority and national policy direction. The experience in Spain then illustrates a two-sided dynamic whereby in the first place, the decentralisation limited crisis coherence, and subsequently, operational effectiveness when strategic coordination level stabilised</w:t>
      </w:r>
      <w:r w:rsidR="00825A50">
        <w:rPr>
          <w:rFonts w:asciiTheme="minorBidi" w:hAnsiTheme="minorBidi"/>
          <w:sz w:val="22"/>
        </w:rPr>
        <w:t xml:space="preserve"> </w:t>
      </w:r>
      <w:r w:rsidR="00825A50" w:rsidRPr="00825A50">
        <w:rPr>
          <w:rFonts w:asciiTheme="minorBidi" w:hAnsiTheme="minorBidi"/>
          <w:sz w:val="22"/>
        </w:rPr>
        <w:t>(Otero-García et al., 2021)</w:t>
      </w:r>
      <w:r w:rsidRPr="002C0C84">
        <w:rPr>
          <w:rFonts w:asciiTheme="minorBidi" w:hAnsiTheme="minorBidi"/>
          <w:sz w:val="22"/>
        </w:rPr>
        <w:t>.</w:t>
      </w:r>
    </w:p>
    <w:p w14:paraId="10678553" w14:textId="77777777" w:rsidR="006311D3" w:rsidRPr="00AE5C80" w:rsidRDefault="006311D3" w:rsidP="00667177">
      <w:pPr>
        <w:rPr>
          <w:rFonts w:asciiTheme="minorBidi" w:hAnsiTheme="minorBidi"/>
          <w:sz w:val="22"/>
        </w:rPr>
      </w:pPr>
    </w:p>
    <w:p w14:paraId="428B9F0F" w14:textId="77777777" w:rsidR="00420E9F" w:rsidRPr="002C0C84" w:rsidRDefault="00420E9F">
      <w:pPr>
        <w:spacing w:line="259" w:lineRule="auto"/>
        <w:jc w:val="left"/>
        <w:rPr>
          <w:rFonts w:asciiTheme="minorBidi" w:eastAsia="Times New Roman" w:hAnsiTheme="minorBidi"/>
          <w:b/>
          <w:bCs/>
          <w:color w:val="4472C4" w:themeColor="accent1"/>
          <w:kern w:val="0"/>
          <w:sz w:val="28"/>
          <w:szCs w:val="28"/>
          <w14:ligatures w14:val="none"/>
        </w:rPr>
      </w:pPr>
      <w:r w:rsidRPr="002C0C84">
        <w:rPr>
          <w:rFonts w:asciiTheme="minorBidi" w:hAnsiTheme="minorBidi"/>
        </w:rPr>
        <w:br w:type="page"/>
      </w:r>
    </w:p>
    <w:p w14:paraId="78C10343" w14:textId="20218F85" w:rsidR="00AE5C80" w:rsidRPr="002C0C84" w:rsidRDefault="00AE5C80" w:rsidP="00667177">
      <w:pPr>
        <w:pStyle w:val="Heading2"/>
        <w:rPr>
          <w:rFonts w:asciiTheme="minorBidi" w:hAnsiTheme="minorBidi" w:cstheme="minorBidi"/>
        </w:rPr>
      </w:pPr>
      <w:bookmarkStart w:id="13" w:name="_Toc216140011"/>
      <w:r w:rsidRPr="002C0C84">
        <w:rPr>
          <w:rFonts w:asciiTheme="minorBidi" w:hAnsiTheme="minorBidi" w:cstheme="minorBidi"/>
        </w:rPr>
        <w:lastRenderedPageBreak/>
        <w:t>2.2 South Korea: A Highly Centralised and Technologically Driven Response</w:t>
      </w:r>
      <w:bookmarkEnd w:id="13"/>
    </w:p>
    <w:p w14:paraId="1FA70AFE" w14:textId="77777777" w:rsidR="00AE5C80" w:rsidRPr="002C0C84" w:rsidRDefault="00AE5C80" w:rsidP="00667177">
      <w:pPr>
        <w:pStyle w:val="Heading3"/>
        <w:rPr>
          <w:rFonts w:asciiTheme="minorBidi" w:hAnsiTheme="minorBidi" w:cstheme="minorBidi"/>
        </w:rPr>
      </w:pPr>
      <w:bookmarkStart w:id="14" w:name="_Toc216140012"/>
      <w:r w:rsidRPr="002C0C84">
        <w:rPr>
          <w:rFonts w:asciiTheme="minorBidi" w:hAnsiTheme="minorBidi" w:cstheme="minorBidi"/>
        </w:rPr>
        <w:t>2.2.1 Organisation of South Korea’s Healthcare and Public Health System</w:t>
      </w:r>
      <w:bookmarkEnd w:id="14"/>
    </w:p>
    <w:p w14:paraId="18B00069" w14:textId="0E0F74DA" w:rsidR="006311D3" w:rsidRPr="002C0C84" w:rsidRDefault="006311D3" w:rsidP="00CC2988">
      <w:pPr>
        <w:rPr>
          <w:rFonts w:asciiTheme="minorBidi" w:hAnsiTheme="minorBidi"/>
          <w:sz w:val="22"/>
        </w:rPr>
      </w:pPr>
      <w:r w:rsidRPr="002C0C84">
        <w:rPr>
          <w:rFonts w:asciiTheme="minorBidi" w:hAnsiTheme="minorBidi"/>
          <w:sz w:val="22"/>
        </w:rPr>
        <w:t>South Korea has an extremely centralised system of public health governance that is based on the Ministry of Health and Welfare and the Korea Disease Control and Prevention Agency. Surveillance systems, emergency response plans, pharmaceutical control and data synthesis platforms are regulated by the national authority, which is operating within a unitary system of the constitution (Kim et al., 2021; Choi, 2020). In spite of the fact that the service provision is implemented in the mixed public-private system, the crisis command authority is not delegated and the administrative mobilisation is high, as well as the ability to implement uniform policy nationwide.</w:t>
      </w:r>
    </w:p>
    <w:p w14:paraId="330C7DDC" w14:textId="77777777" w:rsidR="006311D3" w:rsidRPr="002C0C84" w:rsidRDefault="006311D3" w:rsidP="00667177">
      <w:pPr>
        <w:pStyle w:val="Heading3"/>
        <w:rPr>
          <w:rFonts w:asciiTheme="minorBidi" w:hAnsiTheme="minorBidi" w:cstheme="minorBidi"/>
        </w:rPr>
      </w:pPr>
      <w:bookmarkStart w:id="15" w:name="_Toc216140013"/>
      <w:r w:rsidRPr="002C0C84">
        <w:rPr>
          <w:rFonts w:asciiTheme="minorBidi" w:hAnsiTheme="minorBidi" w:cstheme="minorBidi"/>
        </w:rPr>
        <w:t>2.2.2 Crisis Co-ordination and Centralised Government Control.</w:t>
      </w:r>
      <w:bookmarkEnd w:id="15"/>
    </w:p>
    <w:p w14:paraId="23BE1466" w14:textId="42A51F9C" w:rsidR="002C0C84" w:rsidRDefault="006311D3" w:rsidP="002C0C84">
      <w:pPr>
        <w:rPr>
          <w:rFonts w:asciiTheme="minorBidi" w:hAnsiTheme="minorBidi"/>
          <w:sz w:val="22"/>
        </w:rPr>
      </w:pPr>
      <w:r w:rsidRPr="002C0C84">
        <w:rPr>
          <w:rFonts w:asciiTheme="minorBidi" w:hAnsiTheme="minorBidi"/>
          <w:sz w:val="22"/>
        </w:rPr>
        <w:t>South Korea adopted emergency national protocols on an immediate basis after it recorded its first cases in January 2020. The central authorities turned on the legally provided infectious disease control mechanisms that designated a real-time data exchange between health authorities, police authorities and telecommunications providers to facilitate rapid digital contact tracing (Kim et al., 2021). The national government directly coordinated the mass testing infrastructure, installing more than 600 test facilities in six weeks of the spread of the outbreak</w:t>
      </w:r>
      <w:r w:rsidR="00825A50">
        <w:rPr>
          <w:rFonts w:asciiTheme="minorBidi" w:hAnsiTheme="minorBidi"/>
          <w:sz w:val="22"/>
        </w:rPr>
        <w:t xml:space="preserve"> </w:t>
      </w:r>
      <w:r w:rsidR="00825A50" w:rsidRPr="00825A50">
        <w:rPr>
          <w:rFonts w:asciiTheme="minorBidi" w:hAnsiTheme="minorBidi"/>
          <w:sz w:val="22"/>
        </w:rPr>
        <w:t>(Marchildon and Di Matteo, 2021)</w:t>
      </w:r>
      <w:r w:rsidRPr="002C0C84">
        <w:rPr>
          <w:rFonts w:asciiTheme="minorBidi" w:hAnsiTheme="minorBidi"/>
          <w:sz w:val="22"/>
        </w:rPr>
        <w:t>. The provision of diagnostics, personal protective equipment and ventilators through the unified command of the central procurement mechanisms did not stop</w:t>
      </w:r>
    </w:p>
    <w:p w14:paraId="7350283B" w14:textId="6833BBF2" w:rsidR="006311D3" w:rsidRPr="00934C23" w:rsidRDefault="006311D3" w:rsidP="002C0C84">
      <w:pPr>
        <w:pStyle w:val="Heading3"/>
        <w:rPr>
          <w:rFonts w:ascii="Arial" w:hAnsi="Arial" w:cs="Arial"/>
        </w:rPr>
      </w:pPr>
      <w:bookmarkStart w:id="16" w:name="_Toc216140014"/>
      <w:r w:rsidRPr="00934C23">
        <w:rPr>
          <w:rFonts w:ascii="Arial" w:hAnsi="Arial" w:cs="Arial"/>
        </w:rPr>
        <w:t>2.2.3 South Korean Systems Approach Strengths.</w:t>
      </w:r>
      <w:bookmarkEnd w:id="16"/>
    </w:p>
    <w:p w14:paraId="65244C14" w14:textId="1240FBD8" w:rsidR="006311D3" w:rsidRPr="002C0C84" w:rsidRDefault="006311D3" w:rsidP="00667177">
      <w:pPr>
        <w:rPr>
          <w:rFonts w:asciiTheme="minorBidi" w:hAnsiTheme="minorBidi"/>
          <w:sz w:val="22"/>
        </w:rPr>
      </w:pPr>
      <w:r w:rsidRPr="002C0C84">
        <w:rPr>
          <w:rFonts w:asciiTheme="minorBidi" w:hAnsiTheme="minorBidi"/>
          <w:sz w:val="22"/>
        </w:rPr>
        <w:t>The centralised government of South Korea optimised pace, unity and size of containment of an outbreak. South Korea had reported less than 300 cases per million population in terms of cumulative infection rates by mid-2020 by most OECD counterparts (Kim et al., 2021). National testing-tracing-isolation system helped to avoid the overloading of the hospital systems without using the extended national lockdowns. According to Choi (2020), this achievement can be explained by collaborative governance in a centralised system, according to which local authorities and the agencies of the country were managed as one, with the strategic command of the national agencies. The level of public compliance was also high because the institutional trust was strengthened due to regular national briefings and clear presentation of epidemiological information every day</w:t>
      </w:r>
      <w:r w:rsidR="00825A50">
        <w:rPr>
          <w:rFonts w:asciiTheme="minorBidi" w:hAnsiTheme="minorBidi"/>
          <w:sz w:val="22"/>
        </w:rPr>
        <w:t xml:space="preserve"> </w:t>
      </w:r>
      <w:r w:rsidR="00825A50" w:rsidRPr="00825A50">
        <w:rPr>
          <w:rFonts w:asciiTheme="minorBidi" w:hAnsiTheme="minorBidi"/>
          <w:sz w:val="22"/>
        </w:rPr>
        <w:t>(Kim et al., 2021)</w:t>
      </w:r>
      <w:r w:rsidRPr="002C0C84">
        <w:rPr>
          <w:rFonts w:asciiTheme="minorBidi" w:hAnsiTheme="minorBidi"/>
          <w:sz w:val="22"/>
        </w:rPr>
        <w:t>.</w:t>
      </w:r>
    </w:p>
    <w:p w14:paraId="3C8783CB" w14:textId="77777777" w:rsidR="006311D3" w:rsidRPr="002C0C84" w:rsidRDefault="006311D3" w:rsidP="00667177">
      <w:pPr>
        <w:rPr>
          <w:rFonts w:asciiTheme="minorBidi" w:hAnsiTheme="minorBidi"/>
          <w:sz w:val="22"/>
        </w:rPr>
      </w:pPr>
    </w:p>
    <w:p w14:paraId="35D7C522" w14:textId="77777777" w:rsidR="006311D3" w:rsidRPr="002C0C84" w:rsidRDefault="006311D3" w:rsidP="00667177">
      <w:pPr>
        <w:pStyle w:val="Heading3"/>
        <w:rPr>
          <w:rFonts w:asciiTheme="minorBidi" w:hAnsiTheme="minorBidi" w:cstheme="minorBidi"/>
        </w:rPr>
      </w:pPr>
      <w:bookmarkStart w:id="17" w:name="_Toc216140015"/>
      <w:r w:rsidRPr="002C0C84">
        <w:rPr>
          <w:rFonts w:asciiTheme="minorBidi" w:hAnsiTheme="minorBidi" w:cstheme="minorBidi"/>
        </w:rPr>
        <w:lastRenderedPageBreak/>
        <w:t>2.2.4 Ethical, Social and Operational Problems.</w:t>
      </w:r>
      <w:bookmarkEnd w:id="17"/>
    </w:p>
    <w:p w14:paraId="31B280A5" w14:textId="77777777" w:rsidR="006311D3" w:rsidRPr="002C0C84" w:rsidRDefault="006311D3" w:rsidP="00667177">
      <w:pPr>
        <w:rPr>
          <w:rFonts w:asciiTheme="minorBidi" w:hAnsiTheme="minorBidi"/>
          <w:sz w:val="22"/>
        </w:rPr>
      </w:pPr>
      <w:r w:rsidRPr="002C0C84">
        <w:rPr>
          <w:rFonts w:asciiTheme="minorBidi" w:hAnsiTheme="minorBidi"/>
          <w:sz w:val="22"/>
        </w:rPr>
        <w:t>The centralised surveillance regime in South Korea despite its epidemiological success created significant ethical conflict. Large-scale applications of mobility tracking by digital means, CCTV surveillance and credit-card scanning provoked renewed civil liberties issues of data proportionality, as well as long-term governing precedents (de Bienassis et al., 2022; Janssen and Van der Voort, 2020). In addition, centralised model put undue operational pressure to the national institutions resulting in successive waves of outbreak bottlenecks in decision-making. Despite high resilience of the health system, long-term workforce fatigue was also reported because of continuous emergency operations beyond usual periods of surge.</w:t>
      </w:r>
    </w:p>
    <w:p w14:paraId="27FE04DF" w14:textId="77777777" w:rsidR="006311D3" w:rsidRPr="002C0C84" w:rsidRDefault="006311D3" w:rsidP="00667177">
      <w:pPr>
        <w:rPr>
          <w:rFonts w:asciiTheme="minorBidi" w:hAnsiTheme="minorBidi"/>
          <w:sz w:val="22"/>
        </w:rPr>
      </w:pPr>
    </w:p>
    <w:p w14:paraId="77307902" w14:textId="77777777" w:rsidR="00420E9F" w:rsidRPr="002C0C84" w:rsidRDefault="00420E9F">
      <w:pPr>
        <w:spacing w:line="259" w:lineRule="auto"/>
        <w:jc w:val="left"/>
        <w:rPr>
          <w:rFonts w:asciiTheme="minorBidi" w:eastAsiaTheme="majorEastAsia" w:hAnsiTheme="minorBidi"/>
          <w:color w:val="2F5496" w:themeColor="accent1" w:themeShade="BF"/>
          <w:sz w:val="28"/>
          <w:szCs w:val="28"/>
        </w:rPr>
      </w:pPr>
      <w:r w:rsidRPr="002C0C84">
        <w:rPr>
          <w:rFonts w:asciiTheme="minorBidi" w:hAnsiTheme="minorBidi"/>
        </w:rPr>
        <w:br w:type="page"/>
      </w:r>
    </w:p>
    <w:p w14:paraId="570DAB10" w14:textId="03052386" w:rsidR="006311D3" w:rsidRPr="002C0C84" w:rsidRDefault="006311D3" w:rsidP="00667177">
      <w:pPr>
        <w:pStyle w:val="Heading3"/>
        <w:rPr>
          <w:rFonts w:asciiTheme="minorBidi" w:hAnsiTheme="minorBidi" w:cstheme="minorBidi"/>
        </w:rPr>
      </w:pPr>
      <w:bookmarkStart w:id="18" w:name="_Toc216140016"/>
      <w:r w:rsidRPr="002C0C84">
        <w:rPr>
          <w:rFonts w:asciiTheme="minorBidi" w:hAnsiTheme="minorBidi" w:cstheme="minorBidi"/>
        </w:rPr>
        <w:lastRenderedPageBreak/>
        <w:t>2.2.5 Infection Control and Public Trust Impact.</w:t>
      </w:r>
      <w:bookmarkEnd w:id="18"/>
    </w:p>
    <w:p w14:paraId="4F6DF7F0" w14:textId="78B93261" w:rsidR="00420E9F" w:rsidRPr="002C0C84" w:rsidRDefault="00420E9F" w:rsidP="00667177">
      <w:pPr>
        <w:rPr>
          <w:rFonts w:asciiTheme="minorBidi" w:hAnsiTheme="minorBidi"/>
          <w:noProof/>
        </w:rPr>
      </w:pPr>
      <w:r w:rsidRPr="002C0C84">
        <w:rPr>
          <w:rFonts w:asciiTheme="minorBidi" w:hAnsiTheme="minorBidi"/>
          <w:noProof/>
        </w:rPr>
        <w:drawing>
          <wp:anchor distT="0" distB="0" distL="114300" distR="114300" simplePos="0" relativeHeight="251661312" behindDoc="0" locked="0" layoutInCell="1" allowOverlap="1" wp14:anchorId="1B7680F6" wp14:editId="2F9BC638">
            <wp:simplePos x="0" y="0"/>
            <wp:positionH relativeFrom="margin">
              <wp:align>center</wp:align>
            </wp:positionH>
            <wp:positionV relativeFrom="paragraph">
              <wp:posOffset>198755</wp:posOffset>
            </wp:positionV>
            <wp:extent cx="4381500" cy="2638803"/>
            <wp:effectExtent l="0" t="0" r="0" b="9525"/>
            <wp:wrapSquare wrapText="bothSides"/>
            <wp:docPr id="514414793" name="Picture 3" descr="Chart: South Korea Reports No New Domestic COVID-19 Cases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7" descr="Chart: South Korea Reports No New Domestic COVID-19 Cases | Statista"/>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a:stretch>
                      <a:fillRect/>
                    </a:stretch>
                  </pic:blipFill>
                  <pic:spPr bwMode="auto">
                    <a:xfrm>
                      <a:off x="0" y="0"/>
                      <a:ext cx="4381500" cy="2638803"/>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847A06C" w14:textId="250DDC47" w:rsidR="00420E9F" w:rsidRPr="002C0C84" w:rsidRDefault="00420E9F" w:rsidP="00667177">
      <w:pPr>
        <w:rPr>
          <w:rFonts w:asciiTheme="minorBidi" w:hAnsiTheme="minorBidi"/>
          <w:sz w:val="22"/>
        </w:rPr>
      </w:pPr>
    </w:p>
    <w:p w14:paraId="33858423" w14:textId="77777777" w:rsidR="00420E9F" w:rsidRPr="002C0C84" w:rsidRDefault="00420E9F" w:rsidP="00667177">
      <w:pPr>
        <w:rPr>
          <w:rFonts w:asciiTheme="minorBidi" w:hAnsiTheme="minorBidi"/>
          <w:sz w:val="22"/>
        </w:rPr>
      </w:pPr>
    </w:p>
    <w:p w14:paraId="22F210BC" w14:textId="77777777" w:rsidR="00420E9F" w:rsidRPr="002C0C84" w:rsidRDefault="00420E9F" w:rsidP="00667177">
      <w:pPr>
        <w:rPr>
          <w:rFonts w:asciiTheme="minorBidi" w:hAnsiTheme="minorBidi"/>
          <w:sz w:val="22"/>
        </w:rPr>
      </w:pPr>
    </w:p>
    <w:p w14:paraId="214C6179" w14:textId="77777777" w:rsidR="00420E9F" w:rsidRPr="002C0C84" w:rsidRDefault="00420E9F" w:rsidP="00667177">
      <w:pPr>
        <w:rPr>
          <w:rFonts w:asciiTheme="minorBidi" w:hAnsiTheme="minorBidi"/>
          <w:sz w:val="22"/>
        </w:rPr>
      </w:pPr>
    </w:p>
    <w:p w14:paraId="72EE0230" w14:textId="77777777" w:rsidR="00420E9F" w:rsidRPr="002C0C84" w:rsidRDefault="00420E9F" w:rsidP="00667177">
      <w:pPr>
        <w:rPr>
          <w:rFonts w:asciiTheme="minorBidi" w:hAnsiTheme="minorBidi"/>
          <w:sz w:val="22"/>
        </w:rPr>
      </w:pPr>
    </w:p>
    <w:p w14:paraId="627CAB5C" w14:textId="77777777" w:rsidR="00420E9F" w:rsidRPr="002C0C84" w:rsidRDefault="00420E9F" w:rsidP="00667177">
      <w:pPr>
        <w:rPr>
          <w:rFonts w:asciiTheme="minorBidi" w:hAnsiTheme="minorBidi"/>
          <w:sz w:val="22"/>
        </w:rPr>
      </w:pPr>
    </w:p>
    <w:p w14:paraId="603EBAA6" w14:textId="77777777" w:rsidR="00420E9F" w:rsidRPr="002C0C84" w:rsidRDefault="00420E9F" w:rsidP="00667177">
      <w:pPr>
        <w:rPr>
          <w:rFonts w:asciiTheme="minorBidi" w:hAnsiTheme="minorBidi"/>
          <w:sz w:val="22"/>
        </w:rPr>
      </w:pPr>
    </w:p>
    <w:p w14:paraId="3BE02BFB" w14:textId="73CEAD25" w:rsidR="00420E9F" w:rsidRPr="002C0C84" w:rsidRDefault="00420E9F" w:rsidP="00667177">
      <w:pPr>
        <w:rPr>
          <w:rFonts w:asciiTheme="minorBidi" w:hAnsiTheme="minorBidi"/>
          <w:sz w:val="22"/>
        </w:rPr>
      </w:pPr>
      <w:r w:rsidRPr="002C0C84">
        <w:rPr>
          <w:rFonts w:asciiTheme="minorBidi" w:hAnsiTheme="minorBidi"/>
          <w:noProof/>
        </w:rPr>
        <mc:AlternateContent>
          <mc:Choice Requires="wps">
            <w:drawing>
              <wp:anchor distT="0" distB="0" distL="114300" distR="114300" simplePos="0" relativeHeight="251663360" behindDoc="0" locked="0" layoutInCell="1" allowOverlap="1" wp14:anchorId="551A1C2E" wp14:editId="2312C394">
                <wp:simplePos x="0" y="0"/>
                <wp:positionH relativeFrom="margin">
                  <wp:align>center</wp:align>
                </wp:positionH>
                <wp:positionV relativeFrom="paragraph">
                  <wp:posOffset>240665</wp:posOffset>
                </wp:positionV>
                <wp:extent cx="3558540" cy="635"/>
                <wp:effectExtent l="0" t="0" r="3810" b="8255"/>
                <wp:wrapSquare wrapText="bothSides"/>
                <wp:docPr id="1757040824" name="Text Box 1"/>
                <wp:cNvGraphicFramePr/>
                <a:graphic xmlns:a="http://schemas.openxmlformats.org/drawingml/2006/main">
                  <a:graphicData uri="http://schemas.microsoft.com/office/word/2010/wordprocessingShape">
                    <wps:wsp>
                      <wps:cNvSpPr txBox="1"/>
                      <wps:spPr>
                        <a:xfrm>
                          <a:off x="0" y="0"/>
                          <a:ext cx="3558540" cy="635"/>
                        </a:xfrm>
                        <a:prstGeom prst="rect">
                          <a:avLst/>
                        </a:prstGeom>
                        <a:solidFill>
                          <a:prstClr val="white"/>
                        </a:solidFill>
                        <a:ln>
                          <a:noFill/>
                        </a:ln>
                      </wps:spPr>
                      <wps:txbx>
                        <w:txbxContent>
                          <w:p w14:paraId="2AC57F49" w14:textId="4135BDEB" w:rsidR="00420E9F" w:rsidRPr="00420E9F" w:rsidRDefault="00420E9F" w:rsidP="00420E9F">
                            <w:pPr>
                              <w:pStyle w:val="Caption"/>
                              <w:rPr>
                                <w:b/>
                                <w:bCs/>
                                <w:noProof/>
                                <w:szCs w:val="22"/>
                              </w:rPr>
                            </w:pPr>
                            <w:r w:rsidRPr="00420E9F">
                              <w:rPr>
                                <w:b/>
                                <w:bCs/>
                              </w:rPr>
                              <w:t xml:space="preserve">Figure </w:t>
                            </w:r>
                            <w:r w:rsidR="00C91EA0">
                              <w:rPr>
                                <w:b/>
                                <w:bCs/>
                              </w:rPr>
                              <w:t>2</w:t>
                            </w:r>
                            <w:r w:rsidRPr="00420E9F">
                              <w:rPr>
                                <w:b/>
                                <w:bCs/>
                                <w:lang w:val="en-US"/>
                              </w:rPr>
                              <w:t xml:space="preserve"> High Public Compliance &amp; Infection Control (Smits et al., 2023)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51A1C2E" id="_x0000_s1027" type="#_x0000_t202" style="position:absolute;left:0;text-align:left;margin-left:0;margin-top:18.95pt;width:280.2pt;height:.05pt;z-index:25166336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" stroked="f">
                <v:textbox style="mso-fit-shape-to-text:t" inset="0,0,0,0">
                  <w:txbxContent>
                    <w:p w14:paraId="2AC57F49" w14:textId="4135BDEB" w:rsidR="00420E9F" w:rsidRPr="00420E9F" w:rsidRDefault="00420E9F" w:rsidP="00420E9F">
                      <w:pPr>
                        <w:pStyle w:val="Caption"/>
                        <w:rPr>
                          <w:b/>
                          <w:bCs/>
                          <w:noProof/>
                          <w:szCs w:val="22"/>
                        </w:rPr>
                      </w:pPr>
                      <w:r w:rsidRPr="00420E9F">
                        <w:rPr>
                          <w:b/>
                          <w:bCs/>
                        </w:rPr>
                        <w:t xml:space="preserve">Figure </w:t>
                      </w:r>
                      <w:r w:rsidR="00C91EA0">
                        <w:rPr>
                          <w:b/>
                          <w:bCs/>
                        </w:rPr>
                        <w:t>2</w:t>
                      </w:r>
                      <w:r w:rsidRPr="00420E9F">
                        <w:rPr>
                          <w:b/>
                          <w:bCs/>
                          <w:lang w:val="en-US"/>
                        </w:rPr>
                        <w:t xml:space="preserve"> High Public Compliance &amp; Infection Control (Smits et al., 2023)</w:t>
                      </w:r>
                    </w:p>
                  </w:txbxContent>
                </v:textbox>
                <w10:wrap type="square" anchorx="margin"/>
              </v:shape>
            </w:pict>
          </mc:Fallback>
        </mc:AlternateContent>
      </w:r>
    </w:p>
    <w:p w14:paraId="0EEAF717" w14:textId="77777777" w:rsidR="00420E9F" w:rsidRPr="002C0C84" w:rsidRDefault="00420E9F" w:rsidP="00667177">
      <w:pPr>
        <w:rPr>
          <w:rFonts w:asciiTheme="minorBidi" w:hAnsiTheme="minorBidi"/>
          <w:sz w:val="22"/>
        </w:rPr>
      </w:pPr>
    </w:p>
    <w:p w14:paraId="42686CAA" w14:textId="69B6CC4E" w:rsidR="006311D3" w:rsidRPr="002C0C84" w:rsidRDefault="006311D3" w:rsidP="00667177">
      <w:pPr>
        <w:rPr>
          <w:rFonts w:asciiTheme="minorBidi" w:hAnsiTheme="minorBidi"/>
          <w:sz w:val="22"/>
        </w:rPr>
      </w:pPr>
      <w:r w:rsidRPr="002C0C84">
        <w:rPr>
          <w:rFonts w:asciiTheme="minorBidi" w:hAnsiTheme="minorBidi"/>
          <w:sz w:val="22"/>
        </w:rPr>
        <w:t>South Korea has registered under 26,000 COVID-19 fatalities at the close of 2022 in spite of its urbanised densely populated country and high international mobility profile, which is one of the lowest OECD fatality ratios (Kim et al., 2021; de Bienassis et al., 2022). During the consecutive pandemic waves, the level of trust in the government was not serious and could be assessed by the fact that the numbers of people, who managed to adhere to non-pharmaceutical measures, stayed high. The centralised paradigm showed that early decisional authority alongside technological assimilation have the capability to produce high system-level containment efficiency provided these are supported by law and culture</w:t>
      </w:r>
      <w:r w:rsidR="00825A50">
        <w:rPr>
          <w:rFonts w:asciiTheme="minorBidi" w:hAnsiTheme="minorBidi"/>
          <w:sz w:val="22"/>
        </w:rPr>
        <w:t xml:space="preserve"> </w:t>
      </w:r>
      <w:r w:rsidR="00825A50" w:rsidRPr="00825A50">
        <w:rPr>
          <w:rFonts w:asciiTheme="minorBidi" w:hAnsiTheme="minorBidi"/>
          <w:sz w:val="22"/>
        </w:rPr>
        <w:t>(Phillips et al., 2022)</w:t>
      </w:r>
      <w:r w:rsidRPr="002C0C84">
        <w:rPr>
          <w:rFonts w:asciiTheme="minorBidi" w:hAnsiTheme="minorBidi"/>
          <w:sz w:val="22"/>
        </w:rPr>
        <w:t>.</w:t>
      </w:r>
    </w:p>
    <w:p w14:paraId="3B1D8628" w14:textId="77777777" w:rsidR="006311D3" w:rsidRPr="002C0C84" w:rsidRDefault="006311D3" w:rsidP="00667177">
      <w:pPr>
        <w:rPr>
          <w:rFonts w:asciiTheme="minorBidi" w:hAnsiTheme="minorBidi"/>
          <w:sz w:val="22"/>
        </w:rPr>
      </w:pPr>
    </w:p>
    <w:p w14:paraId="0D131754" w14:textId="77777777" w:rsidR="00420E9F" w:rsidRPr="002C0C84" w:rsidRDefault="00420E9F">
      <w:pPr>
        <w:spacing w:line="259" w:lineRule="auto"/>
        <w:jc w:val="left"/>
        <w:rPr>
          <w:rFonts w:asciiTheme="minorBidi" w:eastAsia="Times New Roman" w:hAnsiTheme="minorBidi"/>
          <w:b/>
          <w:bCs/>
          <w:color w:val="4472C4" w:themeColor="accent1"/>
          <w:kern w:val="0"/>
          <w:sz w:val="28"/>
          <w:szCs w:val="28"/>
          <w14:ligatures w14:val="none"/>
        </w:rPr>
      </w:pPr>
      <w:r w:rsidRPr="002C0C84">
        <w:rPr>
          <w:rFonts w:asciiTheme="minorBidi" w:hAnsiTheme="minorBidi"/>
        </w:rPr>
        <w:br w:type="page"/>
      </w:r>
    </w:p>
    <w:p w14:paraId="76B0828C" w14:textId="199F3DD0" w:rsidR="006311D3" w:rsidRPr="002C0C84" w:rsidRDefault="006311D3" w:rsidP="00667177">
      <w:pPr>
        <w:pStyle w:val="Heading2"/>
        <w:rPr>
          <w:rFonts w:asciiTheme="minorBidi" w:hAnsiTheme="minorBidi" w:cstheme="minorBidi"/>
        </w:rPr>
      </w:pPr>
      <w:bookmarkStart w:id="19" w:name="_Toc216140017"/>
      <w:r w:rsidRPr="002C0C84">
        <w:rPr>
          <w:rFonts w:asciiTheme="minorBidi" w:hAnsiTheme="minorBidi" w:cstheme="minorBidi"/>
        </w:rPr>
        <w:lastRenderedPageBreak/>
        <w:t>2.3 Canada: Federal and Decentralised Public Health Response.</w:t>
      </w:r>
      <w:bookmarkEnd w:id="19"/>
    </w:p>
    <w:p w14:paraId="6C8D22C7" w14:textId="77777777" w:rsidR="006311D3" w:rsidRPr="002C0C84" w:rsidRDefault="006311D3" w:rsidP="00667177">
      <w:pPr>
        <w:pStyle w:val="Heading3"/>
        <w:rPr>
          <w:rFonts w:asciiTheme="minorBidi" w:hAnsiTheme="minorBidi" w:cstheme="minorBidi"/>
        </w:rPr>
      </w:pPr>
      <w:bookmarkStart w:id="20" w:name="_Toc216140018"/>
      <w:r w:rsidRPr="002C0C84">
        <w:rPr>
          <w:rFonts w:asciiTheme="minorBidi" w:hAnsiTheme="minorBidi" w:cstheme="minorBidi"/>
        </w:rPr>
        <w:t>2.3.1 The Canadian Federal Healthcare System Structure.</w:t>
      </w:r>
      <w:bookmarkEnd w:id="20"/>
    </w:p>
    <w:p w14:paraId="1CB5F910" w14:textId="44C0E368" w:rsidR="006311D3" w:rsidRPr="002C0C84" w:rsidRDefault="006311D3" w:rsidP="00CC2988">
      <w:pPr>
        <w:rPr>
          <w:rFonts w:asciiTheme="minorBidi" w:hAnsiTheme="minorBidi"/>
          <w:sz w:val="22"/>
        </w:rPr>
      </w:pPr>
      <w:r w:rsidRPr="002C0C84">
        <w:rPr>
          <w:rFonts w:asciiTheme="minorBidi" w:hAnsiTheme="minorBidi"/>
          <w:sz w:val="22"/>
        </w:rPr>
        <w:t>Canada has a constitutionally entrenched federal system of healthcare where the provinces retain all powers on healthcare delivery, and public health programmes, the hospitals financing and workforce regulation, but the federal government plays roles in border control, pharmaceutical regulation, and national health funding transfers (Marchildon and Di Matteo, 2021). It is an institutional design that creates one of the most decentralised pandemic governance systems among high-income states.</w:t>
      </w:r>
    </w:p>
    <w:p w14:paraId="0C209D47" w14:textId="77777777" w:rsidR="006311D3" w:rsidRPr="002C0C84" w:rsidRDefault="006311D3" w:rsidP="00667177">
      <w:pPr>
        <w:pStyle w:val="Heading3"/>
        <w:rPr>
          <w:rFonts w:asciiTheme="minorBidi" w:hAnsiTheme="minorBidi" w:cstheme="minorBidi"/>
        </w:rPr>
      </w:pPr>
      <w:bookmarkStart w:id="21" w:name="_Toc216140019"/>
      <w:r w:rsidRPr="002C0C84">
        <w:rPr>
          <w:rFonts w:asciiTheme="minorBidi" w:hAnsiTheme="minorBidi" w:cstheme="minorBidi"/>
        </w:rPr>
        <w:t>2.3.2 Power Distribution between the federal and provincial governments during COVID-19.</w:t>
      </w:r>
      <w:bookmarkEnd w:id="21"/>
    </w:p>
    <w:p w14:paraId="26A9A11C" w14:textId="3BDC2D86" w:rsidR="006311D3" w:rsidRPr="002C0C84" w:rsidRDefault="006311D3" w:rsidP="00CC2988">
      <w:pPr>
        <w:rPr>
          <w:rFonts w:asciiTheme="minorBidi" w:hAnsiTheme="minorBidi"/>
          <w:sz w:val="22"/>
        </w:rPr>
      </w:pPr>
      <w:r w:rsidRPr="002C0C84">
        <w:rPr>
          <w:rFonts w:asciiTheme="minorBidi" w:hAnsiTheme="minorBidi"/>
          <w:sz w:val="22"/>
        </w:rPr>
        <w:t>In COVID-19, provinces set the timing of lockdown, testing approaches, prioritisation and internal mobility restrictions of vaccination independently. Federal government organised international border control, purchases and supply of vaccines and emergency fiscal transfer and was not allowed to directly impose local containment (Hegele and Schnabel, 2021). The resultant system of governance generated a massive disparity of interprovincial containment policy. As an illustration, Atlantic provinces recorded close-to-zero transmission by closing borders early, whereas Ontario and Quebec recorded a long period of high-transmission cycles because of late restrictions and urban density pressures (Marchildon and Di Matteo, 2021).</w:t>
      </w:r>
    </w:p>
    <w:p w14:paraId="54967B99" w14:textId="77777777" w:rsidR="006311D3" w:rsidRPr="002C0C84" w:rsidRDefault="006311D3" w:rsidP="00667177">
      <w:pPr>
        <w:pStyle w:val="Heading3"/>
        <w:rPr>
          <w:rFonts w:asciiTheme="minorBidi" w:hAnsiTheme="minorBidi" w:cstheme="minorBidi"/>
        </w:rPr>
      </w:pPr>
      <w:bookmarkStart w:id="22" w:name="_Toc216140020"/>
      <w:r w:rsidRPr="002C0C84">
        <w:rPr>
          <w:rFonts w:asciiTheme="minorBidi" w:hAnsiTheme="minorBidi" w:cstheme="minorBidi"/>
        </w:rPr>
        <w:t>2.3.3 Advantages of the Decentralised Approach taken by Canada.</w:t>
      </w:r>
      <w:bookmarkEnd w:id="22"/>
    </w:p>
    <w:p w14:paraId="2C1080EA" w14:textId="1C260E3F" w:rsidR="006311D3" w:rsidRPr="002C0C84" w:rsidRDefault="006311D3" w:rsidP="00667177">
      <w:pPr>
        <w:rPr>
          <w:rFonts w:asciiTheme="minorBidi" w:hAnsiTheme="minorBidi"/>
          <w:sz w:val="22"/>
        </w:rPr>
      </w:pPr>
      <w:r w:rsidRPr="002C0C84">
        <w:rPr>
          <w:rFonts w:asciiTheme="minorBidi" w:hAnsiTheme="minorBidi"/>
          <w:sz w:val="22"/>
        </w:rPr>
        <w:t>The decentralisation in Canada allowed localised innovation and location-specific policy making. The provinces used the existing regional health authorities to implement community-specific interventions and fiscal autonomy enabled a rapid increase in local testing and hospital surge capacity (Hegele and Schnabel, 2021). The federal-provincial financing system provided emergency income assistance in excess of 20% of GDP in the fiscal stimulus, eliminating systemic underfunding of healthcare during peak demand times</w:t>
      </w:r>
      <w:r w:rsidR="00825A50">
        <w:rPr>
          <w:rFonts w:asciiTheme="minorBidi" w:hAnsiTheme="minorBidi"/>
          <w:sz w:val="22"/>
        </w:rPr>
        <w:t xml:space="preserve"> </w:t>
      </w:r>
      <w:r w:rsidR="00825A50" w:rsidRPr="00825A50">
        <w:rPr>
          <w:rFonts w:asciiTheme="minorBidi" w:hAnsiTheme="minorBidi"/>
          <w:sz w:val="22"/>
        </w:rPr>
        <w:t>(Pereira et al., 2021)</w:t>
      </w:r>
      <w:r w:rsidRPr="002C0C84">
        <w:rPr>
          <w:rFonts w:asciiTheme="minorBidi" w:hAnsiTheme="minorBidi"/>
          <w:sz w:val="22"/>
        </w:rPr>
        <w:t>. Besides, the continuity of non-COVID essential care in lower-incidence areas was facilitated by the decentralised service delivery.</w:t>
      </w:r>
    </w:p>
    <w:p w14:paraId="102E4CCE" w14:textId="77777777" w:rsidR="006311D3" w:rsidRPr="002C0C84" w:rsidRDefault="006311D3" w:rsidP="00667177">
      <w:pPr>
        <w:rPr>
          <w:rFonts w:asciiTheme="minorBidi" w:hAnsiTheme="minorBidi"/>
          <w:sz w:val="22"/>
        </w:rPr>
      </w:pPr>
    </w:p>
    <w:p w14:paraId="5B452C5D" w14:textId="459E1B6C" w:rsidR="006311D3" w:rsidRPr="002C0C84" w:rsidRDefault="006311D3" w:rsidP="00667177">
      <w:pPr>
        <w:pStyle w:val="Heading3"/>
        <w:rPr>
          <w:rFonts w:asciiTheme="minorBidi" w:hAnsiTheme="minorBidi" w:cstheme="minorBidi"/>
        </w:rPr>
      </w:pPr>
      <w:bookmarkStart w:id="23" w:name="_Toc216140021"/>
      <w:r w:rsidRPr="002C0C84">
        <w:rPr>
          <w:rFonts w:asciiTheme="minorBidi" w:hAnsiTheme="minorBidi" w:cstheme="minorBidi"/>
        </w:rPr>
        <w:lastRenderedPageBreak/>
        <w:t>2.3.4 Coordination and Vaccine Procurement Problems.</w:t>
      </w:r>
      <w:bookmarkEnd w:id="23"/>
    </w:p>
    <w:p w14:paraId="567FFE33" w14:textId="7B9A9D86" w:rsidR="00CC2988" w:rsidRPr="002C0C84" w:rsidRDefault="002C0C84" w:rsidP="00667177">
      <w:pPr>
        <w:rPr>
          <w:rFonts w:asciiTheme="minorBidi" w:hAnsiTheme="minorBidi"/>
          <w:sz w:val="22"/>
        </w:rPr>
      </w:pPr>
      <w:r w:rsidRPr="002C0C84">
        <w:rPr>
          <w:rFonts w:asciiTheme="minorBidi" w:hAnsiTheme="minorBidi"/>
          <w:noProof/>
          <w:sz w:val="22"/>
        </w:rPr>
        <w:drawing>
          <wp:anchor distT="0" distB="0" distL="114300" distR="114300" simplePos="0" relativeHeight="251676672" behindDoc="0" locked="0" layoutInCell="1" allowOverlap="1" wp14:anchorId="51E1F1DD" wp14:editId="1CD76CC5">
            <wp:simplePos x="0" y="0"/>
            <wp:positionH relativeFrom="margin">
              <wp:align>center</wp:align>
            </wp:positionH>
            <wp:positionV relativeFrom="paragraph">
              <wp:posOffset>221615</wp:posOffset>
            </wp:positionV>
            <wp:extent cx="4918193" cy="2849880"/>
            <wp:effectExtent l="0" t="0" r="0" b="7620"/>
            <wp:wrapSquare wrapText="bothSides"/>
            <wp:docPr id="132825543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918193" cy="2849880"/>
                    </a:xfrm>
                    <a:prstGeom prst="rect">
                      <a:avLst/>
                    </a:prstGeom>
                    <a:noFill/>
                  </pic:spPr>
                </pic:pic>
              </a:graphicData>
            </a:graphic>
            <wp14:sizeRelH relativeFrom="margin">
              <wp14:pctWidth>0</wp14:pctWidth>
            </wp14:sizeRelH>
            <wp14:sizeRelV relativeFrom="margin">
              <wp14:pctHeight>0</wp14:pctHeight>
            </wp14:sizeRelV>
          </wp:anchor>
        </w:drawing>
      </w:r>
      <w:r w:rsidR="00CC2988" w:rsidRPr="002C0C84">
        <w:rPr>
          <w:rFonts w:asciiTheme="minorBidi" w:hAnsiTheme="minorBidi"/>
          <w:sz w:val="22"/>
        </w:rPr>
        <w:br/>
      </w:r>
      <w:r w:rsidR="00CC2988" w:rsidRPr="002C0C84">
        <w:rPr>
          <w:rFonts w:asciiTheme="minorBidi" w:hAnsiTheme="minorBidi"/>
          <w:sz w:val="22"/>
        </w:rPr>
        <w:br/>
      </w:r>
      <w:r w:rsidR="00CC2988" w:rsidRPr="002C0C84">
        <w:rPr>
          <w:rFonts w:asciiTheme="minorBidi" w:hAnsiTheme="minorBidi"/>
          <w:sz w:val="22"/>
        </w:rPr>
        <w:br/>
      </w:r>
      <w:r w:rsidR="00CC2988" w:rsidRPr="002C0C84">
        <w:rPr>
          <w:rFonts w:asciiTheme="minorBidi" w:hAnsiTheme="minorBidi"/>
          <w:sz w:val="22"/>
        </w:rPr>
        <w:br/>
      </w:r>
      <w:r w:rsidR="00CC2988" w:rsidRPr="002C0C84">
        <w:rPr>
          <w:rFonts w:asciiTheme="minorBidi" w:hAnsiTheme="minorBidi"/>
          <w:sz w:val="22"/>
        </w:rPr>
        <w:br/>
      </w:r>
      <w:r w:rsidR="00CC2988" w:rsidRPr="002C0C84">
        <w:rPr>
          <w:rFonts w:asciiTheme="minorBidi" w:hAnsiTheme="minorBidi"/>
          <w:sz w:val="22"/>
        </w:rPr>
        <w:br/>
      </w:r>
      <w:r w:rsidR="00CC2988" w:rsidRPr="002C0C84">
        <w:rPr>
          <w:rFonts w:asciiTheme="minorBidi" w:hAnsiTheme="minorBidi"/>
          <w:sz w:val="22"/>
        </w:rPr>
        <w:br/>
      </w:r>
      <w:r w:rsidR="00CC2988" w:rsidRPr="002C0C84">
        <w:rPr>
          <w:rFonts w:asciiTheme="minorBidi" w:hAnsiTheme="minorBidi"/>
          <w:sz w:val="22"/>
        </w:rPr>
        <w:br/>
      </w:r>
      <w:r w:rsidR="00CC2988" w:rsidRPr="002C0C84">
        <w:rPr>
          <w:rFonts w:asciiTheme="minorBidi" w:hAnsiTheme="minorBidi"/>
          <w:sz w:val="22"/>
        </w:rPr>
        <w:br/>
      </w:r>
      <w:r w:rsidR="00CC2988" w:rsidRPr="002C0C84">
        <w:rPr>
          <w:rFonts w:asciiTheme="minorBidi" w:hAnsiTheme="minorBidi"/>
          <w:sz w:val="22"/>
        </w:rPr>
        <w:br/>
      </w:r>
      <w:r w:rsidR="00CC2988" w:rsidRPr="002C0C84">
        <w:rPr>
          <w:rFonts w:asciiTheme="minorBidi" w:hAnsiTheme="minorBidi"/>
          <w:sz w:val="22"/>
        </w:rPr>
        <w:br/>
      </w:r>
      <w:r w:rsidR="00CC2988" w:rsidRPr="002C0C84">
        <w:rPr>
          <w:rFonts w:asciiTheme="minorBidi" w:hAnsiTheme="minorBidi"/>
          <w:sz w:val="22"/>
        </w:rPr>
        <w:br/>
      </w:r>
      <w:r w:rsidR="00CC2988" w:rsidRPr="002C0C84">
        <w:rPr>
          <w:rFonts w:asciiTheme="minorBidi" w:hAnsiTheme="minorBidi"/>
          <w:sz w:val="22"/>
        </w:rPr>
        <w:br/>
      </w:r>
      <w:r w:rsidR="00CC2988" w:rsidRPr="002C0C84">
        <w:rPr>
          <w:rFonts w:asciiTheme="minorBidi" w:hAnsiTheme="minorBidi"/>
          <w:sz w:val="22"/>
        </w:rPr>
        <w:br/>
      </w:r>
      <w:r w:rsidR="00CC2988" w:rsidRPr="002C0C84">
        <w:rPr>
          <w:rFonts w:asciiTheme="minorBidi" w:hAnsiTheme="minorBidi"/>
          <w:sz w:val="22"/>
        </w:rPr>
        <w:br/>
      </w:r>
    </w:p>
    <w:p w14:paraId="67D7B539" w14:textId="77777777" w:rsidR="00CC2988" w:rsidRPr="002C0C84" w:rsidRDefault="00CC2988" w:rsidP="00667177">
      <w:pPr>
        <w:rPr>
          <w:rFonts w:asciiTheme="minorBidi" w:hAnsiTheme="minorBidi"/>
          <w:sz w:val="22"/>
        </w:rPr>
      </w:pPr>
    </w:p>
    <w:p w14:paraId="75AB7BC6" w14:textId="77777777" w:rsidR="00CC2988" w:rsidRPr="002C0C84" w:rsidRDefault="00CC2988" w:rsidP="00667177">
      <w:pPr>
        <w:rPr>
          <w:rFonts w:asciiTheme="minorBidi" w:hAnsiTheme="minorBidi"/>
          <w:sz w:val="22"/>
        </w:rPr>
      </w:pPr>
    </w:p>
    <w:p w14:paraId="11451C69" w14:textId="759A1783" w:rsidR="00CC2988" w:rsidRPr="002C0C84" w:rsidRDefault="002C0C84" w:rsidP="00667177">
      <w:pPr>
        <w:rPr>
          <w:rFonts w:asciiTheme="minorBidi" w:hAnsiTheme="minorBidi"/>
          <w:sz w:val="22"/>
        </w:rPr>
      </w:pPr>
      <w:r w:rsidRPr="002C0C84">
        <w:rPr>
          <w:rFonts w:asciiTheme="minorBidi" w:hAnsiTheme="minorBidi"/>
          <w:noProof/>
        </w:rPr>
        <mc:AlternateContent>
          <mc:Choice Requires="wps">
            <w:drawing>
              <wp:anchor distT="0" distB="0" distL="114300" distR="114300" simplePos="0" relativeHeight="251678720" behindDoc="0" locked="0" layoutInCell="1" allowOverlap="1" wp14:anchorId="1DB5FEED" wp14:editId="11305DD0">
                <wp:simplePos x="0" y="0"/>
                <wp:positionH relativeFrom="margin">
                  <wp:align>center</wp:align>
                </wp:positionH>
                <wp:positionV relativeFrom="paragraph">
                  <wp:posOffset>260985</wp:posOffset>
                </wp:positionV>
                <wp:extent cx="2987040" cy="312420"/>
                <wp:effectExtent l="0" t="0" r="3810" b="0"/>
                <wp:wrapSquare wrapText="bothSides"/>
                <wp:docPr id="1544510469" name="Text Box 1"/>
                <wp:cNvGraphicFramePr/>
                <a:graphic xmlns:a="http://schemas.openxmlformats.org/drawingml/2006/main">
                  <a:graphicData uri="http://schemas.microsoft.com/office/word/2010/wordprocessingShape">
                    <wps:wsp>
                      <wps:cNvSpPr txBox="1"/>
                      <wps:spPr>
                        <a:xfrm>
                          <a:off x="0" y="0"/>
                          <a:ext cx="2987040" cy="312420"/>
                        </a:xfrm>
                        <a:prstGeom prst="rect">
                          <a:avLst/>
                        </a:prstGeom>
                        <a:solidFill>
                          <a:prstClr val="white"/>
                        </a:solidFill>
                        <a:ln>
                          <a:noFill/>
                        </a:ln>
                      </wps:spPr>
                      <wps:txbx>
                        <w:txbxContent>
                          <w:p w14:paraId="121E9700" w14:textId="0135D682" w:rsidR="002C0C84" w:rsidRPr="002C0C84" w:rsidRDefault="002C0C84" w:rsidP="002C0C84">
                            <w:pPr>
                              <w:pStyle w:val="Caption"/>
                              <w:rPr>
                                <w:rFonts w:asciiTheme="minorBidi" w:hAnsiTheme="minorBidi"/>
                                <w:b/>
                                <w:bCs/>
                                <w:noProof/>
                                <w:sz w:val="22"/>
                                <w:szCs w:val="22"/>
                              </w:rPr>
                            </w:pPr>
                            <w:r w:rsidRPr="002C0C84">
                              <w:rPr>
                                <w:b/>
                                <w:bCs/>
                              </w:rPr>
                              <w:t xml:space="preserve">Figure </w:t>
                            </w:r>
                            <w:r w:rsidR="00C91EA0">
                              <w:rPr>
                                <w:b/>
                                <w:bCs/>
                              </w:rPr>
                              <w:t>3</w:t>
                            </w:r>
                            <w:r w:rsidRPr="002C0C84">
                              <w:rPr>
                                <w:b/>
                                <w:bCs/>
                                <w:lang w:val="en-US"/>
                              </w:rPr>
                              <w:t xml:space="preserve"> Interprovincial Data Fragmentation and Surveillance Integration Gaps (Angelici et al., 2023)</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B5FEED" id="_x0000_s1028" type="#_x0000_t202" style="position:absolute;left:0;text-align:left;margin-left:0;margin-top:20.55pt;width:235.2pt;height:24.6pt;z-index:25167872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" stroked="f">
                <v:textbox inset="0,0,0,0">
                  <w:txbxContent>
                    <w:p w14:paraId="121E9700" w14:textId="0135D682" w:rsidR="002C0C84" w:rsidRPr="002C0C84" w:rsidRDefault="002C0C84" w:rsidP="002C0C84">
                      <w:pPr>
                        <w:pStyle w:val="Caption"/>
                        <w:rPr>
                          <w:rFonts w:asciiTheme="minorBidi" w:hAnsiTheme="minorBidi"/>
                          <w:b/>
                          <w:bCs/>
                          <w:noProof/>
                          <w:sz w:val="22"/>
                          <w:szCs w:val="22"/>
                        </w:rPr>
                      </w:pPr>
                      <w:r w:rsidRPr="002C0C84">
                        <w:rPr>
                          <w:b/>
                          <w:bCs/>
                        </w:rPr>
                        <w:t xml:space="preserve">Figure </w:t>
                      </w:r>
                      <w:r w:rsidR="00C91EA0">
                        <w:rPr>
                          <w:b/>
                          <w:bCs/>
                        </w:rPr>
                        <w:t>3</w:t>
                      </w:r>
                      <w:r w:rsidRPr="002C0C84">
                        <w:rPr>
                          <w:b/>
                          <w:bCs/>
                          <w:lang w:val="en-US"/>
                        </w:rPr>
                        <w:t xml:space="preserve"> Interprovincial Data Fragmentation and Surveillance Integration Gaps (Angelici et al., 2023)</w:t>
                      </w:r>
                    </w:p>
                  </w:txbxContent>
                </v:textbox>
                <w10:wrap type="square" anchorx="margin"/>
              </v:shape>
            </w:pict>
          </mc:Fallback>
        </mc:AlternateContent>
      </w:r>
    </w:p>
    <w:p w14:paraId="17665A85" w14:textId="77777777" w:rsidR="002C0C84" w:rsidRPr="002C0C84" w:rsidRDefault="002C0C84" w:rsidP="00667177">
      <w:pPr>
        <w:rPr>
          <w:rFonts w:asciiTheme="minorBidi" w:hAnsiTheme="minorBidi"/>
          <w:sz w:val="22"/>
        </w:rPr>
      </w:pPr>
    </w:p>
    <w:p w14:paraId="07C3C81A" w14:textId="090E55D6" w:rsidR="006311D3" w:rsidRPr="002C0C84" w:rsidRDefault="002C0C84" w:rsidP="002C0C84">
      <w:pPr>
        <w:rPr>
          <w:rFonts w:asciiTheme="minorBidi" w:hAnsiTheme="minorBidi"/>
          <w:sz w:val="22"/>
        </w:rPr>
      </w:pPr>
      <w:r w:rsidRPr="002C0C84">
        <w:rPr>
          <w:rFonts w:asciiTheme="minorBidi" w:hAnsiTheme="minorBidi"/>
          <w:sz w:val="22"/>
        </w:rPr>
        <w:t>The figure shows regional differences in COVID-19 data dashboard capacities. Oceania has the best results in access, and availability of historical data, whereas Africa and Middle East have poor operational and geospatial integration</w:t>
      </w:r>
      <w:r w:rsidR="00825A50">
        <w:rPr>
          <w:rFonts w:asciiTheme="minorBidi" w:hAnsiTheme="minorBidi"/>
          <w:sz w:val="22"/>
        </w:rPr>
        <w:t xml:space="preserve"> </w:t>
      </w:r>
      <w:r w:rsidR="00825A50" w:rsidRPr="00825A50">
        <w:rPr>
          <w:rFonts w:asciiTheme="minorBidi" w:hAnsiTheme="minorBidi"/>
          <w:sz w:val="22"/>
        </w:rPr>
        <w:t>(Otero-García et al., 2021)</w:t>
      </w:r>
      <w:r w:rsidRPr="002C0C84">
        <w:rPr>
          <w:rFonts w:asciiTheme="minorBidi" w:hAnsiTheme="minorBidi"/>
          <w:sz w:val="22"/>
        </w:rPr>
        <w:t xml:space="preserve">. These transitions are an indication of the varying levels of maturity of digital infrastructure and data governance in the world regions. </w:t>
      </w:r>
      <w:r w:rsidR="006311D3" w:rsidRPr="002C0C84">
        <w:rPr>
          <w:rFonts w:asciiTheme="minorBidi" w:hAnsiTheme="minorBidi"/>
          <w:sz w:val="22"/>
        </w:rPr>
        <w:t>The decentralisation in Canada was a severe impediment to early access to vaccines. Since the nation was unable to produce domestically, procurement had to rely on federal agreements with suppliers across the globe in a competitive vaccine nationalism setting. In early 2021 supply shortages, provincial rollout systems were idle, many months behind countries that were using centralised procurement in terms of national vaccination momentum (Government of Canada, 2021; Marchildon and Di Matteo, 2021). In addition, the interprovincial differences in data systems hindered the integration of systems used by states to help in the national surveillance and the effectiveness of forecasting outbreak (de Bienassis et al., 2022).</w:t>
      </w:r>
    </w:p>
    <w:p w14:paraId="7CE03887" w14:textId="77777777" w:rsidR="006311D3" w:rsidRPr="002C0C84" w:rsidRDefault="006311D3" w:rsidP="00667177">
      <w:pPr>
        <w:rPr>
          <w:rFonts w:asciiTheme="minorBidi" w:hAnsiTheme="minorBidi"/>
          <w:sz w:val="22"/>
        </w:rPr>
      </w:pPr>
    </w:p>
    <w:p w14:paraId="50B672F9" w14:textId="77777777" w:rsidR="00420E9F" w:rsidRPr="002C0C84" w:rsidRDefault="00420E9F">
      <w:pPr>
        <w:spacing w:line="259" w:lineRule="auto"/>
        <w:jc w:val="left"/>
        <w:rPr>
          <w:rFonts w:asciiTheme="minorBidi" w:eastAsiaTheme="majorEastAsia" w:hAnsiTheme="minorBidi"/>
          <w:color w:val="2F5496" w:themeColor="accent1" w:themeShade="BF"/>
          <w:sz w:val="28"/>
          <w:szCs w:val="28"/>
        </w:rPr>
      </w:pPr>
      <w:r w:rsidRPr="002C0C84">
        <w:rPr>
          <w:rFonts w:asciiTheme="minorBidi" w:hAnsiTheme="minorBidi"/>
        </w:rPr>
        <w:br w:type="page"/>
      </w:r>
    </w:p>
    <w:p w14:paraId="40E57DE4" w14:textId="38BD5538" w:rsidR="006311D3" w:rsidRPr="002C0C84" w:rsidRDefault="006311D3" w:rsidP="00667177">
      <w:pPr>
        <w:pStyle w:val="Heading3"/>
        <w:rPr>
          <w:rFonts w:asciiTheme="minorBidi" w:hAnsiTheme="minorBidi" w:cstheme="minorBidi"/>
        </w:rPr>
      </w:pPr>
      <w:bookmarkStart w:id="24" w:name="_Toc216140022"/>
      <w:r w:rsidRPr="002C0C84">
        <w:rPr>
          <w:rFonts w:asciiTheme="minorBidi" w:hAnsiTheme="minorBidi" w:cstheme="minorBidi"/>
        </w:rPr>
        <w:lastRenderedPageBreak/>
        <w:t>2.3.5 Performance of the System and Health Results.</w:t>
      </w:r>
      <w:bookmarkEnd w:id="24"/>
    </w:p>
    <w:p w14:paraId="7553B61D" w14:textId="710FA959" w:rsidR="00420E9F" w:rsidRPr="002C0C84" w:rsidRDefault="00420E9F" w:rsidP="00667177">
      <w:pPr>
        <w:rPr>
          <w:rFonts w:asciiTheme="minorBidi" w:hAnsiTheme="minorBidi"/>
          <w:sz w:val="22"/>
        </w:rPr>
      </w:pPr>
      <w:r w:rsidRPr="002C0C84">
        <w:rPr>
          <w:rFonts w:asciiTheme="minorBidi" w:hAnsiTheme="minorBidi"/>
          <w:noProof/>
        </w:rPr>
        <w:drawing>
          <wp:anchor distT="0" distB="0" distL="114300" distR="114300" simplePos="0" relativeHeight="251664384" behindDoc="0" locked="0" layoutInCell="1" allowOverlap="1" wp14:anchorId="0869D966" wp14:editId="02A5D9A8">
            <wp:simplePos x="0" y="0"/>
            <wp:positionH relativeFrom="margin">
              <wp:align>center</wp:align>
            </wp:positionH>
            <wp:positionV relativeFrom="paragraph">
              <wp:posOffset>137795</wp:posOffset>
            </wp:positionV>
            <wp:extent cx="4411980" cy="2642984"/>
            <wp:effectExtent l="0" t="0" r="7620" b="5080"/>
            <wp:wrapSquare wrapText="bothSides"/>
            <wp:docPr id="1876399958" name="Picture 4" descr="A Strategy for the Mass Distribution of COVID-19 Vaccines i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9" descr="A Strategy for the Mass Distribution of COVID-19 Vaccines in ..."/>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411980" cy="2642984"/>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7145FA3" w14:textId="77777777" w:rsidR="00420E9F" w:rsidRPr="002C0C84" w:rsidRDefault="00420E9F" w:rsidP="00667177">
      <w:pPr>
        <w:rPr>
          <w:rFonts w:asciiTheme="minorBidi" w:hAnsiTheme="minorBidi"/>
          <w:sz w:val="22"/>
        </w:rPr>
      </w:pPr>
    </w:p>
    <w:p w14:paraId="2717D15C" w14:textId="77777777" w:rsidR="00420E9F" w:rsidRPr="002C0C84" w:rsidRDefault="00420E9F" w:rsidP="00667177">
      <w:pPr>
        <w:rPr>
          <w:rFonts w:asciiTheme="minorBidi" w:hAnsiTheme="minorBidi"/>
          <w:sz w:val="22"/>
        </w:rPr>
      </w:pPr>
    </w:p>
    <w:p w14:paraId="1A72747E" w14:textId="77777777" w:rsidR="00420E9F" w:rsidRPr="002C0C84" w:rsidRDefault="00420E9F" w:rsidP="00667177">
      <w:pPr>
        <w:rPr>
          <w:rFonts w:asciiTheme="minorBidi" w:hAnsiTheme="minorBidi"/>
          <w:sz w:val="22"/>
        </w:rPr>
      </w:pPr>
    </w:p>
    <w:p w14:paraId="78B25571" w14:textId="77777777" w:rsidR="00420E9F" w:rsidRPr="002C0C84" w:rsidRDefault="00420E9F" w:rsidP="00667177">
      <w:pPr>
        <w:rPr>
          <w:rFonts w:asciiTheme="minorBidi" w:hAnsiTheme="minorBidi"/>
          <w:sz w:val="22"/>
        </w:rPr>
      </w:pPr>
    </w:p>
    <w:p w14:paraId="3A8FE977" w14:textId="77777777" w:rsidR="00420E9F" w:rsidRPr="002C0C84" w:rsidRDefault="00420E9F" w:rsidP="00667177">
      <w:pPr>
        <w:rPr>
          <w:rFonts w:asciiTheme="minorBidi" w:hAnsiTheme="minorBidi"/>
          <w:sz w:val="22"/>
        </w:rPr>
      </w:pPr>
    </w:p>
    <w:p w14:paraId="15B8F6A0" w14:textId="77777777" w:rsidR="00420E9F" w:rsidRPr="002C0C84" w:rsidRDefault="00420E9F" w:rsidP="00667177">
      <w:pPr>
        <w:rPr>
          <w:rFonts w:asciiTheme="minorBidi" w:hAnsiTheme="minorBidi"/>
          <w:sz w:val="22"/>
        </w:rPr>
      </w:pPr>
    </w:p>
    <w:p w14:paraId="11298B88" w14:textId="77777777" w:rsidR="00420E9F" w:rsidRPr="002C0C84" w:rsidRDefault="00420E9F" w:rsidP="00667177">
      <w:pPr>
        <w:rPr>
          <w:rFonts w:asciiTheme="minorBidi" w:hAnsiTheme="minorBidi"/>
          <w:sz w:val="22"/>
        </w:rPr>
      </w:pPr>
    </w:p>
    <w:p w14:paraId="3A428CF2" w14:textId="00E0A369" w:rsidR="00420E9F" w:rsidRPr="002C0C84" w:rsidRDefault="00420E9F" w:rsidP="00667177">
      <w:pPr>
        <w:rPr>
          <w:rFonts w:asciiTheme="minorBidi" w:hAnsiTheme="minorBidi"/>
          <w:sz w:val="22"/>
        </w:rPr>
      </w:pPr>
      <w:r w:rsidRPr="002C0C84">
        <w:rPr>
          <w:rFonts w:asciiTheme="minorBidi" w:hAnsiTheme="minorBidi"/>
          <w:noProof/>
        </w:rPr>
        <mc:AlternateContent>
          <mc:Choice Requires="wps">
            <w:drawing>
              <wp:anchor distT="0" distB="0" distL="114300" distR="114300" simplePos="0" relativeHeight="251666432" behindDoc="0" locked="0" layoutInCell="1" allowOverlap="1" wp14:anchorId="70E16367" wp14:editId="472785A1">
                <wp:simplePos x="0" y="0"/>
                <wp:positionH relativeFrom="margin">
                  <wp:align>center</wp:align>
                </wp:positionH>
                <wp:positionV relativeFrom="paragraph">
                  <wp:posOffset>216535</wp:posOffset>
                </wp:positionV>
                <wp:extent cx="4008120" cy="635"/>
                <wp:effectExtent l="0" t="0" r="0" b="8255"/>
                <wp:wrapSquare wrapText="bothSides"/>
                <wp:docPr id="1026019429" name="Text Box 1"/>
                <wp:cNvGraphicFramePr/>
                <a:graphic xmlns:a="http://schemas.openxmlformats.org/drawingml/2006/main">
                  <a:graphicData uri="http://schemas.microsoft.com/office/word/2010/wordprocessingShape">
                    <wps:wsp>
                      <wps:cNvSpPr txBox="1"/>
                      <wps:spPr>
                        <a:xfrm>
                          <a:off x="0" y="0"/>
                          <a:ext cx="4008120" cy="635"/>
                        </a:xfrm>
                        <a:prstGeom prst="rect">
                          <a:avLst/>
                        </a:prstGeom>
                        <a:solidFill>
                          <a:prstClr val="white"/>
                        </a:solidFill>
                        <a:ln>
                          <a:noFill/>
                        </a:ln>
                      </wps:spPr>
                      <wps:txbx>
                        <w:txbxContent>
                          <w:p w14:paraId="32E577DF" w14:textId="1903A629" w:rsidR="00420E9F" w:rsidRPr="00420E9F" w:rsidRDefault="00420E9F" w:rsidP="00420E9F">
                            <w:pPr>
                              <w:pStyle w:val="Caption"/>
                              <w:rPr>
                                <w:b/>
                                <w:bCs/>
                                <w:noProof/>
                                <w:szCs w:val="22"/>
                              </w:rPr>
                            </w:pPr>
                            <w:r w:rsidRPr="00420E9F">
                              <w:rPr>
                                <w:b/>
                                <w:bCs/>
                              </w:rPr>
                              <w:t xml:space="preserve">Figure </w:t>
                            </w:r>
                            <w:r w:rsidR="00C91EA0">
                              <w:rPr>
                                <w:b/>
                                <w:bCs/>
                              </w:rPr>
                              <w:t>4</w:t>
                            </w:r>
                            <w:r w:rsidRPr="00420E9F">
                              <w:rPr>
                                <w:b/>
                                <w:bCs/>
                                <w:lang w:val="en-US"/>
                              </w:rPr>
                              <w:t xml:space="preserve"> Full Vaccination Coverage in Canada (World Health Organization,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0E16367" id="_x0000_s1029" type="#_x0000_t202" style="position:absolute;left:0;text-align:left;margin-left:0;margin-top:17.05pt;width:315.6pt;height:.05pt;z-index:25166643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" stroked="f">
                <v:textbox style="mso-fit-shape-to-text:t" inset="0,0,0,0">
                  <w:txbxContent>
                    <w:p w14:paraId="32E577DF" w14:textId="1903A629" w:rsidR="00420E9F" w:rsidRPr="00420E9F" w:rsidRDefault="00420E9F" w:rsidP="00420E9F">
                      <w:pPr>
                        <w:pStyle w:val="Caption"/>
                        <w:rPr>
                          <w:b/>
                          <w:bCs/>
                          <w:noProof/>
                          <w:szCs w:val="22"/>
                        </w:rPr>
                      </w:pPr>
                      <w:r w:rsidRPr="00420E9F">
                        <w:rPr>
                          <w:b/>
                          <w:bCs/>
                        </w:rPr>
                        <w:t xml:space="preserve">Figure </w:t>
                      </w:r>
                      <w:r w:rsidR="00C91EA0">
                        <w:rPr>
                          <w:b/>
                          <w:bCs/>
                        </w:rPr>
                        <w:t>4</w:t>
                      </w:r>
                      <w:r w:rsidRPr="00420E9F">
                        <w:rPr>
                          <w:b/>
                          <w:bCs/>
                          <w:lang w:val="en-US"/>
                        </w:rPr>
                        <w:t xml:space="preserve"> Full Vaccination Coverage in Canada (World Health Organization, 2022)</w:t>
                      </w:r>
                    </w:p>
                  </w:txbxContent>
                </v:textbox>
                <w10:wrap type="square" anchorx="margin"/>
              </v:shape>
            </w:pict>
          </mc:Fallback>
        </mc:AlternateContent>
      </w:r>
    </w:p>
    <w:p w14:paraId="6ADD3941" w14:textId="77777777" w:rsidR="00420E9F" w:rsidRPr="002C0C84" w:rsidRDefault="00420E9F" w:rsidP="00667177">
      <w:pPr>
        <w:rPr>
          <w:rFonts w:asciiTheme="minorBidi" w:hAnsiTheme="minorBidi"/>
          <w:sz w:val="22"/>
        </w:rPr>
      </w:pPr>
    </w:p>
    <w:p w14:paraId="3B318070" w14:textId="3D9727C3" w:rsidR="00AE5C80" w:rsidRPr="002C0C84" w:rsidRDefault="006311D3" w:rsidP="00667177">
      <w:pPr>
        <w:rPr>
          <w:rFonts w:asciiTheme="minorBidi" w:hAnsiTheme="minorBidi"/>
          <w:sz w:val="22"/>
        </w:rPr>
      </w:pPr>
      <w:r w:rsidRPr="002C0C84">
        <w:rPr>
          <w:rFonts w:asciiTheme="minorBidi" w:hAnsiTheme="minorBidi"/>
          <w:sz w:val="22"/>
        </w:rPr>
        <w:t>As of the end of 2022, more than 50,000 deaths related to COVID-19 were reported in Canada, and the death rates were much higher compared to South Korea but were lower in a number of European decentralised healthcare systems (Marchildon and Di Matteo, 2021). Hospital overcrowding was a short-term phenomenon that occurred only in large urban provinces without causing a complete collapse of the system. In Canada, where a large population was fully vaccinated (greater than 80 per cent) late in 2021, the operation of such decentralised rollout capacity has shown that once federal procurement barriers are addressed, it can work operationally (Government of Canada, 2021). Therefore, the experience of Canada shows that the decentralisation did not contribute to the rapid start, but it helped to stabilise the delivery in the long term.</w:t>
      </w:r>
    </w:p>
    <w:p w14:paraId="7736DDD2" w14:textId="77777777" w:rsidR="006311D3" w:rsidRPr="00AE5C80" w:rsidRDefault="006311D3" w:rsidP="00667177">
      <w:pPr>
        <w:rPr>
          <w:rFonts w:asciiTheme="minorBidi" w:hAnsiTheme="minorBidi"/>
          <w:sz w:val="22"/>
        </w:rPr>
      </w:pPr>
    </w:p>
    <w:p w14:paraId="10837BED" w14:textId="77777777" w:rsidR="00420E9F" w:rsidRPr="002C0C84" w:rsidRDefault="00420E9F">
      <w:pPr>
        <w:spacing w:line="259" w:lineRule="auto"/>
        <w:jc w:val="left"/>
        <w:rPr>
          <w:rFonts w:asciiTheme="minorBidi" w:eastAsia="Times New Roman" w:hAnsiTheme="minorBidi"/>
          <w:b/>
          <w:bCs/>
          <w:color w:val="4472C4" w:themeColor="accent1"/>
          <w:kern w:val="0"/>
          <w:sz w:val="28"/>
          <w:szCs w:val="28"/>
          <w14:ligatures w14:val="none"/>
        </w:rPr>
      </w:pPr>
      <w:r w:rsidRPr="002C0C84">
        <w:rPr>
          <w:rFonts w:asciiTheme="minorBidi" w:hAnsiTheme="minorBidi"/>
        </w:rPr>
        <w:br w:type="page"/>
      </w:r>
    </w:p>
    <w:p w14:paraId="75191C28" w14:textId="0265A54F" w:rsidR="00AE5C80" w:rsidRPr="002C0C84" w:rsidRDefault="00AE5C80" w:rsidP="00667177">
      <w:pPr>
        <w:pStyle w:val="Heading2"/>
        <w:rPr>
          <w:rFonts w:asciiTheme="minorBidi" w:hAnsiTheme="minorBidi" w:cstheme="minorBidi"/>
        </w:rPr>
      </w:pPr>
      <w:bookmarkStart w:id="25" w:name="_Toc216140023"/>
      <w:r w:rsidRPr="002C0C84">
        <w:rPr>
          <w:rFonts w:asciiTheme="minorBidi" w:hAnsiTheme="minorBidi" w:cstheme="minorBidi"/>
        </w:rPr>
        <w:lastRenderedPageBreak/>
        <w:t>2.4 Comparative Evaluation of Centralisation and Decentralisation Across Spain, South Korea and Canada</w:t>
      </w:r>
      <w:bookmarkEnd w:id="25"/>
    </w:p>
    <w:p w14:paraId="113358CD" w14:textId="77777777" w:rsidR="006311D3" w:rsidRPr="002C0C84" w:rsidRDefault="006311D3" w:rsidP="00667177">
      <w:pPr>
        <w:pStyle w:val="Heading3"/>
        <w:rPr>
          <w:rFonts w:asciiTheme="minorBidi" w:hAnsiTheme="minorBidi" w:cstheme="minorBidi"/>
        </w:rPr>
      </w:pPr>
      <w:bookmarkStart w:id="26" w:name="_Toc216140024"/>
      <w:r w:rsidRPr="002C0C84">
        <w:rPr>
          <w:rFonts w:asciiTheme="minorBidi" w:hAnsiTheme="minorBidi" w:cstheme="minorBidi"/>
        </w:rPr>
        <w:t>2.4.1 Major Structural Differences between Health System Governance.</w:t>
      </w:r>
      <w:bookmarkEnd w:id="26"/>
    </w:p>
    <w:p w14:paraId="73959EDF" w14:textId="6F7776DA" w:rsidR="00AE5C80" w:rsidRPr="00AE5C80" w:rsidRDefault="006311D3" w:rsidP="00667177">
      <w:pPr>
        <w:rPr>
          <w:rFonts w:asciiTheme="minorBidi" w:hAnsiTheme="minorBidi"/>
          <w:sz w:val="22"/>
        </w:rPr>
      </w:pPr>
      <w:r w:rsidRPr="002C0C84">
        <w:rPr>
          <w:rFonts w:asciiTheme="minorBidi" w:hAnsiTheme="minorBidi"/>
          <w:sz w:val="22"/>
        </w:rPr>
        <w:t>The unitary government in South Korea allowed the lawful centralised control over surveillance, testing, acquisition and punishment. The Spain and Canada have multilevel systems of governance in which the health authority is broken into subnational jurisdictions. Spain is an intermediate case because it can temporarily emergency recentralise, and Canada is not because its federal constitution inherently constrains the power to use coercion to coordinate the actions of the nation (Greer et al., 2022; Hegele and Schnabel, 2021).</w:t>
      </w:r>
    </w:p>
    <w:p w14:paraId="4DFCB770" w14:textId="77777777" w:rsidR="00AE5C80" w:rsidRPr="002C0C84" w:rsidRDefault="00AE5C80" w:rsidP="00667177">
      <w:pPr>
        <w:pStyle w:val="Heading3"/>
        <w:rPr>
          <w:rFonts w:asciiTheme="minorBidi" w:hAnsiTheme="minorBidi" w:cstheme="minorBidi"/>
        </w:rPr>
      </w:pPr>
      <w:bookmarkStart w:id="27" w:name="_Toc216140025"/>
      <w:r w:rsidRPr="002C0C84">
        <w:rPr>
          <w:rFonts w:asciiTheme="minorBidi" w:hAnsiTheme="minorBidi" w:cstheme="minorBidi"/>
        </w:rPr>
        <w:t>2.4.2 Comparative Strengths and Weaknesses</w:t>
      </w:r>
      <w:bookmarkEnd w:id="27"/>
    </w:p>
    <w:tbl>
      <w:tblPr>
        <w:tblStyle w:val="PlainTable1"/>
        <w:tblW w:w="0" w:type="auto"/>
        <w:tblLook w:val="04A0" w:firstRow="1" w:lastRow="0" w:firstColumn="1" w:lastColumn="0" w:noHBand="0" w:noVBand="1"/>
      </w:tblPr>
      <w:tblGrid>
        <w:gridCol w:w="1207"/>
        <w:gridCol w:w="2988"/>
        <w:gridCol w:w="2157"/>
        <w:gridCol w:w="2664"/>
      </w:tblGrid>
      <w:tr w:rsidR="00AE5C80" w:rsidRPr="00AE5C80" w14:paraId="7E33CC41" w14:textId="77777777" w:rsidTr="009C1C5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3162936" w14:textId="77777777" w:rsidR="00AE5C80" w:rsidRPr="00AE5C80" w:rsidRDefault="00AE5C80" w:rsidP="002C0C84">
            <w:pPr>
              <w:spacing w:after="160"/>
              <w:jc w:val="center"/>
              <w:rPr>
                <w:rFonts w:asciiTheme="minorBidi" w:hAnsiTheme="minorBidi"/>
                <w:sz w:val="22"/>
              </w:rPr>
            </w:pPr>
            <w:r w:rsidRPr="00AE5C80">
              <w:rPr>
                <w:rFonts w:asciiTheme="minorBidi" w:hAnsiTheme="minorBidi"/>
                <w:sz w:val="22"/>
              </w:rPr>
              <w:t>Country</w:t>
            </w:r>
          </w:p>
        </w:tc>
        <w:tc>
          <w:tcPr>
            <w:tcW w:w="0" w:type="auto"/>
            <w:hideMark/>
          </w:tcPr>
          <w:p w14:paraId="3438018B" w14:textId="77777777" w:rsidR="00AE5C80" w:rsidRPr="00AE5C80" w:rsidRDefault="00AE5C80" w:rsidP="002C0C84">
            <w:pPr>
              <w:spacing w:after="160"/>
              <w:jc w:val="center"/>
              <w:cnfStyle w:val="100000000000" w:firstRow="1" w:lastRow="0" w:firstColumn="0" w:lastColumn="0" w:oddVBand="0" w:evenVBand="0" w:oddHBand="0" w:evenHBand="0" w:firstRowFirstColumn="0" w:firstRowLastColumn="0" w:lastRowFirstColumn="0" w:lastRowLastColumn="0"/>
              <w:rPr>
                <w:rFonts w:asciiTheme="minorBidi" w:hAnsiTheme="minorBidi"/>
                <w:sz w:val="22"/>
              </w:rPr>
            </w:pPr>
            <w:r w:rsidRPr="00AE5C80">
              <w:rPr>
                <w:rFonts w:asciiTheme="minorBidi" w:hAnsiTheme="minorBidi"/>
                <w:sz w:val="22"/>
              </w:rPr>
              <w:t>Governance Model</w:t>
            </w:r>
          </w:p>
        </w:tc>
        <w:tc>
          <w:tcPr>
            <w:tcW w:w="0" w:type="auto"/>
            <w:hideMark/>
          </w:tcPr>
          <w:p w14:paraId="639FEDF6" w14:textId="77777777" w:rsidR="00AE5C80" w:rsidRPr="00AE5C80" w:rsidRDefault="00AE5C80" w:rsidP="002C0C84">
            <w:pPr>
              <w:spacing w:after="160"/>
              <w:jc w:val="center"/>
              <w:cnfStyle w:val="100000000000" w:firstRow="1" w:lastRow="0" w:firstColumn="0" w:lastColumn="0" w:oddVBand="0" w:evenVBand="0" w:oddHBand="0" w:evenHBand="0" w:firstRowFirstColumn="0" w:firstRowLastColumn="0" w:lastRowFirstColumn="0" w:lastRowLastColumn="0"/>
              <w:rPr>
                <w:rFonts w:asciiTheme="minorBidi" w:hAnsiTheme="minorBidi"/>
                <w:sz w:val="22"/>
              </w:rPr>
            </w:pPr>
            <w:r w:rsidRPr="00AE5C80">
              <w:rPr>
                <w:rFonts w:asciiTheme="minorBidi" w:hAnsiTheme="minorBidi"/>
                <w:sz w:val="22"/>
              </w:rPr>
              <w:t>Key Strength</w:t>
            </w:r>
          </w:p>
        </w:tc>
        <w:tc>
          <w:tcPr>
            <w:tcW w:w="0" w:type="auto"/>
            <w:hideMark/>
          </w:tcPr>
          <w:p w14:paraId="0978E69D" w14:textId="77777777" w:rsidR="00AE5C80" w:rsidRPr="00AE5C80" w:rsidRDefault="00AE5C80" w:rsidP="002C0C84">
            <w:pPr>
              <w:spacing w:after="160"/>
              <w:jc w:val="center"/>
              <w:cnfStyle w:val="100000000000" w:firstRow="1" w:lastRow="0" w:firstColumn="0" w:lastColumn="0" w:oddVBand="0" w:evenVBand="0" w:oddHBand="0" w:evenHBand="0" w:firstRowFirstColumn="0" w:firstRowLastColumn="0" w:lastRowFirstColumn="0" w:lastRowLastColumn="0"/>
              <w:rPr>
                <w:rFonts w:asciiTheme="minorBidi" w:hAnsiTheme="minorBidi"/>
                <w:sz w:val="22"/>
              </w:rPr>
            </w:pPr>
            <w:r w:rsidRPr="00AE5C80">
              <w:rPr>
                <w:rFonts w:asciiTheme="minorBidi" w:hAnsiTheme="minorBidi"/>
                <w:sz w:val="22"/>
              </w:rPr>
              <w:t>Core Weakness</w:t>
            </w:r>
          </w:p>
        </w:tc>
      </w:tr>
      <w:tr w:rsidR="00AE5C80" w:rsidRPr="00AE5C80" w14:paraId="6A8FDB9A" w14:textId="77777777" w:rsidTr="009C1C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42FD4CC" w14:textId="77777777" w:rsidR="00AE5C80" w:rsidRPr="00AE5C80" w:rsidRDefault="00AE5C80" w:rsidP="002C0C84">
            <w:pPr>
              <w:spacing w:after="160"/>
              <w:jc w:val="left"/>
              <w:rPr>
                <w:rFonts w:asciiTheme="minorBidi" w:hAnsiTheme="minorBidi"/>
                <w:sz w:val="22"/>
              </w:rPr>
            </w:pPr>
            <w:r w:rsidRPr="00AE5C80">
              <w:rPr>
                <w:rFonts w:asciiTheme="minorBidi" w:hAnsiTheme="minorBidi"/>
                <w:sz w:val="22"/>
              </w:rPr>
              <w:t>Spain</w:t>
            </w:r>
          </w:p>
        </w:tc>
        <w:tc>
          <w:tcPr>
            <w:tcW w:w="0" w:type="auto"/>
            <w:hideMark/>
          </w:tcPr>
          <w:p w14:paraId="5A036143" w14:textId="77777777" w:rsidR="00AE5C80" w:rsidRPr="00AE5C80" w:rsidRDefault="00AE5C80" w:rsidP="002C0C84">
            <w:pPr>
              <w:spacing w:after="160"/>
              <w:jc w:val="left"/>
              <w:cnfStyle w:val="000000100000" w:firstRow="0" w:lastRow="0" w:firstColumn="0" w:lastColumn="0" w:oddVBand="0" w:evenVBand="0" w:oddHBand="1" w:evenHBand="0" w:firstRowFirstColumn="0" w:firstRowLastColumn="0" w:lastRowFirstColumn="0" w:lastRowLastColumn="0"/>
              <w:rPr>
                <w:rFonts w:asciiTheme="minorBidi" w:hAnsiTheme="minorBidi"/>
                <w:sz w:val="22"/>
              </w:rPr>
            </w:pPr>
            <w:r w:rsidRPr="00AE5C80">
              <w:rPr>
                <w:rFonts w:asciiTheme="minorBidi" w:hAnsiTheme="minorBidi"/>
                <w:sz w:val="22"/>
              </w:rPr>
              <w:t>Regional decentralisation with emergency centralisation</w:t>
            </w:r>
          </w:p>
        </w:tc>
        <w:tc>
          <w:tcPr>
            <w:tcW w:w="0" w:type="auto"/>
            <w:hideMark/>
          </w:tcPr>
          <w:p w14:paraId="4EB7284C" w14:textId="77777777" w:rsidR="00AE5C80" w:rsidRPr="00AE5C80" w:rsidRDefault="00AE5C80" w:rsidP="002C0C84">
            <w:pPr>
              <w:spacing w:after="160"/>
              <w:jc w:val="left"/>
              <w:cnfStyle w:val="000000100000" w:firstRow="0" w:lastRow="0" w:firstColumn="0" w:lastColumn="0" w:oddVBand="0" w:evenVBand="0" w:oddHBand="1" w:evenHBand="0" w:firstRowFirstColumn="0" w:firstRowLastColumn="0" w:lastRowFirstColumn="0" w:lastRowLastColumn="0"/>
              <w:rPr>
                <w:rFonts w:asciiTheme="minorBidi" w:hAnsiTheme="minorBidi"/>
                <w:sz w:val="22"/>
              </w:rPr>
            </w:pPr>
            <w:r w:rsidRPr="00AE5C80">
              <w:rPr>
                <w:rFonts w:asciiTheme="minorBidi" w:hAnsiTheme="minorBidi"/>
                <w:sz w:val="22"/>
              </w:rPr>
              <w:t>High vaccination delivery efficiency</w:t>
            </w:r>
          </w:p>
        </w:tc>
        <w:tc>
          <w:tcPr>
            <w:tcW w:w="0" w:type="auto"/>
            <w:hideMark/>
          </w:tcPr>
          <w:p w14:paraId="6391C718" w14:textId="77777777" w:rsidR="00AE5C80" w:rsidRPr="00AE5C80" w:rsidRDefault="00AE5C80" w:rsidP="002C0C84">
            <w:pPr>
              <w:spacing w:after="160"/>
              <w:jc w:val="left"/>
              <w:cnfStyle w:val="000000100000" w:firstRow="0" w:lastRow="0" w:firstColumn="0" w:lastColumn="0" w:oddVBand="0" w:evenVBand="0" w:oddHBand="1" w:evenHBand="0" w:firstRowFirstColumn="0" w:firstRowLastColumn="0" w:lastRowFirstColumn="0" w:lastRowLastColumn="0"/>
              <w:rPr>
                <w:rFonts w:asciiTheme="minorBidi" w:hAnsiTheme="minorBidi"/>
                <w:sz w:val="22"/>
              </w:rPr>
            </w:pPr>
            <w:r w:rsidRPr="00AE5C80">
              <w:rPr>
                <w:rFonts w:asciiTheme="minorBidi" w:hAnsiTheme="minorBidi"/>
                <w:sz w:val="22"/>
              </w:rPr>
              <w:t>Delayed early containment and coordination failures</w:t>
            </w:r>
          </w:p>
        </w:tc>
      </w:tr>
      <w:tr w:rsidR="00AE5C80" w:rsidRPr="00AE5C80" w14:paraId="220443E0" w14:textId="77777777" w:rsidTr="009C1C57">
        <w:tc>
          <w:tcPr>
            <w:cnfStyle w:val="001000000000" w:firstRow="0" w:lastRow="0" w:firstColumn="1" w:lastColumn="0" w:oddVBand="0" w:evenVBand="0" w:oddHBand="0" w:evenHBand="0" w:firstRowFirstColumn="0" w:firstRowLastColumn="0" w:lastRowFirstColumn="0" w:lastRowLastColumn="0"/>
            <w:tcW w:w="0" w:type="auto"/>
            <w:hideMark/>
          </w:tcPr>
          <w:p w14:paraId="2BE894C3" w14:textId="77777777" w:rsidR="00AE5C80" w:rsidRPr="00AE5C80" w:rsidRDefault="00AE5C80" w:rsidP="002C0C84">
            <w:pPr>
              <w:spacing w:after="160"/>
              <w:jc w:val="left"/>
              <w:rPr>
                <w:rFonts w:asciiTheme="minorBidi" w:hAnsiTheme="minorBidi"/>
                <w:sz w:val="22"/>
              </w:rPr>
            </w:pPr>
            <w:r w:rsidRPr="00AE5C80">
              <w:rPr>
                <w:rFonts w:asciiTheme="minorBidi" w:hAnsiTheme="minorBidi"/>
                <w:sz w:val="22"/>
              </w:rPr>
              <w:t>South Korea</w:t>
            </w:r>
          </w:p>
        </w:tc>
        <w:tc>
          <w:tcPr>
            <w:tcW w:w="0" w:type="auto"/>
            <w:hideMark/>
          </w:tcPr>
          <w:p w14:paraId="149FD34F" w14:textId="77777777" w:rsidR="00AE5C80" w:rsidRPr="00AE5C80" w:rsidRDefault="00AE5C80" w:rsidP="002C0C84">
            <w:pPr>
              <w:spacing w:after="160"/>
              <w:jc w:val="left"/>
              <w:cnfStyle w:val="000000000000" w:firstRow="0" w:lastRow="0" w:firstColumn="0" w:lastColumn="0" w:oddVBand="0" w:evenVBand="0" w:oddHBand="0" w:evenHBand="0" w:firstRowFirstColumn="0" w:firstRowLastColumn="0" w:lastRowFirstColumn="0" w:lastRowLastColumn="0"/>
              <w:rPr>
                <w:rFonts w:asciiTheme="minorBidi" w:hAnsiTheme="minorBidi"/>
                <w:sz w:val="22"/>
              </w:rPr>
            </w:pPr>
            <w:r w:rsidRPr="00AE5C80">
              <w:rPr>
                <w:rFonts w:asciiTheme="minorBidi" w:hAnsiTheme="minorBidi"/>
                <w:sz w:val="22"/>
              </w:rPr>
              <w:t>Strong centralised unitary system</w:t>
            </w:r>
          </w:p>
        </w:tc>
        <w:tc>
          <w:tcPr>
            <w:tcW w:w="0" w:type="auto"/>
            <w:hideMark/>
          </w:tcPr>
          <w:p w14:paraId="527A48B4" w14:textId="77777777" w:rsidR="00AE5C80" w:rsidRPr="00AE5C80" w:rsidRDefault="00AE5C80" w:rsidP="002C0C84">
            <w:pPr>
              <w:spacing w:after="160"/>
              <w:jc w:val="left"/>
              <w:cnfStyle w:val="000000000000" w:firstRow="0" w:lastRow="0" w:firstColumn="0" w:lastColumn="0" w:oddVBand="0" w:evenVBand="0" w:oddHBand="0" w:evenHBand="0" w:firstRowFirstColumn="0" w:firstRowLastColumn="0" w:lastRowFirstColumn="0" w:lastRowLastColumn="0"/>
              <w:rPr>
                <w:rFonts w:asciiTheme="minorBidi" w:hAnsiTheme="minorBidi"/>
                <w:sz w:val="22"/>
              </w:rPr>
            </w:pPr>
            <w:r w:rsidRPr="00AE5C80">
              <w:rPr>
                <w:rFonts w:asciiTheme="minorBidi" w:hAnsiTheme="minorBidi"/>
                <w:sz w:val="22"/>
              </w:rPr>
              <w:t>Rapid testing, tracing, and compliance</w:t>
            </w:r>
          </w:p>
        </w:tc>
        <w:tc>
          <w:tcPr>
            <w:tcW w:w="0" w:type="auto"/>
            <w:hideMark/>
          </w:tcPr>
          <w:p w14:paraId="3843F469" w14:textId="77777777" w:rsidR="00AE5C80" w:rsidRPr="00AE5C80" w:rsidRDefault="00AE5C80" w:rsidP="002C0C84">
            <w:pPr>
              <w:spacing w:after="160"/>
              <w:jc w:val="left"/>
              <w:cnfStyle w:val="000000000000" w:firstRow="0" w:lastRow="0" w:firstColumn="0" w:lastColumn="0" w:oddVBand="0" w:evenVBand="0" w:oddHBand="0" w:evenHBand="0" w:firstRowFirstColumn="0" w:firstRowLastColumn="0" w:lastRowFirstColumn="0" w:lastRowLastColumn="0"/>
              <w:rPr>
                <w:rFonts w:asciiTheme="minorBidi" w:hAnsiTheme="minorBidi"/>
                <w:sz w:val="22"/>
              </w:rPr>
            </w:pPr>
            <w:r w:rsidRPr="00AE5C80">
              <w:rPr>
                <w:rFonts w:asciiTheme="minorBidi" w:hAnsiTheme="minorBidi"/>
                <w:sz w:val="22"/>
              </w:rPr>
              <w:t>Civil liberties concerns</w:t>
            </w:r>
          </w:p>
        </w:tc>
      </w:tr>
      <w:tr w:rsidR="00AE5C80" w:rsidRPr="00AE5C80" w14:paraId="2FDD32F4" w14:textId="77777777" w:rsidTr="009C1C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8ACB927" w14:textId="77777777" w:rsidR="00AE5C80" w:rsidRPr="00AE5C80" w:rsidRDefault="00AE5C80" w:rsidP="002C0C84">
            <w:pPr>
              <w:spacing w:after="160"/>
              <w:jc w:val="left"/>
              <w:rPr>
                <w:rFonts w:asciiTheme="minorBidi" w:hAnsiTheme="minorBidi"/>
                <w:sz w:val="22"/>
              </w:rPr>
            </w:pPr>
            <w:r w:rsidRPr="00AE5C80">
              <w:rPr>
                <w:rFonts w:asciiTheme="minorBidi" w:hAnsiTheme="minorBidi"/>
                <w:sz w:val="22"/>
              </w:rPr>
              <w:t>Canada</w:t>
            </w:r>
          </w:p>
        </w:tc>
        <w:tc>
          <w:tcPr>
            <w:tcW w:w="0" w:type="auto"/>
            <w:hideMark/>
          </w:tcPr>
          <w:p w14:paraId="3547B94D" w14:textId="77777777" w:rsidR="00AE5C80" w:rsidRPr="00AE5C80" w:rsidRDefault="00AE5C80" w:rsidP="002C0C84">
            <w:pPr>
              <w:spacing w:after="160"/>
              <w:jc w:val="left"/>
              <w:cnfStyle w:val="000000100000" w:firstRow="0" w:lastRow="0" w:firstColumn="0" w:lastColumn="0" w:oddVBand="0" w:evenVBand="0" w:oddHBand="1" w:evenHBand="0" w:firstRowFirstColumn="0" w:firstRowLastColumn="0" w:lastRowFirstColumn="0" w:lastRowLastColumn="0"/>
              <w:rPr>
                <w:rFonts w:asciiTheme="minorBidi" w:hAnsiTheme="minorBidi"/>
                <w:sz w:val="22"/>
              </w:rPr>
            </w:pPr>
            <w:r w:rsidRPr="00AE5C80">
              <w:rPr>
                <w:rFonts w:asciiTheme="minorBidi" w:hAnsiTheme="minorBidi"/>
                <w:sz w:val="22"/>
              </w:rPr>
              <w:t>Federal decentralised system</w:t>
            </w:r>
          </w:p>
        </w:tc>
        <w:tc>
          <w:tcPr>
            <w:tcW w:w="0" w:type="auto"/>
            <w:hideMark/>
          </w:tcPr>
          <w:p w14:paraId="1B9C984A" w14:textId="77777777" w:rsidR="00AE5C80" w:rsidRPr="00AE5C80" w:rsidRDefault="00AE5C80" w:rsidP="002C0C84">
            <w:pPr>
              <w:spacing w:after="160"/>
              <w:jc w:val="left"/>
              <w:cnfStyle w:val="000000100000" w:firstRow="0" w:lastRow="0" w:firstColumn="0" w:lastColumn="0" w:oddVBand="0" w:evenVBand="0" w:oddHBand="1" w:evenHBand="0" w:firstRowFirstColumn="0" w:firstRowLastColumn="0" w:lastRowFirstColumn="0" w:lastRowLastColumn="0"/>
              <w:rPr>
                <w:rFonts w:asciiTheme="minorBidi" w:hAnsiTheme="minorBidi"/>
                <w:sz w:val="22"/>
              </w:rPr>
            </w:pPr>
            <w:r w:rsidRPr="00AE5C80">
              <w:rPr>
                <w:rFonts w:asciiTheme="minorBidi" w:hAnsiTheme="minorBidi"/>
                <w:sz w:val="22"/>
              </w:rPr>
              <w:t>Context-specific provincial flexibility</w:t>
            </w:r>
          </w:p>
        </w:tc>
        <w:tc>
          <w:tcPr>
            <w:tcW w:w="0" w:type="auto"/>
            <w:hideMark/>
          </w:tcPr>
          <w:p w14:paraId="618B1623" w14:textId="77777777" w:rsidR="00AE5C80" w:rsidRPr="00AE5C80" w:rsidRDefault="00AE5C80" w:rsidP="002C0C84">
            <w:pPr>
              <w:spacing w:after="160"/>
              <w:jc w:val="left"/>
              <w:cnfStyle w:val="000000100000" w:firstRow="0" w:lastRow="0" w:firstColumn="0" w:lastColumn="0" w:oddVBand="0" w:evenVBand="0" w:oddHBand="1" w:evenHBand="0" w:firstRowFirstColumn="0" w:firstRowLastColumn="0" w:lastRowFirstColumn="0" w:lastRowLastColumn="0"/>
              <w:rPr>
                <w:rFonts w:asciiTheme="minorBidi" w:hAnsiTheme="minorBidi"/>
                <w:sz w:val="22"/>
              </w:rPr>
            </w:pPr>
            <w:r w:rsidRPr="00AE5C80">
              <w:rPr>
                <w:rFonts w:asciiTheme="minorBidi" w:hAnsiTheme="minorBidi"/>
                <w:sz w:val="22"/>
              </w:rPr>
              <w:t>Early vaccine procurement delays</w:t>
            </w:r>
          </w:p>
        </w:tc>
      </w:tr>
    </w:tbl>
    <w:p w14:paraId="1B291B97" w14:textId="77777777" w:rsidR="006311D3" w:rsidRPr="002C0C84" w:rsidRDefault="006311D3" w:rsidP="00667177">
      <w:pPr>
        <w:rPr>
          <w:rFonts w:asciiTheme="minorBidi" w:hAnsiTheme="minorBidi"/>
          <w:sz w:val="22"/>
        </w:rPr>
      </w:pPr>
    </w:p>
    <w:p w14:paraId="44216F0B" w14:textId="77777777" w:rsidR="006311D3" w:rsidRPr="002C0C84" w:rsidRDefault="006311D3" w:rsidP="00667177">
      <w:pPr>
        <w:rPr>
          <w:rFonts w:asciiTheme="minorBidi" w:hAnsiTheme="minorBidi"/>
          <w:sz w:val="22"/>
        </w:rPr>
      </w:pPr>
      <w:r w:rsidRPr="002C0C84">
        <w:rPr>
          <w:rFonts w:asciiTheme="minorBidi" w:hAnsiTheme="minorBidi"/>
          <w:sz w:val="22"/>
        </w:rPr>
        <w:t>The type of centralisation that South Korea had offered unprecedented policy coherence and speed of operations. The decentralisation of Spain limited the response of the early control of outbreaks but allowed highly effective use of the vaccination with a centralised procurement unit. The decentralised federalism of Canada favoured the stability of long-term services at the expense of the initial national coordination and supply chain leverage.</w:t>
      </w:r>
    </w:p>
    <w:p w14:paraId="51ADDCF3" w14:textId="77777777" w:rsidR="006311D3" w:rsidRPr="002C0C84" w:rsidRDefault="006311D3" w:rsidP="00667177">
      <w:pPr>
        <w:rPr>
          <w:rFonts w:asciiTheme="minorBidi" w:hAnsiTheme="minorBidi"/>
          <w:sz w:val="22"/>
        </w:rPr>
      </w:pPr>
    </w:p>
    <w:p w14:paraId="79B1C543" w14:textId="77777777" w:rsidR="002C0C84" w:rsidRPr="002C0C84" w:rsidRDefault="002C0C84">
      <w:pPr>
        <w:spacing w:line="259" w:lineRule="auto"/>
        <w:jc w:val="left"/>
        <w:rPr>
          <w:rFonts w:asciiTheme="minorBidi" w:eastAsiaTheme="majorEastAsia" w:hAnsiTheme="minorBidi"/>
          <w:color w:val="2F5496" w:themeColor="accent1" w:themeShade="BF"/>
          <w:sz w:val="28"/>
          <w:szCs w:val="28"/>
        </w:rPr>
      </w:pPr>
      <w:r w:rsidRPr="002C0C84">
        <w:rPr>
          <w:rFonts w:asciiTheme="minorBidi" w:hAnsiTheme="minorBidi"/>
        </w:rPr>
        <w:br w:type="page"/>
      </w:r>
    </w:p>
    <w:p w14:paraId="16023BF5" w14:textId="47393BA3" w:rsidR="006311D3" w:rsidRPr="002C0C84" w:rsidRDefault="006311D3" w:rsidP="00667177">
      <w:pPr>
        <w:pStyle w:val="Heading3"/>
        <w:rPr>
          <w:rFonts w:asciiTheme="minorBidi" w:hAnsiTheme="minorBidi" w:cstheme="minorBidi"/>
        </w:rPr>
      </w:pPr>
      <w:bookmarkStart w:id="28" w:name="_Toc216140026"/>
      <w:r w:rsidRPr="002C0C84">
        <w:rPr>
          <w:rFonts w:asciiTheme="minorBidi" w:hAnsiTheme="minorBidi" w:cstheme="minorBidi"/>
        </w:rPr>
        <w:lastRenderedPageBreak/>
        <w:t>2.4.3 Systems-Level Implications of Preparedness to pandemics.</w:t>
      </w:r>
      <w:bookmarkEnd w:id="28"/>
    </w:p>
    <w:p w14:paraId="6EC2EC22" w14:textId="7DC74602" w:rsidR="006311D3" w:rsidRPr="002C0C84" w:rsidRDefault="006311D3" w:rsidP="00667177">
      <w:pPr>
        <w:rPr>
          <w:rFonts w:asciiTheme="minorBidi" w:hAnsiTheme="minorBidi"/>
          <w:sz w:val="22"/>
        </w:rPr>
      </w:pPr>
      <w:r w:rsidRPr="002C0C84">
        <w:rPr>
          <w:rFonts w:asciiTheme="minorBidi" w:hAnsiTheme="minorBidi"/>
          <w:sz w:val="22"/>
        </w:rPr>
        <w:t>The comparison evidence shows that no model of governance is superior on its own. The benefits of centralisation are maximum speed of crisis and uniformity of policies whereas the benefits of decentralisation are maximum contextual responsiveness and continuity of services. But to govern the pandemic, institutional hybridity is needed, which must be dynamic and temporarily consolidate power within the framework of legitimate national command, without eliminating the decentralisation of the implementation capacity to maintain the provision of secondary services over time (Greer et al., 2022; Assefa et al., 2022). The subsequent success of vaccination in Spain and the sustained stability of rollout in Canada prove that the decentralised infrastructures work well once the lack of strategic coordination is eliminated</w:t>
      </w:r>
      <w:r w:rsidR="00825A50">
        <w:rPr>
          <w:rFonts w:asciiTheme="minorBidi" w:hAnsiTheme="minorBidi"/>
          <w:sz w:val="22"/>
        </w:rPr>
        <w:t xml:space="preserve"> </w:t>
      </w:r>
      <w:r w:rsidR="00825A50" w:rsidRPr="00825A50">
        <w:rPr>
          <w:rFonts w:asciiTheme="minorBidi" w:hAnsiTheme="minorBidi"/>
          <w:sz w:val="22"/>
        </w:rPr>
        <w:t>(Marchildon and Di Matteo, 2021)</w:t>
      </w:r>
      <w:r w:rsidRPr="002C0C84">
        <w:rPr>
          <w:rFonts w:asciiTheme="minorBidi" w:hAnsiTheme="minorBidi"/>
          <w:sz w:val="22"/>
        </w:rPr>
        <w:t>. South Korea affirms that, centralisation is associated with unparalleled efficiency in the early containment when combined with robust legal institutions and high institutional trust.</w:t>
      </w:r>
    </w:p>
    <w:p w14:paraId="46E9D527" w14:textId="77777777" w:rsidR="006311D3" w:rsidRPr="002C0C84" w:rsidRDefault="006311D3" w:rsidP="00667177">
      <w:pPr>
        <w:rPr>
          <w:rFonts w:asciiTheme="minorBidi" w:hAnsiTheme="minorBidi"/>
          <w:sz w:val="22"/>
        </w:rPr>
      </w:pPr>
    </w:p>
    <w:p w14:paraId="220CCBBF" w14:textId="77777777" w:rsidR="002C0C84" w:rsidRPr="002C0C84" w:rsidRDefault="002C0C84">
      <w:pPr>
        <w:spacing w:line="259" w:lineRule="auto"/>
        <w:jc w:val="left"/>
        <w:rPr>
          <w:rFonts w:asciiTheme="minorBidi" w:eastAsiaTheme="majorEastAsia" w:hAnsiTheme="minorBidi"/>
          <w:b/>
          <w:color w:val="4472C4" w:themeColor="accent1"/>
          <w:sz w:val="32"/>
          <w:szCs w:val="32"/>
        </w:rPr>
      </w:pPr>
      <w:r w:rsidRPr="002C0C84">
        <w:rPr>
          <w:rFonts w:asciiTheme="minorBidi" w:hAnsiTheme="minorBidi"/>
        </w:rPr>
        <w:br w:type="page"/>
      </w:r>
    </w:p>
    <w:p w14:paraId="13A31C4D" w14:textId="33E98E81" w:rsidR="006311D3" w:rsidRPr="002C0C84" w:rsidRDefault="006311D3" w:rsidP="00934C23">
      <w:pPr>
        <w:pStyle w:val="Heading1"/>
      </w:pPr>
      <w:bookmarkStart w:id="29" w:name="_Toc216140027"/>
      <w:r w:rsidRPr="002C0C84">
        <w:lastRenderedPageBreak/>
        <w:t>3. A Critical Approach to Leadership Styles under the COVID-19 pandemic.</w:t>
      </w:r>
      <w:bookmarkEnd w:id="29"/>
      <w:r w:rsidRPr="002C0C84">
        <w:t xml:space="preserve"> </w:t>
      </w:r>
    </w:p>
    <w:p w14:paraId="7381755C" w14:textId="77777777" w:rsidR="006311D3" w:rsidRPr="002C0C84" w:rsidRDefault="006311D3" w:rsidP="00667177">
      <w:pPr>
        <w:pStyle w:val="Heading2"/>
        <w:rPr>
          <w:rFonts w:asciiTheme="minorBidi" w:hAnsiTheme="minorBidi" w:cstheme="minorBidi"/>
        </w:rPr>
      </w:pPr>
      <w:bookmarkStart w:id="30" w:name="_Toc216140028"/>
      <w:r w:rsidRPr="002C0C84">
        <w:rPr>
          <w:rFonts w:asciiTheme="minorBidi" w:hAnsiTheme="minorBidi" w:cstheme="minorBidi"/>
        </w:rPr>
        <w:t>3.1 Spanish Leadership: Salvador Illa and the Reaction of the National Government.</w:t>
      </w:r>
      <w:bookmarkEnd w:id="30"/>
      <w:r w:rsidRPr="002C0C84">
        <w:rPr>
          <w:rFonts w:asciiTheme="minorBidi" w:hAnsiTheme="minorBidi" w:cstheme="minorBidi"/>
        </w:rPr>
        <w:t xml:space="preserve"> </w:t>
      </w:r>
    </w:p>
    <w:p w14:paraId="48803DE3" w14:textId="77777777" w:rsidR="006311D3" w:rsidRPr="002C0C84" w:rsidRDefault="006311D3" w:rsidP="00667177">
      <w:pPr>
        <w:pStyle w:val="Heading3"/>
        <w:rPr>
          <w:rFonts w:asciiTheme="minorBidi" w:hAnsiTheme="minorBidi" w:cstheme="minorBidi"/>
        </w:rPr>
      </w:pPr>
      <w:bookmarkStart w:id="31" w:name="_Toc216140029"/>
      <w:r w:rsidRPr="002C0C84">
        <w:rPr>
          <w:rFonts w:asciiTheme="minorBidi" w:hAnsiTheme="minorBidi" w:cstheme="minorBidi"/>
        </w:rPr>
        <w:t>3.1.1 Leadership Environment and Governmental System.</w:t>
      </w:r>
      <w:bookmarkEnd w:id="31"/>
    </w:p>
    <w:p w14:paraId="7AD303DB" w14:textId="02710E36" w:rsidR="006311D3" w:rsidRPr="002C0C84" w:rsidRDefault="006311D3" w:rsidP="00667177">
      <w:pPr>
        <w:rPr>
          <w:rFonts w:asciiTheme="minorBidi" w:hAnsiTheme="minorBidi"/>
          <w:sz w:val="22"/>
        </w:rPr>
      </w:pPr>
      <w:r w:rsidRPr="002C0C84">
        <w:rPr>
          <w:rFonts w:asciiTheme="minorBidi" w:hAnsiTheme="minorBidi"/>
          <w:sz w:val="22"/>
        </w:rPr>
        <w:t>Spain logged at the start of the COVID-19 pandemic in a highly decentralised governance system whereby autonomous communities had the major power in healthcare provision and community health activities</w:t>
      </w:r>
      <w:r w:rsidR="00667177" w:rsidRPr="002C0C84">
        <w:rPr>
          <w:rFonts w:asciiTheme="minorBidi" w:hAnsiTheme="minorBidi"/>
          <w:sz w:val="22"/>
        </w:rPr>
        <w:t xml:space="preserve"> (Ministerio de Sanidad, 2021)</w:t>
      </w:r>
      <w:r w:rsidRPr="002C0C84">
        <w:rPr>
          <w:rFonts w:asciiTheme="minorBidi" w:hAnsiTheme="minorBidi"/>
          <w:sz w:val="22"/>
        </w:rPr>
        <w:t>.</w:t>
      </w:r>
      <w:r w:rsidR="00825A50">
        <w:rPr>
          <w:rFonts w:asciiTheme="minorBidi" w:hAnsiTheme="minorBidi"/>
          <w:sz w:val="22"/>
        </w:rPr>
        <w:t xml:space="preserve"> </w:t>
      </w:r>
      <w:r w:rsidRPr="002C0C84">
        <w:rPr>
          <w:rFonts w:asciiTheme="minorBidi" w:hAnsiTheme="minorBidi"/>
          <w:sz w:val="22"/>
        </w:rPr>
        <w:t>This devolved system of governance was temporarily curtailed in the first wave of early 2020 with the declaration of a national State of Alarm to centralise health power in the hands of the Ministry of Health under the leadership of Salvador Illa. This change of constitution was meant to redefine policy cohesiveness in the fractured system of territorial government in Spain (Mattei and Del Pino, 2021; Navarro and Velasco, 2022). Re-centralisation however came at a time when the transmission had been significantly spread to communities. As Royo (2021) shows, politically cautious behaviour and restricted risk framing promoted delayed national emergency activation, undermining the effectiveness of the central command thereafter.</w:t>
      </w:r>
    </w:p>
    <w:p w14:paraId="0C47D2F6" w14:textId="77777777" w:rsidR="006311D3" w:rsidRPr="002C0C84" w:rsidRDefault="006311D3" w:rsidP="00667177">
      <w:pPr>
        <w:rPr>
          <w:rFonts w:asciiTheme="minorBidi" w:hAnsiTheme="minorBidi"/>
          <w:sz w:val="22"/>
        </w:rPr>
      </w:pPr>
    </w:p>
    <w:p w14:paraId="433AC3ED" w14:textId="77777777" w:rsidR="002C0C84" w:rsidRPr="002C0C84" w:rsidRDefault="002C0C84">
      <w:pPr>
        <w:spacing w:line="259" w:lineRule="auto"/>
        <w:jc w:val="left"/>
        <w:rPr>
          <w:rFonts w:asciiTheme="minorBidi" w:eastAsiaTheme="majorEastAsia" w:hAnsiTheme="minorBidi"/>
          <w:color w:val="2F5496" w:themeColor="accent1" w:themeShade="BF"/>
          <w:sz w:val="28"/>
          <w:szCs w:val="28"/>
        </w:rPr>
      </w:pPr>
      <w:r w:rsidRPr="002C0C84">
        <w:rPr>
          <w:rFonts w:asciiTheme="minorBidi" w:hAnsiTheme="minorBidi"/>
        </w:rPr>
        <w:br w:type="page"/>
      </w:r>
    </w:p>
    <w:p w14:paraId="3A74D825" w14:textId="5FF132E7" w:rsidR="006311D3" w:rsidRPr="002C0C84" w:rsidRDefault="006311D3" w:rsidP="00667177">
      <w:pPr>
        <w:pStyle w:val="Heading3"/>
        <w:rPr>
          <w:rFonts w:asciiTheme="minorBidi" w:hAnsiTheme="minorBidi" w:cstheme="minorBidi"/>
        </w:rPr>
      </w:pPr>
      <w:bookmarkStart w:id="32" w:name="_Toc216140030"/>
      <w:r w:rsidRPr="002C0C84">
        <w:rPr>
          <w:rFonts w:asciiTheme="minorBidi" w:hAnsiTheme="minorBidi" w:cstheme="minorBidi"/>
        </w:rPr>
        <w:lastRenderedPageBreak/>
        <w:t>3.1.2 Leadership Theories as Applied to the Spanish Response.</w:t>
      </w:r>
      <w:bookmarkEnd w:id="32"/>
    </w:p>
    <w:p w14:paraId="2F94E6CC" w14:textId="7C91CAAD" w:rsidR="006311D3" w:rsidRPr="002C0C84" w:rsidRDefault="006311D3" w:rsidP="00667177">
      <w:pPr>
        <w:rPr>
          <w:rFonts w:asciiTheme="minorBidi" w:hAnsiTheme="minorBidi"/>
          <w:b/>
          <w:bCs/>
          <w:sz w:val="22"/>
        </w:rPr>
      </w:pPr>
      <w:r w:rsidRPr="002C0C84">
        <w:rPr>
          <w:rFonts w:asciiTheme="minorBidi" w:hAnsiTheme="minorBidi"/>
          <w:b/>
          <w:bCs/>
          <w:sz w:val="22"/>
        </w:rPr>
        <w:t>Crisis Leadership</w:t>
      </w:r>
    </w:p>
    <w:p w14:paraId="46C8563B" w14:textId="1822B7D8" w:rsidR="00CC2988" w:rsidRPr="002C0C84" w:rsidRDefault="00CC2988" w:rsidP="00667177">
      <w:pPr>
        <w:rPr>
          <w:rFonts w:asciiTheme="minorBidi" w:hAnsiTheme="minorBidi"/>
          <w:sz w:val="22"/>
        </w:rPr>
      </w:pPr>
      <w:r w:rsidRPr="002C0C84">
        <w:rPr>
          <w:rFonts w:asciiTheme="minorBidi" w:hAnsiTheme="minorBidi"/>
          <w:noProof/>
        </w:rPr>
        <w:drawing>
          <wp:anchor distT="0" distB="0" distL="114300" distR="114300" simplePos="0" relativeHeight="251667456" behindDoc="0" locked="0" layoutInCell="1" allowOverlap="1" wp14:anchorId="00834FB6" wp14:editId="75085D95">
            <wp:simplePos x="0" y="0"/>
            <wp:positionH relativeFrom="margin">
              <wp:align>center</wp:align>
            </wp:positionH>
            <wp:positionV relativeFrom="paragraph">
              <wp:posOffset>8890</wp:posOffset>
            </wp:positionV>
            <wp:extent cx="4290060" cy="3018157"/>
            <wp:effectExtent l="0" t="0" r="0" b="0"/>
            <wp:wrapSquare wrapText="bothSides"/>
            <wp:docPr id="1297320387" name="Picture 5" descr="Frontiers | Crisis leadership in COVID-19: A qualitative study of Norwegian  business lead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1" descr="Frontiers | Crisis leadership in COVID-19: A qualitative study of Norwegian  business leader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290060" cy="3018157"/>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1B44352" w14:textId="77777777" w:rsidR="00CC2988" w:rsidRPr="002C0C84" w:rsidRDefault="00CC2988" w:rsidP="00667177">
      <w:pPr>
        <w:rPr>
          <w:rFonts w:asciiTheme="minorBidi" w:hAnsiTheme="minorBidi"/>
          <w:sz w:val="22"/>
        </w:rPr>
      </w:pPr>
    </w:p>
    <w:p w14:paraId="69E52839" w14:textId="77777777" w:rsidR="00CC2988" w:rsidRPr="002C0C84" w:rsidRDefault="00CC2988" w:rsidP="00667177">
      <w:pPr>
        <w:rPr>
          <w:rFonts w:asciiTheme="minorBidi" w:hAnsiTheme="minorBidi"/>
          <w:sz w:val="22"/>
        </w:rPr>
      </w:pPr>
    </w:p>
    <w:p w14:paraId="4EB7148B" w14:textId="77777777" w:rsidR="00CC2988" w:rsidRPr="002C0C84" w:rsidRDefault="00CC2988" w:rsidP="00667177">
      <w:pPr>
        <w:rPr>
          <w:rFonts w:asciiTheme="minorBidi" w:hAnsiTheme="minorBidi"/>
          <w:sz w:val="22"/>
        </w:rPr>
      </w:pPr>
    </w:p>
    <w:p w14:paraId="588D2BD8" w14:textId="77777777" w:rsidR="00CC2988" w:rsidRPr="002C0C84" w:rsidRDefault="00CC2988" w:rsidP="00667177">
      <w:pPr>
        <w:rPr>
          <w:rFonts w:asciiTheme="minorBidi" w:hAnsiTheme="minorBidi"/>
          <w:sz w:val="22"/>
        </w:rPr>
      </w:pPr>
    </w:p>
    <w:p w14:paraId="099ED302" w14:textId="77777777" w:rsidR="00CC2988" w:rsidRPr="002C0C84" w:rsidRDefault="00CC2988" w:rsidP="00667177">
      <w:pPr>
        <w:rPr>
          <w:rFonts w:asciiTheme="minorBidi" w:hAnsiTheme="minorBidi"/>
          <w:sz w:val="22"/>
        </w:rPr>
      </w:pPr>
    </w:p>
    <w:p w14:paraId="183453FB" w14:textId="77777777" w:rsidR="00CC2988" w:rsidRPr="002C0C84" w:rsidRDefault="00CC2988" w:rsidP="00667177">
      <w:pPr>
        <w:rPr>
          <w:rFonts w:asciiTheme="minorBidi" w:hAnsiTheme="minorBidi"/>
          <w:sz w:val="22"/>
        </w:rPr>
      </w:pPr>
    </w:p>
    <w:p w14:paraId="05640C27" w14:textId="77777777" w:rsidR="00CC2988" w:rsidRPr="002C0C84" w:rsidRDefault="00CC2988" w:rsidP="00667177">
      <w:pPr>
        <w:rPr>
          <w:rFonts w:asciiTheme="minorBidi" w:hAnsiTheme="minorBidi"/>
          <w:sz w:val="22"/>
        </w:rPr>
      </w:pPr>
    </w:p>
    <w:p w14:paraId="407CD921" w14:textId="77777777" w:rsidR="00CC2988" w:rsidRPr="002C0C84" w:rsidRDefault="00CC2988" w:rsidP="00667177">
      <w:pPr>
        <w:rPr>
          <w:rFonts w:asciiTheme="minorBidi" w:hAnsiTheme="minorBidi"/>
          <w:sz w:val="22"/>
        </w:rPr>
      </w:pPr>
    </w:p>
    <w:p w14:paraId="471B180E" w14:textId="06F39C75" w:rsidR="00CC2988" w:rsidRPr="002C0C84" w:rsidRDefault="00CC2988" w:rsidP="00667177">
      <w:pPr>
        <w:rPr>
          <w:rFonts w:asciiTheme="minorBidi" w:hAnsiTheme="minorBidi"/>
          <w:sz w:val="22"/>
        </w:rPr>
      </w:pPr>
      <w:r w:rsidRPr="002C0C84">
        <w:rPr>
          <w:rFonts w:asciiTheme="minorBidi" w:hAnsiTheme="minorBidi"/>
          <w:noProof/>
        </w:rPr>
        <mc:AlternateContent>
          <mc:Choice Requires="wps">
            <w:drawing>
              <wp:anchor distT="0" distB="0" distL="114300" distR="114300" simplePos="0" relativeHeight="251669504" behindDoc="0" locked="0" layoutInCell="1" allowOverlap="1" wp14:anchorId="673592C9" wp14:editId="142A931E">
                <wp:simplePos x="0" y="0"/>
                <wp:positionH relativeFrom="margin">
                  <wp:align>center</wp:align>
                </wp:positionH>
                <wp:positionV relativeFrom="paragraph">
                  <wp:posOffset>163830</wp:posOffset>
                </wp:positionV>
                <wp:extent cx="2301240" cy="635"/>
                <wp:effectExtent l="0" t="0" r="3810" b="8255"/>
                <wp:wrapSquare wrapText="bothSides"/>
                <wp:docPr id="1405157081" name="Text Box 1"/>
                <wp:cNvGraphicFramePr/>
                <a:graphic xmlns:a="http://schemas.openxmlformats.org/drawingml/2006/main">
                  <a:graphicData uri="http://schemas.microsoft.com/office/word/2010/wordprocessingShape">
                    <wps:wsp>
                      <wps:cNvSpPr txBox="1"/>
                      <wps:spPr>
                        <a:xfrm>
                          <a:off x="0" y="0"/>
                          <a:ext cx="2301240" cy="635"/>
                        </a:xfrm>
                        <a:prstGeom prst="rect">
                          <a:avLst/>
                        </a:prstGeom>
                        <a:solidFill>
                          <a:prstClr val="white"/>
                        </a:solidFill>
                        <a:ln>
                          <a:noFill/>
                        </a:ln>
                      </wps:spPr>
                      <wps:txbx>
                        <w:txbxContent>
                          <w:p w14:paraId="6CD1F439" w14:textId="6F83E8AE" w:rsidR="00CC2988" w:rsidRPr="00CC2988" w:rsidRDefault="00CC2988" w:rsidP="00CC2988">
                            <w:pPr>
                              <w:pStyle w:val="Caption"/>
                              <w:rPr>
                                <w:b/>
                                <w:bCs/>
                                <w:noProof/>
                                <w:szCs w:val="22"/>
                              </w:rPr>
                            </w:pPr>
                            <w:r w:rsidRPr="00CC2988">
                              <w:rPr>
                                <w:b/>
                                <w:bCs/>
                              </w:rPr>
                              <w:t xml:space="preserve">Figure </w:t>
                            </w:r>
                            <w:r w:rsidR="00C91EA0">
                              <w:rPr>
                                <w:b/>
                                <w:bCs/>
                              </w:rPr>
                              <w:t>5</w:t>
                            </w:r>
                            <w:r w:rsidRPr="00CC2988">
                              <w:rPr>
                                <w:b/>
                                <w:bCs/>
                                <w:lang w:val="en-US"/>
                              </w:rPr>
                              <w:t xml:space="preserve"> Crisis Leadership (Pereira et al., 2021)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73592C9" id="_x0000_s1030" type="#_x0000_t202" style="position:absolute;left:0;text-align:left;margin-left:0;margin-top:12.9pt;width:181.2pt;height:.05pt;z-index:25166950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" stroked="f">
                <v:textbox style="mso-fit-shape-to-text:t" inset="0,0,0,0">
                  <w:txbxContent>
                    <w:p w14:paraId="6CD1F439" w14:textId="6F83E8AE" w:rsidR="00CC2988" w:rsidRPr="00CC2988" w:rsidRDefault="00CC2988" w:rsidP="00CC2988">
                      <w:pPr>
                        <w:pStyle w:val="Caption"/>
                        <w:rPr>
                          <w:b/>
                          <w:bCs/>
                          <w:noProof/>
                          <w:szCs w:val="22"/>
                        </w:rPr>
                      </w:pPr>
                      <w:r w:rsidRPr="00CC2988">
                        <w:rPr>
                          <w:b/>
                          <w:bCs/>
                        </w:rPr>
                        <w:t xml:space="preserve">Figure </w:t>
                      </w:r>
                      <w:r w:rsidR="00C91EA0">
                        <w:rPr>
                          <w:b/>
                          <w:bCs/>
                        </w:rPr>
                        <w:t>5</w:t>
                      </w:r>
                      <w:r w:rsidRPr="00CC2988">
                        <w:rPr>
                          <w:b/>
                          <w:bCs/>
                          <w:lang w:val="en-US"/>
                        </w:rPr>
                        <w:t xml:space="preserve"> Crisis Leadership (Pereira et al., 2021)</w:t>
                      </w:r>
                    </w:p>
                  </w:txbxContent>
                </v:textbox>
                <w10:wrap type="square" anchorx="margin"/>
              </v:shape>
            </w:pict>
          </mc:Fallback>
        </mc:AlternateContent>
      </w:r>
    </w:p>
    <w:p w14:paraId="62D32B6D" w14:textId="77777777" w:rsidR="00CC2988" w:rsidRPr="002C0C84" w:rsidRDefault="00CC2988" w:rsidP="00667177">
      <w:pPr>
        <w:rPr>
          <w:rFonts w:asciiTheme="minorBidi" w:hAnsiTheme="minorBidi"/>
          <w:sz w:val="22"/>
        </w:rPr>
      </w:pPr>
    </w:p>
    <w:p w14:paraId="4EBAFA85" w14:textId="7E581B01" w:rsidR="006311D3" w:rsidRPr="002C0C84" w:rsidRDefault="006311D3" w:rsidP="002C0C84">
      <w:pPr>
        <w:rPr>
          <w:rFonts w:asciiTheme="minorBidi" w:hAnsiTheme="minorBidi"/>
          <w:sz w:val="22"/>
        </w:rPr>
      </w:pPr>
      <w:r w:rsidRPr="002C0C84">
        <w:rPr>
          <w:rFonts w:asciiTheme="minorBidi" w:hAnsiTheme="minorBidi"/>
          <w:sz w:val="22"/>
        </w:rPr>
        <w:t xml:space="preserve">Rapid decisions when there </w:t>
      </w:r>
      <w:r w:rsidR="00667177" w:rsidRPr="002C0C84">
        <w:rPr>
          <w:rFonts w:asciiTheme="minorBidi" w:hAnsiTheme="minorBidi"/>
          <w:sz w:val="22"/>
        </w:rPr>
        <w:t>are</w:t>
      </w:r>
      <w:r w:rsidRPr="002C0C84">
        <w:rPr>
          <w:rFonts w:asciiTheme="minorBidi" w:hAnsiTheme="minorBidi"/>
          <w:sz w:val="22"/>
        </w:rPr>
        <w:t xml:space="preserve"> no information, clearly authoritative command, and mobilising systems in extreme pressure are characteristic of crisis leadership (Nicola et al., 2020). In Spain, institutional latitude in crisis leadership during the leadership of Salvador Illa was the initial unwillingness to have centralised emergency control. The statement of the State of Alarm in March 2020 marked a culmination of a switch to the crisis leadership mode, where health power was transferred to the Ministry of Health, although it was already late (Mattei and Del Pino, 2021; Navarro and Velasco, 2022). The delay strongly undermined the initial containment, since already overloads in hospitals were observed in Madrid and Catalonia. Nonetheless, with the central command engaged, Spain gained better national coordination in procurement, management of hospital capacity, as well as interregional mobility control</w:t>
      </w:r>
      <w:r w:rsidR="00825A50">
        <w:rPr>
          <w:rFonts w:asciiTheme="minorBidi" w:hAnsiTheme="minorBidi"/>
          <w:sz w:val="22"/>
        </w:rPr>
        <w:t xml:space="preserve"> </w:t>
      </w:r>
      <w:r w:rsidR="00825A50" w:rsidRPr="00825A50">
        <w:rPr>
          <w:rFonts w:asciiTheme="minorBidi" w:hAnsiTheme="minorBidi"/>
          <w:sz w:val="22"/>
        </w:rPr>
        <w:t>(Kim et al., 2021)</w:t>
      </w:r>
      <w:r w:rsidRPr="002C0C84">
        <w:rPr>
          <w:rFonts w:asciiTheme="minorBidi" w:hAnsiTheme="minorBidi"/>
          <w:sz w:val="22"/>
        </w:rPr>
        <w:t xml:space="preserve">. </w:t>
      </w:r>
    </w:p>
    <w:p w14:paraId="053147D4" w14:textId="77777777" w:rsidR="00CC2988" w:rsidRPr="002C0C84" w:rsidRDefault="00CC2988">
      <w:pPr>
        <w:spacing w:line="259" w:lineRule="auto"/>
        <w:jc w:val="left"/>
        <w:rPr>
          <w:rFonts w:asciiTheme="minorBidi" w:hAnsiTheme="minorBidi"/>
          <w:b/>
          <w:bCs/>
          <w:sz w:val="22"/>
        </w:rPr>
      </w:pPr>
      <w:r w:rsidRPr="002C0C84">
        <w:rPr>
          <w:rFonts w:asciiTheme="minorBidi" w:hAnsiTheme="minorBidi"/>
          <w:b/>
          <w:bCs/>
          <w:sz w:val="22"/>
        </w:rPr>
        <w:br w:type="page"/>
      </w:r>
    </w:p>
    <w:p w14:paraId="762997C1" w14:textId="6D70386B" w:rsidR="006311D3" w:rsidRPr="002C0C84" w:rsidRDefault="006311D3" w:rsidP="00667177">
      <w:pPr>
        <w:rPr>
          <w:rFonts w:asciiTheme="minorBidi" w:hAnsiTheme="minorBidi"/>
          <w:b/>
          <w:bCs/>
          <w:sz w:val="22"/>
        </w:rPr>
      </w:pPr>
      <w:r w:rsidRPr="002C0C84">
        <w:rPr>
          <w:rFonts w:asciiTheme="minorBidi" w:hAnsiTheme="minorBidi"/>
          <w:b/>
          <w:bCs/>
          <w:sz w:val="22"/>
        </w:rPr>
        <w:lastRenderedPageBreak/>
        <w:t>Situational Leadership</w:t>
      </w:r>
    </w:p>
    <w:p w14:paraId="529F7A08" w14:textId="77777777" w:rsidR="00667177" w:rsidRPr="002C0C84" w:rsidRDefault="006311D3" w:rsidP="00667177">
      <w:pPr>
        <w:rPr>
          <w:rFonts w:asciiTheme="minorBidi" w:hAnsiTheme="minorBidi"/>
          <w:sz w:val="22"/>
        </w:rPr>
      </w:pPr>
      <w:r w:rsidRPr="002C0C84">
        <w:rPr>
          <w:rFonts w:asciiTheme="minorBidi" w:hAnsiTheme="minorBidi"/>
          <w:sz w:val="22"/>
        </w:rPr>
        <w:t xml:space="preserve">In situational leadership, the decisions made by the leaders are based on the changing contextual demand, so they are automated by the style of their leadership (Nicola et al., 2020). The leadership of Illa can be characterised as having a high situational adaptation during pandemic phases. In the first wave, leadership was administratively shy and disjointed owing to political sensitivities of regional autonomy. The point at which leadership behaviour changed radically to centralised emergency governance occurred as the epidemiological conditions became more worrisome (Navarro and Velasco, 2022). </w:t>
      </w:r>
    </w:p>
    <w:p w14:paraId="5658E1ED" w14:textId="407B262D" w:rsidR="006311D3" w:rsidRPr="002C0C84" w:rsidRDefault="006311D3" w:rsidP="00667177">
      <w:pPr>
        <w:rPr>
          <w:rFonts w:asciiTheme="minorBidi" w:hAnsiTheme="minorBidi"/>
          <w:b/>
          <w:bCs/>
          <w:sz w:val="22"/>
        </w:rPr>
      </w:pPr>
      <w:r w:rsidRPr="002C0C84">
        <w:rPr>
          <w:rFonts w:asciiTheme="minorBidi" w:hAnsiTheme="minorBidi"/>
          <w:b/>
          <w:bCs/>
          <w:sz w:val="22"/>
        </w:rPr>
        <w:t>Transactional Leadership</w:t>
      </w:r>
    </w:p>
    <w:p w14:paraId="3D6FD2AD" w14:textId="37A94D24" w:rsidR="00CC2988" w:rsidRPr="002C0C84" w:rsidRDefault="00CC2988" w:rsidP="00667177">
      <w:pPr>
        <w:rPr>
          <w:rFonts w:asciiTheme="minorBidi" w:hAnsiTheme="minorBidi"/>
          <w:noProof/>
        </w:rPr>
      </w:pPr>
      <w:r w:rsidRPr="002C0C84">
        <w:rPr>
          <w:rFonts w:asciiTheme="minorBidi" w:hAnsiTheme="minorBidi"/>
          <w:noProof/>
        </w:rPr>
        <w:drawing>
          <wp:anchor distT="0" distB="0" distL="114300" distR="114300" simplePos="0" relativeHeight="251670528" behindDoc="0" locked="0" layoutInCell="1" allowOverlap="1" wp14:anchorId="54648F16" wp14:editId="76ACB1AC">
            <wp:simplePos x="0" y="0"/>
            <wp:positionH relativeFrom="margin">
              <wp:align>center</wp:align>
            </wp:positionH>
            <wp:positionV relativeFrom="paragraph">
              <wp:posOffset>117475</wp:posOffset>
            </wp:positionV>
            <wp:extent cx="4549140" cy="2153105"/>
            <wp:effectExtent l="76200" t="76200" r="137160" b="133350"/>
            <wp:wrapSquare wrapText="bothSides"/>
            <wp:docPr id="1675187340" name="Picture 6" descr="Transactional Leadership PowerPoint Presentation Slides - PPT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3" descr="Transactional Leadership PowerPoint Presentation Slides - PPT Template"/>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b="15856"/>
                    <a:stretch>
                      <a:fillRect/>
                    </a:stretch>
                  </pic:blipFill>
                  <pic:spPr bwMode="auto">
                    <a:xfrm>
                      <a:off x="0" y="0"/>
                      <a:ext cx="4549140" cy="21531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anchor>
        </w:drawing>
      </w:r>
    </w:p>
    <w:p w14:paraId="5828CEB2" w14:textId="359C3E78" w:rsidR="00CC2988" w:rsidRPr="002C0C84" w:rsidRDefault="00CC2988" w:rsidP="00667177">
      <w:pPr>
        <w:rPr>
          <w:rFonts w:asciiTheme="minorBidi" w:hAnsiTheme="minorBidi"/>
          <w:sz w:val="22"/>
        </w:rPr>
      </w:pPr>
    </w:p>
    <w:p w14:paraId="64A722AF" w14:textId="77777777" w:rsidR="00CC2988" w:rsidRPr="002C0C84" w:rsidRDefault="00CC2988" w:rsidP="00667177">
      <w:pPr>
        <w:rPr>
          <w:rFonts w:asciiTheme="minorBidi" w:hAnsiTheme="minorBidi"/>
          <w:sz w:val="22"/>
        </w:rPr>
      </w:pPr>
    </w:p>
    <w:p w14:paraId="0FD8BD26" w14:textId="77777777" w:rsidR="00CC2988" w:rsidRPr="002C0C84" w:rsidRDefault="00CC2988" w:rsidP="00667177">
      <w:pPr>
        <w:rPr>
          <w:rFonts w:asciiTheme="minorBidi" w:hAnsiTheme="minorBidi"/>
          <w:sz w:val="22"/>
        </w:rPr>
      </w:pPr>
    </w:p>
    <w:p w14:paraId="2196C78F" w14:textId="77777777" w:rsidR="00CC2988" w:rsidRPr="002C0C84" w:rsidRDefault="00CC2988" w:rsidP="00667177">
      <w:pPr>
        <w:rPr>
          <w:rFonts w:asciiTheme="minorBidi" w:hAnsiTheme="minorBidi"/>
          <w:sz w:val="22"/>
        </w:rPr>
      </w:pPr>
    </w:p>
    <w:p w14:paraId="30EA20F1" w14:textId="77777777" w:rsidR="00CC2988" w:rsidRPr="002C0C84" w:rsidRDefault="00CC2988" w:rsidP="00667177">
      <w:pPr>
        <w:rPr>
          <w:rFonts w:asciiTheme="minorBidi" w:hAnsiTheme="minorBidi"/>
          <w:sz w:val="22"/>
        </w:rPr>
      </w:pPr>
    </w:p>
    <w:p w14:paraId="62532561" w14:textId="6F0ED85D" w:rsidR="00CC2988" w:rsidRPr="002C0C84" w:rsidRDefault="00CC2988" w:rsidP="00667177">
      <w:pPr>
        <w:rPr>
          <w:rFonts w:asciiTheme="minorBidi" w:hAnsiTheme="minorBidi"/>
          <w:sz w:val="22"/>
        </w:rPr>
      </w:pPr>
    </w:p>
    <w:p w14:paraId="3531163B" w14:textId="278F63B8" w:rsidR="00CC2988" w:rsidRPr="002C0C84" w:rsidRDefault="00CC2988" w:rsidP="00667177">
      <w:pPr>
        <w:rPr>
          <w:rFonts w:asciiTheme="minorBidi" w:hAnsiTheme="minorBidi"/>
          <w:sz w:val="22"/>
        </w:rPr>
      </w:pPr>
      <w:r w:rsidRPr="002C0C84">
        <w:rPr>
          <w:rFonts w:asciiTheme="minorBidi" w:hAnsiTheme="minorBidi"/>
          <w:noProof/>
        </w:rPr>
        <mc:AlternateContent>
          <mc:Choice Requires="wps">
            <w:drawing>
              <wp:anchor distT="0" distB="0" distL="114300" distR="114300" simplePos="0" relativeHeight="251672576" behindDoc="0" locked="0" layoutInCell="1" allowOverlap="1" wp14:anchorId="387DD6AB" wp14:editId="0242FF79">
                <wp:simplePos x="0" y="0"/>
                <wp:positionH relativeFrom="margin">
                  <wp:align>center</wp:align>
                </wp:positionH>
                <wp:positionV relativeFrom="paragraph">
                  <wp:posOffset>6350</wp:posOffset>
                </wp:positionV>
                <wp:extent cx="2514600" cy="635"/>
                <wp:effectExtent l="0" t="0" r="0" b="8255"/>
                <wp:wrapSquare wrapText="bothSides"/>
                <wp:docPr id="1166388797" name="Text Box 1"/>
                <wp:cNvGraphicFramePr/>
                <a:graphic xmlns:a="http://schemas.openxmlformats.org/drawingml/2006/main">
                  <a:graphicData uri="http://schemas.microsoft.com/office/word/2010/wordprocessingShape">
                    <wps:wsp>
                      <wps:cNvSpPr txBox="1"/>
                      <wps:spPr>
                        <a:xfrm>
                          <a:off x="0" y="0"/>
                          <a:ext cx="2514600" cy="635"/>
                        </a:xfrm>
                        <a:prstGeom prst="rect">
                          <a:avLst/>
                        </a:prstGeom>
                        <a:solidFill>
                          <a:prstClr val="white"/>
                        </a:solidFill>
                        <a:ln>
                          <a:noFill/>
                        </a:ln>
                      </wps:spPr>
                      <wps:txbx>
                        <w:txbxContent>
                          <w:p w14:paraId="58C412A7" w14:textId="4DFCA30D" w:rsidR="00CC2988" w:rsidRPr="00CC2988" w:rsidRDefault="00CC2988" w:rsidP="00CC2988">
                            <w:pPr>
                              <w:pStyle w:val="Caption"/>
                              <w:rPr>
                                <w:b/>
                                <w:bCs/>
                                <w:noProof/>
                                <w:szCs w:val="22"/>
                              </w:rPr>
                            </w:pPr>
                            <w:r w:rsidRPr="00CC2988">
                              <w:rPr>
                                <w:b/>
                                <w:bCs/>
                              </w:rPr>
                              <w:t xml:space="preserve">Figure </w:t>
                            </w:r>
                            <w:r w:rsidR="00C91EA0">
                              <w:rPr>
                                <w:b/>
                                <w:bCs/>
                              </w:rPr>
                              <w:t>6</w:t>
                            </w:r>
                            <w:r w:rsidRPr="00CC2988">
                              <w:rPr>
                                <w:b/>
                                <w:bCs/>
                                <w:lang w:val="en-US"/>
                              </w:rPr>
                              <w:t xml:space="preserve"> Transactional Leadership (Lv et al.,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87DD6AB" id="_x0000_s1031" type="#_x0000_t202" style="position:absolute;left:0;text-align:left;margin-left:0;margin-top:.5pt;width:198pt;height:.05pt;z-index:25167257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" stroked="f">
                <v:textbox style="mso-fit-shape-to-text:t" inset="0,0,0,0">
                  <w:txbxContent>
                    <w:p w14:paraId="58C412A7" w14:textId="4DFCA30D" w:rsidR="00CC2988" w:rsidRPr="00CC2988" w:rsidRDefault="00CC2988" w:rsidP="00CC2988">
                      <w:pPr>
                        <w:pStyle w:val="Caption"/>
                        <w:rPr>
                          <w:b/>
                          <w:bCs/>
                          <w:noProof/>
                          <w:szCs w:val="22"/>
                        </w:rPr>
                      </w:pPr>
                      <w:r w:rsidRPr="00CC2988">
                        <w:rPr>
                          <w:b/>
                          <w:bCs/>
                        </w:rPr>
                        <w:t xml:space="preserve">Figure </w:t>
                      </w:r>
                      <w:r w:rsidR="00C91EA0">
                        <w:rPr>
                          <w:b/>
                          <w:bCs/>
                        </w:rPr>
                        <w:t>6</w:t>
                      </w:r>
                      <w:r w:rsidRPr="00CC2988">
                        <w:rPr>
                          <w:b/>
                          <w:bCs/>
                          <w:lang w:val="en-US"/>
                        </w:rPr>
                        <w:t xml:space="preserve"> Transactional Leadership (Lv et al., 2022)</w:t>
                      </w:r>
                    </w:p>
                  </w:txbxContent>
                </v:textbox>
                <w10:wrap type="square" anchorx="margin"/>
              </v:shape>
            </w:pict>
          </mc:Fallback>
        </mc:AlternateContent>
      </w:r>
    </w:p>
    <w:p w14:paraId="2AE037A3" w14:textId="5F4F865E" w:rsidR="006311D3" w:rsidRPr="002C0C84" w:rsidRDefault="006311D3" w:rsidP="00667177">
      <w:pPr>
        <w:rPr>
          <w:rFonts w:asciiTheme="minorBidi" w:hAnsiTheme="minorBidi"/>
          <w:sz w:val="22"/>
        </w:rPr>
      </w:pPr>
      <w:r w:rsidRPr="002C0C84">
        <w:rPr>
          <w:rFonts w:asciiTheme="minorBidi" w:hAnsiTheme="minorBidi"/>
          <w:sz w:val="22"/>
        </w:rPr>
        <w:t>The transactional leadership is executed by means of formal authority, regulatory compliance, and performance-based enforcement (Nicola et al., 2020). Legally binding lockdown rules, power to requisition hospitals and power to compel vaccination prioritisation frameworks via the State of Alarm were the clearest forms of transactional leadership in Spain (Mattei and Del Pino, 2021). This shows that operation control was supported by transactional leadership, and deteriorated institutional trust and political cohesion in the early phases of escalation of the crisis.</w:t>
      </w:r>
    </w:p>
    <w:p w14:paraId="76C32953" w14:textId="77777777" w:rsidR="006311D3" w:rsidRPr="002C0C84" w:rsidRDefault="006311D3" w:rsidP="00667177">
      <w:pPr>
        <w:rPr>
          <w:rFonts w:asciiTheme="minorBidi" w:hAnsiTheme="minorBidi"/>
          <w:sz w:val="22"/>
        </w:rPr>
      </w:pPr>
    </w:p>
    <w:p w14:paraId="7FC62660" w14:textId="77777777" w:rsidR="00CC2988" w:rsidRPr="002C0C84" w:rsidRDefault="00CC2988">
      <w:pPr>
        <w:spacing w:line="259" w:lineRule="auto"/>
        <w:jc w:val="left"/>
        <w:rPr>
          <w:rFonts w:asciiTheme="minorBidi" w:eastAsiaTheme="majorEastAsia" w:hAnsiTheme="minorBidi"/>
          <w:color w:val="2F5496" w:themeColor="accent1" w:themeShade="BF"/>
          <w:sz w:val="28"/>
          <w:szCs w:val="28"/>
        </w:rPr>
      </w:pPr>
      <w:r w:rsidRPr="002C0C84">
        <w:rPr>
          <w:rFonts w:asciiTheme="minorBidi" w:hAnsiTheme="minorBidi"/>
        </w:rPr>
        <w:br w:type="page"/>
      </w:r>
    </w:p>
    <w:p w14:paraId="38154F70" w14:textId="4E9D334E" w:rsidR="006311D3" w:rsidRPr="002C0C84" w:rsidRDefault="006311D3" w:rsidP="00667177">
      <w:pPr>
        <w:pStyle w:val="Heading3"/>
        <w:rPr>
          <w:rFonts w:asciiTheme="minorBidi" w:hAnsiTheme="minorBidi" w:cstheme="minorBidi"/>
        </w:rPr>
      </w:pPr>
      <w:bookmarkStart w:id="33" w:name="_Toc216140031"/>
      <w:r w:rsidRPr="002C0C84">
        <w:rPr>
          <w:rFonts w:asciiTheme="minorBidi" w:hAnsiTheme="minorBidi" w:cstheme="minorBidi"/>
        </w:rPr>
        <w:lastRenderedPageBreak/>
        <w:t>3.1.3 Strengths of Leadership Approach.</w:t>
      </w:r>
      <w:bookmarkEnd w:id="33"/>
    </w:p>
    <w:p w14:paraId="0CC312F7" w14:textId="3F86D0DA" w:rsidR="006311D3" w:rsidRPr="002C0C84" w:rsidRDefault="006311D3" w:rsidP="002C0C84">
      <w:pPr>
        <w:rPr>
          <w:rFonts w:asciiTheme="minorBidi" w:hAnsiTheme="minorBidi"/>
          <w:sz w:val="22"/>
        </w:rPr>
      </w:pPr>
      <w:r w:rsidRPr="002C0C84">
        <w:rPr>
          <w:rFonts w:asciiTheme="minorBidi" w:hAnsiTheme="minorBidi"/>
          <w:sz w:val="22"/>
        </w:rPr>
        <w:t>After the stabilisation of strategic central coordination, the leadership of Illa proved to have a significant level of strength in terms of the governance of vaccinations and the intergovernmental negotiation. This national vaccination plan initiated at the end of 2020 was able to coordinate central procurement with regional delivery engineering on the same national structure (Ministerio de Sanidad, 2021). In September 2021, Spain had more than 77 percent of full vaccination coverage, which is above the EU average at that time and is indicative of successful integration of operations at all levels of government (Otero-García et al., 2021). According to Navarro and Velasco, (2022), the leadership of Illa centralised multi-level governance systems by instituting permanent intergovernmental coordination forums, which minimised previous political fragmentation.</w:t>
      </w:r>
    </w:p>
    <w:p w14:paraId="32BB3E5C" w14:textId="77777777" w:rsidR="006311D3" w:rsidRPr="002C0C84" w:rsidRDefault="006311D3" w:rsidP="00667177">
      <w:pPr>
        <w:pStyle w:val="Heading3"/>
        <w:rPr>
          <w:rFonts w:asciiTheme="minorBidi" w:hAnsiTheme="minorBidi" w:cstheme="minorBidi"/>
        </w:rPr>
      </w:pPr>
      <w:bookmarkStart w:id="34" w:name="_Toc216140032"/>
      <w:r w:rsidRPr="002C0C84">
        <w:rPr>
          <w:rFonts w:asciiTheme="minorBidi" w:hAnsiTheme="minorBidi" w:cstheme="minorBidi"/>
        </w:rPr>
        <w:t>3.1.4 Weaknesses, Delays and Policy Failures.</w:t>
      </w:r>
      <w:bookmarkEnd w:id="34"/>
    </w:p>
    <w:p w14:paraId="5C2201EE" w14:textId="32070C58" w:rsidR="006311D3" w:rsidRPr="00AE5C80" w:rsidRDefault="006311D3" w:rsidP="002C0C84">
      <w:pPr>
        <w:rPr>
          <w:rFonts w:asciiTheme="minorBidi" w:hAnsiTheme="minorBidi"/>
          <w:sz w:val="22"/>
        </w:rPr>
      </w:pPr>
      <w:r w:rsidRPr="002C0C84">
        <w:rPr>
          <w:rFonts w:asciiTheme="minorBidi" w:hAnsiTheme="minorBidi"/>
          <w:sz w:val="22"/>
        </w:rPr>
        <w:t>Although successful in the end, the initial leadership reaction experienced in Spain was characterised by massive delay in the application of containment, inconsistency in risk communication and poor coordination of national surveillance. In March 2020, the intensive care capacity in Madrid hospitals in weeks rose above 200 percent of the baseline levels, showing what lack of timely intervention in the country could cost (Mattei and Del Pino, 2021). Royo (2021) also notes that political opposition between the central government and opposition regional governments weakened the coherence and watered</w:t>
      </w:r>
      <w:r w:rsidR="00667177" w:rsidRPr="002C0C84">
        <w:rPr>
          <w:rFonts w:asciiTheme="minorBidi" w:hAnsiTheme="minorBidi"/>
          <w:sz w:val="22"/>
        </w:rPr>
        <w:t>-</w:t>
      </w:r>
      <w:r w:rsidRPr="002C0C84">
        <w:rPr>
          <w:rFonts w:asciiTheme="minorBidi" w:hAnsiTheme="minorBidi"/>
          <w:sz w:val="22"/>
        </w:rPr>
        <w:t>down institutional policymaking authority at the most decisive stage of early transmission. This contributed to the ability to contain the pandemic early compared to technologically centralised counterparts like South Korea because the lack of national digital contact tracing infrastructure was deployed much later during the pandemic.</w:t>
      </w:r>
    </w:p>
    <w:p w14:paraId="12DC44F7" w14:textId="77777777" w:rsidR="00AE5C80" w:rsidRPr="002C0C84" w:rsidRDefault="00AE5C80" w:rsidP="00667177">
      <w:pPr>
        <w:pStyle w:val="Heading3"/>
        <w:rPr>
          <w:rFonts w:asciiTheme="minorBidi" w:hAnsiTheme="minorBidi" w:cstheme="minorBidi"/>
        </w:rPr>
      </w:pPr>
      <w:bookmarkStart w:id="35" w:name="_Toc216140033"/>
      <w:r w:rsidRPr="002C0C84">
        <w:rPr>
          <w:rFonts w:asciiTheme="minorBidi" w:hAnsiTheme="minorBidi" w:cstheme="minorBidi"/>
        </w:rPr>
        <w:t>3.1.5 Impact of Leadership on Vaccination Success</w:t>
      </w:r>
      <w:bookmarkEnd w:id="35"/>
    </w:p>
    <w:p w14:paraId="5629AA06" w14:textId="77777777" w:rsidR="006311D3" w:rsidRPr="002C0C84" w:rsidRDefault="006311D3" w:rsidP="00667177">
      <w:pPr>
        <w:rPr>
          <w:rFonts w:asciiTheme="minorBidi" w:hAnsiTheme="minorBidi"/>
          <w:sz w:val="22"/>
        </w:rPr>
      </w:pPr>
      <w:r w:rsidRPr="002C0C84">
        <w:rPr>
          <w:rFonts w:asciiTheme="minorBidi" w:hAnsiTheme="minorBidi"/>
          <w:sz w:val="22"/>
        </w:rPr>
        <w:t>The most evident effect of Illa in his leadership was on the vaccination stage, when coordinating the centre-stage had led to one of the fastest and fairest in Europe. The age-based risk stratification of the Spanish vaccination methodology reached an over 90 percent of the citizens aged above 60 by mid-2021 (Ministerio de Sanidad, 2021; Otero-García et al., 2021). This result overturned the previous epidemiological susceptibility of Spain and drastically decreased the rates of hospitalisation and mortality in waves. The example of the Spaniards thus show that effective leadership depended on the phase, as failure in the initial phase was compensated by success in operation later due to enhanced central and regional coordination.</w:t>
      </w:r>
    </w:p>
    <w:p w14:paraId="176C9C9F" w14:textId="77777777" w:rsidR="006311D3" w:rsidRPr="002C0C84" w:rsidRDefault="006311D3" w:rsidP="00667177">
      <w:pPr>
        <w:rPr>
          <w:rFonts w:asciiTheme="minorBidi" w:hAnsiTheme="minorBidi"/>
          <w:sz w:val="22"/>
        </w:rPr>
      </w:pPr>
    </w:p>
    <w:p w14:paraId="3CC13D94" w14:textId="77777777" w:rsidR="006311D3" w:rsidRPr="002C0C84" w:rsidRDefault="006311D3" w:rsidP="00667177">
      <w:pPr>
        <w:pStyle w:val="Heading2"/>
        <w:rPr>
          <w:rFonts w:asciiTheme="minorBidi" w:hAnsiTheme="minorBidi" w:cstheme="minorBidi"/>
        </w:rPr>
      </w:pPr>
      <w:bookmarkStart w:id="36" w:name="_Toc216140034"/>
      <w:r w:rsidRPr="002C0C84">
        <w:rPr>
          <w:rFonts w:asciiTheme="minorBidi" w:hAnsiTheme="minorBidi" w:cstheme="minorBidi"/>
        </w:rPr>
        <w:lastRenderedPageBreak/>
        <w:t>3.2 South Korean Leadership: Prime Minister- Chung Sye-kyun.</w:t>
      </w:r>
      <w:bookmarkEnd w:id="36"/>
      <w:r w:rsidRPr="002C0C84">
        <w:rPr>
          <w:rFonts w:asciiTheme="minorBidi" w:hAnsiTheme="minorBidi" w:cstheme="minorBidi"/>
        </w:rPr>
        <w:t xml:space="preserve"> </w:t>
      </w:r>
    </w:p>
    <w:p w14:paraId="5C642AFC" w14:textId="77777777" w:rsidR="006311D3" w:rsidRPr="002C0C84" w:rsidRDefault="006311D3" w:rsidP="00667177">
      <w:pPr>
        <w:pStyle w:val="Heading3"/>
        <w:rPr>
          <w:rFonts w:asciiTheme="minorBidi" w:hAnsiTheme="minorBidi" w:cstheme="minorBidi"/>
        </w:rPr>
      </w:pPr>
      <w:bookmarkStart w:id="37" w:name="_Toc216140035"/>
      <w:r w:rsidRPr="002C0C84">
        <w:rPr>
          <w:rFonts w:asciiTheme="minorBidi" w:hAnsiTheme="minorBidi" w:cstheme="minorBidi"/>
        </w:rPr>
        <w:t>3.2.1 South Korea Crisis Leadership Background.</w:t>
      </w:r>
      <w:bookmarkEnd w:id="37"/>
    </w:p>
    <w:p w14:paraId="54651FC6" w14:textId="53715AF1" w:rsidR="006311D3" w:rsidRPr="002C0C84" w:rsidRDefault="006311D3" w:rsidP="002C0C84">
      <w:pPr>
        <w:rPr>
          <w:rFonts w:asciiTheme="minorBidi" w:hAnsiTheme="minorBidi"/>
          <w:sz w:val="22"/>
        </w:rPr>
      </w:pPr>
      <w:r w:rsidRPr="002C0C84">
        <w:rPr>
          <w:rFonts w:asciiTheme="minorBidi" w:hAnsiTheme="minorBidi"/>
          <w:sz w:val="22"/>
        </w:rPr>
        <w:t>South Korea faced COVID-19 with a unitary state system that has powerful legal authorities to control infectious diseases, which was formed after the outbreak of the MERS in 2015. Prime Minister Chung Sye-kyun became a leader with a crisis in a system that is already institutionally prepared to contain the epidemic on a large scale under the national command (Moon, 2020; You, 2020). In South Korea, the centralisation of power did not necessitate any constitutional restructuring like in Spain and allowed the country to have coherent policies at the national level as soon as the outbreak happened in January 2020.</w:t>
      </w:r>
    </w:p>
    <w:p w14:paraId="4680C76C" w14:textId="77777777" w:rsidR="006311D3" w:rsidRPr="002C0C84" w:rsidRDefault="006311D3" w:rsidP="00667177">
      <w:pPr>
        <w:pStyle w:val="Heading3"/>
        <w:rPr>
          <w:rFonts w:asciiTheme="minorBidi" w:hAnsiTheme="minorBidi" w:cstheme="minorBidi"/>
        </w:rPr>
      </w:pPr>
      <w:bookmarkStart w:id="38" w:name="_Toc216140036"/>
      <w:r w:rsidRPr="002C0C84">
        <w:rPr>
          <w:rFonts w:asciiTheme="minorBidi" w:hAnsiTheme="minorBidi" w:cstheme="minorBidi"/>
        </w:rPr>
        <w:t>3.2.2 Implementation of Transformational, Crisis and Distributed Leadership.</w:t>
      </w:r>
      <w:bookmarkEnd w:id="38"/>
    </w:p>
    <w:p w14:paraId="556F4191" w14:textId="77777777" w:rsidR="006311D3" w:rsidRPr="002C0C84" w:rsidRDefault="006311D3" w:rsidP="00667177">
      <w:pPr>
        <w:rPr>
          <w:rFonts w:asciiTheme="minorBidi" w:hAnsiTheme="minorBidi"/>
          <w:b/>
          <w:bCs/>
          <w:sz w:val="22"/>
        </w:rPr>
      </w:pPr>
      <w:r w:rsidRPr="002C0C84">
        <w:rPr>
          <w:rFonts w:asciiTheme="minorBidi" w:hAnsiTheme="minorBidi"/>
          <w:b/>
          <w:bCs/>
          <w:sz w:val="22"/>
        </w:rPr>
        <w:t>Transformational Leadership</w:t>
      </w:r>
    </w:p>
    <w:p w14:paraId="4E8C6BCC" w14:textId="2C314F1F" w:rsidR="006311D3" w:rsidRPr="002C0C84" w:rsidRDefault="006311D3" w:rsidP="00667177">
      <w:pPr>
        <w:rPr>
          <w:rFonts w:asciiTheme="minorBidi" w:hAnsiTheme="minorBidi"/>
          <w:sz w:val="22"/>
        </w:rPr>
      </w:pPr>
      <w:r w:rsidRPr="002C0C84">
        <w:rPr>
          <w:rFonts w:asciiTheme="minorBidi" w:hAnsiTheme="minorBidi"/>
          <w:sz w:val="22"/>
        </w:rPr>
        <w:t xml:space="preserve">Transformational leadership is typified by mobilisation based on vision, the creation of trust and motivation to effect a behavioural change among people (Nicola et al., 2020). Transformational leadership was characterised by Prime Minister Chung Sye-kyun by continued communication with the public, briefings given daily to the population, and a clear framing of risks, which allowed the Prime Minister to have a high level of public compliance (Moon, 2020; You, 2020). Instead of using coercion as the key approach, the leadership legitimacy was established on the framework of credibility, data transparency, and collective responsibility. </w:t>
      </w:r>
    </w:p>
    <w:p w14:paraId="7C1055E2" w14:textId="77777777" w:rsidR="006311D3" w:rsidRPr="002C0C84" w:rsidRDefault="006311D3" w:rsidP="00667177">
      <w:pPr>
        <w:rPr>
          <w:rFonts w:asciiTheme="minorBidi" w:hAnsiTheme="minorBidi"/>
          <w:b/>
          <w:bCs/>
          <w:sz w:val="22"/>
        </w:rPr>
      </w:pPr>
      <w:r w:rsidRPr="002C0C84">
        <w:rPr>
          <w:rFonts w:asciiTheme="minorBidi" w:hAnsiTheme="minorBidi"/>
          <w:b/>
          <w:bCs/>
          <w:sz w:val="22"/>
        </w:rPr>
        <w:t>Crisis Leadership</w:t>
      </w:r>
    </w:p>
    <w:p w14:paraId="19BBCB12" w14:textId="08CFEFDB" w:rsidR="006311D3" w:rsidRPr="002C0C84" w:rsidRDefault="006311D3" w:rsidP="00667177">
      <w:pPr>
        <w:rPr>
          <w:rFonts w:asciiTheme="minorBidi" w:hAnsiTheme="minorBidi"/>
          <w:sz w:val="22"/>
        </w:rPr>
      </w:pPr>
      <w:r w:rsidRPr="002C0C84">
        <w:rPr>
          <w:rFonts w:asciiTheme="minorBidi" w:hAnsiTheme="minorBidi"/>
          <w:sz w:val="22"/>
        </w:rPr>
        <w:t>The COVID-19 response in South Korea exhibited one of the best institutionally mature types of crisis leadership models in the world. The operationalisation of crisis leadership took place in the form of immediate activation of national protocols, emergency mandate legislature, and central epidemiological control within days after the outbreak was detected (Moon, 2020; Park and Fowler, 2021). No constitutional restructuring was necessary like in Spain and Canada to centralise authority. Thus, the highest speed of crisis was reached, and the spread of the crisis in the community was suppressed early. This indicates the best functional effectiveness of the leadership of a crisis among the three nations.</w:t>
      </w:r>
    </w:p>
    <w:p w14:paraId="546A30B4" w14:textId="77777777" w:rsidR="006311D3" w:rsidRPr="002C0C84" w:rsidRDefault="006311D3" w:rsidP="00667177">
      <w:pPr>
        <w:rPr>
          <w:rFonts w:asciiTheme="minorBidi" w:hAnsiTheme="minorBidi"/>
          <w:sz w:val="22"/>
        </w:rPr>
      </w:pPr>
    </w:p>
    <w:p w14:paraId="1C965542" w14:textId="77777777" w:rsidR="002C0C84" w:rsidRPr="002C0C84" w:rsidRDefault="002C0C84">
      <w:pPr>
        <w:spacing w:line="259" w:lineRule="auto"/>
        <w:jc w:val="left"/>
        <w:rPr>
          <w:rFonts w:asciiTheme="minorBidi" w:hAnsiTheme="minorBidi"/>
          <w:b/>
          <w:bCs/>
          <w:sz w:val="22"/>
        </w:rPr>
      </w:pPr>
      <w:r w:rsidRPr="002C0C84">
        <w:rPr>
          <w:rFonts w:asciiTheme="minorBidi" w:hAnsiTheme="minorBidi"/>
          <w:b/>
          <w:bCs/>
          <w:sz w:val="22"/>
        </w:rPr>
        <w:br w:type="page"/>
      </w:r>
    </w:p>
    <w:p w14:paraId="08DB47F4" w14:textId="3EBABAA0" w:rsidR="006311D3" w:rsidRPr="002C0C84" w:rsidRDefault="006311D3" w:rsidP="00667177">
      <w:pPr>
        <w:rPr>
          <w:rFonts w:asciiTheme="minorBidi" w:hAnsiTheme="minorBidi"/>
          <w:b/>
          <w:bCs/>
          <w:sz w:val="22"/>
        </w:rPr>
      </w:pPr>
      <w:r w:rsidRPr="002C0C84">
        <w:rPr>
          <w:rFonts w:asciiTheme="minorBidi" w:hAnsiTheme="minorBidi"/>
          <w:b/>
          <w:bCs/>
          <w:sz w:val="22"/>
        </w:rPr>
        <w:lastRenderedPageBreak/>
        <w:t>Distributed Leadership</w:t>
      </w:r>
    </w:p>
    <w:p w14:paraId="64CD22EC" w14:textId="77777777" w:rsidR="002C0C84" w:rsidRPr="002C0C84" w:rsidRDefault="006311D3" w:rsidP="002C0C84">
      <w:pPr>
        <w:rPr>
          <w:rFonts w:asciiTheme="minorBidi" w:hAnsiTheme="minorBidi"/>
          <w:sz w:val="22"/>
        </w:rPr>
      </w:pPr>
      <w:r w:rsidRPr="002C0C84">
        <w:rPr>
          <w:rFonts w:asciiTheme="minorBidi" w:hAnsiTheme="minorBidi"/>
          <w:sz w:val="22"/>
        </w:rPr>
        <w:t xml:space="preserve">Distributed leadership acknowledges that the leadership power is distributed in a network of institutions and not vested in one executive office (Nicola et al., 2020). Distributed leadership was observed in South Korea whereby the centralised coordination of the work of the country was formalised through the inclusion of private diagnostic manufacturers and municipal governments, digital platform companies, and national epidemiological agencies (Park et al., 2020). The scale-up of the testing infrastructure to a total of more than 15,000 tests per day on the initial, mid-2020 was facilitated by the collaboration between the government and the industry. </w:t>
      </w:r>
    </w:p>
    <w:p w14:paraId="41D7EF1D" w14:textId="38D56CB8" w:rsidR="006311D3" w:rsidRPr="002C0C84" w:rsidRDefault="006311D3" w:rsidP="002C0C84">
      <w:pPr>
        <w:pStyle w:val="Heading3"/>
        <w:rPr>
          <w:rFonts w:asciiTheme="minorBidi" w:hAnsiTheme="minorBidi" w:cstheme="minorBidi"/>
        </w:rPr>
      </w:pPr>
      <w:bookmarkStart w:id="39" w:name="_Toc216140037"/>
      <w:r w:rsidRPr="002C0C84">
        <w:rPr>
          <w:rFonts w:asciiTheme="minorBidi" w:hAnsiTheme="minorBidi" w:cstheme="minorBidi"/>
        </w:rPr>
        <w:t>3.2.3 Advantages of Open and Innovation-Based Leadership</w:t>
      </w:r>
      <w:bookmarkEnd w:id="39"/>
    </w:p>
    <w:p w14:paraId="6B9ED2BC" w14:textId="23E15436" w:rsidR="006311D3" w:rsidRPr="002C0C84" w:rsidRDefault="006311D3" w:rsidP="002C0C84">
      <w:pPr>
        <w:rPr>
          <w:rFonts w:asciiTheme="minorBidi" w:hAnsiTheme="minorBidi"/>
          <w:sz w:val="22"/>
        </w:rPr>
      </w:pPr>
      <w:r w:rsidRPr="002C0C84">
        <w:rPr>
          <w:rFonts w:asciiTheme="minorBidi" w:hAnsiTheme="minorBidi"/>
          <w:sz w:val="22"/>
        </w:rPr>
        <w:t>Thanks to the leadership of Chung, one of the most technologically intensive responses to the pandemic in the world was organised. Contact tracing system based on information technologies was integrated into telecommunications metadata, financial transactions and CCTV data under the central epidemiological control (Park et al., 2020). By mid-2020, South Korea had carried out more than 15,000 diagnostic tests in the country daily and had not exceeded 300 cases per million population, which is far more successful than the majority of OECD states (You, 2020). Moon (2020) explains the consistent leadership transparency and trustworthy risk communication by attributing the sustained compliance of the population in consecutive waves of an epidemic.</w:t>
      </w:r>
    </w:p>
    <w:p w14:paraId="47077467" w14:textId="071E84B3" w:rsidR="006311D3" w:rsidRPr="002C0C84" w:rsidRDefault="006311D3" w:rsidP="00667177">
      <w:pPr>
        <w:pStyle w:val="Heading3"/>
        <w:rPr>
          <w:rFonts w:asciiTheme="minorBidi" w:hAnsiTheme="minorBidi" w:cstheme="minorBidi"/>
        </w:rPr>
      </w:pPr>
      <w:bookmarkStart w:id="40" w:name="_Toc216140038"/>
      <w:r w:rsidRPr="002C0C84">
        <w:rPr>
          <w:rFonts w:asciiTheme="minorBidi" w:hAnsiTheme="minorBidi" w:cstheme="minorBidi"/>
        </w:rPr>
        <w:t>3.2.4 Leadership Ethical and Privacy-Related Iss</w:t>
      </w:r>
      <w:r w:rsidR="00697445">
        <w:rPr>
          <w:rFonts w:asciiTheme="minorBidi" w:hAnsiTheme="minorBidi" w:cstheme="minorBidi"/>
        </w:rPr>
        <w:t>ues</w:t>
      </w:r>
      <w:bookmarkEnd w:id="40"/>
    </w:p>
    <w:p w14:paraId="040961DF" w14:textId="67B43E89" w:rsidR="006311D3" w:rsidRPr="002C0C84" w:rsidRDefault="006311D3" w:rsidP="00667177">
      <w:pPr>
        <w:rPr>
          <w:rFonts w:asciiTheme="minorBidi" w:hAnsiTheme="minorBidi"/>
          <w:sz w:val="22"/>
        </w:rPr>
      </w:pPr>
      <w:r w:rsidRPr="002C0C84">
        <w:rPr>
          <w:rFonts w:asciiTheme="minorBidi" w:hAnsiTheme="minorBidi"/>
          <w:sz w:val="22"/>
        </w:rPr>
        <w:t>Although the operations implemented with the leadership of Chung were a success, they also created an ethical dilemma in terms of proportionality of surveillance. Indirect individual identification was revealed on several occasions when the release of de-identified movement data could provoke a legal challenge involving data protection and civil liberties (Park et al., 2020). You (2020) states that the public approval rate of such intrusions was very high at high transmission rates but later elicited institutional discourse with regards to the long-term consequences of emergency surveillance infrastructures. These tensions depict the inherent trade-off of centralisation of crisis powers and rights</w:t>
      </w:r>
      <w:r w:rsidR="00667177" w:rsidRPr="002C0C84">
        <w:rPr>
          <w:rFonts w:asciiTheme="minorBidi" w:hAnsiTheme="minorBidi"/>
          <w:sz w:val="22"/>
        </w:rPr>
        <w:t>-</w:t>
      </w:r>
      <w:r w:rsidRPr="002C0C84">
        <w:rPr>
          <w:rFonts w:asciiTheme="minorBidi" w:hAnsiTheme="minorBidi"/>
          <w:sz w:val="22"/>
        </w:rPr>
        <w:t>based government.</w:t>
      </w:r>
    </w:p>
    <w:p w14:paraId="76FC624E" w14:textId="77777777" w:rsidR="006311D3" w:rsidRPr="002C0C84" w:rsidRDefault="006311D3" w:rsidP="00667177">
      <w:pPr>
        <w:rPr>
          <w:rFonts w:asciiTheme="minorBidi" w:hAnsiTheme="minorBidi"/>
          <w:sz w:val="22"/>
        </w:rPr>
      </w:pPr>
    </w:p>
    <w:p w14:paraId="3B477689" w14:textId="77777777" w:rsidR="002C0C84" w:rsidRPr="002C0C84" w:rsidRDefault="002C0C84">
      <w:pPr>
        <w:spacing w:line="259" w:lineRule="auto"/>
        <w:jc w:val="left"/>
        <w:rPr>
          <w:rFonts w:asciiTheme="minorBidi" w:eastAsiaTheme="majorEastAsia" w:hAnsiTheme="minorBidi"/>
          <w:color w:val="2F5496" w:themeColor="accent1" w:themeShade="BF"/>
          <w:sz w:val="28"/>
          <w:szCs w:val="28"/>
        </w:rPr>
      </w:pPr>
      <w:r w:rsidRPr="002C0C84">
        <w:rPr>
          <w:rFonts w:asciiTheme="minorBidi" w:hAnsiTheme="minorBidi"/>
        </w:rPr>
        <w:br w:type="page"/>
      </w:r>
    </w:p>
    <w:p w14:paraId="4B543050" w14:textId="6EB89054" w:rsidR="006311D3" w:rsidRPr="002C0C84" w:rsidRDefault="006311D3" w:rsidP="00667177">
      <w:pPr>
        <w:pStyle w:val="Heading3"/>
        <w:rPr>
          <w:rFonts w:asciiTheme="minorBidi" w:hAnsiTheme="minorBidi" w:cstheme="minorBidi"/>
        </w:rPr>
      </w:pPr>
      <w:bookmarkStart w:id="41" w:name="_Toc216140039"/>
      <w:r w:rsidRPr="002C0C84">
        <w:rPr>
          <w:rFonts w:asciiTheme="minorBidi" w:hAnsiTheme="minorBidi" w:cstheme="minorBidi"/>
        </w:rPr>
        <w:lastRenderedPageBreak/>
        <w:t>3.2.5 Leadership Instruction on People Compliance and Results</w:t>
      </w:r>
      <w:bookmarkEnd w:id="41"/>
    </w:p>
    <w:p w14:paraId="5EF1EEBF" w14:textId="77CE4F24" w:rsidR="00AE5C80" w:rsidRPr="00AE5C80" w:rsidRDefault="006311D3" w:rsidP="00667177">
      <w:pPr>
        <w:rPr>
          <w:rFonts w:asciiTheme="minorBidi" w:hAnsiTheme="minorBidi"/>
          <w:sz w:val="22"/>
        </w:rPr>
      </w:pPr>
      <w:r w:rsidRPr="002C0C84">
        <w:rPr>
          <w:rFonts w:asciiTheme="minorBidi" w:hAnsiTheme="minorBidi"/>
          <w:sz w:val="22"/>
        </w:rPr>
        <w:t>By the end of 2022, South Korea reported less than 26,000 COVID-19 deaths, despite its very high population density in the world system and mobility rates, in both internal and external contexts (You, 2020; WHO, 2021). The adherence to mask-wearing practises, online tracing and quarantine rules was also on a high level after one another wave. This result is the expression of the long-term legitimacy of the administration of Chung which is based on transparency, institutional trust, and the effectiveness of the administration. South Korea is thus one of the most successful cases of empirical centralised crisis leadership in the pandemic.</w:t>
      </w:r>
    </w:p>
    <w:p w14:paraId="0260F3A7" w14:textId="365FD775" w:rsidR="00AE5C80" w:rsidRPr="002C0C84" w:rsidRDefault="00AE5C80" w:rsidP="00667177">
      <w:pPr>
        <w:pStyle w:val="Heading2"/>
        <w:rPr>
          <w:rFonts w:asciiTheme="minorBidi" w:hAnsiTheme="minorBidi" w:cstheme="minorBidi"/>
        </w:rPr>
      </w:pPr>
      <w:bookmarkStart w:id="42" w:name="_Toc216140040"/>
      <w:r w:rsidRPr="002C0C84">
        <w:rPr>
          <w:rFonts w:asciiTheme="minorBidi" w:hAnsiTheme="minorBidi" w:cstheme="minorBidi"/>
        </w:rPr>
        <w:t>3.3 Leadership in Canada: Prime Minister Justin Trudeau</w:t>
      </w:r>
      <w:bookmarkEnd w:id="42"/>
    </w:p>
    <w:p w14:paraId="5C6FEE1C" w14:textId="77777777" w:rsidR="00AE5C80" w:rsidRPr="002C0C84" w:rsidRDefault="00AE5C80" w:rsidP="00667177">
      <w:pPr>
        <w:pStyle w:val="Heading3"/>
        <w:rPr>
          <w:rFonts w:asciiTheme="minorBidi" w:hAnsiTheme="minorBidi" w:cstheme="minorBidi"/>
        </w:rPr>
      </w:pPr>
      <w:bookmarkStart w:id="43" w:name="_Toc216140041"/>
      <w:r w:rsidRPr="002C0C84">
        <w:rPr>
          <w:rFonts w:asciiTheme="minorBidi" w:hAnsiTheme="minorBidi" w:cstheme="minorBidi"/>
        </w:rPr>
        <w:t>3.3.1 Federal Leadership in a Decentralised Health System</w:t>
      </w:r>
      <w:bookmarkEnd w:id="43"/>
    </w:p>
    <w:p w14:paraId="20ADA786" w14:textId="3F9B4AEC" w:rsidR="006311D3" w:rsidRPr="002C0C84" w:rsidRDefault="006311D3" w:rsidP="002C0C84">
      <w:pPr>
        <w:rPr>
          <w:rFonts w:asciiTheme="minorBidi" w:hAnsiTheme="minorBidi"/>
          <w:sz w:val="22"/>
        </w:rPr>
      </w:pPr>
      <w:r w:rsidRPr="002C0C84">
        <w:rPr>
          <w:rFonts w:asciiTheme="minorBidi" w:hAnsiTheme="minorBidi"/>
          <w:sz w:val="22"/>
        </w:rPr>
        <w:t>Justin Trudeau was a leader operating under one of the decentralised federal health systems of governance in the OECD</w:t>
      </w:r>
      <w:r w:rsidR="00667177" w:rsidRPr="002C0C84">
        <w:rPr>
          <w:rFonts w:asciiTheme="minorBidi" w:hAnsiTheme="minorBidi"/>
          <w:sz w:val="22"/>
        </w:rPr>
        <w:t xml:space="preserve"> (Smith et al., 2023)</w:t>
      </w:r>
      <w:r w:rsidRPr="002C0C84">
        <w:rPr>
          <w:rFonts w:asciiTheme="minorBidi" w:hAnsiTheme="minorBidi"/>
          <w:sz w:val="22"/>
        </w:rPr>
        <w:t>. The provincial governments had the constitutional powers to deliver healthcare services and carry out health interventions on the population, whereas the federal government coordinated the borders, fiscal transfers, and the acquisition of vaccines (Schnabel and Hegele, 2021; Trudeau, 2021). In contrast to Spain, emergency recentralisation was not constitutionally bound meaning that Trudeau was required to seek intergovernmental persuasion and not authoritative powers.</w:t>
      </w:r>
    </w:p>
    <w:p w14:paraId="41008C2F" w14:textId="77777777" w:rsidR="006311D3" w:rsidRPr="002C0C84" w:rsidRDefault="006311D3" w:rsidP="00667177">
      <w:pPr>
        <w:pStyle w:val="Heading3"/>
        <w:rPr>
          <w:rFonts w:asciiTheme="minorBidi" w:hAnsiTheme="minorBidi" w:cstheme="minorBidi"/>
        </w:rPr>
      </w:pPr>
      <w:bookmarkStart w:id="44" w:name="_Toc216140042"/>
      <w:r w:rsidRPr="002C0C84">
        <w:rPr>
          <w:rFonts w:asciiTheme="minorBidi" w:hAnsiTheme="minorBidi" w:cstheme="minorBidi"/>
        </w:rPr>
        <w:t>3.3.2 Utilisation of Distributed, Situational and Transitional Leadership.</w:t>
      </w:r>
      <w:bookmarkEnd w:id="44"/>
    </w:p>
    <w:p w14:paraId="4D0EAC02" w14:textId="77777777" w:rsidR="006311D3" w:rsidRPr="002C0C84" w:rsidRDefault="006311D3" w:rsidP="00667177">
      <w:pPr>
        <w:rPr>
          <w:rFonts w:asciiTheme="minorBidi" w:hAnsiTheme="minorBidi"/>
          <w:b/>
          <w:bCs/>
          <w:sz w:val="22"/>
        </w:rPr>
      </w:pPr>
      <w:r w:rsidRPr="002C0C84">
        <w:rPr>
          <w:rFonts w:asciiTheme="minorBidi" w:hAnsiTheme="minorBidi"/>
          <w:b/>
          <w:bCs/>
          <w:sz w:val="22"/>
        </w:rPr>
        <w:t>Distributed Leadership</w:t>
      </w:r>
    </w:p>
    <w:p w14:paraId="46E9A6C3" w14:textId="058B09DF" w:rsidR="006311D3" w:rsidRPr="002C0C84" w:rsidRDefault="006311D3" w:rsidP="00667177">
      <w:pPr>
        <w:rPr>
          <w:rFonts w:asciiTheme="minorBidi" w:hAnsiTheme="minorBidi"/>
          <w:sz w:val="22"/>
        </w:rPr>
      </w:pPr>
      <w:r w:rsidRPr="002C0C84">
        <w:rPr>
          <w:rFonts w:asciiTheme="minorBidi" w:hAnsiTheme="minorBidi"/>
          <w:sz w:val="22"/>
        </w:rPr>
        <w:t>The federal pandemic response in Canada was structurally incorporated in the distributed leadership because the constitutional distribution of public health authority is between the provincial jurisdictions (Schnabel and Hegele, 2021). Trudeau exercised a coordination and not a command-and-control leadership style and had the provincial premiers and regional public health authorities execute the same in the form of testing, lockdowns and vaccination measures. Distributed leadership thus increased contextual adaptability whilst decreasing the speed of response in early stages.</w:t>
      </w:r>
    </w:p>
    <w:p w14:paraId="0CAF5F1C" w14:textId="77777777" w:rsidR="006311D3" w:rsidRPr="002C0C84" w:rsidRDefault="006311D3" w:rsidP="00667177">
      <w:pPr>
        <w:rPr>
          <w:rFonts w:asciiTheme="minorBidi" w:hAnsiTheme="minorBidi"/>
          <w:sz w:val="22"/>
        </w:rPr>
      </w:pPr>
    </w:p>
    <w:p w14:paraId="719C1FD8" w14:textId="77777777" w:rsidR="002C0C84" w:rsidRPr="002C0C84" w:rsidRDefault="002C0C84">
      <w:pPr>
        <w:spacing w:line="259" w:lineRule="auto"/>
        <w:jc w:val="left"/>
        <w:rPr>
          <w:rFonts w:asciiTheme="minorBidi" w:hAnsiTheme="minorBidi"/>
          <w:b/>
          <w:bCs/>
          <w:sz w:val="22"/>
        </w:rPr>
      </w:pPr>
      <w:r w:rsidRPr="002C0C84">
        <w:rPr>
          <w:rFonts w:asciiTheme="minorBidi" w:hAnsiTheme="minorBidi"/>
          <w:b/>
          <w:bCs/>
          <w:sz w:val="22"/>
        </w:rPr>
        <w:br w:type="page"/>
      </w:r>
    </w:p>
    <w:p w14:paraId="3EE06799" w14:textId="439621D1" w:rsidR="006311D3" w:rsidRPr="002C0C84" w:rsidRDefault="006311D3" w:rsidP="00667177">
      <w:pPr>
        <w:rPr>
          <w:rFonts w:asciiTheme="minorBidi" w:hAnsiTheme="minorBidi"/>
          <w:b/>
          <w:bCs/>
          <w:sz w:val="22"/>
        </w:rPr>
      </w:pPr>
      <w:r w:rsidRPr="002C0C84">
        <w:rPr>
          <w:rFonts w:asciiTheme="minorBidi" w:hAnsiTheme="minorBidi"/>
          <w:b/>
          <w:bCs/>
          <w:sz w:val="22"/>
        </w:rPr>
        <w:lastRenderedPageBreak/>
        <w:t>Situational Leadership</w:t>
      </w:r>
    </w:p>
    <w:p w14:paraId="2B497ABE" w14:textId="0D7EA845" w:rsidR="006311D3" w:rsidRPr="002C0C84" w:rsidRDefault="006311D3" w:rsidP="002C0C84">
      <w:pPr>
        <w:rPr>
          <w:rFonts w:asciiTheme="minorBidi" w:hAnsiTheme="minorBidi"/>
          <w:sz w:val="22"/>
        </w:rPr>
      </w:pPr>
      <w:r w:rsidRPr="002C0C84">
        <w:rPr>
          <w:rFonts w:asciiTheme="minorBidi" w:hAnsiTheme="minorBidi"/>
          <w:sz w:val="22"/>
        </w:rPr>
        <w:t>The adaptability in policy responses during the pandemic through various waves was an indication of situational leadership because Trudeau changed his leadership approach several times. The initial stages of leadership were focused on economic stabilisation and border control, but subsequent stages were oriented on obtaining vaccines faster and coordinating booster campaigns (Trudeau, 2021; Smits et al., 2023). This repositioning at each stage of the crisis shows immense responsiveness to situation, but also indicates structural reliance on external conditions of supply of vaccines which limited early strategic performance.</w:t>
      </w:r>
    </w:p>
    <w:p w14:paraId="3CF69401" w14:textId="77777777" w:rsidR="006311D3" w:rsidRPr="002C0C84" w:rsidRDefault="006311D3" w:rsidP="00667177">
      <w:pPr>
        <w:rPr>
          <w:rFonts w:asciiTheme="minorBidi" w:hAnsiTheme="minorBidi"/>
          <w:b/>
          <w:bCs/>
          <w:sz w:val="22"/>
        </w:rPr>
      </w:pPr>
      <w:r w:rsidRPr="002C0C84">
        <w:rPr>
          <w:rFonts w:asciiTheme="minorBidi" w:hAnsiTheme="minorBidi"/>
          <w:b/>
          <w:bCs/>
          <w:sz w:val="22"/>
        </w:rPr>
        <w:t>Transactional Leadership</w:t>
      </w:r>
    </w:p>
    <w:p w14:paraId="313315FF" w14:textId="4F0A09DA" w:rsidR="006311D3" w:rsidRPr="002C0C84" w:rsidRDefault="006311D3" w:rsidP="002C0C84">
      <w:pPr>
        <w:rPr>
          <w:rFonts w:asciiTheme="minorBidi" w:hAnsiTheme="minorBidi"/>
          <w:sz w:val="22"/>
        </w:rPr>
      </w:pPr>
      <w:r w:rsidRPr="002C0C84">
        <w:rPr>
          <w:rFonts w:asciiTheme="minorBidi" w:hAnsiTheme="minorBidi"/>
          <w:sz w:val="22"/>
        </w:rPr>
        <w:t>Conditional fiscal transfer and the provision of financial incentives structures to provincial health services were the most obvious forms of transactional leadership in Canada. Performance-based tools of governance, such as emergency wage subsidies, hospital surge funding, and funding of vaccine delivery were implemented instead of mandates (Smith et al., 2023). Although such a transactional policy ensured the political stability between federal and provincial governments, it also postponed the implementation of unified containment, because conformity was not dictated by executive decree, but by negotiated funding allocations. This served as a cause of early province-level fragmentation of policies (Schnabel and Hegele, 2021).</w:t>
      </w:r>
    </w:p>
    <w:p w14:paraId="0FDF9E4C" w14:textId="77777777" w:rsidR="006311D3" w:rsidRPr="002C0C84" w:rsidRDefault="006311D3" w:rsidP="00667177">
      <w:pPr>
        <w:pStyle w:val="Heading3"/>
        <w:rPr>
          <w:rFonts w:asciiTheme="minorBidi" w:hAnsiTheme="minorBidi" w:cstheme="minorBidi"/>
        </w:rPr>
      </w:pPr>
      <w:bookmarkStart w:id="45" w:name="_Toc216140043"/>
      <w:r w:rsidRPr="002C0C84">
        <w:rPr>
          <w:rFonts w:asciiTheme="minorBidi" w:hAnsiTheme="minorBidi" w:cstheme="minorBidi"/>
        </w:rPr>
        <w:t>3.3.3 Unifying National Leadership Strengths.</w:t>
      </w:r>
      <w:bookmarkEnd w:id="45"/>
    </w:p>
    <w:p w14:paraId="10C8881A" w14:textId="77777777" w:rsidR="006311D3" w:rsidRPr="002C0C84" w:rsidRDefault="006311D3" w:rsidP="00667177">
      <w:pPr>
        <w:rPr>
          <w:rFonts w:asciiTheme="minorBidi" w:hAnsiTheme="minorBidi"/>
          <w:sz w:val="22"/>
        </w:rPr>
      </w:pPr>
      <w:r w:rsidRPr="002C0C84">
        <w:rPr>
          <w:rFonts w:asciiTheme="minorBidi" w:hAnsiTheme="minorBidi"/>
          <w:sz w:val="22"/>
        </w:rPr>
        <w:t>The greatest leadership input of Trudeau was massive fiscal stabilisation and framing national risk to the whole country. Federal emergency income includes more than 20 percent of national GDP, which allowed avoiding workforce collapse and guaranteeing the continuity of health system financing even in the long-term lockdown conditions (Schnabel and Hegele, 2021). Smith et al. (2023) show that central financial coordination really enhanced provincial public health capacity at peak pandemic demand conditions. The symbolic unity and compliance within the national risk messages emanating in the daily national addresses of Trudeau were strengthened.</w:t>
      </w:r>
    </w:p>
    <w:p w14:paraId="781A13A6" w14:textId="77777777" w:rsidR="006311D3" w:rsidRPr="002C0C84" w:rsidRDefault="006311D3" w:rsidP="00667177">
      <w:pPr>
        <w:rPr>
          <w:rFonts w:asciiTheme="minorBidi" w:hAnsiTheme="minorBidi"/>
          <w:sz w:val="22"/>
        </w:rPr>
      </w:pPr>
    </w:p>
    <w:p w14:paraId="693ABFB1" w14:textId="77777777" w:rsidR="002C0C84" w:rsidRPr="002C0C84" w:rsidRDefault="002C0C84">
      <w:pPr>
        <w:spacing w:line="259" w:lineRule="auto"/>
        <w:jc w:val="left"/>
        <w:rPr>
          <w:rFonts w:asciiTheme="minorBidi" w:eastAsiaTheme="majorEastAsia" w:hAnsiTheme="minorBidi"/>
          <w:color w:val="2F5496" w:themeColor="accent1" w:themeShade="BF"/>
          <w:sz w:val="28"/>
          <w:szCs w:val="28"/>
        </w:rPr>
      </w:pPr>
      <w:r w:rsidRPr="002C0C84">
        <w:rPr>
          <w:rFonts w:asciiTheme="minorBidi" w:hAnsiTheme="minorBidi"/>
        </w:rPr>
        <w:br w:type="page"/>
      </w:r>
    </w:p>
    <w:p w14:paraId="1B70CF14" w14:textId="4F28BF2B" w:rsidR="006311D3" w:rsidRPr="002C0C84" w:rsidRDefault="006311D3" w:rsidP="00667177">
      <w:pPr>
        <w:pStyle w:val="Heading3"/>
        <w:rPr>
          <w:rFonts w:asciiTheme="minorBidi" w:hAnsiTheme="minorBidi" w:cstheme="minorBidi"/>
        </w:rPr>
      </w:pPr>
      <w:bookmarkStart w:id="46" w:name="_Toc216140044"/>
      <w:r w:rsidRPr="002C0C84">
        <w:rPr>
          <w:rFonts w:asciiTheme="minorBidi" w:hAnsiTheme="minorBidi" w:cstheme="minorBidi"/>
        </w:rPr>
        <w:lastRenderedPageBreak/>
        <w:t>3.3.4 Weaknesses in Intergovernmental Co-ordination.</w:t>
      </w:r>
      <w:bookmarkEnd w:id="46"/>
    </w:p>
    <w:p w14:paraId="0A71F2E8" w14:textId="0DD8D8CC" w:rsidR="006311D3" w:rsidRPr="002C0C84" w:rsidRDefault="006311D3" w:rsidP="002C0C84">
      <w:pPr>
        <w:rPr>
          <w:rFonts w:asciiTheme="minorBidi" w:hAnsiTheme="minorBidi"/>
          <w:sz w:val="22"/>
        </w:rPr>
      </w:pPr>
      <w:r w:rsidRPr="002C0C84">
        <w:rPr>
          <w:rFonts w:asciiTheme="minorBidi" w:hAnsiTheme="minorBidi"/>
          <w:sz w:val="22"/>
        </w:rPr>
        <w:t>The decentralised nature of the governance in Canada limited the ability of Trudeau to implement the same national containment strategies. The timing of provincial lockdowns, school shutdowns and restrictions on gathering people were significantly different, leading to repeated disproportionate transmission (Schnabel and Hegele, 2021). The reliance of vaccines in the global markets further hampered early immunisation activities in the nation. Federal supply chain vulnerability was manifested as Canada joined the mass vaccination business about three months later than various centralised systems (Smith et al., 2023; Smits et al., 2023). According to Taylor et al. (2022), the problem of fragmented federal leadership structure in itself undermines the velocity of the crisis despite the long-term institutional resilience.</w:t>
      </w:r>
    </w:p>
    <w:p w14:paraId="5080559E" w14:textId="77777777" w:rsidR="006311D3" w:rsidRPr="002C0C84" w:rsidRDefault="006311D3" w:rsidP="00667177">
      <w:pPr>
        <w:pStyle w:val="Heading3"/>
        <w:rPr>
          <w:rFonts w:asciiTheme="minorBidi" w:hAnsiTheme="minorBidi" w:cstheme="minorBidi"/>
        </w:rPr>
      </w:pPr>
      <w:bookmarkStart w:id="47" w:name="_Toc216140045"/>
      <w:r w:rsidRPr="002C0C84">
        <w:rPr>
          <w:rFonts w:asciiTheme="minorBidi" w:hAnsiTheme="minorBidi" w:cstheme="minorBidi"/>
        </w:rPr>
        <w:t>3.3.5 Leadership Impact on Vaccine Roll-Out and Recovery.</w:t>
      </w:r>
      <w:bookmarkEnd w:id="47"/>
    </w:p>
    <w:p w14:paraId="43FC85E8" w14:textId="5301C860" w:rsidR="006311D3" w:rsidRPr="002C0C84" w:rsidRDefault="006311D3" w:rsidP="002C0C84">
      <w:pPr>
        <w:rPr>
          <w:rFonts w:asciiTheme="minorBidi" w:hAnsiTheme="minorBidi"/>
          <w:sz w:val="22"/>
        </w:rPr>
      </w:pPr>
      <w:r w:rsidRPr="002C0C84">
        <w:rPr>
          <w:rFonts w:asciiTheme="minorBidi" w:hAnsiTheme="minorBidi"/>
          <w:sz w:val="22"/>
        </w:rPr>
        <w:t>After the global vaccine supply stabilised in the middle of 2021, the leadership of Trudeau was able to accelerate the mass vaccination in Canada faster than in G7 countries. As of November 2021, more than 80 percent of the Canadian population is fully vaccinated, which is a good performance of the provincial delivery when the limitation of federal supplies was lifted (Smits et al., 2023). Post-vaccination economic recovery was also healthy as there was extended federal fiscal stimulus. The example of Canada thus shows that collaborative federal leadership made the difference in preventing early containment but provided the policy stability and momentum of recovery in the long term.</w:t>
      </w:r>
    </w:p>
    <w:p w14:paraId="33AFB5E7" w14:textId="77777777" w:rsidR="002C0C84" w:rsidRPr="002C0C84" w:rsidRDefault="002C0C84">
      <w:pPr>
        <w:spacing w:line="259" w:lineRule="auto"/>
        <w:jc w:val="left"/>
        <w:rPr>
          <w:rFonts w:asciiTheme="minorBidi" w:eastAsia="Times New Roman" w:hAnsiTheme="minorBidi"/>
          <w:b/>
          <w:bCs/>
          <w:color w:val="4472C4" w:themeColor="accent1"/>
          <w:kern w:val="0"/>
          <w:sz w:val="28"/>
          <w:szCs w:val="28"/>
          <w14:ligatures w14:val="none"/>
        </w:rPr>
      </w:pPr>
      <w:r w:rsidRPr="002C0C84">
        <w:rPr>
          <w:rFonts w:asciiTheme="minorBidi" w:hAnsiTheme="minorBidi"/>
        </w:rPr>
        <w:br w:type="page"/>
      </w:r>
    </w:p>
    <w:p w14:paraId="49A9F38A" w14:textId="0670E28C" w:rsidR="006311D3" w:rsidRPr="002C0C84" w:rsidRDefault="006311D3" w:rsidP="00667177">
      <w:pPr>
        <w:pStyle w:val="Heading2"/>
        <w:rPr>
          <w:rFonts w:asciiTheme="minorBidi" w:hAnsiTheme="minorBidi" w:cstheme="minorBidi"/>
        </w:rPr>
      </w:pPr>
      <w:bookmarkStart w:id="48" w:name="_Toc216140046"/>
      <w:r w:rsidRPr="002C0C84">
        <w:rPr>
          <w:rFonts w:asciiTheme="minorBidi" w:hAnsiTheme="minorBidi" w:cstheme="minorBidi"/>
        </w:rPr>
        <w:lastRenderedPageBreak/>
        <w:t>3.4 Comparative Analysis of the Leadership Effectiveness among the three Countries.</w:t>
      </w:r>
      <w:bookmarkEnd w:id="48"/>
    </w:p>
    <w:p w14:paraId="17F0E24E" w14:textId="23DC44FF" w:rsidR="006311D3" w:rsidRPr="002C0C84" w:rsidRDefault="006311D3" w:rsidP="00667177">
      <w:pPr>
        <w:pStyle w:val="Heading3"/>
        <w:rPr>
          <w:rFonts w:asciiTheme="minorBidi" w:hAnsiTheme="minorBidi" w:cstheme="minorBidi"/>
        </w:rPr>
      </w:pPr>
      <w:bookmarkStart w:id="49" w:name="_Toc216140047"/>
      <w:r w:rsidRPr="002C0C84">
        <w:rPr>
          <w:rFonts w:asciiTheme="minorBidi" w:hAnsiTheme="minorBidi" w:cstheme="minorBidi"/>
        </w:rPr>
        <w:t>3.4.1 Differences in Leadership Authority and Decision-Making Power.</w:t>
      </w:r>
      <w:bookmarkEnd w:id="49"/>
    </w:p>
    <w:p w14:paraId="05B7A2C8" w14:textId="76E23CBA" w:rsidR="006311D3" w:rsidRPr="00AE5C80" w:rsidRDefault="006311D3" w:rsidP="002C0C84">
      <w:pPr>
        <w:rPr>
          <w:rFonts w:asciiTheme="minorBidi" w:hAnsiTheme="minorBidi"/>
          <w:sz w:val="22"/>
        </w:rPr>
      </w:pPr>
      <w:r w:rsidRPr="002C0C84">
        <w:rPr>
          <w:rFonts w:asciiTheme="minorBidi" w:hAnsiTheme="minorBidi"/>
          <w:sz w:val="22"/>
        </w:rPr>
        <w:t>Chung held direct central command power over a unitary state, the momentary re-centralised decentralised system by Illa, and non-coercive fiscal and political coordination by Trudeau within the federal constitutional boundaries (Navarro and Velasco, 2022; Schnabel and Hegele, 2021). These power disparities were also the essential determinants of crisis pace, policy compliance and consistency.</w:t>
      </w:r>
    </w:p>
    <w:p w14:paraId="3C2449E2" w14:textId="77777777" w:rsidR="00AE5C80" w:rsidRPr="002C0C84" w:rsidRDefault="00AE5C80" w:rsidP="00667177">
      <w:pPr>
        <w:pStyle w:val="Heading3"/>
        <w:rPr>
          <w:rFonts w:asciiTheme="minorBidi" w:hAnsiTheme="minorBidi" w:cstheme="minorBidi"/>
        </w:rPr>
      </w:pPr>
      <w:bookmarkStart w:id="50" w:name="_Toc216140048"/>
      <w:r w:rsidRPr="002C0C84">
        <w:rPr>
          <w:rFonts w:asciiTheme="minorBidi" w:hAnsiTheme="minorBidi" w:cstheme="minorBidi"/>
        </w:rPr>
        <w:t>3.4.2 Leadership Influence on Health System Performance</w:t>
      </w:r>
      <w:bookmarkEnd w:id="50"/>
    </w:p>
    <w:tbl>
      <w:tblPr>
        <w:tblStyle w:val="GridTable4-Accent1"/>
        <w:tblW w:w="0" w:type="auto"/>
        <w:tblLook w:val="04A0" w:firstRow="1" w:lastRow="0" w:firstColumn="1" w:lastColumn="0" w:noHBand="0" w:noVBand="1"/>
      </w:tblPr>
      <w:tblGrid>
        <w:gridCol w:w="1395"/>
        <w:gridCol w:w="3138"/>
        <w:gridCol w:w="1994"/>
        <w:gridCol w:w="2489"/>
      </w:tblGrid>
      <w:tr w:rsidR="00AE5C80" w:rsidRPr="00AE5C80" w14:paraId="78EB6081" w14:textId="77777777" w:rsidTr="002C0C8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733481B" w14:textId="77777777" w:rsidR="00AE5C80" w:rsidRPr="00AE5C80" w:rsidRDefault="00AE5C80" w:rsidP="00667177">
            <w:pPr>
              <w:spacing w:after="160"/>
              <w:rPr>
                <w:rFonts w:asciiTheme="minorBidi" w:hAnsiTheme="minorBidi"/>
                <w:sz w:val="22"/>
              </w:rPr>
            </w:pPr>
            <w:r w:rsidRPr="00AE5C80">
              <w:rPr>
                <w:rFonts w:asciiTheme="minorBidi" w:hAnsiTheme="minorBidi"/>
                <w:sz w:val="22"/>
              </w:rPr>
              <w:t>Country</w:t>
            </w:r>
          </w:p>
        </w:tc>
        <w:tc>
          <w:tcPr>
            <w:tcW w:w="0" w:type="auto"/>
            <w:hideMark/>
          </w:tcPr>
          <w:p w14:paraId="656207F3" w14:textId="77777777" w:rsidR="00AE5C80" w:rsidRPr="00AE5C80" w:rsidRDefault="00AE5C80" w:rsidP="00667177">
            <w:pPr>
              <w:spacing w:after="160"/>
              <w:cnfStyle w:val="100000000000" w:firstRow="1" w:lastRow="0" w:firstColumn="0" w:lastColumn="0" w:oddVBand="0" w:evenVBand="0" w:oddHBand="0" w:evenHBand="0" w:firstRowFirstColumn="0" w:firstRowLastColumn="0" w:lastRowFirstColumn="0" w:lastRowLastColumn="0"/>
              <w:rPr>
                <w:rFonts w:asciiTheme="minorBidi" w:hAnsiTheme="minorBidi"/>
                <w:sz w:val="22"/>
              </w:rPr>
            </w:pPr>
            <w:r w:rsidRPr="00AE5C80">
              <w:rPr>
                <w:rFonts w:asciiTheme="minorBidi" w:hAnsiTheme="minorBidi"/>
                <w:sz w:val="22"/>
              </w:rPr>
              <w:t>Leadership Authority</w:t>
            </w:r>
          </w:p>
        </w:tc>
        <w:tc>
          <w:tcPr>
            <w:tcW w:w="0" w:type="auto"/>
            <w:hideMark/>
          </w:tcPr>
          <w:p w14:paraId="7CD7F4CD" w14:textId="77777777" w:rsidR="00AE5C80" w:rsidRPr="00AE5C80" w:rsidRDefault="00AE5C80" w:rsidP="002C0C84">
            <w:pPr>
              <w:spacing w:after="160"/>
              <w:jc w:val="center"/>
              <w:cnfStyle w:val="100000000000" w:firstRow="1" w:lastRow="0" w:firstColumn="0" w:lastColumn="0" w:oddVBand="0" w:evenVBand="0" w:oddHBand="0" w:evenHBand="0" w:firstRowFirstColumn="0" w:firstRowLastColumn="0" w:lastRowFirstColumn="0" w:lastRowLastColumn="0"/>
              <w:rPr>
                <w:rFonts w:asciiTheme="minorBidi" w:hAnsiTheme="minorBidi"/>
                <w:sz w:val="22"/>
              </w:rPr>
            </w:pPr>
            <w:r w:rsidRPr="00AE5C80">
              <w:rPr>
                <w:rFonts w:asciiTheme="minorBidi" w:hAnsiTheme="minorBidi"/>
                <w:sz w:val="22"/>
              </w:rPr>
              <w:t>Early Containment</w:t>
            </w:r>
          </w:p>
        </w:tc>
        <w:tc>
          <w:tcPr>
            <w:tcW w:w="0" w:type="auto"/>
            <w:hideMark/>
          </w:tcPr>
          <w:p w14:paraId="03D76286" w14:textId="77777777" w:rsidR="00AE5C80" w:rsidRPr="00AE5C80" w:rsidRDefault="00AE5C80" w:rsidP="002C0C84">
            <w:pPr>
              <w:spacing w:after="160"/>
              <w:jc w:val="center"/>
              <w:cnfStyle w:val="100000000000" w:firstRow="1" w:lastRow="0" w:firstColumn="0" w:lastColumn="0" w:oddVBand="0" w:evenVBand="0" w:oddHBand="0" w:evenHBand="0" w:firstRowFirstColumn="0" w:firstRowLastColumn="0" w:lastRowFirstColumn="0" w:lastRowLastColumn="0"/>
              <w:rPr>
                <w:rFonts w:asciiTheme="minorBidi" w:hAnsiTheme="minorBidi"/>
                <w:sz w:val="22"/>
              </w:rPr>
            </w:pPr>
            <w:r w:rsidRPr="00AE5C80">
              <w:rPr>
                <w:rFonts w:asciiTheme="minorBidi" w:hAnsiTheme="minorBidi"/>
                <w:sz w:val="22"/>
              </w:rPr>
              <w:t>Vaccination Performance</w:t>
            </w:r>
          </w:p>
        </w:tc>
      </w:tr>
      <w:tr w:rsidR="00AE5C80" w:rsidRPr="00AE5C80" w14:paraId="4007DDFC" w14:textId="77777777" w:rsidTr="002C0C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8E22D0C" w14:textId="77777777" w:rsidR="00AE5C80" w:rsidRPr="00AE5C80" w:rsidRDefault="00AE5C80" w:rsidP="002C0C84">
            <w:pPr>
              <w:spacing w:after="160"/>
              <w:jc w:val="center"/>
              <w:rPr>
                <w:rFonts w:asciiTheme="minorBidi" w:hAnsiTheme="minorBidi"/>
                <w:sz w:val="22"/>
              </w:rPr>
            </w:pPr>
            <w:r w:rsidRPr="00AE5C80">
              <w:rPr>
                <w:rFonts w:asciiTheme="minorBidi" w:hAnsiTheme="minorBidi"/>
                <w:sz w:val="22"/>
              </w:rPr>
              <w:t>Spain</w:t>
            </w:r>
          </w:p>
        </w:tc>
        <w:tc>
          <w:tcPr>
            <w:tcW w:w="0" w:type="auto"/>
            <w:hideMark/>
          </w:tcPr>
          <w:p w14:paraId="17E70CB0" w14:textId="77777777" w:rsidR="00AE5C80" w:rsidRPr="00AE5C80" w:rsidRDefault="00AE5C80" w:rsidP="002C0C84">
            <w:pPr>
              <w:spacing w:after="160"/>
              <w:jc w:val="left"/>
              <w:cnfStyle w:val="000000100000" w:firstRow="0" w:lastRow="0" w:firstColumn="0" w:lastColumn="0" w:oddVBand="0" w:evenVBand="0" w:oddHBand="1" w:evenHBand="0" w:firstRowFirstColumn="0" w:firstRowLastColumn="0" w:lastRowFirstColumn="0" w:lastRowLastColumn="0"/>
              <w:rPr>
                <w:rFonts w:asciiTheme="minorBidi" w:hAnsiTheme="minorBidi"/>
                <w:sz w:val="22"/>
              </w:rPr>
            </w:pPr>
            <w:r w:rsidRPr="00AE5C80">
              <w:rPr>
                <w:rFonts w:asciiTheme="minorBidi" w:hAnsiTheme="minorBidi"/>
                <w:sz w:val="22"/>
              </w:rPr>
              <w:t>Temporary emergency centralisation</w:t>
            </w:r>
          </w:p>
        </w:tc>
        <w:tc>
          <w:tcPr>
            <w:tcW w:w="0" w:type="auto"/>
            <w:hideMark/>
          </w:tcPr>
          <w:p w14:paraId="15DE8200" w14:textId="77777777" w:rsidR="00AE5C80" w:rsidRPr="00AE5C80" w:rsidRDefault="00AE5C80" w:rsidP="002C0C84">
            <w:pPr>
              <w:spacing w:after="160"/>
              <w:jc w:val="center"/>
              <w:cnfStyle w:val="000000100000" w:firstRow="0" w:lastRow="0" w:firstColumn="0" w:lastColumn="0" w:oddVBand="0" w:evenVBand="0" w:oddHBand="1" w:evenHBand="0" w:firstRowFirstColumn="0" w:firstRowLastColumn="0" w:lastRowFirstColumn="0" w:lastRowLastColumn="0"/>
              <w:rPr>
                <w:rFonts w:asciiTheme="minorBidi" w:hAnsiTheme="minorBidi"/>
                <w:sz w:val="22"/>
              </w:rPr>
            </w:pPr>
            <w:r w:rsidRPr="00AE5C80">
              <w:rPr>
                <w:rFonts w:asciiTheme="minorBidi" w:hAnsiTheme="minorBidi"/>
                <w:sz w:val="22"/>
              </w:rPr>
              <w:t>Weak</w:t>
            </w:r>
          </w:p>
        </w:tc>
        <w:tc>
          <w:tcPr>
            <w:tcW w:w="0" w:type="auto"/>
            <w:hideMark/>
          </w:tcPr>
          <w:p w14:paraId="142DE71C" w14:textId="77777777" w:rsidR="00AE5C80" w:rsidRPr="00AE5C80" w:rsidRDefault="00AE5C80" w:rsidP="002C0C84">
            <w:pPr>
              <w:spacing w:after="160"/>
              <w:jc w:val="center"/>
              <w:cnfStyle w:val="000000100000" w:firstRow="0" w:lastRow="0" w:firstColumn="0" w:lastColumn="0" w:oddVBand="0" w:evenVBand="0" w:oddHBand="1" w:evenHBand="0" w:firstRowFirstColumn="0" w:firstRowLastColumn="0" w:lastRowFirstColumn="0" w:lastRowLastColumn="0"/>
              <w:rPr>
                <w:rFonts w:asciiTheme="minorBidi" w:hAnsiTheme="minorBidi"/>
                <w:sz w:val="22"/>
              </w:rPr>
            </w:pPr>
            <w:r w:rsidRPr="00AE5C80">
              <w:rPr>
                <w:rFonts w:asciiTheme="minorBidi" w:hAnsiTheme="minorBidi"/>
                <w:sz w:val="22"/>
              </w:rPr>
              <w:t>Strong</w:t>
            </w:r>
          </w:p>
        </w:tc>
      </w:tr>
      <w:tr w:rsidR="00AE5C80" w:rsidRPr="00AE5C80" w14:paraId="2FC64BC6" w14:textId="77777777" w:rsidTr="002C0C84">
        <w:tc>
          <w:tcPr>
            <w:cnfStyle w:val="001000000000" w:firstRow="0" w:lastRow="0" w:firstColumn="1" w:lastColumn="0" w:oddVBand="0" w:evenVBand="0" w:oddHBand="0" w:evenHBand="0" w:firstRowFirstColumn="0" w:firstRowLastColumn="0" w:lastRowFirstColumn="0" w:lastRowLastColumn="0"/>
            <w:tcW w:w="0" w:type="auto"/>
            <w:hideMark/>
          </w:tcPr>
          <w:p w14:paraId="08DBEAF6" w14:textId="77777777" w:rsidR="00AE5C80" w:rsidRPr="00AE5C80" w:rsidRDefault="00AE5C80" w:rsidP="002C0C84">
            <w:pPr>
              <w:spacing w:after="160"/>
              <w:jc w:val="center"/>
              <w:rPr>
                <w:rFonts w:asciiTheme="minorBidi" w:hAnsiTheme="minorBidi"/>
                <w:sz w:val="22"/>
              </w:rPr>
            </w:pPr>
            <w:r w:rsidRPr="00AE5C80">
              <w:rPr>
                <w:rFonts w:asciiTheme="minorBidi" w:hAnsiTheme="minorBidi"/>
                <w:sz w:val="22"/>
              </w:rPr>
              <w:t>South Korea</w:t>
            </w:r>
          </w:p>
        </w:tc>
        <w:tc>
          <w:tcPr>
            <w:tcW w:w="0" w:type="auto"/>
            <w:hideMark/>
          </w:tcPr>
          <w:p w14:paraId="77D18DBF" w14:textId="77777777" w:rsidR="00AE5C80" w:rsidRPr="00AE5C80" w:rsidRDefault="00AE5C80" w:rsidP="002C0C84">
            <w:pPr>
              <w:spacing w:after="160"/>
              <w:jc w:val="left"/>
              <w:cnfStyle w:val="000000000000" w:firstRow="0" w:lastRow="0" w:firstColumn="0" w:lastColumn="0" w:oddVBand="0" w:evenVBand="0" w:oddHBand="0" w:evenHBand="0" w:firstRowFirstColumn="0" w:firstRowLastColumn="0" w:lastRowFirstColumn="0" w:lastRowLastColumn="0"/>
              <w:rPr>
                <w:rFonts w:asciiTheme="minorBidi" w:hAnsiTheme="minorBidi"/>
                <w:sz w:val="22"/>
              </w:rPr>
            </w:pPr>
            <w:r w:rsidRPr="00AE5C80">
              <w:rPr>
                <w:rFonts w:asciiTheme="minorBidi" w:hAnsiTheme="minorBidi"/>
                <w:sz w:val="22"/>
              </w:rPr>
              <w:t>Full central executive authority</w:t>
            </w:r>
          </w:p>
        </w:tc>
        <w:tc>
          <w:tcPr>
            <w:tcW w:w="0" w:type="auto"/>
            <w:hideMark/>
          </w:tcPr>
          <w:p w14:paraId="3D37C2EF" w14:textId="77777777" w:rsidR="00AE5C80" w:rsidRPr="00AE5C80" w:rsidRDefault="00AE5C80" w:rsidP="002C0C84">
            <w:pPr>
              <w:spacing w:after="160"/>
              <w:jc w:val="center"/>
              <w:cnfStyle w:val="000000000000" w:firstRow="0" w:lastRow="0" w:firstColumn="0" w:lastColumn="0" w:oddVBand="0" w:evenVBand="0" w:oddHBand="0" w:evenHBand="0" w:firstRowFirstColumn="0" w:firstRowLastColumn="0" w:lastRowFirstColumn="0" w:lastRowLastColumn="0"/>
              <w:rPr>
                <w:rFonts w:asciiTheme="minorBidi" w:hAnsiTheme="minorBidi"/>
                <w:sz w:val="22"/>
              </w:rPr>
            </w:pPr>
            <w:r w:rsidRPr="00AE5C80">
              <w:rPr>
                <w:rFonts w:asciiTheme="minorBidi" w:hAnsiTheme="minorBidi"/>
                <w:sz w:val="22"/>
              </w:rPr>
              <w:t>Very strong</w:t>
            </w:r>
          </w:p>
        </w:tc>
        <w:tc>
          <w:tcPr>
            <w:tcW w:w="0" w:type="auto"/>
            <w:hideMark/>
          </w:tcPr>
          <w:p w14:paraId="1F3E300E" w14:textId="77777777" w:rsidR="00AE5C80" w:rsidRPr="00AE5C80" w:rsidRDefault="00AE5C80" w:rsidP="002C0C84">
            <w:pPr>
              <w:spacing w:after="160"/>
              <w:jc w:val="center"/>
              <w:cnfStyle w:val="000000000000" w:firstRow="0" w:lastRow="0" w:firstColumn="0" w:lastColumn="0" w:oddVBand="0" w:evenVBand="0" w:oddHBand="0" w:evenHBand="0" w:firstRowFirstColumn="0" w:firstRowLastColumn="0" w:lastRowFirstColumn="0" w:lastRowLastColumn="0"/>
              <w:rPr>
                <w:rFonts w:asciiTheme="minorBidi" w:hAnsiTheme="minorBidi"/>
                <w:sz w:val="22"/>
              </w:rPr>
            </w:pPr>
            <w:r w:rsidRPr="00AE5C80">
              <w:rPr>
                <w:rFonts w:asciiTheme="minorBidi" w:hAnsiTheme="minorBidi"/>
                <w:sz w:val="22"/>
              </w:rPr>
              <w:t>Strong</w:t>
            </w:r>
          </w:p>
        </w:tc>
      </w:tr>
      <w:tr w:rsidR="00AE5C80" w:rsidRPr="00AE5C80" w14:paraId="4F52D479" w14:textId="77777777" w:rsidTr="002C0C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555B7BB" w14:textId="77777777" w:rsidR="00AE5C80" w:rsidRPr="00AE5C80" w:rsidRDefault="00AE5C80" w:rsidP="002C0C84">
            <w:pPr>
              <w:spacing w:after="160"/>
              <w:jc w:val="center"/>
              <w:rPr>
                <w:rFonts w:asciiTheme="minorBidi" w:hAnsiTheme="minorBidi"/>
                <w:sz w:val="22"/>
              </w:rPr>
            </w:pPr>
            <w:r w:rsidRPr="00AE5C80">
              <w:rPr>
                <w:rFonts w:asciiTheme="minorBidi" w:hAnsiTheme="minorBidi"/>
                <w:sz w:val="22"/>
              </w:rPr>
              <w:t>Canada</w:t>
            </w:r>
          </w:p>
        </w:tc>
        <w:tc>
          <w:tcPr>
            <w:tcW w:w="0" w:type="auto"/>
            <w:hideMark/>
          </w:tcPr>
          <w:p w14:paraId="247661BE" w14:textId="77777777" w:rsidR="00AE5C80" w:rsidRPr="00AE5C80" w:rsidRDefault="00AE5C80" w:rsidP="002C0C84">
            <w:pPr>
              <w:spacing w:after="160"/>
              <w:jc w:val="left"/>
              <w:cnfStyle w:val="000000100000" w:firstRow="0" w:lastRow="0" w:firstColumn="0" w:lastColumn="0" w:oddVBand="0" w:evenVBand="0" w:oddHBand="1" w:evenHBand="0" w:firstRowFirstColumn="0" w:firstRowLastColumn="0" w:lastRowFirstColumn="0" w:lastRowLastColumn="0"/>
              <w:rPr>
                <w:rFonts w:asciiTheme="minorBidi" w:hAnsiTheme="minorBidi"/>
                <w:sz w:val="22"/>
              </w:rPr>
            </w:pPr>
            <w:r w:rsidRPr="00AE5C80">
              <w:rPr>
                <w:rFonts w:asciiTheme="minorBidi" w:hAnsiTheme="minorBidi"/>
                <w:sz w:val="22"/>
              </w:rPr>
              <w:t>Federal collaborative coordination</w:t>
            </w:r>
          </w:p>
        </w:tc>
        <w:tc>
          <w:tcPr>
            <w:tcW w:w="0" w:type="auto"/>
            <w:hideMark/>
          </w:tcPr>
          <w:p w14:paraId="6C908392" w14:textId="77777777" w:rsidR="00AE5C80" w:rsidRPr="00AE5C80" w:rsidRDefault="00AE5C80" w:rsidP="002C0C84">
            <w:pPr>
              <w:spacing w:after="160"/>
              <w:jc w:val="center"/>
              <w:cnfStyle w:val="000000100000" w:firstRow="0" w:lastRow="0" w:firstColumn="0" w:lastColumn="0" w:oddVBand="0" w:evenVBand="0" w:oddHBand="1" w:evenHBand="0" w:firstRowFirstColumn="0" w:firstRowLastColumn="0" w:lastRowFirstColumn="0" w:lastRowLastColumn="0"/>
              <w:rPr>
                <w:rFonts w:asciiTheme="minorBidi" w:hAnsiTheme="minorBidi"/>
                <w:sz w:val="22"/>
              </w:rPr>
            </w:pPr>
            <w:r w:rsidRPr="00AE5C80">
              <w:rPr>
                <w:rFonts w:asciiTheme="minorBidi" w:hAnsiTheme="minorBidi"/>
                <w:sz w:val="22"/>
              </w:rPr>
              <w:t>Moderate</w:t>
            </w:r>
          </w:p>
        </w:tc>
        <w:tc>
          <w:tcPr>
            <w:tcW w:w="0" w:type="auto"/>
            <w:hideMark/>
          </w:tcPr>
          <w:p w14:paraId="7F14782A" w14:textId="77777777" w:rsidR="00AE5C80" w:rsidRPr="00AE5C80" w:rsidRDefault="00AE5C80" w:rsidP="002C0C84">
            <w:pPr>
              <w:spacing w:after="160"/>
              <w:jc w:val="center"/>
              <w:cnfStyle w:val="000000100000" w:firstRow="0" w:lastRow="0" w:firstColumn="0" w:lastColumn="0" w:oddVBand="0" w:evenVBand="0" w:oddHBand="1" w:evenHBand="0" w:firstRowFirstColumn="0" w:firstRowLastColumn="0" w:lastRowFirstColumn="0" w:lastRowLastColumn="0"/>
              <w:rPr>
                <w:rFonts w:asciiTheme="minorBidi" w:hAnsiTheme="minorBidi"/>
                <w:sz w:val="22"/>
              </w:rPr>
            </w:pPr>
            <w:r w:rsidRPr="00AE5C80">
              <w:rPr>
                <w:rFonts w:asciiTheme="minorBidi" w:hAnsiTheme="minorBidi"/>
                <w:sz w:val="22"/>
              </w:rPr>
              <w:t>Very strong</w:t>
            </w:r>
          </w:p>
        </w:tc>
      </w:tr>
    </w:tbl>
    <w:p w14:paraId="0D8E4EEB" w14:textId="77777777" w:rsidR="006311D3" w:rsidRPr="002C0C84" w:rsidRDefault="006311D3" w:rsidP="00667177">
      <w:pPr>
        <w:rPr>
          <w:rFonts w:asciiTheme="minorBidi" w:hAnsiTheme="minorBidi"/>
          <w:sz w:val="22"/>
        </w:rPr>
      </w:pPr>
    </w:p>
    <w:p w14:paraId="16E44127" w14:textId="6040954B" w:rsidR="00667177" w:rsidRPr="002C0C84" w:rsidRDefault="00667177" w:rsidP="002C0C84">
      <w:pPr>
        <w:rPr>
          <w:rFonts w:asciiTheme="minorBidi" w:hAnsiTheme="minorBidi"/>
          <w:sz w:val="22"/>
        </w:rPr>
      </w:pPr>
      <w:r w:rsidRPr="002C0C84">
        <w:rPr>
          <w:rFonts w:asciiTheme="minorBidi" w:hAnsiTheme="minorBidi"/>
          <w:sz w:val="22"/>
        </w:rPr>
        <w:t>The centralised command and digital governance led to the best early containment in South Korea. Under renewed coordination, Spain had delayed initial control but subsequent successful vaccination. Canada had a stable growth over the long run but had low policy pace early on because of the constraints of decentralised authority.</w:t>
      </w:r>
    </w:p>
    <w:p w14:paraId="4DA443C4" w14:textId="77777777" w:rsidR="00667177" w:rsidRPr="002C0C84" w:rsidRDefault="00667177" w:rsidP="00667177">
      <w:pPr>
        <w:pStyle w:val="Heading3"/>
        <w:rPr>
          <w:rFonts w:asciiTheme="minorBidi" w:hAnsiTheme="minorBidi" w:cstheme="minorBidi"/>
        </w:rPr>
      </w:pPr>
      <w:bookmarkStart w:id="51" w:name="_Toc216140049"/>
      <w:r w:rsidRPr="002C0C84">
        <w:rPr>
          <w:rFonts w:asciiTheme="minorBidi" w:hAnsiTheme="minorBidi" w:cstheme="minorBidi"/>
        </w:rPr>
        <w:t>3.4.3 Future Public health crisis leadership lessons.</w:t>
      </w:r>
      <w:bookmarkEnd w:id="51"/>
    </w:p>
    <w:p w14:paraId="237EA9B1" w14:textId="28AC437A" w:rsidR="00667177" w:rsidRPr="002C0C84" w:rsidRDefault="00667177" w:rsidP="002C0C84">
      <w:pPr>
        <w:rPr>
          <w:rFonts w:asciiTheme="minorBidi" w:hAnsiTheme="minorBidi"/>
          <w:sz w:val="22"/>
        </w:rPr>
      </w:pPr>
      <w:r w:rsidRPr="002C0C84">
        <w:rPr>
          <w:rFonts w:asciiTheme="minorBidi" w:hAnsiTheme="minorBidi"/>
          <w:sz w:val="22"/>
        </w:rPr>
        <w:t>The comparative data proves the idea that centralised authority is the best at maximising early outbreak control, but it can be associated with ethical tension, whereas decentralised collaborative leadership is the best at long-term institutional stability with compromises on the speed with which it deals with the crisis. The most resilient governance structure to be used in future pandemic leadership is represented by hybrid leadership architectures that can consolidate legal authority during early stages of the emergency and restore decentralised autonomy of operation to deliver in the long run (WHO, 2020; WHO, 2021; Phillips et al., 2022).</w:t>
      </w:r>
    </w:p>
    <w:p w14:paraId="4D40BCF9" w14:textId="77777777" w:rsidR="00667177" w:rsidRPr="002C0C84" w:rsidRDefault="00667177" w:rsidP="00934C23">
      <w:pPr>
        <w:pStyle w:val="Heading1"/>
      </w:pPr>
      <w:bookmarkStart w:id="52" w:name="_Toc216140050"/>
      <w:r w:rsidRPr="002C0C84">
        <w:lastRenderedPageBreak/>
        <w:t>4. Conclusion</w:t>
      </w:r>
      <w:bookmarkEnd w:id="52"/>
      <w:r w:rsidRPr="002C0C84">
        <w:t xml:space="preserve"> </w:t>
      </w:r>
    </w:p>
    <w:p w14:paraId="6FBE4CE9" w14:textId="2645BFBD" w:rsidR="00F837A5" w:rsidRPr="002C0C84" w:rsidRDefault="00667177" w:rsidP="00667177">
      <w:pPr>
        <w:rPr>
          <w:rFonts w:asciiTheme="minorBidi" w:hAnsiTheme="minorBidi"/>
          <w:sz w:val="22"/>
        </w:rPr>
      </w:pPr>
      <w:r w:rsidRPr="002C0C84">
        <w:rPr>
          <w:rFonts w:asciiTheme="minorBidi" w:hAnsiTheme="minorBidi"/>
          <w:sz w:val="22"/>
        </w:rPr>
        <w:t>This report has also critically analysed how variations in health system organisation and leadership styles determined national responses to the COVID-19 pandemic in Spain, South Korea and Canada. The analysis showed that high centralisation of the government and crisis-based leadership allowed South Korea to contain the situation very fast, with the help of high levels of compliance and highly developed digital infrastructure. The decentralised system of Spain hindered the ability to control crises coherently, but later, it demonstrated outstanding results in terms of vaccination, which occurred after the increased centralisation. The federal and highly decentralised system of Canada favoured collaborative leadership and long-term stability at the expense of an early containment and vaccine procurement momentum. In all three cases, the effectiveness of leadership was demonstrated to be inseparable with the institutional design, as the authority structures directly affected the speed of policies, coordination, and the trust that the people had. The results affirm that centralisation and decentralisation in isolation is not the best way to ensure the best results but adaptive leadership and ability to hybridise governance is the most crucial way to ensure success in preparing the future against pandemics.</w:t>
      </w:r>
    </w:p>
    <w:p w14:paraId="74053752" w14:textId="77777777" w:rsidR="00667177" w:rsidRPr="002C0C84" w:rsidRDefault="00667177" w:rsidP="00667177">
      <w:pPr>
        <w:rPr>
          <w:rFonts w:asciiTheme="minorBidi" w:hAnsiTheme="minorBidi"/>
          <w:sz w:val="22"/>
        </w:rPr>
      </w:pPr>
    </w:p>
    <w:p w14:paraId="2F27F33B" w14:textId="77777777" w:rsidR="00667177" w:rsidRPr="002C0C84" w:rsidRDefault="00667177" w:rsidP="00667177">
      <w:pPr>
        <w:rPr>
          <w:rFonts w:asciiTheme="minorBidi" w:hAnsiTheme="minorBidi"/>
          <w:sz w:val="22"/>
        </w:rPr>
      </w:pPr>
    </w:p>
    <w:p w14:paraId="3BE21F05" w14:textId="77777777" w:rsidR="002C0C84" w:rsidRDefault="002C0C84">
      <w:pPr>
        <w:spacing w:line="259" w:lineRule="auto"/>
        <w:jc w:val="left"/>
        <w:rPr>
          <w:rFonts w:asciiTheme="minorBidi" w:eastAsiaTheme="majorEastAsia" w:hAnsiTheme="minorBidi"/>
          <w:b/>
          <w:color w:val="4472C4" w:themeColor="accent1"/>
          <w:sz w:val="32"/>
          <w:szCs w:val="32"/>
        </w:rPr>
      </w:pPr>
      <w:r>
        <w:rPr>
          <w:rFonts w:asciiTheme="minorBidi" w:hAnsiTheme="minorBidi"/>
        </w:rPr>
        <w:br w:type="page"/>
      </w:r>
    </w:p>
    <w:p w14:paraId="7A7998D1" w14:textId="67DA46FC" w:rsidR="00667177" w:rsidRPr="002C0C84" w:rsidRDefault="00667177" w:rsidP="00934C23">
      <w:pPr>
        <w:pStyle w:val="Heading1"/>
      </w:pPr>
      <w:bookmarkStart w:id="53" w:name="_Toc216140051"/>
      <w:r w:rsidRPr="002C0C84">
        <w:lastRenderedPageBreak/>
        <w:t>References</w:t>
      </w:r>
      <w:bookmarkEnd w:id="53"/>
    </w:p>
    <w:p w14:paraId="6528D646" w14:textId="77777777" w:rsidR="002C0C84" w:rsidRPr="002C0C84" w:rsidRDefault="002C0C84" w:rsidP="00697445">
      <w:pPr>
        <w:pStyle w:val="NormalWeb"/>
        <w:numPr>
          <w:ilvl w:val="0"/>
          <w:numId w:val="2"/>
        </w:numPr>
        <w:spacing w:line="360" w:lineRule="auto"/>
        <w:jc w:val="both"/>
        <w:rPr>
          <w:rFonts w:asciiTheme="minorBidi" w:hAnsiTheme="minorBidi" w:cstheme="minorBidi"/>
          <w:sz w:val="22"/>
          <w:szCs w:val="22"/>
        </w:rPr>
      </w:pPr>
      <w:r w:rsidRPr="002C0C84">
        <w:rPr>
          <w:rFonts w:asciiTheme="minorBidi" w:hAnsiTheme="minorBidi" w:cstheme="minorBidi"/>
          <w:sz w:val="22"/>
          <w:szCs w:val="22"/>
        </w:rPr>
        <w:t>Angelici, M., Berta, P., Costa-Font, J., and Turati, G. (2023). Divided we survive? Multilevel governance during the COVID-19 pandemic in Italy and Spain. </w:t>
      </w:r>
      <w:r w:rsidRPr="002C0C84">
        <w:rPr>
          <w:rFonts w:asciiTheme="minorBidi" w:hAnsiTheme="minorBidi" w:cstheme="minorBidi"/>
          <w:i/>
          <w:iCs/>
          <w:sz w:val="22"/>
          <w:szCs w:val="22"/>
        </w:rPr>
        <w:t>Publius: The Journal of Federalism</w:t>
      </w:r>
      <w:r w:rsidRPr="002C0C84">
        <w:rPr>
          <w:rFonts w:asciiTheme="minorBidi" w:hAnsiTheme="minorBidi" w:cstheme="minorBidi"/>
          <w:sz w:val="22"/>
          <w:szCs w:val="22"/>
        </w:rPr>
        <w:t>, </w:t>
      </w:r>
      <w:r w:rsidRPr="002C0C84">
        <w:rPr>
          <w:rFonts w:asciiTheme="minorBidi" w:hAnsiTheme="minorBidi" w:cstheme="minorBidi"/>
          <w:i/>
          <w:iCs/>
          <w:sz w:val="22"/>
          <w:szCs w:val="22"/>
        </w:rPr>
        <w:t>53</w:t>
      </w:r>
      <w:r w:rsidRPr="002C0C84">
        <w:rPr>
          <w:rFonts w:asciiTheme="minorBidi" w:hAnsiTheme="minorBidi" w:cstheme="minorBidi"/>
          <w:sz w:val="22"/>
          <w:szCs w:val="22"/>
        </w:rPr>
        <w:t>(2), 227-250.</w:t>
      </w:r>
    </w:p>
    <w:p w14:paraId="6AB11976" w14:textId="77777777" w:rsidR="002C0C84" w:rsidRPr="002C0C84" w:rsidRDefault="002C0C84" w:rsidP="00697445">
      <w:pPr>
        <w:pStyle w:val="NormalWeb"/>
        <w:numPr>
          <w:ilvl w:val="0"/>
          <w:numId w:val="2"/>
        </w:numPr>
        <w:spacing w:line="360" w:lineRule="auto"/>
        <w:jc w:val="both"/>
        <w:rPr>
          <w:rFonts w:asciiTheme="minorBidi" w:hAnsiTheme="minorBidi" w:cstheme="minorBidi"/>
          <w:sz w:val="22"/>
          <w:szCs w:val="22"/>
        </w:rPr>
      </w:pPr>
      <w:r w:rsidRPr="002C0C84">
        <w:rPr>
          <w:rFonts w:asciiTheme="minorBidi" w:hAnsiTheme="minorBidi" w:cstheme="minorBidi"/>
          <w:sz w:val="22"/>
          <w:szCs w:val="22"/>
        </w:rPr>
        <w:t>Assefa, Y., Gilks, C. F., Reid, S., van de Pas, R., Gete, D. G., and Van Damme, W. (2022). Analysis of the COVID-19 pandemic: lessons towards a more effective response to public health emergencies. </w:t>
      </w:r>
      <w:r w:rsidRPr="002C0C84">
        <w:rPr>
          <w:rFonts w:asciiTheme="minorBidi" w:hAnsiTheme="minorBidi" w:cstheme="minorBidi"/>
          <w:i/>
          <w:iCs/>
          <w:sz w:val="22"/>
          <w:szCs w:val="22"/>
        </w:rPr>
        <w:t>Globalization and health</w:t>
      </w:r>
      <w:r w:rsidRPr="002C0C84">
        <w:rPr>
          <w:rFonts w:asciiTheme="minorBidi" w:hAnsiTheme="minorBidi" w:cstheme="minorBidi"/>
          <w:sz w:val="22"/>
          <w:szCs w:val="22"/>
        </w:rPr>
        <w:t>, </w:t>
      </w:r>
      <w:r w:rsidRPr="002C0C84">
        <w:rPr>
          <w:rFonts w:asciiTheme="minorBidi" w:hAnsiTheme="minorBidi" w:cstheme="minorBidi"/>
          <w:i/>
          <w:iCs/>
          <w:sz w:val="22"/>
          <w:szCs w:val="22"/>
        </w:rPr>
        <w:t>18</w:t>
      </w:r>
      <w:r w:rsidRPr="002C0C84">
        <w:rPr>
          <w:rFonts w:asciiTheme="minorBidi" w:hAnsiTheme="minorBidi" w:cstheme="minorBidi"/>
          <w:sz w:val="22"/>
          <w:szCs w:val="22"/>
        </w:rPr>
        <w:t>(1), 10.</w:t>
      </w:r>
    </w:p>
    <w:p w14:paraId="272AC27F" w14:textId="77777777" w:rsidR="002C0C84" w:rsidRPr="002C0C84" w:rsidRDefault="002C0C84" w:rsidP="00697445">
      <w:pPr>
        <w:pStyle w:val="NormalWeb"/>
        <w:numPr>
          <w:ilvl w:val="0"/>
          <w:numId w:val="2"/>
        </w:numPr>
        <w:spacing w:line="360" w:lineRule="auto"/>
        <w:jc w:val="both"/>
        <w:rPr>
          <w:rFonts w:asciiTheme="minorBidi" w:hAnsiTheme="minorBidi" w:cstheme="minorBidi"/>
          <w:sz w:val="22"/>
          <w:szCs w:val="22"/>
        </w:rPr>
      </w:pPr>
      <w:r w:rsidRPr="002C0C84">
        <w:rPr>
          <w:rFonts w:asciiTheme="minorBidi" w:hAnsiTheme="minorBidi" w:cstheme="minorBidi"/>
          <w:sz w:val="22"/>
          <w:szCs w:val="22"/>
        </w:rPr>
        <w:t>Choi, Y. J. (2020). The power of collaborative governance: The case of South Korea responding to COVID</w:t>
      </w:r>
      <w:r w:rsidRPr="002C0C84">
        <w:rPr>
          <w:rFonts w:ascii="Cambria Math" w:hAnsi="Cambria Math" w:cs="Cambria Math"/>
          <w:sz w:val="22"/>
          <w:szCs w:val="22"/>
        </w:rPr>
        <w:t>‐</w:t>
      </w:r>
      <w:r w:rsidRPr="002C0C84">
        <w:rPr>
          <w:rFonts w:asciiTheme="minorBidi" w:hAnsiTheme="minorBidi" w:cstheme="minorBidi"/>
          <w:sz w:val="22"/>
          <w:szCs w:val="22"/>
        </w:rPr>
        <w:t>19 pandemic.</w:t>
      </w:r>
      <w:r w:rsidRPr="002C0C84">
        <w:rPr>
          <w:rFonts w:ascii="Arial" w:hAnsi="Arial" w:cs="Arial"/>
          <w:sz w:val="22"/>
          <w:szCs w:val="22"/>
        </w:rPr>
        <w:t> </w:t>
      </w:r>
      <w:r w:rsidRPr="002C0C84">
        <w:rPr>
          <w:rFonts w:asciiTheme="minorBidi" w:hAnsiTheme="minorBidi" w:cstheme="minorBidi"/>
          <w:i/>
          <w:iCs/>
          <w:sz w:val="22"/>
          <w:szCs w:val="22"/>
        </w:rPr>
        <w:t>World Medical and Health Policy</w:t>
      </w:r>
      <w:r w:rsidRPr="002C0C84">
        <w:rPr>
          <w:rFonts w:asciiTheme="minorBidi" w:hAnsiTheme="minorBidi" w:cstheme="minorBidi"/>
          <w:sz w:val="22"/>
          <w:szCs w:val="22"/>
        </w:rPr>
        <w:t>, </w:t>
      </w:r>
      <w:r w:rsidRPr="002C0C84">
        <w:rPr>
          <w:rFonts w:asciiTheme="minorBidi" w:hAnsiTheme="minorBidi" w:cstheme="minorBidi"/>
          <w:i/>
          <w:iCs/>
          <w:sz w:val="22"/>
          <w:szCs w:val="22"/>
        </w:rPr>
        <w:t>12</w:t>
      </w:r>
      <w:r w:rsidRPr="002C0C84">
        <w:rPr>
          <w:rFonts w:asciiTheme="minorBidi" w:hAnsiTheme="minorBidi" w:cstheme="minorBidi"/>
          <w:sz w:val="22"/>
          <w:szCs w:val="22"/>
        </w:rPr>
        <w:t>(4), 430-442.</w:t>
      </w:r>
    </w:p>
    <w:p w14:paraId="2E745AEE" w14:textId="77777777" w:rsidR="002C0C84" w:rsidRPr="002C0C84" w:rsidRDefault="002C0C84" w:rsidP="00697445">
      <w:pPr>
        <w:pStyle w:val="NormalWeb"/>
        <w:numPr>
          <w:ilvl w:val="0"/>
          <w:numId w:val="2"/>
        </w:numPr>
        <w:spacing w:line="360" w:lineRule="auto"/>
        <w:jc w:val="both"/>
        <w:rPr>
          <w:rFonts w:asciiTheme="minorBidi" w:hAnsiTheme="minorBidi" w:cstheme="minorBidi"/>
          <w:sz w:val="22"/>
          <w:szCs w:val="22"/>
        </w:rPr>
      </w:pPr>
      <w:r w:rsidRPr="002C0C84">
        <w:rPr>
          <w:rFonts w:asciiTheme="minorBidi" w:hAnsiTheme="minorBidi" w:cstheme="minorBidi"/>
          <w:sz w:val="22"/>
          <w:szCs w:val="22"/>
        </w:rPr>
        <w:t>de Bienassis, K., Fujisawa, R., Hashiguchi, T. C. O., Klazinga, N., and Oderkirk, J. (2022). Health data and governance developments in relation to COVID-19 How OECD countries are adjusting health data systems for the new normal. </w:t>
      </w:r>
      <w:r w:rsidRPr="002C0C84">
        <w:rPr>
          <w:rFonts w:asciiTheme="minorBidi" w:hAnsiTheme="minorBidi" w:cstheme="minorBidi"/>
          <w:i/>
          <w:iCs/>
          <w:sz w:val="22"/>
          <w:szCs w:val="22"/>
        </w:rPr>
        <w:t>OECD Health Working Papers</w:t>
      </w:r>
      <w:r w:rsidRPr="002C0C84">
        <w:rPr>
          <w:rFonts w:asciiTheme="minorBidi" w:hAnsiTheme="minorBidi" w:cstheme="minorBidi"/>
          <w:sz w:val="22"/>
          <w:szCs w:val="22"/>
        </w:rPr>
        <w:t>, (138), 1-78.</w:t>
      </w:r>
    </w:p>
    <w:p w14:paraId="40D1194E" w14:textId="77777777" w:rsidR="002C0C84" w:rsidRPr="002C0C84" w:rsidRDefault="002C0C84" w:rsidP="00697445">
      <w:pPr>
        <w:pStyle w:val="NormalWeb"/>
        <w:numPr>
          <w:ilvl w:val="0"/>
          <w:numId w:val="2"/>
        </w:numPr>
        <w:spacing w:line="360" w:lineRule="auto"/>
        <w:jc w:val="both"/>
        <w:rPr>
          <w:rFonts w:asciiTheme="minorBidi" w:hAnsiTheme="minorBidi" w:cstheme="minorBidi"/>
          <w:sz w:val="22"/>
          <w:szCs w:val="22"/>
        </w:rPr>
      </w:pPr>
      <w:r w:rsidRPr="002C0C84">
        <w:rPr>
          <w:rFonts w:asciiTheme="minorBidi" w:hAnsiTheme="minorBidi" w:cstheme="minorBidi"/>
          <w:sz w:val="22"/>
          <w:szCs w:val="22"/>
        </w:rPr>
        <w:t>Erkoreka, M., and Hernando</w:t>
      </w:r>
      <w:r w:rsidRPr="002C0C84">
        <w:rPr>
          <w:rFonts w:ascii="Cambria Math" w:hAnsi="Cambria Math" w:cs="Cambria Math"/>
          <w:sz w:val="22"/>
          <w:szCs w:val="22"/>
        </w:rPr>
        <w:t>‐</w:t>
      </w:r>
      <w:r w:rsidRPr="002C0C84">
        <w:rPr>
          <w:rFonts w:asciiTheme="minorBidi" w:hAnsiTheme="minorBidi" w:cstheme="minorBidi"/>
          <w:sz w:val="22"/>
          <w:szCs w:val="22"/>
        </w:rPr>
        <w:t>P</w:t>
      </w:r>
      <w:r w:rsidRPr="002C0C84">
        <w:rPr>
          <w:rFonts w:ascii="Arial" w:hAnsi="Arial" w:cs="Arial"/>
          <w:sz w:val="22"/>
          <w:szCs w:val="22"/>
        </w:rPr>
        <w:t>é</w:t>
      </w:r>
      <w:r w:rsidRPr="002C0C84">
        <w:rPr>
          <w:rFonts w:asciiTheme="minorBidi" w:hAnsiTheme="minorBidi" w:cstheme="minorBidi"/>
          <w:sz w:val="22"/>
          <w:szCs w:val="22"/>
        </w:rPr>
        <w:t>rez, J. (2023). Decentralization: A handicap in fighting the COVID</w:t>
      </w:r>
      <w:r w:rsidRPr="002C0C84">
        <w:rPr>
          <w:rFonts w:ascii="Cambria Math" w:hAnsi="Cambria Math" w:cs="Cambria Math"/>
          <w:sz w:val="22"/>
          <w:szCs w:val="22"/>
        </w:rPr>
        <w:t>‐</w:t>
      </w:r>
      <w:r w:rsidRPr="002C0C84">
        <w:rPr>
          <w:rFonts w:asciiTheme="minorBidi" w:hAnsiTheme="minorBidi" w:cstheme="minorBidi"/>
          <w:sz w:val="22"/>
          <w:szCs w:val="22"/>
        </w:rPr>
        <w:t>19 pandemic? The response of the regional governments in Spain.</w:t>
      </w:r>
      <w:r w:rsidRPr="002C0C84">
        <w:rPr>
          <w:rFonts w:ascii="Arial" w:hAnsi="Arial" w:cs="Arial"/>
          <w:sz w:val="22"/>
          <w:szCs w:val="22"/>
        </w:rPr>
        <w:t> </w:t>
      </w:r>
      <w:r w:rsidRPr="002C0C84">
        <w:rPr>
          <w:rFonts w:asciiTheme="minorBidi" w:hAnsiTheme="minorBidi" w:cstheme="minorBidi"/>
          <w:i/>
          <w:iCs/>
          <w:sz w:val="22"/>
          <w:szCs w:val="22"/>
        </w:rPr>
        <w:t>Public Administration and Development</w:t>
      </w:r>
      <w:r w:rsidRPr="002C0C84">
        <w:rPr>
          <w:rFonts w:asciiTheme="minorBidi" w:hAnsiTheme="minorBidi" w:cstheme="minorBidi"/>
          <w:sz w:val="22"/>
          <w:szCs w:val="22"/>
        </w:rPr>
        <w:t>, </w:t>
      </w:r>
      <w:r w:rsidRPr="002C0C84">
        <w:rPr>
          <w:rFonts w:asciiTheme="minorBidi" w:hAnsiTheme="minorBidi" w:cstheme="minorBidi"/>
          <w:i/>
          <w:iCs/>
          <w:sz w:val="22"/>
          <w:szCs w:val="22"/>
        </w:rPr>
        <w:t>43</w:t>
      </w:r>
      <w:r w:rsidRPr="002C0C84">
        <w:rPr>
          <w:rFonts w:asciiTheme="minorBidi" w:hAnsiTheme="minorBidi" w:cstheme="minorBidi"/>
          <w:sz w:val="22"/>
          <w:szCs w:val="22"/>
        </w:rPr>
        <w:t>(2), 129-140.</w:t>
      </w:r>
    </w:p>
    <w:p w14:paraId="30C48BB2" w14:textId="77777777" w:rsidR="002C0C84" w:rsidRPr="002C0C84" w:rsidRDefault="002C0C84" w:rsidP="00697445">
      <w:pPr>
        <w:pStyle w:val="NormalWeb"/>
        <w:numPr>
          <w:ilvl w:val="0"/>
          <w:numId w:val="2"/>
        </w:numPr>
        <w:spacing w:line="360" w:lineRule="auto"/>
        <w:jc w:val="both"/>
        <w:rPr>
          <w:rFonts w:asciiTheme="minorBidi" w:hAnsiTheme="minorBidi" w:cstheme="minorBidi"/>
          <w:sz w:val="22"/>
          <w:szCs w:val="22"/>
        </w:rPr>
      </w:pPr>
      <w:r w:rsidRPr="002C0C84">
        <w:rPr>
          <w:rFonts w:asciiTheme="minorBidi" w:hAnsiTheme="minorBidi" w:cstheme="minorBidi"/>
          <w:sz w:val="22"/>
          <w:szCs w:val="22"/>
        </w:rPr>
        <w:t xml:space="preserve">Government of Canada (2021) </w:t>
      </w:r>
      <w:r w:rsidRPr="002C0C84">
        <w:rPr>
          <w:rStyle w:val="Emphasis"/>
          <w:rFonts w:asciiTheme="minorBidi" w:hAnsiTheme="minorBidi" w:cstheme="minorBidi"/>
          <w:sz w:val="22"/>
          <w:szCs w:val="22"/>
        </w:rPr>
        <w:t>Canada’s COVID-19 Immunisation Plan</w:t>
      </w:r>
      <w:r w:rsidRPr="002C0C84">
        <w:rPr>
          <w:rFonts w:asciiTheme="minorBidi" w:hAnsiTheme="minorBidi" w:cstheme="minorBidi"/>
          <w:sz w:val="22"/>
          <w:szCs w:val="22"/>
        </w:rPr>
        <w:t>. Ottawa: Public Health Agency of Canada.</w:t>
      </w:r>
    </w:p>
    <w:p w14:paraId="7F2FF4A4" w14:textId="77777777" w:rsidR="002C0C84" w:rsidRPr="002C0C84" w:rsidRDefault="002C0C84" w:rsidP="00697445">
      <w:pPr>
        <w:pStyle w:val="NormalWeb"/>
        <w:numPr>
          <w:ilvl w:val="0"/>
          <w:numId w:val="2"/>
        </w:numPr>
        <w:spacing w:line="360" w:lineRule="auto"/>
        <w:jc w:val="both"/>
        <w:rPr>
          <w:rFonts w:asciiTheme="minorBidi" w:hAnsiTheme="minorBidi" w:cstheme="minorBidi"/>
          <w:sz w:val="22"/>
          <w:szCs w:val="22"/>
        </w:rPr>
      </w:pPr>
      <w:r w:rsidRPr="002C0C84">
        <w:rPr>
          <w:rFonts w:asciiTheme="minorBidi" w:hAnsiTheme="minorBidi" w:cstheme="minorBidi"/>
          <w:sz w:val="22"/>
          <w:szCs w:val="22"/>
        </w:rPr>
        <w:t>Greer, S. L., Rozenblum, S., Falkenbach, M., Löblová, O., Jarman, H., Williams, N., and Wismar, M. (2022). Centralizing and decentralizing governance in the COVID-19 pandemic: The politics of credit and blame. </w:t>
      </w:r>
      <w:r w:rsidRPr="002C0C84">
        <w:rPr>
          <w:rFonts w:asciiTheme="minorBidi" w:hAnsiTheme="minorBidi" w:cstheme="minorBidi"/>
          <w:i/>
          <w:iCs/>
          <w:sz w:val="22"/>
          <w:szCs w:val="22"/>
        </w:rPr>
        <w:t>Health Policy</w:t>
      </w:r>
      <w:r w:rsidRPr="002C0C84">
        <w:rPr>
          <w:rFonts w:asciiTheme="minorBidi" w:hAnsiTheme="minorBidi" w:cstheme="minorBidi"/>
          <w:sz w:val="22"/>
          <w:szCs w:val="22"/>
        </w:rPr>
        <w:t>, </w:t>
      </w:r>
      <w:r w:rsidRPr="002C0C84">
        <w:rPr>
          <w:rFonts w:asciiTheme="minorBidi" w:hAnsiTheme="minorBidi" w:cstheme="minorBidi"/>
          <w:i/>
          <w:iCs/>
          <w:sz w:val="22"/>
          <w:szCs w:val="22"/>
        </w:rPr>
        <w:t>126</w:t>
      </w:r>
      <w:r w:rsidRPr="002C0C84">
        <w:rPr>
          <w:rFonts w:asciiTheme="minorBidi" w:hAnsiTheme="minorBidi" w:cstheme="minorBidi"/>
          <w:sz w:val="22"/>
          <w:szCs w:val="22"/>
        </w:rPr>
        <w:t>(5), 408-417.</w:t>
      </w:r>
    </w:p>
    <w:p w14:paraId="6DC934A2" w14:textId="77777777" w:rsidR="002C0C84" w:rsidRPr="002C0C84" w:rsidRDefault="002C0C84" w:rsidP="00697445">
      <w:pPr>
        <w:pStyle w:val="NormalWeb"/>
        <w:numPr>
          <w:ilvl w:val="0"/>
          <w:numId w:val="2"/>
        </w:numPr>
        <w:spacing w:line="360" w:lineRule="auto"/>
        <w:jc w:val="both"/>
        <w:rPr>
          <w:rFonts w:asciiTheme="minorBidi" w:hAnsiTheme="minorBidi" w:cstheme="minorBidi"/>
          <w:sz w:val="22"/>
          <w:szCs w:val="22"/>
        </w:rPr>
      </w:pPr>
      <w:r w:rsidRPr="002C0C84">
        <w:rPr>
          <w:rFonts w:asciiTheme="minorBidi" w:hAnsiTheme="minorBidi" w:cstheme="minorBidi"/>
          <w:sz w:val="22"/>
          <w:szCs w:val="22"/>
        </w:rPr>
        <w:t xml:space="preserve">Greer, S.L. (2021) ‘National, regional and local public health in Spain and COVID-19’, </w:t>
      </w:r>
      <w:r w:rsidRPr="002C0C84">
        <w:rPr>
          <w:rStyle w:val="Emphasis"/>
          <w:rFonts w:asciiTheme="minorBidi" w:hAnsiTheme="minorBidi" w:cstheme="minorBidi"/>
          <w:sz w:val="22"/>
          <w:szCs w:val="22"/>
        </w:rPr>
        <w:t>Health Policy</w:t>
      </w:r>
      <w:r w:rsidRPr="002C0C84">
        <w:rPr>
          <w:rFonts w:asciiTheme="minorBidi" w:hAnsiTheme="minorBidi" w:cstheme="minorBidi"/>
          <w:sz w:val="22"/>
          <w:szCs w:val="22"/>
        </w:rPr>
        <w:t>, 125(4), pp. 528–534.</w:t>
      </w:r>
    </w:p>
    <w:p w14:paraId="5AF50AD5" w14:textId="77777777" w:rsidR="002C0C84" w:rsidRPr="00697445" w:rsidRDefault="002C0C84" w:rsidP="00697445">
      <w:pPr>
        <w:pStyle w:val="ListParagraph"/>
        <w:numPr>
          <w:ilvl w:val="0"/>
          <w:numId w:val="2"/>
        </w:numPr>
        <w:rPr>
          <w:rFonts w:asciiTheme="minorBidi" w:hAnsiTheme="minorBidi"/>
          <w:sz w:val="22"/>
        </w:rPr>
      </w:pPr>
      <w:r w:rsidRPr="00697445">
        <w:rPr>
          <w:rFonts w:asciiTheme="minorBidi" w:hAnsiTheme="minorBidi"/>
          <w:sz w:val="22"/>
        </w:rPr>
        <w:t xml:space="preserve">Greer, S.L., King, E.J., da Fonseca, E.M. and Peralta-Santos, A. (2020) ‘The comparative politics of COVID-19: The need to understand government responses’, </w:t>
      </w:r>
      <w:r w:rsidRPr="00697445">
        <w:rPr>
          <w:rFonts w:asciiTheme="minorBidi" w:hAnsiTheme="minorBidi"/>
          <w:i/>
          <w:iCs/>
          <w:sz w:val="22"/>
        </w:rPr>
        <w:t>Global Public Health</w:t>
      </w:r>
      <w:r w:rsidRPr="00697445">
        <w:rPr>
          <w:rFonts w:asciiTheme="minorBidi" w:hAnsiTheme="minorBidi"/>
          <w:sz w:val="22"/>
        </w:rPr>
        <w:t>, 15(9), pp. 1413–1416.</w:t>
      </w:r>
    </w:p>
    <w:p w14:paraId="05AD8172" w14:textId="77777777" w:rsidR="002C0C84" w:rsidRPr="002C0C84" w:rsidRDefault="002C0C84" w:rsidP="00697445">
      <w:pPr>
        <w:pStyle w:val="NormalWeb"/>
        <w:numPr>
          <w:ilvl w:val="0"/>
          <w:numId w:val="2"/>
        </w:numPr>
        <w:spacing w:line="360" w:lineRule="auto"/>
        <w:jc w:val="both"/>
        <w:rPr>
          <w:rFonts w:asciiTheme="minorBidi" w:hAnsiTheme="minorBidi" w:cstheme="minorBidi"/>
          <w:sz w:val="22"/>
          <w:szCs w:val="22"/>
        </w:rPr>
      </w:pPr>
      <w:r w:rsidRPr="002C0C84">
        <w:rPr>
          <w:rFonts w:asciiTheme="minorBidi" w:hAnsiTheme="minorBidi" w:cstheme="minorBidi"/>
          <w:sz w:val="22"/>
          <w:szCs w:val="22"/>
        </w:rPr>
        <w:t>Hegele, Y., and Schnabel, J. (2021). Federalism and the management of the COVID-19 crisis: centralisation, decentralisation and (non-) coordination. </w:t>
      </w:r>
      <w:r w:rsidRPr="002C0C84">
        <w:rPr>
          <w:rFonts w:asciiTheme="minorBidi" w:hAnsiTheme="minorBidi" w:cstheme="minorBidi"/>
          <w:i/>
          <w:iCs/>
          <w:sz w:val="22"/>
          <w:szCs w:val="22"/>
        </w:rPr>
        <w:t>West European Politics</w:t>
      </w:r>
      <w:r w:rsidRPr="002C0C84">
        <w:rPr>
          <w:rFonts w:asciiTheme="minorBidi" w:hAnsiTheme="minorBidi" w:cstheme="minorBidi"/>
          <w:sz w:val="22"/>
          <w:szCs w:val="22"/>
        </w:rPr>
        <w:t>, </w:t>
      </w:r>
      <w:r w:rsidRPr="002C0C84">
        <w:rPr>
          <w:rFonts w:asciiTheme="minorBidi" w:hAnsiTheme="minorBidi" w:cstheme="minorBidi"/>
          <w:i/>
          <w:iCs/>
          <w:sz w:val="22"/>
          <w:szCs w:val="22"/>
        </w:rPr>
        <w:t>44</w:t>
      </w:r>
      <w:r w:rsidRPr="002C0C84">
        <w:rPr>
          <w:rFonts w:asciiTheme="minorBidi" w:hAnsiTheme="minorBidi" w:cstheme="minorBidi"/>
          <w:sz w:val="22"/>
          <w:szCs w:val="22"/>
        </w:rPr>
        <w:t>(5-6), 1052-1076.</w:t>
      </w:r>
    </w:p>
    <w:p w14:paraId="6C4BB3C0" w14:textId="77777777" w:rsidR="002C0C84" w:rsidRPr="002C0C84" w:rsidRDefault="002C0C84" w:rsidP="00697445">
      <w:pPr>
        <w:pStyle w:val="NormalWeb"/>
        <w:numPr>
          <w:ilvl w:val="0"/>
          <w:numId w:val="2"/>
        </w:numPr>
        <w:spacing w:line="360" w:lineRule="auto"/>
        <w:jc w:val="both"/>
        <w:rPr>
          <w:rFonts w:asciiTheme="minorBidi" w:hAnsiTheme="minorBidi" w:cstheme="minorBidi"/>
          <w:sz w:val="22"/>
          <w:szCs w:val="22"/>
        </w:rPr>
      </w:pPr>
      <w:r w:rsidRPr="002C0C84">
        <w:rPr>
          <w:rFonts w:asciiTheme="minorBidi" w:hAnsiTheme="minorBidi" w:cstheme="minorBidi"/>
          <w:sz w:val="22"/>
          <w:szCs w:val="22"/>
        </w:rPr>
        <w:t>Janssen, M., and Van der Voort, H. (2020). Agile and adaptive governance in crisis response: Lessons from the COVID-19 pandemic. </w:t>
      </w:r>
      <w:r w:rsidRPr="002C0C84">
        <w:rPr>
          <w:rFonts w:asciiTheme="minorBidi" w:hAnsiTheme="minorBidi" w:cstheme="minorBidi"/>
          <w:i/>
          <w:iCs/>
          <w:sz w:val="22"/>
          <w:szCs w:val="22"/>
        </w:rPr>
        <w:t>International journal of information management</w:t>
      </w:r>
      <w:r w:rsidRPr="002C0C84">
        <w:rPr>
          <w:rFonts w:asciiTheme="minorBidi" w:hAnsiTheme="minorBidi" w:cstheme="minorBidi"/>
          <w:sz w:val="22"/>
          <w:szCs w:val="22"/>
        </w:rPr>
        <w:t>, </w:t>
      </w:r>
      <w:r w:rsidRPr="002C0C84">
        <w:rPr>
          <w:rFonts w:asciiTheme="minorBidi" w:hAnsiTheme="minorBidi" w:cstheme="minorBidi"/>
          <w:i/>
          <w:iCs/>
          <w:sz w:val="22"/>
          <w:szCs w:val="22"/>
        </w:rPr>
        <w:t>55</w:t>
      </w:r>
      <w:r w:rsidRPr="002C0C84">
        <w:rPr>
          <w:rFonts w:asciiTheme="minorBidi" w:hAnsiTheme="minorBidi" w:cstheme="minorBidi"/>
          <w:sz w:val="22"/>
          <w:szCs w:val="22"/>
        </w:rPr>
        <w:t>, 102180.</w:t>
      </w:r>
    </w:p>
    <w:p w14:paraId="2F3BB593" w14:textId="77777777" w:rsidR="002C0C84" w:rsidRPr="002C0C84" w:rsidRDefault="002C0C84" w:rsidP="00697445">
      <w:pPr>
        <w:pStyle w:val="NormalWeb"/>
        <w:numPr>
          <w:ilvl w:val="0"/>
          <w:numId w:val="2"/>
        </w:numPr>
        <w:spacing w:line="360" w:lineRule="auto"/>
        <w:jc w:val="both"/>
        <w:rPr>
          <w:rFonts w:asciiTheme="minorBidi" w:hAnsiTheme="minorBidi" w:cstheme="minorBidi"/>
          <w:sz w:val="22"/>
          <w:szCs w:val="22"/>
        </w:rPr>
      </w:pPr>
      <w:r w:rsidRPr="002C0C84">
        <w:rPr>
          <w:rFonts w:asciiTheme="minorBidi" w:hAnsiTheme="minorBidi" w:cstheme="minorBidi"/>
          <w:sz w:val="22"/>
          <w:szCs w:val="22"/>
        </w:rPr>
        <w:t xml:space="preserve">Kihlström, L., Huhtakangas, M., Karreinen, S., Viita-Aho, M., Keskimäki, I., and Tynkkynen, L. K. (2023). “Local cooperation has been the cornerstone”: facilitators and </w:t>
      </w:r>
      <w:r w:rsidRPr="002C0C84">
        <w:rPr>
          <w:rFonts w:asciiTheme="minorBidi" w:hAnsiTheme="minorBidi" w:cstheme="minorBidi"/>
          <w:sz w:val="22"/>
          <w:szCs w:val="22"/>
        </w:rPr>
        <w:lastRenderedPageBreak/>
        <w:t>barriers to resilience in a decentralized health system during COVID-19 in Finland. </w:t>
      </w:r>
      <w:r w:rsidRPr="002C0C84">
        <w:rPr>
          <w:rFonts w:asciiTheme="minorBidi" w:hAnsiTheme="minorBidi" w:cstheme="minorBidi"/>
          <w:i/>
          <w:iCs/>
          <w:sz w:val="22"/>
          <w:szCs w:val="22"/>
        </w:rPr>
        <w:t>Journal of Health Organization and Management</w:t>
      </w:r>
      <w:r w:rsidRPr="002C0C84">
        <w:rPr>
          <w:rFonts w:asciiTheme="minorBidi" w:hAnsiTheme="minorBidi" w:cstheme="minorBidi"/>
          <w:sz w:val="22"/>
          <w:szCs w:val="22"/>
        </w:rPr>
        <w:t>, </w:t>
      </w:r>
      <w:r w:rsidRPr="002C0C84">
        <w:rPr>
          <w:rFonts w:asciiTheme="minorBidi" w:hAnsiTheme="minorBidi" w:cstheme="minorBidi"/>
          <w:i/>
          <w:iCs/>
          <w:sz w:val="22"/>
          <w:szCs w:val="22"/>
        </w:rPr>
        <w:t>37</w:t>
      </w:r>
      <w:r w:rsidRPr="002C0C84">
        <w:rPr>
          <w:rFonts w:asciiTheme="minorBidi" w:hAnsiTheme="minorBidi" w:cstheme="minorBidi"/>
          <w:sz w:val="22"/>
          <w:szCs w:val="22"/>
        </w:rPr>
        <w:t>(1), 35-52.</w:t>
      </w:r>
    </w:p>
    <w:p w14:paraId="20B1A6BD" w14:textId="77777777" w:rsidR="002C0C84" w:rsidRPr="002C0C84" w:rsidRDefault="002C0C84" w:rsidP="00697445">
      <w:pPr>
        <w:pStyle w:val="NormalWeb"/>
        <w:numPr>
          <w:ilvl w:val="0"/>
          <w:numId w:val="2"/>
        </w:numPr>
        <w:spacing w:line="360" w:lineRule="auto"/>
        <w:jc w:val="both"/>
        <w:rPr>
          <w:rFonts w:asciiTheme="minorBidi" w:hAnsiTheme="minorBidi" w:cstheme="minorBidi"/>
          <w:sz w:val="22"/>
          <w:szCs w:val="22"/>
        </w:rPr>
      </w:pPr>
      <w:r w:rsidRPr="002C0C84">
        <w:rPr>
          <w:rFonts w:asciiTheme="minorBidi" w:hAnsiTheme="minorBidi" w:cstheme="minorBidi"/>
          <w:sz w:val="22"/>
          <w:szCs w:val="22"/>
        </w:rPr>
        <w:t xml:space="preserve">Kim, J.H., An, J.A., Min, P.K. et al. (2021) ‘How South Korea responded to the COVID-19 outbreak’, </w:t>
      </w:r>
      <w:r w:rsidRPr="002C0C84">
        <w:rPr>
          <w:rStyle w:val="Emphasis"/>
          <w:rFonts w:asciiTheme="minorBidi" w:hAnsiTheme="minorBidi" w:cstheme="minorBidi"/>
          <w:sz w:val="22"/>
          <w:szCs w:val="22"/>
        </w:rPr>
        <w:t>International Journal of Environmental Research and Public Health</w:t>
      </w:r>
      <w:r w:rsidRPr="002C0C84">
        <w:rPr>
          <w:rFonts w:asciiTheme="minorBidi" w:hAnsiTheme="minorBidi" w:cstheme="minorBidi"/>
          <w:sz w:val="22"/>
          <w:szCs w:val="22"/>
        </w:rPr>
        <w:t>, 18(19), pp. 1–15.</w:t>
      </w:r>
    </w:p>
    <w:p w14:paraId="5A566E6F" w14:textId="77777777" w:rsidR="002C0C84" w:rsidRPr="002C0C84" w:rsidRDefault="002C0C84" w:rsidP="00697445">
      <w:pPr>
        <w:pStyle w:val="NormalWeb"/>
        <w:numPr>
          <w:ilvl w:val="0"/>
          <w:numId w:val="2"/>
        </w:numPr>
        <w:spacing w:line="360" w:lineRule="auto"/>
        <w:jc w:val="both"/>
        <w:rPr>
          <w:rFonts w:asciiTheme="minorBidi" w:hAnsiTheme="minorBidi" w:cstheme="minorBidi"/>
          <w:sz w:val="22"/>
          <w:szCs w:val="22"/>
        </w:rPr>
      </w:pPr>
      <w:r w:rsidRPr="002C0C84">
        <w:rPr>
          <w:rFonts w:asciiTheme="minorBidi" w:hAnsiTheme="minorBidi" w:cstheme="minorBidi"/>
          <w:sz w:val="22"/>
          <w:szCs w:val="22"/>
        </w:rPr>
        <w:t xml:space="preserve">Legido-Quigley, H., Mateos-García, J.T. et al. (2020) ‘The resilience of the Spanish health system against COVID-19’, </w:t>
      </w:r>
      <w:r w:rsidRPr="002C0C84">
        <w:rPr>
          <w:rStyle w:val="Emphasis"/>
          <w:rFonts w:asciiTheme="minorBidi" w:hAnsiTheme="minorBidi" w:cstheme="minorBidi"/>
          <w:sz w:val="22"/>
          <w:szCs w:val="22"/>
        </w:rPr>
        <w:t>The Lancet Public Health</w:t>
      </w:r>
      <w:r w:rsidRPr="002C0C84">
        <w:rPr>
          <w:rFonts w:asciiTheme="minorBidi" w:hAnsiTheme="minorBidi" w:cstheme="minorBidi"/>
          <w:sz w:val="22"/>
          <w:szCs w:val="22"/>
        </w:rPr>
        <w:t>, 5(5), pp. e251–e252.</w:t>
      </w:r>
    </w:p>
    <w:p w14:paraId="40D786FE" w14:textId="77777777" w:rsidR="002C0C84" w:rsidRPr="002C0C84" w:rsidRDefault="002C0C84" w:rsidP="00697445">
      <w:pPr>
        <w:pStyle w:val="NormalWeb"/>
        <w:numPr>
          <w:ilvl w:val="0"/>
          <w:numId w:val="2"/>
        </w:numPr>
        <w:spacing w:line="360" w:lineRule="auto"/>
        <w:jc w:val="both"/>
        <w:rPr>
          <w:rFonts w:asciiTheme="minorBidi" w:hAnsiTheme="minorBidi" w:cstheme="minorBidi"/>
          <w:sz w:val="22"/>
          <w:szCs w:val="22"/>
        </w:rPr>
      </w:pPr>
      <w:r w:rsidRPr="002C0C84">
        <w:rPr>
          <w:rFonts w:asciiTheme="minorBidi" w:hAnsiTheme="minorBidi" w:cstheme="minorBidi"/>
          <w:sz w:val="22"/>
          <w:szCs w:val="22"/>
        </w:rPr>
        <w:t>Lv, A., Luo, T., and Duckett, J. (2022). Centralization vs. decentralization in COVID-19 responses: lessons from China. </w:t>
      </w:r>
      <w:r w:rsidRPr="002C0C84">
        <w:rPr>
          <w:rFonts w:asciiTheme="minorBidi" w:hAnsiTheme="minorBidi" w:cstheme="minorBidi"/>
          <w:i/>
          <w:iCs/>
          <w:sz w:val="22"/>
          <w:szCs w:val="22"/>
        </w:rPr>
        <w:t>Journal of Health Politics, Policy and Law</w:t>
      </w:r>
      <w:r w:rsidRPr="002C0C84">
        <w:rPr>
          <w:rFonts w:asciiTheme="minorBidi" w:hAnsiTheme="minorBidi" w:cstheme="minorBidi"/>
          <w:sz w:val="22"/>
          <w:szCs w:val="22"/>
        </w:rPr>
        <w:t>, </w:t>
      </w:r>
      <w:r w:rsidRPr="002C0C84">
        <w:rPr>
          <w:rFonts w:asciiTheme="minorBidi" w:hAnsiTheme="minorBidi" w:cstheme="minorBidi"/>
          <w:i/>
          <w:iCs/>
          <w:sz w:val="22"/>
          <w:szCs w:val="22"/>
        </w:rPr>
        <w:t>47</w:t>
      </w:r>
      <w:r w:rsidRPr="002C0C84">
        <w:rPr>
          <w:rFonts w:asciiTheme="minorBidi" w:hAnsiTheme="minorBidi" w:cstheme="minorBidi"/>
          <w:sz w:val="22"/>
          <w:szCs w:val="22"/>
        </w:rPr>
        <w:t>(3), 411-427.</w:t>
      </w:r>
    </w:p>
    <w:p w14:paraId="2762A2FB" w14:textId="77777777" w:rsidR="002C0C84" w:rsidRPr="002C0C84" w:rsidRDefault="002C0C84" w:rsidP="00697445">
      <w:pPr>
        <w:pStyle w:val="NormalWeb"/>
        <w:numPr>
          <w:ilvl w:val="0"/>
          <w:numId w:val="2"/>
        </w:numPr>
        <w:spacing w:line="360" w:lineRule="auto"/>
        <w:jc w:val="both"/>
        <w:rPr>
          <w:rFonts w:asciiTheme="minorBidi" w:hAnsiTheme="minorBidi" w:cstheme="minorBidi"/>
          <w:sz w:val="22"/>
          <w:szCs w:val="22"/>
        </w:rPr>
      </w:pPr>
      <w:r w:rsidRPr="002C0C84">
        <w:rPr>
          <w:rFonts w:asciiTheme="minorBidi" w:hAnsiTheme="minorBidi" w:cstheme="minorBidi"/>
          <w:sz w:val="22"/>
          <w:szCs w:val="22"/>
        </w:rPr>
        <w:t xml:space="preserve">Marchildon, G.P. and Di Matteo, L. (2021) ‘Canada’s COVID-19 response: Federalism at play’, </w:t>
      </w:r>
      <w:r w:rsidRPr="002C0C84">
        <w:rPr>
          <w:rStyle w:val="Emphasis"/>
          <w:rFonts w:asciiTheme="minorBidi" w:hAnsiTheme="minorBidi" w:cstheme="minorBidi"/>
          <w:sz w:val="22"/>
          <w:szCs w:val="22"/>
        </w:rPr>
        <w:t>Journal of Health Politics, Policy and Law</w:t>
      </w:r>
      <w:r w:rsidRPr="002C0C84">
        <w:rPr>
          <w:rFonts w:asciiTheme="minorBidi" w:hAnsiTheme="minorBidi" w:cstheme="minorBidi"/>
          <w:sz w:val="22"/>
          <w:szCs w:val="22"/>
        </w:rPr>
        <w:t>, 46(6), pp. 883–897.</w:t>
      </w:r>
    </w:p>
    <w:p w14:paraId="0E132F75" w14:textId="77777777" w:rsidR="002C0C84" w:rsidRPr="002C0C84" w:rsidRDefault="002C0C84" w:rsidP="00697445">
      <w:pPr>
        <w:pStyle w:val="NormalWeb"/>
        <w:numPr>
          <w:ilvl w:val="0"/>
          <w:numId w:val="2"/>
        </w:numPr>
        <w:spacing w:line="360" w:lineRule="auto"/>
        <w:jc w:val="both"/>
        <w:rPr>
          <w:rFonts w:asciiTheme="minorBidi" w:hAnsiTheme="minorBidi" w:cstheme="minorBidi"/>
          <w:sz w:val="22"/>
          <w:szCs w:val="22"/>
        </w:rPr>
      </w:pPr>
      <w:r w:rsidRPr="002C0C84">
        <w:rPr>
          <w:rFonts w:asciiTheme="minorBidi" w:hAnsiTheme="minorBidi" w:cstheme="minorBidi"/>
          <w:sz w:val="22"/>
          <w:szCs w:val="22"/>
        </w:rPr>
        <w:t>Mattei, P., and Del Pino, E. (2021). Coordination and health policy responses to the first wave of COVID-19 in Italy and Spain. </w:t>
      </w:r>
      <w:r w:rsidRPr="002C0C84">
        <w:rPr>
          <w:rFonts w:asciiTheme="minorBidi" w:hAnsiTheme="minorBidi" w:cstheme="minorBidi"/>
          <w:i/>
          <w:iCs/>
          <w:sz w:val="22"/>
          <w:szCs w:val="22"/>
        </w:rPr>
        <w:t>Journal of Comparative Policy Analysis: Research and Practice</w:t>
      </w:r>
      <w:r w:rsidRPr="002C0C84">
        <w:rPr>
          <w:rFonts w:asciiTheme="minorBidi" w:hAnsiTheme="minorBidi" w:cstheme="minorBidi"/>
          <w:sz w:val="22"/>
          <w:szCs w:val="22"/>
        </w:rPr>
        <w:t>, </w:t>
      </w:r>
      <w:r w:rsidRPr="002C0C84">
        <w:rPr>
          <w:rFonts w:asciiTheme="minorBidi" w:hAnsiTheme="minorBidi" w:cstheme="minorBidi"/>
          <w:i/>
          <w:iCs/>
          <w:sz w:val="22"/>
          <w:szCs w:val="22"/>
        </w:rPr>
        <w:t>23</w:t>
      </w:r>
      <w:r w:rsidRPr="002C0C84">
        <w:rPr>
          <w:rFonts w:asciiTheme="minorBidi" w:hAnsiTheme="minorBidi" w:cstheme="minorBidi"/>
          <w:sz w:val="22"/>
          <w:szCs w:val="22"/>
        </w:rPr>
        <w:t>(2), 274-281.</w:t>
      </w:r>
    </w:p>
    <w:p w14:paraId="11105ECB" w14:textId="77777777" w:rsidR="002C0C84" w:rsidRPr="002C0C84" w:rsidRDefault="002C0C84" w:rsidP="00697445">
      <w:pPr>
        <w:pStyle w:val="NormalWeb"/>
        <w:numPr>
          <w:ilvl w:val="0"/>
          <w:numId w:val="2"/>
        </w:numPr>
        <w:spacing w:line="360" w:lineRule="auto"/>
        <w:jc w:val="both"/>
        <w:rPr>
          <w:rFonts w:asciiTheme="minorBidi" w:hAnsiTheme="minorBidi" w:cstheme="minorBidi"/>
          <w:sz w:val="22"/>
          <w:szCs w:val="22"/>
        </w:rPr>
      </w:pPr>
      <w:r w:rsidRPr="002C0C84">
        <w:rPr>
          <w:rFonts w:asciiTheme="minorBidi" w:hAnsiTheme="minorBidi" w:cstheme="minorBidi"/>
          <w:sz w:val="22"/>
          <w:szCs w:val="22"/>
        </w:rPr>
        <w:t xml:space="preserve">Ministerio de Sanidad (2021) </w:t>
      </w:r>
      <w:r w:rsidRPr="002C0C84">
        <w:rPr>
          <w:rStyle w:val="Emphasis"/>
          <w:rFonts w:asciiTheme="minorBidi" w:hAnsiTheme="minorBidi" w:cstheme="minorBidi"/>
          <w:sz w:val="22"/>
          <w:szCs w:val="22"/>
        </w:rPr>
        <w:t>Spain COVID-19 Vaccination Strategy</w:t>
      </w:r>
      <w:r w:rsidRPr="002C0C84">
        <w:rPr>
          <w:rFonts w:asciiTheme="minorBidi" w:hAnsiTheme="minorBidi" w:cstheme="minorBidi"/>
          <w:sz w:val="22"/>
          <w:szCs w:val="22"/>
        </w:rPr>
        <w:t>. Madrid: Government of Spain.</w:t>
      </w:r>
    </w:p>
    <w:p w14:paraId="3C114991" w14:textId="77777777" w:rsidR="002C0C84" w:rsidRPr="002C0C84" w:rsidRDefault="002C0C84" w:rsidP="00697445">
      <w:pPr>
        <w:pStyle w:val="NormalWeb"/>
        <w:numPr>
          <w:ilvl w:val="0"/>
          <w:numId w:val="2"/>
        </w:numPr>
        <w:spacing w:line="360" w:lineRule="auto"/>
        <w:jc w:val="both"/>
        <w:rPr>
          <w:rFonts w:asciiTheme="minorBidi" w:hAnsiTheme="minorBidi" w:cstheme="minorBidi"/>
          <w:sz w:val="22"/>
          <w:szCs w:val="22"/>
        </w:rPr>
      </w:pPr>
      <w:r w:rsidRPr="002C0C84">
        <w:rPr>
          <w:rFonts w:asciiTheme="minorBidi" w:hAnsiTheme="minorBidi" w:cstheme="minorBidi"/>
          <w:sz w:val="22"/>
          <w:szCs w:val="22"/>
        </w:rPr>
        <w:t xml:space="preserve">Moon, M.J. (2020) ‘Fighting COVID-19 with agility, transparency, and participation: Korea’s experience’, </w:t>
      </w:r>
      <w:r w:rsidRPr="002C0C84">
        <w:rPr>
          <w:rStyle w:val="Emphasis"/>
          <w:rFonts w:asciiTheme="minorBidi" w:hAnsiTheme="minorBidi" w:cstheme="minorBidi"/>
          <w:sz w:val="22"/>
          <w:szCs w:val="22"/>
        </w:rPr>
        <w:t>Public Administration Review</w:t>
      </w:r>
      <w:r w:rsidRPr="002C0C84">
        <w:rPr>
          <w:rFonts w:asciiTheme="minorBidi" w:hAnsiTheme="minorBidi" w:cstheme="minorBidi"/>
          <w:sz w:val="22"/>
          <w:szCs w:val="22"/>
        </w:rPr>
        <w:t>, 80(4), pp. 651–656.</w:t>
      </w:r>
    </w:p>
    <w:p w14:paraId="7E4025E0" w14:textId="77777777" w:rsidR="002C0C84" w:rsidRPr="002C0C84" w:rsidRDefault="002C0C84" w:rsidP="00697445">
      <w:pPr>
        <w:pStyle w:val="NormalWeb"/>
        <w:numPr>
          <w:ilvl w:val="0"/>
          <w:numId w:val="2"/>
        </w:numPr>
        <w:spacing w:line="360" w:lineRule="auto"/>
        <w:jc w:val="both"/>
        <w:rPr>
          <w:rFonts w:asciiTheme="minorBidi" w:hAnsiTheme="minorBidi" w:cstheme="minorBidi"/>
          <w:sz w:val="22"/>
          <w:szCs w:val="22"/>
        </w:rPr>
      </w:pPr>
      <w:r w:rsidRPr="002C0C84">
        <w:rPr>
          <w:rFonts w:asciiTheme="minorBidi" w:hAnsiTheme="minorBidi" w:cstheme="minorBidi"/>
          <w:sz w:val="22"/>
          <w:szCs w:val="22"/>
        </w:rPr>
        <w:t>Navarro, C., and Velasco, F. (2022). From centralisation to new ways of multi-level coordination: Spain’s intergovernmental response to the COVID-19 pandemic. </w:t>
      </w:r>
      <w:r w:rsidRPr="002C0C84">
        <w:rPr>
          <w:rFonts w:asciiTheme="minorBidi" w:hAnsiTheme="minorBidi" w:cstheme="minorBidi"/>
          <w:i/>
          <w:iCs/>
          <w:sz w:val="22"/>
          <w:szCs w:val="22"/>
        </w:rPr>
        <w:t>Local Government Studies</w:t>
      </w:r>
      <w:r w:rsidRPr="002C0C84">
        <w:rPr>
          <w:rFonts w:asciiTheme="minorBidi" w:hAnsiTheme="minorBidi" w:cstheme="minorBidi"/>
          <w:sz w:val="22"/>
          <w:szCs w:val="22"/>
        </w:rPr>
        <w:t>, </w:t>
      </w:r>
      <w:r w:rsidRPr="002C0C84">
        <w:rPr>
          <w:rFonts w:asciiTheme="minorBidi" w:hAnsiTheme="minorBidi" w:cstheme="minorBidi"/>
          <w:i/>
          <w:iCs/>
          <w:sz w:val="22"/>
          <w:szCs w:val="22"/>
        </w:rPr>
        <w:t>48</w:t>
      </w:r>
      <w:r w:rsidRPr="002C0C84">
        <w:rPr>
          <w:rFonts w:asciiTheme="minorBidi" w:hAnsiTheme="minorBidi" w:cstheme="minorBidi"/>
          <w:sz w:val="22"/>
          <w:szCs w:val="22"/>
        </w:rPr>
        <w:t>(2), 191-210.</w:t>
      </w:r>
    </w:p>
    <w:p w14:paraId="7DF9F948" w14:textId="77777777" w:rsidR="002C0C84" w:rsidRPr="002C0C84" w:rsidRDefault="002C0C84" w:rsidP="00697445">
      <w:pPr>
        <w:pStyle w:val="NormalWeb"/>
        <w:numPr>
          <w:ilvl w:val="0"/>
          <w:numId w:val="2"/>
        </w:numPr>
        <w:spacing w:line="360" w:lineRule="auto"/>
        <w:jc w:val="both"/>
        <w:rPr>
          <w:rFonts w:asciiTheme="minorBidi" w:hAnsiTheme="minorBidi" w:cstheme="minorBidi"/>
          <w:sz w:val="22"/>
          <w:szCs w:val="22"/>
        </w:rPr>
      </w:pPr>
      <w:r w:rsidRPr="002C0C84">
        <w:rPr>
          <w:rFonts w:asciiTheme="minorBidi" w:hAnsiTheme="minorBidi" w:cstheme="minorBidi"/>
          <w:sz w:val="22"/>
          <w:szCs w:val="22"/>
        </w:rPr>
        <w:t>Nicola, M., Sohrabi, C., Mathew, G., Kerwan, A., Al-Jabir, A., Griffin, M., ... and Agha, R. (2020). Health policy and leadership models during the COVID-19 pandemic: A review. </w:t>
      </w:r>
      <w:r w:rsidRPr="002C0C84">
        <w:rPr>
          <w:rFonts w:asciiTheme="minorBidi" w:hAnsiTheme="minorBidi" w:cstheme="minorBidi"/>
          <w:i/>
          <w:iCs/>
          <w:sz w:val="22"/>
          <w:szCs w:val="22"/>
        </w:rPr>
        <w:t>International journal of surgery</w:t>
      </w:r>
      <w:r w:rsidRPr="002C0C84">
        <w:rPr>
          <w:rFonts w:asciiTheme="minorBidi" w:hAnsiTheme="minorBidi" w:cstheme="minorBidi"/>
          <w:sz w:val="22"/>
          <w:szCs w:val="22"/>
        </w:rPr>
        <w:t>, </w:t>
      </w:r>
      <w:r w:rsidRPr="002C0C84">
        <w:rPr>
          <w:rFonts w:asciiTheme="minorBidi" w:hAnsiTheme="minorBidi" w:cstheme="minorBidi"/>
          <w:i/>
          <w:iCs/>
          <w:sz w:val="22"/>
          <w:szCs w:val="22"/>
        </w:rPr>
        <w:t>81</w:t>
      </w:r>
      <w:r w:rsidRPr="002C0C84">
        <w:rPr>
          <w:rFonts w:asciiTheme="minorBidi" w:hAnsiTheme="minorBidi" w:cstheme="minorBidi"/>
          <w:sz w:val="22"/>
          <w:szCs w:val="22"/>
        </w:rPr>
        <w:t>, 122-129.</w:t>
      </w:r>
    </w:p>
    <w:p w14:paraId="79DD498C" w14:textId="77777777" w:rsidR="002C0C84" w:rsidRPr="002C0C84" w:rsidRDefault="002C0C84" w:rsidP="00697445">
      <w:pPr>
        <w:pStyle w:val="NormalWeb"/>
        <w:numPr>
          <w:ilvl w:val="0"/>
          <w:numId w:val="2"/>
        </w:numPr>
        <w:spacing w:line="360" w:lineRule="auto"/>
        <w:jc w:val="both"/>
        <w:rPr>
          <w:rFonts w:asciiTheme="minorBidi" w:hAnsiTheme="minorBidi" w:cstheme="minorBidi"/>
          <w:sz w:val="22"/>
          <w:szCs w:val="22"/>
        </w:rPr>
      </w:pPr>
      <w:r w:rsidRPr="002C0C84">
        <w:rPr>
          <w:rFonts w:asciiTheme="minorBidi" w:hAnsiTheme="minorBidi" w:cstheme="minorBidi"/>
          <w:sz w:val="22"/>
          <w:szCs w:val="22"/>
        </w:rPr>
        <w:t xml:space="preserve">Otero-García, L., Villalobos, F. and García-Armesto, S. (2021) ‘Spain’s COVID-19 vaccination strategy’, </w:t>
      </w:r>
      <w:r w:rsidRPr="002C0C84">
        <w:rPr>
          <w:rStyle w:val="Emphasis"/>
          <w:rFonts w:asciiTheme="minorBidi" w:hAnsiTheme="minorBidi" w:cstheme="minorBidi"/>
          <w:sz w:val="22"/>
          <w:szCs w:val="22"/>
        </w:rPr>
        <w:t>Eurohealth</w:t>
      </w:r>
      <w:r w:rsidRPr="002C0C84">
        <w:rPr>
          <w:rFonts w:asciiTheme="minorBidi" w:hAnsiTheme="minorBidi" w:cstheme="minorBidi"/>
          <w:sz w:val="22"/>
          <w:szCs w:val="22"/>
        </w:rPr>
        <w:t>, 27(1), pp. 20–24.</w:t>
      </w:r>
    </w:p>
    <w:p w14:paraId="395B6C95" w14:textId="77777777" w:rsidR="002C0C84" w:rsidRPr="002C0C84" w:rsidRDefault="002C0C84" w:rsidP="00697445">
      <w:pPr>
        <w:pStyle w:val="NormalWeb"/>
        <w:numPr>
          <w:ilvl w:val="0"/>
          <w:numId w:val="2"/>
        </w:numPr>
        <w:spacing w:line="360" w:lineRule="auto"/>
        <w:jc w:val="both"/>
        <w:rPr>
          <w:rFonts w:asciiTheme="minorBidi" w:hAnsiTheme="minorBidi" w:cstheme="minorBidi"/>
          <w:sz w:val="22"/>
          <w:szCs w:val="22"/>
        </w:rPr>
      </w:pPr>
      <w:r w:rsidRPr="002C0C84">
        <w:rPr>
          <w:rFonts w:asciiTheme="minorBidi" w:hAnsiTheme="minorBidi" w:cstheme="minorBidi"/>
          <w:sz w:val="22"/>
          <w:szCs w:val="22"/>
        </w:rPr>
        <w:t>Park, S., and Fowler, L. (2021). Political and administrative decentralization and responses to COVID-19: comparison of the United States and South Korea. </w:t>
      </w:r>
      <w:r w:rsidRPr="002C0C84">
        <w:rPr>
          <w:rFonts w:asciiTheme="minorBidi" w:hAnsiTheme="minorBidi" w:cstheme="minorBidi"/>
          <w:i/>
          <w:iCs/>
          <w:sz w:val="22"/>
          <w:szCs w:val="22"/>
        </w:rPr>
        <w:t>International Journal of Organization Theory and Behavior</w:t>
      </w:r>
      <w:r w:rsidRPr="002C0C84">
        <w:rPr>
          <w:rFonts w:asciiTheme="minorBidi" w:hAnsiTheme="minorBidi" w:cstheme="minorBidi"/>
          <w:sz w:val="22"/>
          <w:szCs w:val="22"/>
        </w:rPr>
        <w:t>, </w:t>
      </w:r>
      <w:r w:rsidRPr="002C0C84">
        <w:rPr>
          <w:rFonts w:asciiTheme="minorBidi" w:hAnsiTheme="minorBidi" w:cstheme="minorBidi"/>
          <w:i/>
          <w:iCs/>
          <w:sz w:val="22"/>
          <w:szCs w:val="22"/>
        </w:rPr>
        <w:t>24</w:t>
      </w:r>
      <w:r w:rsidRPr="002C0C84">
        <w:rPr>
          <w:rFonts w:asciiTheme="minorBidi" w:hAnsiTheme="minorBidi" w:cstheme="minorBidi"/>
          <w:sz w:val="22"/>
          <w:szCs w:val="22"/>
        </w:rPr>
        <w:t>(4), 289-299.</w:t>
      </w:r>
    </w:p>
    <w:p w14:paraId="03615930" w14:textId="77777777" w:rsidR="002C0C84" w:rsidRPr="002C0C84" w:rsidRDefault="002C0C84" w:rsidP="00697445">
      <w:pPr>
        <w:pStyle w:val="NormalWeb"/>
        <w:numPr>
          <w:ilvl w:val="0"/>
          <w:numId w:val="2"/>
        </w:numPr>
        <w:spacing w:line="360" w:lineRule="auto"/>
        <w:jc w:val="both"/>
        <w:rPr>
          <w:rFonts w:asciiTheme="minorBidi" w:hAnsiTheme="minorBidi" w:cstheme="minorBidi"/>
          <w:sz w:val="22"/>
          <w:szCs w:val="22"/>
        </w:rPr>
      </w:pPr>
      <w:r w:rsidRPr="002C0C84">
        <w:rPr>
          <w:rFonts w:asciiTheme="minorBidi" w:hAnsiTheme="minorBidi" w:cstheme="minorBidi"/>
          <w:sz w:val="22"/>
          <w:szCs w:val="22"/>
        </w:rPr>
        <w:t xml:space="preserve">Park, S., Choi, G.J. and Ko, H. (2020) ‘Information technology-based tracing strategy in response to COVID-19 in South Korea’, </w:t>
      </w:r>
      <w:r w:rsidRPr="002C0C84">
        <w:rPr>
          <w:rStyle w:val="Emphasis"/>
          <w:rFonts w:asciiTheme="minorBidi" w:hAnsiTheme="minorBidi" w:cstheme="minorBidi"/>
          <w:sz w:val="22"/>
          <w:szCs w:val="22"/>
        </w:rPr>
        <w:t>JAMA</w:t>
      </w:r>
      <w:r w:rsidRPr="002C0C84">
        <w:rPr>
          <w:rFonts w:asciiTheme="minorBidi" w:hAnsiTheme="minorBidi" w:cstheme="minorBidi"/>
          <w:sz w:val="22"/>
          <w:szCs w:val="22"/>
        </w:rPr>
        <w:t>, 323(21), pp. 2129–2130.</w:t>
      </w:r>
    </w:p>
    <w:p w14:paraId="48A73DBC" w14:textId="77777777" w:rsidR="002C0C84" w:rsidRPr="002C0C84" w:rsidRDefault="002C0C84" w:rsidP="00697445">
      <w:pPr>
        <w:pStyle w:val="NormalWeb"/>
        <w:numPr>
          <w:ilvl w:val="0"/>
          <w:numId w:val="2"/>
        </w:numPr>
        <w:spacing w:line="360" w:lineRule="auto"/>
        <w:jc w:val="both"/>
        <w:rPr>
          <w:rFonts w:asciiTheme="minorBidi" w:hAnsiTheme="minorBidi" w:cstheme="minorBidi"/>
          <w:sz w:val="22"/>
          <w:szCs w:val="22"/>
        </w:rPr>
      </w:pPr>
      <w:r w:rsidRPr="002C0C84">
        <w:rPr>
          <w:rFonts w:asciiTheme="minorBidi" w:hAnsiTheme="minorBidi" w:cstheme="minorBidi"/>
          <w:sz w:val="22"/>
          <w:szCs w:val="22"/>
        </w:rPr>
        <w:t>Pereira, A. M. M., Machado, C. V., Veny, M. B., Juan, A. M. Y., and Recio, S. N. (2021). Governance and state capacities against COVID-19 in Germany and Spain: national responses and health systems from a comparative perspective. </w:t>
      </w:r>
      <w:r w:rsidRPr="002C0C84">
        <w:rPr>
          <w:rFonts w:asciiTheme="minorBidi" w:hAnsiTheme="minorBidi" w:cstheme="minorBidi"/>
          <w:i/>
          <w:iCs/>
          <w:sz w:val="22"/>
          <w:szCs w:val="22"/>
        </w:rPr>
        <w:t>Ciência and Saúde Coletiva</w:t>
      </w:r>
      <w:r w:rsidRPr="002C0C84">
        <w:rPr>
          <w:rFonts w:asciiTheme="minorBidi" w:hAnsiTheme="minorBidi" w:cstheme="minorBidi"/>
          <w:sz w:val="22"/>
          <w:szCs w:val="22"/>
        </w:rPr>
        <w:t>, </w:t>
      </w:r>
      <w:r w:rsidRPr="002C0C84">
        <w:rPr>
          <w:rFonts w:asciiTheme="minorBidi" w:hAnsiTheme="minorBidi" w:cstheme="minorBidi"/>
          <w:i/>
          <w:iCs/>
          <w:sz w:val="22"/>
          <w:szCs w:val="22"/>
        </w:rPr>
        <w:t>26</w:t>
      </w:r>
      <w:r w:rsidRPr="002C0C84">
        <w:rPr>
          <w:rFonts w:asciiTheme="minorBidi" w:hAnsiTheme="minorBidi" w:cstheme="minorBidi"/>
          <w:sz w:val="22"/>
          <w:szCs w:val="22"/>
        </w:rPr>
        <w:t>, 4425-4437.</w:t>
      </w:r>
    </w:p>
    <w:p w14:paraId="52F83115" w14:textId="77777777" w:rsidR="002C0C84" w:rsidRPr="002C0C84" w:rsidRDefault="002C0C84" w:rsidP="00697445">
      <w:pPr>
        <w:pStyle w:val="NormalWeb"/>
        <w:numPr>
          <w:ilvl w:val="0"/>
          <w:numId w:val="2"/>
        </w:numPr>
        <w:spacing w:line="360" w:lineRule="auto"/>
        <w:jc w:val="both"/>
        <w:rPr>
          <w:rFonts w:asciiTheme="minorBidi" w:hAnsiTheme="minorBidi" w:cstheme="minorBidi"/>
          <w:sz w:val="22"/>
          <w:szCs w:val="22"/>
        </w:rPr>
      </w:pPr>
      <w:r w:rsidRPr="002C0C84">
        <w:rPr>
          <w:rFonts w:asciiTheme="minorBidi" w:hAnsiTheme="minorBidi" w:cstheme="minorBidi"/>
          <w:sz w:val="22"/>
          <w:szCs w:val="22"/>
        </w:rPr>
        <w:lastRenderedPageBreak/>
        <w:t>Phillips, G., Kendino, M., Brolan, C. E., Mitchell, R., Herron, L. M., Kὃrver, S., ... and Cox, M. (2022). Lessons from the frontline: leadership and governance experiences in the COVID-19 pandemic response across the Pacific region. </w:t>
      </w:r>
      <w:r w:rsidRPr="002C0C84">
        <w:rPr>
          <w:rFonts w:asciiTheme="minorBidi" w:hAnsiTheme="minorBidi" w:cstheme="minorBidi"/>
          <w:i/>
          <w:iCs/>
          <w:sz w:val="22"/>
          <w:szCs w:val="22"/>
        </w:rPr>
        <w:t>The Lancet Regional Health–Western Pacific</w:t>
      </w:r>
      <w:r w:rsidRPr="002C0C84">
        <w:rPr>
          <w:rFonts w:asciiTheme="minorBidi" w:hAnsiTheme="minorBidi" w:cstheme="minorBidi"/>
          <w:sz w:val="22"/>
          <w:szCs w:val="22"/>
        </w:rPr>
        <w:t>, </w:t>
      </w:r>
      <w:r w:rsidRPr="002C0C84">
        <w:rPr>
          <w:rFonts w:asciiTheme="minorBidi" w:hAnsiTheme="minorBidi" w:cstheme="minorBidi"/>
          <w:i/>
          <w:iCs/>
          <w:sz w:val="22"/>
          <w:szCs w:val="22"/>
        </w:rPr>
        <w:t>25</w:t>
      </w:r>
      <w:r w:rsidRPr="002C0C84">
        <w:rPr>
          <w:rFonts w:asciiTheme="minorBidi" w:hAnsiTheme="minorBidi" w:cstheme="minorBidi"/>
          <w:sz w:val="22"/>
          <w:szCs w:val="22"/>
        </w:rPr>
        <w:t>.</w:t>
      </w:r>
    </w:p>
    <w:p w14:paraId="167FE007" w14:textId="77777777" w:rsidR="002C0C84" w:rsidRPr="002C0C84" w:rsidRDefault="002C0C84" w:rsidP="00697445">
      <w:pPr>
        <w:pStyle w:val="NormalWeb"/>
        <w:numPr>
          <w:ilvl w:val="0"/>
          <w:numId w:val="2"/>
        </w:numPr>
        <w:spacing w:line="360" w:lineRule="auto"/>
        <w:jc w:val="both"/>
        <w:rPr>
          <w:rFonts w:asciiTheme="minorBidi" w:hAnsiTheme="minorBidi" w:cstheme="minorBidi"/>
          <w:sz w:val="22"/>
          <w:szCs w:val="22"/>
        </w:rPr>
      </w:pPr>
      <w:r w:rsidRPr="002C0C84">
        <w:rPr>
          <w:rFonts w:asciiTheme="minorBidi" w:hAnsiTheme="minorBidi" w:cstheme="minorBidi"/>
          <w:sz w:val="22"/>
          <w:szCs w:val="22"/>
        </w:rPr>
        <w:t xml:space="preserve">Royo, S. (2021) ‘Responding to COVID-19: The case of Spain’, </w:t>
      </w:r>
      <w:r w:rsidRPr="002C0C84">
        <w:rPr>
          <w:rStyle w:val="Emphasis"/>
          <w:rFonts w:asciiTheme="minorBidi" w:hAnsiTheme="minorBidi" w:cstheme="minorBidi"/>
          <w:sz w:val="22"/>
          <w:szCs w:val="22"/>
        </w:rPr>
        <w:t>South European Society and Politics</w:t>
      </w:r>
      <w:r w:rsidRPr="002C0C84">
        <w:rPr>
          <w:rFonts w:asciiTheme="minorBidi" w:hAnsiTheme="minorBidi" w:cstheme="minorBidi"/>
          <w:sz w:val="22"/>
          <w:szCs w:val="22"/>
        </w:rPr>
        <w:t>, 26(2), pp. 191–213.</w:t>
      </w:r>
    </w:p>
    <w:p w14:paraId="42C22783" w14:textId="77777777" w:rsidR="002C0C84" w:rsidRPr="002C0C84" w:rsidRDefault="002C0C84" w:rsidP="00697445">
      <w:pPr>
        <w:pStyle w:val="NormalWeb"/>
        <w:numPr>
          <w:ilvl w:val="0"/>
          <w:numId w:val="2"/>
        </w:numPr>
        <w:spacing w:line="360" w:lineRule="auto"/>
        <w:jc w:val="both"/>
        <w:rPr>
          <w:rFonts w:asciiTheme="minorBidi" w:hAnsiTheme="minorBidi" w:cstheme="minorBidi"/>
          <w:sz w:val="22"/>
          <w:szCs w:val="22"/>
        </w:rPr>
      </w:pPr>
      <w:r w:rsidRPr="002C0C84">
        <w:rPr>
          <w:rFonts w:asciiTheme="minorBidi" w:hAnsiTheme="minorBidi" w:cstheme="minorBidi"/>
          <w:sz w:val="22"/>
          <w:szCs w:val="22"/>
        </w:rPr>
        <w:t>Schnabel, J., and Hegele, Y. (2021). Explaining intergovernmental coordination during the COVID-19 pandemic: Responses in Australia, Canada, Germany, and Switzerland. </w:t>
      </w:r>
      <w:r w:rsidRPr="002C0C84">
        <w:rPr>
          <w:rFonts w:asciiTheme="minorBidi" w:hAnsiTheme="minorBidi" w:cstheme="minorBidi"/>
          <w:i/>
          <w:iCs/>
          <w:sz w:val="22"/>
          <w:szCs w:val="22"/>
        </w:rPr>
        <w:t>Publius: The Journal of Federalism</w:t>
      </w:r>
      <w:r w:rsidRPr="002C0C84">
        <w:rPr>
          <w:rFonts w:asciiTheme="minorBidi" w:hAnsiTheme="minorBidi" w:cstheme="minorBidi"/>
          <w:sz w:val="22"/>
          <w:szCs w:val="22"/>
        </w:rPr>
        <w:t>, </w:t>
      </w:r>
      <w:r w:rsidRPr="002C0C84">
        <w:rPr>
          <w:rFonts w:asciiTheme="minorBidi" w:hAnsiTheme="minorBidi" w:cstheme="minorBidi"/>
          <w:i/>
          <w:iCs/>
          <w:sz w:val="22"/>
          <w:szCs w:val="22"/>
        </w:rPr>
        <w:t>51</w:t>
      </w:r>
      <w:r w:rsidRPr="002C0C84">
        <w:rPr>
          <w:rFonts w:asciiTheme="minorBidi" w:hAnsiTheme="minorBidi" w:cstheme="minorBidi"/>
          <w:sz w:val="22"/>
          <w:szCs w:val="22"/>
        </w:rPr>
        <w:t>(4), 537-569.</w:t>
      </w:r>
    </w:p>
    <w:p w14:paraId="2D72A48F" w14:textId="77777777" w:rsidR="002C0C84" w:rsidRPr="002C0C84" w:rsidRDefault="002C0C84" w:rsidP="00697445">
      <w:pPr>
        <w:pStyle w:val="NormalWeb"/>
        <w:numPr>
          <w:ilvl w:val="0"/>
          <w:numId w:val="2"/>
        </w:numPr>
        <w:spacing w:line="360" w:lineRule="auto"/>
        <w:jc w:val="both"/>
        <w:rPr>
          <w:rFonts w:asciiTheme="minorBidi" w:hAnsiTheme="minorBidi" w:cstheme="minorBidi"/>
          <w:sz w:val="22"/>
          <w:szCs w:val="22"/>
        </w:rPr>
      </w:pPr>
      <w:r w:rsidRPr="002C0C84">
        <w:rPr>
          <w:rFonts w:asciiTheme="minorBidi" w:hAnsiTheme="minorBidi" w:cstheme="minorBidi"/>
          <w:sz w:val="22"/>
          <w:szCs w:val="22"/>
        </w:rPr>
        <w:t>Simões, J., Magalhães, J. P. M., Biscaia, A., da Luz Pereira, A., Augusto, G. F., and Fronteira, I. (2021). Organisation of the State, model of health system and COVID</w:t>
      </w:r>
      <w:r w:rsidRPr="002C0C84">
        <w:rPr>
          <w:rFonts w:ascii="Cambria Math" w:hAnsi="Cambria Math" w:cs="Cambria Math"/>
          <w:sz w:val="22"/>
          <w:szCs w:val="22"/>
        </w:rPr>
        <w:t>‐</w:t>
      </w:r>
      <w:r w:rsidRPr="002C0C84">
        <w:rPr>
          <w:rFonts w:asciiTheme="minorBidi" w:hAnsiTheme="minorBidi" w:cstheme="minorBidi"/>
          <w:sz w:val="22"/>
          <w:szCs w:val="22"/>
        </w:rPr>
        <w:t>19 health outcomes in six European countries, during the first months of the COVID</w:t>
      </w:r>
      <w:r w:rsidRPr="002C0C84">
        <w:rPr>
          <w:rFonts w:ascii="Cambria Math" w:hAnsi="Cambria Math" w:cs="Cambria Math"/>
          <w:sz w:val="22"/>
          <w:szCs w:val="22"/>
        </w:rPr>
        <w:t>‐</w:t>
      </w:r>
      <w:r w:rsidRPr="002C0C84">
        <w:rPr>
          <w:rFonts w:asciiTheme="minorBidi" w:hAnsiTheme="minorBidi" w:cstheme="minorBidi"/>
          <w:sz w:val="22"/>
          <w:szCs w:val="22"/>
        </w:rPr>
        <w:t>19 epidemic in 2020.</w:t>
      </w:r>
      <w:r w:rsidRPr="002C0C84">
        <w:rPr>
          <w:rFonts w:ascii="Arial" w:hAnsi="Arial" w:cs="Arial"/>
          <w:sz w:val="22"/>
          <w:szCs w:val="22"/>
        </w:rPr>
        <w:t> </w:t>
      </w:r>
      <w:r w:rsidRPr="002C0C84">
        <w:rPr>
          <w:rFonts w:asciiTheme="minorBidi" w:hAnsiTheme="minorBidi" w:cstheme="minorBidi"/>
          <w:i/>
          <w:iCs/>
          <w:sz w:val="22"/>
          <w:szCs w:val="22"/>
        </w:rPr>
        <w:t>The International journal of health planning and management</w:t>
      </w:r>
      <w:r w:rsidRPr="002C0C84">
        <w:rPr>
          <w:rFonts w:asciiTheme="minorBidi" w:hAnsiTheme="minorBidi" w:cstheme="minorBidi"/>
          <w:sz w:val="22"/>
          <w:szCs w:val="22"/>
        </w:rPr>
        <w:t>, </w:t>
      </w:r>
      <w:r w:rsidRPr="002C0C84">
        <w:rPr>
          <w:rFonts w:asciiTheme="minorBidi" w:hAnsiTheme="minorBidi" w:cstheme="minorBidi"/>
          <w:i/>
          <w:iCs/>
          <w:sz w:val="22"/>
          <w:szCs w:val="22"/>
        </w:rPr>
        <w:t>36</w:t>
      </w:r>
      <w:r w:rsidRPr="002C0C84">
        <w:rPr>
          <w:rFonts w:asciiTheme="minorBidi" w:hAnsiTheme="minorBidi" w:cstheme="minorBidi"/>
          <w:sz w:val="22"/>
          <w:szCs w:val="22"/>
        </w:rPr>
        <w:t>(5), 1874-1886.</w:t>
      </w:r>
    </w:p>
    <w:p w14:paraId="221FBEDE" w14:textId="77777777" w:rsidR="002C0C84" w:rsidRPr="002C0C84" w:rsidRDefault="002C0C84" w:rsidP="00697445">
      <w:pPr>
        <w:pStyle w:val="NormalWeb"/>
        <w:numPr>
          <w:ilvl w:val="0"/>
          <w:numId w:val="2"/>
        </w:numPr>
        <w:spacing w:line="360" w:lineRule="auto"/>
        <w:jc w:val="both"/>
        <w:rPr>
          <w:rFonts w:asciiTheme="minorBidi" w:hAnsiTheme="minorBidi" w:cstheme="minorBidi"/>
          <w:sz w:val="22"/>
          <w:szCs w:val="22"/>
        </w:rPr>
      </w:pPr>
      <w:r w:rsidRPr="002C0C84">
        <w:rPr>
          <w:rFonts w:asciiTheme="minorBidi" w:hAnsiTheme="minorBidi" w:cstheme="minorBidi"/>
          <w:sz w:val="22"/>
          <w:szCs w:val="22"/>
        </w:rPr>
        <w:t>Smith, R. W., Jarvis, T., Sandhu, H. S., Pinto, A. D., O'Neill, M., Di Ruggiero, E., ... and Allin, S. (2023). Centralization and integration of public health systems: Perspectives of public health leaders on factors facilitating and impeding COVID-19 responses in three Canadian provinces. </w:t>
      </w:r>
      <w:r w:rsidRPr="002C0C84">
        <w:rPr>
          <w:rFonts w:asciiTheme="minorBidi" w:hAnsiTheme="minorBidi" w:cstheme="minorBidi"/>
          <w:i/>
          <w:iCs/>
          <w:sz w:val="22"/>
          <w:szCs w:val="22"/>
        </w:rPr>
        <w:t>Health Policy</w:t>
      </w:r>
      <w:r w:rsidRPr="002C0C84">
        <w:rPr>
          <w:rFonts w:asciiTheme="minorBidi" w:hAnsiTheme="minorBidi" w:cstheme="minorBidi"/>
          <w:sz w:val="22"/>
          <w:szCs w:val="22"/>
        </w:rPr>
        <w:t>, </w:t>
      </w:r>
      <w:r w:rsidRPr="002C0C84">
        <w:rPr>
          <w:rFonts w:asciiTheme="minorBidi" w:hAnsiTheme="minorBidi" w:cstheme="minorBidi"/>
          <w:i/>
          <w:iCs/>
          <w:sz w:val="22"/>
          <w:szCs w:val="22"/>
        </w:rPr>
        <w:t>127</w:t>
      </w:r>
      <w:r w:rsidRPr="002C0C84">
        <w:rPr>
          <w:rFonts w:asciiTheme="minorBidi" w:hAnsiTheme="minorBidi" w:cstheme="minorBidi"/>
          <w:sz w:val="22"/>
          <w:szCs w:val="22"/>
        </w:rPr>
        <w:t>, 19-28.</w:t>
      </w:r>
    </w:p>
    <w:p w14:paraId="36EA17FA" w14:textId="77777777" w:rsidR="002C0C84" w:rsidRPr="002C0C84" w:rsidRDefault="002C0C84" w:rsidP="00697445">
      <w:pPr>
        <w:pStyle w:val="NormalWeb"/>
        <w:numPr>
          <w:ilvl w:val="0"/>
          <w:numId w:val="2"/>
        </w:numPr>
        <w:spacing w:line="360" w:lineRule="auto"/>
        <w:jc w:val="both"/>
        <w:rPr>
          <w:rFonts w:asciiTheme="minorBidi" w:hAnsiTheme="minorBidi" w:cstheme="minorBidi"/>
          <w:sz w:val="22"/>
          <w:szCs w:val="22"/>
        </w:rPr>
      </w:pPr>
      <w:r w:rsidRPr="002C0C84">
        <w:rPr>
          <w:rFonts w:asciiTheme="minorBidi" w:hAnsiTheme="minorBidi" w:cstheme="minorBidi"/>
          <w:sz w:val="22"/>
          <w:szCs w:val="22"/>
        </w:rPr>
        <w:t>Smits, P., Cambourieu, C., and Ouimet, M. (2023). Connections between health research systems and decision-making spaces: lessons from the COVID-19 pandemic in the province of Québec, Canada. </w:t>
      </w:r>
      <w:r w:rsidRPr="002C0C84">
        <w:rPr>
          <w:rFonts w:asciiTheme="minorBidi" w:hAnsiTheme="minorBidi" w:cstheme="minorBidi"/>
          <w:i/>
          <w:iCs/>
          <w:sz w:val="22"/>
          <w:szCs w:val="22"/>
        </w:rPr>
        <w:t>Health Research Policy and Systems</w:t>
      </w:r>
      <w:r w:rsidRPr="002C0C84">
        <w:rPr>
          <w:rFonts w:asciiTheme="minorBidi" w:hAnsiTheme="minorBidi" w:cstheme="minorBidi"/>
          <w:sz w:val="22"/>
          <w:szCs w:val="22"/>
        </w:rPr>
        <w:t>, </w:t>
      </w:r>
      <w:r w:rsidRPr="002C0C84">
        <w:rPr>
          <w:rFonts w:asciiTheme="minorBidi" w:hAnsiTheme="minorBidi" w:cstheme="minorBidi"/>
          <w:i/>
          <w:iCs/>
          <w:sz w:val="22"/>
          <w:szCs w:val="22"/>
        </w:rPr>
        <w:t>21</w:t>
      </w:r>
      <w:r w:rsidRPr="002C0C84">
        <w:rPr>
          <w:rFonts w:asciiTheme="minorBidi" w:hAnsiTheme="minorBidi" w:cstheme="minorBidi"/>
          <w:sz w:val="22"/>
          <w:szCs w:val="22"/>
        </w:rPr>
        <w:t>(1), 116.</w:t>
      </w:r>
    </w:p>
    <w:p w14:paraId="4DA696AE" w14:textId="77777777" w:rsidR="002C0C84" w:rsidRPr="002C0C84" w:rsidRDefault="002C0C84" w:rsidP="00697445">
      <w:pPr>
        <w:pStyle w:val="NormalWeb"/>
        <w:numPr>
          <w:ilvl w:val="0"/>
          <w:numId w:val="2"/>
        </w:numPr>
        <w:spacing w:line="360" w:lineRule="auto"/>
        <w:jc w:val="both"/>
        <w:rPr>
          <w:rFonts w:asciiTheme="minorBidi" w:hAnsiTheme="minorBidi" w:cstheme="minorBidi"/>
          <w:sz w:val="22"/>
          <w:szCs w:val="22"/>
        </w:rPr>
      </w:pPr>
      <w:r w:rsidRPr="002C0C84">
        <w:rPr>
          <w:rFonts w:asciiTheme="minorBidi" w:hAnsiTheme="minorBidi" w:cstheme="minorBidi"/>
          <w:sz w:val="22"/>
          <w:szCs w:val="22"/>
        </w:rPr>
        <w:t>Taylor, K., DeLeo, R. A., Crow, D. A., and Birkland, T. A. (2022). The US response to the COVID-19 pandemic: Incoherent leadership, fractured federalism, and squandered capacity. In </w:t>
      </w:r>
      <w:r w:rsidRPr="002C0C84">
        <w:rPr>
          <w:rFonts w:asciiTheme="minorBidi" w:hAnsiTheme="minorBidi" w:cstheme="minorBidi"/>
          <w:i/>
          <w:iCs/>
          <w:sz w:val="22"/>
          <w:szCs w:val="22"/>
        </w:rPr>
        <w:t>Policy Styles and Trust in the Age of Pandemics</w:t>
      </w:r>
      <w:r w:rsidRPr="002C0C84">
        <w:rPr>
          <w:rFonts w:asciiTheme="minorBidi" w:hAnsiTheme="minorBidi" w:cstheme="minorBidi"/>
          <w:sz w:val="22"/>
          <w:szCs w:val="22"/>
        </w:rPr>
        <w:t> (pp. 191-208). Routledge.</w:t>
      </w:r>
    </w:p>
    <w:p w14:paraId="0AEF6848" w14:textId="77777777" w:rsidR="002C0C84" w:rsidRPr="002C0C84" w:rsidRDefault="002C0C84" w:rsidP="00697445">
      <w:pPr>
        <w:pStyle w:val="NormalWeb"/>
        <w:numPr>
          <w:ilvl w:val="0"/>
          <w:numId w:val="2"/>
        </w:numPr>
        <w:spacing w:line="360" w:lineRule="auto"/>
        <w:jc w:val="both"/>
        <w:rPr>
          <w:rFonts w:asciiTheme="minorBidi" w:hAnsiTheme="minorBidi" w:cstheme="minorBidi"/>
          <w:sz w:val="22"/>
          <w:szCs w:val="22"/>
        </w:rPr>
      </w:pPr>
      <w:r w:rsidRPr="002C0C84">
        <w:rPr>
          <w:rFonts w:asciiTheme="minorBidi" w:hAnsiTheme="minorBidi" w:cstheme="minorBidi"/>
          <w:sz w:val="22"/>
          <w:szCs w:val="22"/>
        </w:rPr>
        <w:t>Trudeau, J. (2021). Canada's Response to the COVID-19 Crisis. </w:t>
      </w:r>
      <w:r w:rsidRPr="002C0C84">
        <w:rPr>
          <w:rFonts w:asciiTheme="minorBidi" w:hAnsiTheme="minorBidi" w:cstheme="minorBidi"/>
          <w:i/>
          <w:iCs/>
          <w:sz w:val="22"/>
          <w:szCs w:val="22"/>
        </w:rPr>
        <w:t>Political Turmoil in a Tumultuous World: Canada Among Nations 2020</w:t>
      </w:r>
      <w:r w:rsidRPr="002C0C84">
        <w:rPr>
          <w:rFonts w:asciiTheme="minorBidi" w:hAnsiTheme="minorBidi" w:cstheme="minorBidi"/>
          <w:sz w:val="22"/>
          <w:szCs w:val="22"/>
        </w:rPr>
        <w:t>, 211.</w:t>
      </w:r>
    </w:p>
    <w:p w14:paraId="1D80482F" w14:textId="77777777" w:rsidR="002C0C84" w:rsidRPr="00697445" w:rsidRDefault="002C0C84" w:rsidP="00697445">
      <w:pPr>
        <w:pStyle w:val="ListParagraph"/>
        <w:numPr>
          <w:ilvl w:val="0"/>
          <w:numId w:val="2"/>
        </w:numPr>
        <w:rPr>
          <w:rFonts w:asciiTheme="minorBidi" w:hAnsiTheme="minorBidi"/>
          <w:sz w:val="22"/>
        </w:rPr>
      </w:pPr>
      <w:r w:rsidRPr="00697445">
        <w:rPr>
          <w:rFonts w:asciiTheme="minorBidi" w:hAnsiTheme="minorBidi"/>
          <w:sz w:val="22"/>
        </w:rPr>
        <w:t xml:space="preserve">World Health Organization (2020) </w:t>
      </w:r>
      <w:r w:rsidRPr="00697445">
        <w:rPr>
          <w:rFonts w:asciiTheme="minorBidi" w:hAnsiTheme="minorBidi"/>
          <w:i/>
          <w:iCs/>
          <w:sz w:val="22"/>
        </w:rPr>
        <w:t>Responding to COVID-19: Learning from International Experience</w:t>
      </w:r>
      <w:r w:rsidRPr="00697445">
        <w:rPr>
          <w:rFonts w:asciiTheme="minorBidi" w:hAnsiTheme="minorBidi"/>
          <w:sz w:val="22"/>
        </w:rPr>
        <w:t>. Geneva: WHO.</w:t>
      </w:r>
    </w:p>
    <w:p w14:paraId="5D5DE520" w14:textId="77777777" w:rsidR="002C0C84" w:rsidRPr="00697445" w:rsidRDefault="002C0C84" w:rsidP="00697445">
      <w:pPr>
        <w:pStyle w:val="ListParagraph"/>
        <w:numPr>
          <w:ilvl w:val="0"/>
          <w:numId w:val="2"/>
        </w:numPr>
        <w:rPr>
          <w:rFonts w:asciiTheme="minorBidi" w:hAnsiTheme="minorBidi"/>
          <w:sz w:val="22"/>
        </w:rPr>
      </w:pPr>
      <w:r w:rsidRPr="00697445">
        <w:rPr>
          <w:rFonts w:asciiTheme="minorBidi" w:hAnsiTheme="minorBidi"/>
          <w:sz w:val="22"/>
        </w:rPr>
        <w:t xml:space="preserve">World Health Organization (2021) </w:t>
      </w:r>
      <w:r w:rsidRPr="00697445">
        <w:rPr>
          <w:rFonts w:asciiTheme="minorBidi" w:hAnsiTheme="minorBidi"/>
          <w:i/>
          <w:iCs/>
          <w:sz w:val="22"/>
        </w:rPr>
        <w:t>COVID-19 Strategic Preparedness and Response Plan</w:t>
      </w:r>
      <w:r w:rsidRPr="00697445">
        <w:rPr>
          <w:rFonts w:asciiTheme="minorBidi" w:hAnsiTheme="minorBidi"/>
          <w:sz w:val="22"/>
        </w:rPr>
        <w:t>. Geneva: WHO.</w:t>
      </w:r>
    </w:p>
    <w:p w14:paraId="762BE359" w14:textId="77777777" w:rsidR="002C0C84" w:rsidRPr="002C0C84" w:rsidRDefault="002C0C84" w:rsidP="00697445">
      <w:pPr>
        <w:pStyle w:val="NormalWeb"/>
        <w:numPr>
          <w:ilvl w:val="0"/>
          <w:numId w:val="2"/>
        </w:numPr>
        <w:spacing w:line="360" w:lineRule="auto"/>
        <w:jc w:val="both"/>
        <w:rPr>
          <w:rFonts w:asciiTheme="minorBidi" w:hAnsiTheme="minorBidi" w:cstheme="minorBidi"/>
          <w:sz w:val="22"/>
          <w:szCs w:val="22"/>
        </w:rPr>
      </w:pPr>
      <w:r w:rsidRPr="002C0C84">
        <w:rPr>
          <w:rFonts w:asciiTheme="minorBidi" w:hAnsiTheme="minorBidi" w:cstheme="minorBidi"/>
          <w:sz w:val="22"/>
          <w:szCs w:val="22"/>
        </w:rPr>
        <w:t>You, J. (2020). Lessons from South Korea’s Covid-19 policy response. </w:t>
      </w:r>
      <w:r w:rsidRPr="002C0C84">
        <w:rPr>
          <w:rFonts w:asciiTheme="minorBidi" w:hAnsiTheme="minorBidi" w:cstheme="minorBidi"/>
          <w:i/>
          <w:iCs/>
          <w:sz w:val="22"/>
          <w:szCs w:val="22"/>
        </w:rPr>
        <w:t>The American Review of Public Administration</w:t>
      </w:r>
      <w:r w:rsidRPr="002C0C84">
        <w:rPr>
          <w:rFonts w:asciiTheme="minorBidi" w:hAnsiTheme="minorBidi" w:cstheme="minorBidi"/>
          <w:sz w:val="22"/>
          <w:szCs w:val="22"/>
        </w:rPr>
        <w:t>, </w:t>
      </w:r>
      <w:r w:rsidRPr="002C0C84">
        <w:rPr>
          <w:rFonts w:asciiTheme="minorBidi" w:hAnsiTheme="minorBidi" w:cstheme="minorBidi"/>
          <w:i/>
          <w:iCs/>
          <w:sz w:val="22"/>
          <w:szCs w:val="22"/>
        </w:rPr>
        <w:t>50</w:t>
      </w:r>
      <w:r w:rsidRPr="002C0C84">
        <w:rPr>
          <w:rFonts w:asciiTheme="minorBidi" w:hAnsiTheme="minorBidi" w:cstheme="minorBidi"/>
          <w:sz w:val="22"/>
          <w:szCs w:val="22"/>
        </w:rPr>
        <w:t xml:space="preserve">(6-7), 801-808. </w:t>
      </w:r>
    </w:p>
    <w:p w14:paraId="6E28D617" w14:textId="2ACE810C" w:rsidR="002C0C84" w:rsidRPr="002C0C84" w:rsidRDefault="002C0C84" w:rsidP="002C0C84">
      <w:pPr>
        <w:rPr>
          <w:rFonts w:asciiTheme="minorBidi" w:hAnsiTheme="minorBidi"/>
        </w:rPr>
      </w:pPr>
    </w:p>
    <w:p w14:paraId="61F680E1" w14:textId="77777777" w:rsidR="00667177" w:rsidRPr="002C0C84" w:rsidRDefault="00667177" w:rsidP="00667177">
      <w:pPr>
        <w:rPr>
          <w:rFonts w:asciiTheme="minorBidi" w:hAnsiTheme="minorBidi"/>
          <w:sz w:val="22"/>
        </w:rPr>
      </w:pPr>
    </w:p>
    <w:sectPr w:rsidR="00667177" w:rsidRPr="002C0C84" w:rsidSect="007C4232">
      <w:footerReference w:type="default" r:id="rId14"/>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1203A9" w14:textId="77777777" w:rsidR="00C00D01" w:rsidRDefault="00C00D01" w:rsidP="00667177">
      <w:pPr>
        <w:spacing w:after="0" w:line="240" w:lineRule="auto"/>
      </w:pPr>
      <w:r>
        <w:separator/>
      </w:r>
    </w:p>
  </w:endnote>
  <w:endnote w:type="continuationSeparator" w:id="0">
    <w:p w14:paraId="300F70BC" w14:textId="77777777" w:rsidR="00C00D01" w:rsidRDefault="00C00D01" w:rsidP="006671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5461404"/>
      <w:docPartObj>
        <w:docPartGallery w:val="Page Numbers (Bottom of Page)"/>
        <w:docPartUnique/>
      </w:docPartObj>
    </w:sdtPr>
    <w:sdtEndPr/>
    <w:sdtContent>
      <w:p w14:paraId="1090B9E0" w14:textId="3B47667D" w:rsidR="00667177" w:rsidRDefault="00667177">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70AD1B92" w14:textId="77777777" w:rsidR="00667177" w:rsidRDefault="006671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9FE76C" w14:textId="77777777" w:rsidR="00C00D01" w:rsidRDefault="00C00D01" w:rsidP="00667177">
      <w:pPr>
        <w:spacing w:after="0" w:line="240" w:lineRule="auto"/>
      </w:pPr>
      <w:r>
        <w:separator/>
      </w:r>
    </w:p>
  </w:footnote>
  <w:footnote w:type="continuationSeparator" w:id="0">
    <w:p w14:paraId="3623AFF1" w14:textId="77777777" w:rsidR="00C00D01" w:rsidRDefault="00C00D01" w:rsidP="006671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98352D"/>
    <w:multiLevelType w:val="hybridMultilevel"/>
    <w:tmpl w:val="6A247592"/>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53E1B83"/>
    <w:multiLevelType w:val="hybridMultilevel"/>
    <w:tmpl w:val="47982950"/>
    <w:lvl w:ilvl="0" w:tplc="4C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drawingGridHorizontalSpacing w:val="12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5C80"/>
    <w:rsid w:val="00131714"/>
    <w:rsid w:val="00192257"/>
    <w:rsid w:val="001C1DBE"/>
    <w:rsid w:val="001E7E33"/>
    <w:rsid w:val="001F3C84"/>
    <w:rsid w:val="001F4058"/>
    <w:rsid w:val="00275833"/>
    <w:rsid w:val="00295972"/>
    <w:rsid w:val="002C0C84"/>
    <w:rsid w:val="00317218"/>
    <w:rsid w:val="00404014"/>
    <w:rsid w:val="00420E9F"/>
    <w:rsid w:val="00464CEF"/>
    <w:rsid w:val="00555602"/>
    <w:rsid w:val="005A7DAA"/>
    <w:rsid w:val="006311D3"/>
    <w:rsid w:val="006650C5"/>
    <w:rsid w:val="00667177"/>
    <w:rsid w:val="006702E4"/>
    <w:rsid w:val="00674446"/>
    <w:rsid w:val="00697445"/>
    <w:rsid w:val="006C5ADF"/>
    <w:rsid w:val="006D473A"/>
    <w:rsid w:val="007C22D1"/>
    <w:rsid w:val="007C4232"/>
    <w:rsid w:val="007D5A60"/>
    <w:rsid w:val="00825A50"/>
    <w:rsid w:val="00934C23"/>
    <w:rsid w:val="00974457"/>
    <w:rsid w:val="00993D4E"/>
    <w:rsid w:val="009C1C57"/>
    <w:rsid w:val="00A37755"/>
    <w:rsid w:val="00A66CE1"/>
    <w:rsid w:val="00A7638B"/>
    <w:rsid w:val="00AE5C80"/>
    <w:rsid w:val="00B00800"/>
    <w:rsid w:val="00B25B39"/>
    <w:rsid w:val="00B26928"/>
    <w:rsid w:val="00B852A6"/>
    <w:rsid w:val="00C00D01"/>
    <w:rsid w:val="00C10859"/>
    <w:rsid w:val="00C63FAD"/>
    <w:rsid w:val="00C91EA0"/>
    <w:rsid w:val="00CC2988"/>
    <w:rsid w:val="00D13251"/>
    <w:rsid w:val="00D22247"/>
    <w:rsid w:val="00D95F9B"/>
    <w:rsid w:val="00DD7BAC"/>
    <w:rsid w:val="00DE54CF"/>
    <w:rsid w:val="00ED652C"/>
    <w:rsid w:val="00F150B6"/>
    <w:rsid w:val="00F837A5"/>
    <w:rsid w:val="00FB453C"/>
    <w:rsid w:val="00FC484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0D785B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5F9B"/>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934C23"/>
    <w:pPr>
      <w:keepNext/>
      <w:keepLines/>
      <w:spacing w:before="240" w:after="0"/>
      <w:outlineLvl w:val="0"/>
    </w:pPr>
    <w:rPr>
      <w:rFonts w:ascii="Arial" w:eastAsiaTheme="majorEastAsia" w:hAnsi="Arial" w:cs="Arial"/>
      <w:color w:val="4472C4" w:themeColor="accent1"/>
      <w:sz w:val="32"/>
      <w:szCs w:val="32"/>
    </w:rPr>
  </w:style>
  <w:style w:type="paragraph" w:styleId="Heading2">
    <w:name w:val="heading 2"/>
    <w:basedOn w:val="Normal"/>
    <w:link w:val="Heading2Char"/>
    <w:autoRedefine/>
    <w:uiPriority w:val="9"/>
    <w:qFormat/>
    <w:rsid w:val="00934C23"/>
    <w:pPr>
      <w:spacing w:before="100" w:beforeAutospacing="1" w:after="100" w:afterAutospacing="1" w:line="240" w:lineRule="auto"/>
      <w:outlineLvl w:val="1"/>
    </w:pPr>
    <w:rPr>
      <w:rFonts w:eastAsia="Times New Roman" w:cs="Times New Roman"/>
      <w:bCs/>
      <w:color w:val="4472C4" w:themeColor="accent1"/>
      <w:kern w:val="0"/>
      <w:sz w:val="28"/>
      <w:szCs w:val="28"/>
      <w14:ligatures w14:val="none"/>
    </w:rPr>
  </w:style>
  <w:style w:type="paragraph" w:styleId="Heading3">
    <w:name w:val="heading 3"/>
    <w:basedOn w:val="Normal"/>
    <w:next w:val="Normal"/>
    <w:link w:val="Heading3Char"/>
    <w:uiPriority w:val="9"/>
    <w:unhideWhenUsed/>
    <w:qFormat/>
    <w:rsid w:val="00D95F9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E5C80"/>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E5C80"/>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AE5C8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E5C8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E5C80"/>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E5C80"/>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4C23"/>
    <w:rPr>
      <w:rFonts w:ascii="Arial" w:eastAsiaTheme="majorEastAsia" w:hAnsi="Arial" w:cs="Arial"/>
      <w:color w:val="4472C4" w:themeColor="accent1"/>
      <w:sz w:val="32"/>
      <w:szCs w:val="32"/>
      <w:lang w:val="en-GB"/>
    </w:rPr>
  </w:style>
  <w:style w:type="character" w:customStyle="1" w:styleId="Heading2Char">
    <w:name w:val="Heading 2 Char"/>
    <w:basedOn w:val="DefaultParagraphFont"/>
    <w:link w:val="Heading2"/>
    <w:uiPriority w:val="9"/>
    <w:rsid w:val="00934C23"/>
    <w:rPr>
      <w:rFonts w:ascii="Times New Roman" w:eastAsia="Times New Roman" w:hAnsi="Times New Roman" w:cs="Times New Roman"/>
      <w:bCs/>
      <w:color w:val="4472C4" w:themeColor="accent1"/>
      <w:kern w:val="0"/>
      <w:sz w:val="28"/>
      <w:szCs w:val="28"/>
      <w:lang w:val="en-GB"/>
      <w14:ligatures w14:val="none"/>
    </w:rPr>
  </w:style>
  <w:style w:type="paragraph" w:styleId="TableofFigures">
    <w:name w:val="table of figures"/>
    <w:basedOn w:val="Normal"/>
    <w:next w:val="Normal"/>
    <w:uiPriority w:val="99"/>
    <w:semiHidden/>
    <w:unhideWhenUsed/>
    <w:rsid w:val="00B25B39"/>
    <w:pPr>
      <w:spacing w:after="0"/>
    </w:pPr>
  </w:style>
  <w:style w:type="character" w:customStyle="1" w:styleId="Heading3Char">
    <w:name w:val="Heading 3 Char"/>
    <w:basedOn w:val="DefaultParagraphFont"/>
    <w:link w:val="Heading3"/>
    <w:uiPriority w:val="9"/>
    <w:rsid w:val="00D95F9B"/>
    <w:rPr>
      <w:rFonts w:ascii="Times New Roman" w:eastAsiaTheme="majorEastAsia" w:hAnsi="Times New Roman"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AE5C80"/>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AE5C80"/>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AE5C80"/>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AE5C80"/>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AE5C80"/>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AE5C80"/>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AE5C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5C80"/>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AE5C80"/>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5C80"/>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AE5C80"/>
    <w:pPr>
      <w:spacing w:before="160"/>
      <w:jc w:val="center"/>
    </w:pPr>
    <w:rPr>
      <w:i/>
      <w:iCs/>
      <w:color w:val="404040" w:themeColor="text1" w:themeTint="BF"/>
    </w:rPr>
  </w:style>
  <w:style w:type="character" w:customStyle="1" w:styleId="QuoteChar">
    <w:name w:val="Quote Char"/>
    <w:basedOn w:val="DefaultParagraphFont"/>
    <w:link w:val="Quote"/>
    <w:uiPriority w:val="29"/>
    <w:rsid w:val="00AE5C80"/>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AE5C80"/>
    <w:pPr>
      <w:ind w:left="720"/>
      <w:contextualSpacing/>
    </w:pPr>
  </w:style>
  <w:style w:type="character" w:styleId="IntenseEmphasis">
    <w:name w:val="Intense Emphasis"/>
    <w:basedOn w:val="DefaultParagraphFont"/>
    <w:uiPriority w:val="21"/>
    <w:qFormat/>
    <w:rsid w:val="00AE5C80"/>
    <w:rPr>
      <w:i/>
      <w:iCs/>
      <w:color w:val="2F5496" w:themeColor="accent1" w:themeShade="BF"/>
    </w:rPr>
  </w:style>
  <w:style w:type="paragraph" w:styleId="IntenseQuote">
    <w:name w:val="Intense Quote"/>
    <w:basedOn w:val="Normal"/>
    <w:next w:val="Normal"/>
    <w:link w:val="IntenseQuoteChar"/>
    <w:uiPriority w:val="30"/>
    <w:qFormat/>
    <w:rsid w:val="00AE5C8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E5C80"/>
    <w:rPr>
      <w:rFonts w:ascii="Times New Roman" w:hAnsi="Times New Roman"/>
      <w:i/>
      <w:iCs/>
      <w:color w:val="2F5496" w:themeColor="accent1" w:themeShade="BF"/>
      <w:sz w:val="24"/>
      <w:lang w:val="en-GB"/>
    </w:rPr>
  </w:style>
  <w:style w:type="character" w:styleId="IntenseReference">
    <w:name w:val="Intense Reference"/>
    <w:basedOn w:val="DefaultParagraphFont"/>
    <w:uiPriority w:val="32"/>
    <w:qFormat/>
    <w:rsid w:val="00AE5C80"/>
    <w:rPr>
      <w:b/>
      <w:bCs/>
      <w:smallCaps/>
      <w:color w:val="2F5496" w:themeColor="accent1" w:themeShade="BF"/>
      <w:spacing w:val="5"/>
    </w:rPr>
  </w:style>
  <w:style w:type="table" w:styleId="PlainTable1">
    <w:name w:val="Plain Table 1"/>
    <w:basedOn w:val="TableNormal"/>
    <w:uiPriority w:val="41"/>
    <w:rsid w:val="009C1C5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667177"/>
    <w:pPr>
      <w:tabs>
        <w:tab w:val="center" w:pos="4680"/>
        <w:tab w:val="right" w:pos="9360"/>
      </w:tabs>
      <w:spacing w:after="0" w:line="240" w:lineRule="auto"/>
    </w:pPr>
  </w:style>
  <w:style w:type="character" w:customStyle="1" w:styleId="HeaderChar">
    <w:name w:val="Header Char"/>
    <w:basedOn w:val="DefaultParagraphFont"/>
    <w:link w:val="Header"/>
    <w:uiPriority w:val="99"/>
    <w:rsid w:val="00667177"/>
    <w:rPr>
      <w:rFonts w:ascii="Times New Roman" w:hAnsi="Times New Roman"/>
      <w:sz w:val="24"/>
      <w:lang w:val="en-GB"/>
    </w:rPr>
  </w:style>
  <w:style w:type="paragraph" w:styleId="Footer">
    <w:name w:val="footer"/>
    <w:basedOn w:val="Normal"/>
    <w:link w:val="FooterChar"/>
    <w:uiPriority w:val="99"/>
    <w:unhideWhenUsed/>
    <w:rsid w:val="00667177"/>
    <w:pPr>
      <w:tabs>
        <w:tab w:val="center" w:pos="4680"/>
        <w:tab w:val="right" w:pos="9360"/>
      </w:tabs>
      <w:spacing w:after="0" w:line="240" w:lineRule="auto"/>
    </w:pPr>
  </w:style>
  <w:style w:type="character" w:customStyle="1" w:styleId="FooterChar">
    <w:name w:val="Footer Char"/>
    <w:basedOn w:val="DefaultParagraphFont"/>
    <w:link w:val="Footer"/>
    <w:uiPriority w:val="99"/>
    <w:rsid w:val="00667177"/>
    <w:rPr>
      <w:rFonts w:ascii="Times New Roman" w:hAnsi="Times New Roman"/>
      <w:sz w:val="24"/>
      <w:lang w:val="en-GB"/>
    </w:rPr>
  </w:style>
  <w:style w:type="paragraph" w:styleId="TOCHeading">
    <w:name w:val="TOC Heading"/>
    <w:basedOn w:val="Heading1"/>
    <w:next w:val="Normal"/>
    <w:uiPriority w:val="39"/>
    <w:unhideWhenUsed/>
    <w:qFormat/>
    <w:rsid w:val="00667177"/>
    <w:pPr>
      <w:spacing w:line="259" w:lineRule="auto"/>
      <w:jc w:val="left"/>
      <w:outlineLvl w:val="9"/>
    </w:pPr>
    <w:rPr>
      <w:rFonts w:asciiTheme="majorHAnsi" w:hAnsiTheme="majorHAnsi"/>
      <w:b/>
      <w:color w:val="2F5496" w:themeColor="accent1" w:themeShade="BF"/>
      <w:kern w:val="0"/>
      <w:lang w:val="en-US"/>
      <w14:ligatures w14:val="none"/>
    </w:rPr>
  </w:style>
  <w:style w:type="paragraph" w:styleId="TOC1">
    <w:name w:val="toc 1"/>
    <w:basedOn w:val="Normal"/>
    <w:next w:val="Normal"/>
    <w:autoRedefine/>
    <w:uiPriority w:val="39"/>
    <w:unhideWhenUsed/>
    <w:rsid w:val="00667177"/>
    <w:pPr>
      <w:spacing w:after="100"/>
    </w:pPr>
  </w:style>
  <w:style w:type="paragraph" w:styleId="TOC2">
    <w:name w:val="toc 2"/>
    <w:basedOn w:val="Normal"/>
    <w:next w:val="Normal"/>
    <w:autoRedefine/>
    <w:uiPriority w:val="39"/>
    <w:unhideWhenUsed/>
    <w:rsid w:val="00667177"/>
    <w:pPr>
      <w:spacing w:after="100"/>
      <w:ind w:left="240"/>
    </w:pPr>
  </w:style>
  <w:style w:type="paragraph" w:styleId="TOC3">
    <w:name w:val="toc 3"/>
    <w:basedOn w:val="Normal"/>
    <w:next w:val="Normal"/>
    <w:autoRedefine/>
    <w:uiPriority w:val="39"/>
    <w:unhideWhenUsed/>
    <w:rsid w:val="00667177"/>
    <w:pPr>
      <w:spacing w:after="100"/>
      <w:ind w:left="480"/>
    </w:pPr>
  </w:style>
  <w:style w:type="character" w:styleId="Hyperlink">
    <w:name w:val="Hyperlink"/>
    <w:basedOn w:val="DefaultParagraphFont"/>
    <w:uiPriority w:val="99"/>
    <w:unhideWhenUsed/>
    <w:rsid w:val="00667177"/>
    <w:rPr>
      <w:color w:val="0563C1" w:themeColor="hyperlink"/>
      <w:u w:val="single"/>
    </w:rPr>
  </w:style>
  <w:style w:type="paragraph" w:styleId="Caption">
    <w:name w:val="caption"/>
    <w:basedOn w:val="Normal"/>
    <w:next w:val="Normal"/>
    <w:uiPriority w:val="35"/>
    <w:unhideWhenUsed/>
    <w:qFormat/>
    <w:rsid w:val="00420E9F"/>
    <w:pPr>
      <w:spacing w:after="200" w:line="240" w:lineRule="auto"/>
    </w:pPr>
    <w:rPr>
      <w:i/>
      <w:iCs/>
      <w:color w:val="44546A" w:themeColor="text2"/>
      <w:sz w:val="18"/>
      <w:szCs w:val="18"/>
    </w:rPr>
  </w:style>
  <w:style w:type="paragraph" w:styleId="NormalWeb">
    <w:name w:val="Normal (Web)"/>
    <w:basedOn w:val="Normal"/>
    <w:uiPriority w:val="99"/>
    <w:unhideWhenUsed/>
    <w:rsid w:val="002C0C84"/>
    <w:pPr>
      <w:spacing w:before="100" w:beforeAutospacing="1" w:after="100" w:afterAutospacing="1" w:line="240" w:lineRule="auto"/>
      <w:jc w:val="left"/>
    </w:pPr>
    <w:rPr>
      <w:rFonts w:eastAsia="Times New Roman" w:cs="Times New Roman"/>
      <w:kern w:val="0"/>
      <w:szCs w:val="24"/>
      <w:lang w:eastAsia="en-GB"/>
      <w14:ligatures w14:val="none"/>
    </w:rPr>
  </w:style>
  <w:style w:type="character" w:styleId="Emphasis">
    <w:name w:val="Emphasis"/>
    <w:basedOn w:val="DefaultParagraphFont"/>
    <w:uiPriority w:val="20"/>
    <w:qFormat/>
    <w:rsid w:val="002C0C84"/>
    <w:rPr>
      <w:i/>
      <w:iCs/>
    </w:rPr>
  </w:style>
  <w:style w:type="table" w:styleId="GridTable4-Accent6">
    <w:name w:val="Grid Table 4 Accent 6"/>
    <w:basedOn w:val="TableNormal"/>
    <w:uiPriority w:val="49"/>
    <w:rsid w:val="002C0C84"/>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Accent1">
    <w:name w:val="Grid Table 4 Accent 1"/>
    <w:basedOn w:val="TableNormal"/>
    <w:uiPriority w:val="49"/>
    <w:rsid w:val="002C0C84"/>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747024-AB44-4B3D-AABC-A055CB4D02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8055</Words>
  <Characters>45914</Characters>
  <Application>Microsoft Office Word</Application>
  <DocSecurity>0</DocSecurity>
  <Lines>382</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
  <cp:revision>1</cp:revision>
  <dcterms:created xsi:type="dcterms:W3CDTF">2025-12-08T20:34:00Z</dcterms:created>
  <dcterms:modified xsi:type="dcterms:W3CDTF">2025-12-15T13:21:00Z</dcterms:modified>
</cp:coreProperties>
</file>