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DB0EE" w14:textId="7A79704E" w:rsidR="00DB261C" w:rsidRPr="00DB261C" w:rsidRDefault="00DB261C" w:rsidP="00A03FD9">
      <w:pPr>
        <w:jc w:val="center"/>
        <w:rPr>
          <w:b/>
          <w:bCs/>
        </w:rPr>
      </w:pPr>
      <w:r w:rsidRPr="00DB261C">
        <w:rPr>
          <w:b/>
          <w:bCs/>
        </w:rPr>
        <w:t xml:space="preserve">History </w:t>
      </w:r>
      <w:r w:rsidR="00522D2A">
        <w:rPr>
          <w:b/>
          <w:bCs/>
        </w:rPr>
        <w:t>of</w:t>
      </w:r>
      <w:r w:rsidRPr="00DB261C">
        <w:rPr>
          <w:b/>
          <w:bCs/>
        </w:rPr>
        <w:t xml:space="preserve"> the Welsh Language</w:t>
      </w:r>
    </w:p>
    <w:p w14:paraId="5D398083" w14:textId="77777777" w:rsidR="00DB261C" w:rsidRPr="00DB261C" w:rsidRDefault="00DB261C" w:rsidP="00DB261C">
      <w:pPr>
        <w:rPr>
          <w:b/>
          <w:bCs/>
        </w:rPr>
      </w:pPr>
      <w:r w:rsidRPr="00DB261C">
        <w:rPr>
          <w:b/>
          <w:bCs/>
        </w:rPr>
        <w:t>Introduction</w:t>
      </w:r>
    </w:p>
    <w:p w14:paraId="02040A92" w14:textId="6D0215CE" w:rsidR="00DB261C" w:rsidRPr="00DB261C" w:rsidRDefault="00DB261C" w:rsidP="00DB261C">
      <w:r w:rsidRPr="00DB261C">
        <w:t>The Welsh language</w:t>
      </w:r>
      <w:r>
        <w:t xml:space="preserve"> is</w:t>
      </w:r>
      <w:r w:rsidRPr="00DB261C">
        <w:t xml:space="preserve"> an integral part of Welsh identity</w:t>
      </w:r>
      <w:r>
        <w:t>. It</w:t>
      </w:r>
      <w:r w:rsidRPr="00DB261C">
        <w:t xml:space="preserve"> has a fascinating and complex history that ties deeply into the wider story of the Celtic languages and medieval Wales</w:t>
      </w:r>
      <w:r>
        <w:t xml:space="preserve"> itself</w:t>
      </w:r>
      <w:r w:rsidRPr="00DB261C">
        <w:t>. As one of the last remaining members of the Brittonic (or Brythonic) branch of the Celtic language family, Welsh occupies a distinct and important place in the study of Celtic linguistics.</w:t>
      </w:r>
      <w:r>
        <w:t xml:space="preserve"> T</w:t>
      </w:r>
      <w:r w:rsidRPr="00DB261C">
        <w:t>his essay</w:t>
      </w:r>
      <w:r>
        <w:t xml:space="preserve"> aims to</w:t>
      </w:r>
      <w:r w:rsidRPr="00DB261C">
        <w:t xml:space="preserve"> explore the history of the Welsh language, its closest relatives, the written evidence available for its study, the various writing systems it has used, and the different periods in which it has been attested. Additionally, I will discuss the challenges and successes in the survival and revival of Welsh as a living language, reflecting on its cultural, linguistic, and historical importance.</w:t>
      </w:r>
    </w:p>
    <w:p w14:paraId="70162282" w14:textId="421625F8" w:rsidR="00DB261C" w:rsidRPr="00DB261C" w:rsidRDefault="00DB261C" w:rsidP="00DB261C">
      <w:r w:rsidRPr="00DB261C">
        <w:rPr>
          <w:b/>
          <w:bCs/>
        </w:rPr>
        <w:t>Welsh and Its Closest Relatives</w:t>
      </w:r>
    </w:p>
    <w:p w14:paraId="1C36BA29" w14:textId="147AB7A5" w:rsidR="00DB261C" w:rsidRPr="00DB261C" w:rsidRDefault="00DB261C" w:rsidP="00DB261C">
      <w:r w:rsidRPr="00DB261C">
        <w:t>Welsh belongs to the Brittonic branch of the Celtic language family</w:t>
      </w:r>
      <w:r w:rsidRPr="00E6309C">
        <w:t>, known as P-Celtic</w:t>
      </w:r>
      <w:r w:rsidRPr="00DB261C">
        <w:t>, alongside its close relatives, Breton and Cornish. These languages are distinct from the Goidelic (or Gaelic) branch</w:t>
      </w:r>
      <w:r w:rsidRPr="00E6309C">
        <w:t>, known as Q-Celtic</w:t>
      </w:r>
      <w:r w:rsidRPr="00DB261C">
        <w:t>, which includes Irish, Scottish Gaelic, and Manx. The roots of Proto-Brittonic, which began to take shape around the 6th century BCE, evolved from Proto-Celtic, the language shared by Celtic tribes across Europe.</w:t>
      </w:r>
      <w:r w:rsidR="006F71B0">
        <w:rPr>
          <w:rStyle w:val="FootnoteReference"/>
        </w:rPr>
        <w:footnoteReference w:id="1"/>
      </w:r>
      <w:r w:rsidRPr="00DB261C">
        <w:t xml:space="preserve"> Over time, the Brittonic languages began to diverge, influenced by geograph</w:t>
      </w:r>
      <w:r w:rsidR="00194D3B">
        <w:t>ical</w:t>
      </w:r>
      <w:r w:rsidRPr="00DB261C">
        <w:t xml:space="preserve"> and political shifts. While Welsh, spoken primarily in Wales, has managed to maintain a strong presence, both Breton and Cornish</w:t>
      </w:r>
      <w:r w:rsidR="00CA0E83">
        <w:t xml:space="preserve"> have</w:t>
      </w:r>
      <w:r w:rsidRPr="00DB261C">
        <w:t xml:space="preserve"> faced decline. Cornish eventually died out as a spoken language by the 18th century, though efforts to revive it continue today. Breton, although still spoken, has been heavily influenced by French.</w:t>
      </w:r>
    </w:p>
    <w:p w14:paraId="7A9074B5" w14:textId="66CDC7F2" w:rsidR="00DB261C" w:rsidRPr="00DB261C" w:rsidRDefault="00DB261C" w:rsidP="00DB261C">
      <w:r w:rsidRPr="00DB261C">
        <w:t>The relationships between Welsh, Cornish, and Breton are evident in their shared linguistic features, which trace back to Proto-Brittonic. However, Breton's divergence began after its speakers migrated to Brittany in the 5th and 6th centuries</w:t>
      </w:r>
      <w:r w:rsidR="00194D3B">
        <w:t xml:space="preserve"> and was</w:t>
      </w:r>
      <w:r w:rsidRPr="00DB261C">
        <w:t xml:space="preserve"> influenced by Old French, while Cornish became extinct due to the dominance of English. On the other hand, Welsh endured, even in the face of English dominance, particularly after the annexation of Wales in 1536.</w:t>
      </w:r>
      <w:r w:rsidR="006F71B0">
        <w:rPr>
          <w:rStyle w:val="FootnoteReference"/>
        </w:rPr>
        <w:footnoteReference w:id="2"/>
      </w:r>
    </w:p>
    <w:p w14:paraId="12DA3E57" w14:textId="66BB808B" w:rsidR="00DB261C" w:rsidRPr="00DB261C" w:rsidRDefault="00DB261C" w:rsidP="00DB261C">
      <w:pPr>
        <w:rPr>
          <w:b/>
          <w:bCs/>
        </w:rPr>
      </w:pPr>
      <w:r w:rsidRPr="00DB261C">
        <w:rPr>
          <w:b/>
          <w:bCs/>
        </w:rPr>
        <w:lastRenderedPageBreak/>
        <w:t>Early Written Evidence of Welsh</w:t>
      </w:r>
    </w:p>
    <w:p w14:paraId="59964960" w14:textId="1145C9C6" w:rsidR="00DB261C" w:rsidRPr="00DB261C" w:rsidRDefault="00DB261C" w:rsidP="00DB261C">
      <w:r w:rsidRPr="00DB261C">
        <w:t>Written Welsh appeared relatively late compared to other European languages, largely because, like many other Celtic languages, it was originally an oral tradition. However, by the 6th century, written Welsh began to emerge, thanks to the Christianization of Wales and the introduction of the Latin alphabet.</w:t>
      </w:r>
      <w:r w:rsidR="006F71B0">
        <w:rPr>
          <w:rStyle w:val="FootnoteReference"/>
        </w:rPr>
        <w:footnoteReference w:id="3"/>
      </w:r>
      <w:r w:rsidRPr="00DB261C">
        <w:t xml:space="preserve"> One of the earliest and most celebrated examples of Welsh writing is the </w:t>
      </w:r>
      <w:r w:rsidRPr="00DB261C">
        <w:rPr>
          <w:i/>
          <w:iCs/>
        </w:rPr>
        <w:t>Poems of Taliesin</w:t>
      </w:r>
      <w:r w:rsidRPr="00DB261C">
        <w:t>, attributed to the legendary bard Taliesin.</w:t>
      </w:r>
      <w:r w:rsidR="006F71B0">
        <w:rPr>
          <w:rStyle w:val="FootnoteReference"/>
        </w:rPr>
        <w:footnoteReference w:id="4"/>
      </w:r>
      <w:r w:rsidRPr="00DB261C">
        <w:t xml:space="preserve"> These poems, likely </w:t>
      </w:r>
      <w:r w:rsidR="002602A9" w:rsidRPr="0029148C">
        <w:t>originated</w:t>
      </w:r>
      <w:r w:rsidRPr="00DB261C">
        <w:t xml:space="preserve"> </w:t>
      </w:r>
      <w:r w:rsidR="002602A9" w:rsidRPr="0029148C">
        <w:t>around</w:t>
      </w:r>
      <w:r w:rsidRPr="00DB261C">
        <w:t xml:space="preserve"> the 6th century, </w:t>
      </w:r>
      <w:r w:rsidR="002602A9" w:rsidRPr="0029148C">
        <w:t xml:space="preserve">yet </w:t>
      </w:r>
      <w:r w:rsidRPr="00DB261C">
        <w:t>were later</w:t>
      </w:r>
      <w:r w:rsidR="002602A9" w:rsidRPr="0029148C">
        <w:t xml:space="preserve"> written</w:t>
      </w:r>
      <w:r w:rsidRPr="00DB261C">
        <w:t xml:space="preserve"> in the 9th or 10th centuries</w:t>
      </w:r>
      <w:r w:rsidR="002602A9" w:rsidRPr="0029148C">
        <w:t>.</w:t>
      </w:r>
    </w:p>
    <w:p w14:paraId="3F4D64CE" w14:textId="3344B007" w:rsidR="00C75B08" w:rsidRPr="00DB261C" w:rsidRDefault="00DB261C" w:rsidP="00DB261C">
      <w:r w:rsidRPr="00DB261C">
        <w:t xml:space="preserve">Another key early text is the </w:t>
      </w:r>
      <w:r w:rsidRPr="00DB261C">
        <w:rPr>
          <w:i/>
          <w:iCs/>
        </w:rPr>
        <w:t>Gododdin</w:t>
      </w:r>
      <w:r w:rsidRPr="00DB261C">
        <w:t>, a poem about warriors from the kingdom of Gododdin. Dated to the 6th century, it shows features of Old Welsh while also hinting at the grammatical changes that would characterize the Middle Welsh period.</w:t>
      </w:r>
      <w:r w:rsidR="006F71B0">
        <w:rPr>
          <w:rStyle w:val="FootnoteReference"/>
        </w:rPr>
        <w:footnoteReference w:id="5"/>
      </w:r>
      <w:r w:rsidRPr="00DB261C">
        <w:t xml:space="preserve"> These early works reveal the strong oral tradition that existed in Wales, with much of the material initially passed down through spoken word before being captured in writing with the advent of Christianity. </w:t>
      </w:r>
      <w:r w:rsidR="00C75B08">
        <w:t xml:space="preserve">The Gododdin provides indication of the influence of Latin within Old Welsh. </w:t>
      </w:r>
    </w:p>
    <w:p w14:paraId="411B782E" w14:textId="5F62CBB2" w:rsidR="00DB261C" w:rsidRPr="00DB261C" w:rsidRDefault="00DB261C" w:rsidP="00DB261C">
      <w:r w:rsidRPr="00DB261C">
        <w:rPr>
          <w:b/>
          <w:bCs/>
        </w:rPr>
        <w:t>The Writing Systems Used in Welsh</w:t>
      </w:r>
    </w:p>
    <w:p w14:paraId="55DE441E" w14:textId="713F0939" w:rsidR="00DB261C" w:rsidRPr="00DB261C" w:rsidRDefault="00DB261C" w:rsidP="00DB261C">
      <w:r w:rsidRPr="00DB261C">
        <w:t>The Welsh language’s transition into written form was heavily influenced by the arrival of Christianity, which brought the Latin alphabet to Britain. Prior to this, there is some evidence suggesting that early Welsh inscriptions may have used the Ogham script, a writing system typically associated with Irish and some early Brittonic inscriptions, predominantly found on stone monuments</w:t>
      </w:r>
      <w:r w:rsidR="00911243">
        <w:t xml:space="preserve">, as discussed </w:t>
      </w:r>
      <w:r w:rsidR="00911243" w:rsidRPr="006F71B0">
        <w:t xml:space="preserve">in Early Medieval Wales – a matter of identity by Prof Nancy Edwards on </w:t>
      </w:r>
      <w:r w:rsidR="00472641" w:rsidRPr="006F71B0">
        <w:t>YouTube</w:t>
      </w:r>
      <w:r w:rsidR="00911243">
        <w:t>, which explained three languages being spoken at the time of inscription, Welsh, through Ogham script, Latin and Irish.</w:t>
      </w:r>
      <w:r w:rsidR="006F71B0">
        <w:rPr>
          <w:rStyle w:val="FootnoteReference"/>
        </w:rPr>
        <w:footnoteReference w:id="6"/>
      </w:r>
      <w:r w:rsidR="00911243">
        <w:t xml:space="preserve"> Ogham</w:t>
      </w:r>
      <w:r w:rsidRPr="00DB261C">
        <w:t xml:space="preserve"> script was likely used as early as the 4th century CE. By the time Welsh became a fully written language, however, the Latin alphabet had become the standard, aided by the influence of Latin-speaking Christian missionaries.</w:t>
      </w:r>
      <w:r w:rsidR="006F71B0">
        <w:rPr>
          <w:rStyle w:val="FootnoteReference"/>
        </w:rPr>
        <w:footnoteReference w:id="7"/>
      </w:r>
    </w:p>
    <w:p w14:paraId="4AE810B5" w14:textId="0D57B861" w:rsidR="00DB261C" w:rsidRPr="00DB261C" w:rsidRDefault="00DB261C" w:rsidP="00DB261C">
      <w:r w:rsidRPr="00DB261C">
        <w:t xml:space="preserve">The earliest Welsh texts, dating from the 6th century, demonstrate how the Latin alphabet was adapted to represent the sounds of the Welsh language, which included phonemes that Latin wasn’t designed to handle. For instance, Welsh introduced new letters like </w:t>
      </w:r>
      <w:r w:rsidRPr="00DB261C">
        <w:rPr>
          <w:i/>
          <w:iCs/>
        </w:rPr>
        <w:t>ŵ</w:t>
      </w:r>
      <w:r w:rsidRPr="00DB261C">
        <w:t xml:space="preserve"> (for the long ‘u’ sound) and </w:t>
      </w:r>
      <w:r w:rsidRPr="00DB261C">
        <w:rPr>
          <w:i/>
          <w:iCs/>
        </w:rPr>
        <w:t>ŷ</w:t>
      </w:r>
      <w:r w:rsidRPr="00DB261C">
        <w:t xml:space="preserve"> (for the long ‘i’ sound</w:t>
      </w:r>
      <w:r w:rsidR="006F71B0">
        <w:t>).</w:t>
      </w:r>
      <w:r w:rsidR="006F71B0">
        <w:rPr>
          <w:rStyle w:val="FootnoteReference"/>
        </w:rPr>
        <w:footnoteReference w:id="8"/>
      </w:r>
    </w:p>
    <w:p w14:paraId="43D5D97A" w14:textId="1BAA3CBA" w:rsidR="00DB261C" w:rsidRPr="00DB261C" w:rsidRDefault="00DB261C" w:rsidP="00DB261C">
      <w:r w:rsidRPr="00DB261C">
        <w:t>A significant milestone in the history of written Welsh came with the translation of the Bible into Welsh by William Morgan in 1588.</w:t>
      </w:r>
      <w:r w:rsidR="006F71B0">
        <w:rPr>
          <w:rStyle w:val="FootnoteReference"/>
        </w:rPr>
        <w:footnoteReference w:id="9"/>
      </w:r>
      <w:r w:rsidRPr="00DB261C">
        <w:t xml:space="preserve"> This translation not only helped to standardize Welsh spelling and grammar, but it also reinforced Welsh as a literary language at a time when English was beginning to dominate. The influence of Morgan's Bible on Welsh orthography continued to shape the language throughout the 19th century.</w:t>
      </w:r>
    </w:p>
    <w:p w14:paraId="7E050278" w14:textId="2EB986A2" w:rsidR="00DB261C" w:rsidRPr="00DB261C" w:rsidRDefault="0001697C" w:rsidP="00DB261C">
      <w:pPr>
        <w:rPr>
          <w:b/>
          <w:bCs/>
        </w:rPr>
      </w:pPr>
      <w:r>
        <w:rPr>
          <w:b/>
          <w:bCs/>
        </w:rPr>
        <w:t>The evolution of Proto Indo-European into Modern Welsh</w:t>
      </w:r>
    </w:p>
    <w:p w14:paraId="45E1F1D3" w14:textId="71388938" w:rsidR="0001697C" w:rsidRDefault="00DB261C" w:rsidP="0001697C">
      <w:r w:rsidRPr="00DB261C">
        <w:t>Over the centuries, the Welsh language has undergone significant changes, which can be divided into distinct periods: Old Welsh, Middle Welsh, Early Modern Welsh, and Modern Welsh. These periods not only reflect shifts in grammar and vocabulary but also trace the impact of political and social changes on the language.</w:t>
      </w:r>
      <w:r w:rsidR="0001697C">
        <w:t xml:space="preserve"> </w:t>
      </w:r>
      <w:r w:rsidR="009D096C">
        <w:t>While the debate surrounding Celtic origins is still ongoing</w:t>
      </w:r>
      <w:r w:rsidR="009E4B2E">
        <w:t>, such as the ‘Celts from the west’ theory, explored by Barry Cunliffe through an archaeological and linguistic lens, the evolution of the Celtic languages can be traced as such:</w:t>
      </w:r>
      <w:r w:rsidR="006F71B0">
        <w:rPr>
          <w:rStyle w:val="FootnoteReference"/>
        </w:rPr>
        <w:footnoteReference w:id="10"/>
      </w:r>
    </w:p>
    <w:p w14:paraId="0C40558B" w14:textId="232ADB5C" w:rsidR="00300BAC" w:rsidRDefault="0001697C" w:rsidP="006F71B0">
      <w:r w:rsidRPr="006F71B0">
        <w:rPr>
          <w:b/>
          <w:bCs/>
        </w:rPr>
        <w:t>Proto</w:t>
      </w:r>
      <w:r w:rsidR="009D096C" w:rsidRPr="006F71B0">
        <w:rPr>
          <w:b/>
          <w:bCs/>
        </w:rPr>
        <w:t xml:space="preserve"> </w:t>
      </w:r>
      <w:r w:rsidRPr="006F71B0">
        <w:rPr>
          <w:b/>
          <w:bCs/>
        </w:rPr>
        <w:t>Indo-European</w:t>
      </w:r>
      <w:r>
        <w:t xml:space="preserve"> (Circa </w:t>
      </w:r>
      <w:r w:rsidRPr="0057151A">
        <w:t>4,</w:t>
      </w:r>
      <w:r w:rsidR="009D096C">
        <w:t>000</w:t>
      </w:r>
      <w:r w:rsidRPr="0057151A">
        <w:t xml:space="preserve"> to 6,000 years ago</w:t>
      </w:r>
      <w:r>
        <w:t>): PIE</w:t>
      </w:r>
      <w:r w:rsidRPr="0057151A">
        <w:t xml:space="preserve"> is the hypothesized ancestor of a large number of languages spread across Europe and parts of Asia. It was a highly inflected language, with an elaborate system of declensions for nouns and adjectives and conjugations for verbs. PIE had a set of consonant and vowel sounds that would later evolve into the various branches of the Indo-European family, including the Celtic languages.</w:t>
      </w:r>
      <w:r>
        <w:t xml:space="preserve"> </w:t>
      </w:r>
      <w:r w:rsidRPr="0057151A">
        <w:t>As early Proto-Celtic began to form, it shared many of the features of its PIE ancestor.</w:t>
      </w:r>
      <w:r w:rsidR="006F71B0">
        <w:rPr>
          <w:rStyle w:val="FootnoteReference"/>
        </w:rPr>
        <w:footnoteReference w:id="11"/>
      </w:r>
      <w:r w:rsidRPr="0057151A">
        <w:t xml:space="preserve"> The key feature of Proto-Celtic, which distinguished it from other Indo-European branches, was the development in the pronunciation of certain consonants. This shift led to the characteristic sound changes that are found in all Celtic languages. For example, the PIE </w:t>
      </w:r>
      <w:r w:rsidRPr="006F71B0">
        <w:rPr>
          <w:i/>
          <w:iCs/>
        </w:rPr>
        <w:t>k</w:t>
      </w:r>
      <w:r w:rsidRPr="0057151A">
        <w:t xml:space="preserve"> sound became </w:t>
      </w:r>
      <w:r w:rsidRPr="006F71B0">
        <w:rPr>
          <w:i/>
          <w:iCs/>
        </w:rPr>
        <w:t>kh</w:t>
      </w:r>
      <w:r w:rsidRPr="0057151A">
        <w:t xml:space="preserve"> in Celtic, while </w:t>
      </w:r>
      <w:r w:rsidRPr="006F71B0">
        <w:rPr>
          <w:i/>
          <w:iCs/>
        </w:rPr>
        <w:t>g</w:t>
      </w:r>
      <w:r w:rsidRPr="0057151A">
        <w:t xml:space="preserve"> became </w:t>
      </w:r>
      <w:r w:rsidRPr="006F71B0">
        <w:rPr>
          <w:i/>
          <w:iCs/>
        </w:rPr>
        <w:t>gh</w:t>
      </w:r>
      <w:r w:rsidRPr="0057151A">
        <w:t xml:space="preserve">. Additionally, PIE’s </w:t>
      </w:r>
      <w:r w:rsidRPr="006F71B0">
        <w:rPr>
          <w:i/>
          <w:iCs/>
        </w:rPr>
        <w:t>d</w:t>
      </w:r>
      <w:r w:rsidRPr="0057151A">
        <w:t xml:space="preserve"> and </w:t>
      </w:r>
      <w:r w:rsidRPr="006F71B0">
        <w:rPr>
          <w:i/>
          <w:iCs/>
        </w:rPr>
        <w:t>t</w:t>
      </w:r>
      <w:r w:rsidRPr="0057151A">
        <w:t xml:space="preserve"> sounds were softened into </w:t>
      </w:r>
      <w:r w:rsidRPr="006F71B0">
        <w:rPr>
          <w:i/>
          <w:iCs/>
        </w:rPr>
        <w:t>dh</w:t>
      </w:r>
      <w:r w:rsidRPr="0057151A">
        <w:t xml:space="preserve"> and </w:t>
      </w:r>
      <w:r w:rsidRPr="006F71B0">
        <w:rPr>
          <w:i/>
          <w:iCs/>
        </w:rPr>
        <w:t>th</w:t>
      </w:r>
      <w:r w:rsidRPr="0057151A">
        <w:t xml:space="preserve"> in Proto-Celtic.</w:t>
      </w:r>
      <w:r w:rsidR="006F71B0">
        <w:rPr>
          <w:rStyle w:val="FootnoteReference"/>
        </w:rPr>
        <w:footnoteReference w:id="12"/>
      </w:r>
      <w:r w:rsidR="00472641" w:rsidRPr="006F71B0">
        <w:rPr>
          <w:rFonts w:ascii="Arial" w:hAnsi="Arial" w:cs="Arial"/>
          <w:sz w:val="20"/>
          <w:szCs w:val="20"/>
        </w:rPr>
        <w:t xml:space="preserve"> </w:t>
      </w:r>
    </w:p>
    <w:p w14:paraId="0BCBE147" w14:textId="77777777" w:rsidR="00300BAC" w:rsidRDefault="00300BAC" w:rsidP="00300BAC">
      <w:pPr>
        <w:pStyle w:val="ListParagraph"/>
        <w:ind w:left="1440"/>
      </w:pPr>
    </w:p>
    <w:p w14:paraId="38D4BC22" w14:textId="3CCC0F34" w:rsidR="00300BAC" w:rsidRPr="00DB261C" w:rsidRDefault="0001697C" w:rsidP="006F71B0">
      <w:r w:rsidRPr="006F71B0">
        <w:rPr>
          <w:b/>
          <w:bCs/>
        </w:rPr>
        <w:t>Proto-Celtic</w:t>
      </w:r>
      <w:r>
        <w:t xml:space="preserve"> (</w:t>
      </w:r>
      <w:r w:rsidRPr="0057151A">
        <w:t>600 BCE to 400 BCE</w:t>
      </w:r>
      <w:r>
        <w:t>):</w:t>
      </w:r>
      <w:r w:rsidRPr="0057151A">
        <w:t xml:space="preserve"> eventually began to split into different dialects, as Celtic-speaking tribes spread across Europe.</w:t>
      </w:r>
      <w:r>
        <w:t xml:space="preserve"> T</w:t>
      </w:r>
      <w:r w:rsidRPr="0057151A">
        <w:t>he Brittonic dialect emerged as one of the major branches of the Celtic languages. The Brittonic language group included languages spoken in what is now modern-day Britain, as well as parts of Northern France (Breton) and Cornwall (Cornish). As this branch of the language evolved, its speakers experienced various social, environmental, and political pressures that influenced its development into Welsh, Breton, and Cornish.</w:t>
      </w:r>
      <w:r w:rsidR="006F71B0">
        <w:rPr>
          <w:rStyle w:val="FootnoteReference"/>
        </w:rPr>
        <w:footnoteReference w:id="13"/>
      </w:r>
      <w:r>
        <w:t xml:space="preserve"> </w:t>
      </w:r>
      <w:r w:rsidRPr="0057151A">
        <w:t xml:space="preserve">The division from Proto-Celtic into Brittonic also marked the gradual loss of many of the Proto-Celtic phonological features, including certain vowel distinctions, which would evolve into the characteristic phonetic sounds of Old Welsh. For example, Proto-Celtic </w:t>
      </w:r>
      <w:r w:rsidRPr="006F71B0">
        <w:rPr>
          <w:i/>
          <w:iCs/>
        </w:rPr>
        <w:t>-os</w:t>
      </w:r>
      <w:r w:rsidRPr="0057151A">
        <w:t xml:space="preserve"> became </w:t>
      </w:r>
      <w:r w:rsidRPr="006F71B0">
        <w:rPr>
          <w:i/>
          <w:iCs/>
        </w:rPr>
        <w:t>-as</w:t>
      </w:r>
      <w:r w:rsidRPr="0057151A">
        <w:t xml:space="preserve"> in Brittonic, which can be seen in early Welsh forms.</w:t>
      </w:r>
      <w:r w:rsidR="006F71B0">
        <w:rPr>
          <w:rStyle w:val="FootnoteReference"/>
        </w:rPr>
        <w:footnoteReference w:id="14"/>
      </w:r>
    </w:p>
    <w:p w14:paraId="068F5046" w14:textId="714BB2A5" w:rsidR="00300BAC" w:rsidRDefault="00DB261C" w:rsidP="006F71B0">
      <w:pPr>
        <w:spacing w:after="0"/>
      </w:pPr>
      <w:r w:rsidRPr="006F71B0">
        <w:rPr>
          <w:b/>
          <w:bCs/>
        </w:rPr>
        <w:t>Old Welsh</w:t>
      </w:r>
      <w:r w:rsidRPr="00DB261C">
        <w:t xml:space="preserve"> (6th–12th century):</w:t>
      </w:r>
      <w:r w:rsidR="0001697C">
        <w:t xml:space="preserve"> </w:t>
      </w:r>
      <w:r w:rsidR="0001697C" w:rsidRPr="0057151A">
        <w:t xml:space="preserve">By the 6th century CE, the Brittonic dialect spoken in what is now Wales began to develop into what we recognize as </w:t>
      </w:r>
      <w:r w:rsidR="0001697C" w:rsidRPr="00472641">
        <w:t xml:space="preserve">Old Welsh. This period in Welsh history was marked by the use of the Latin alphabet, following the Christianization of the region. </w:t>
      </w:r>
      <w:r w:rsidRPr="00472641">
        <w:t xml:space="preserve"> Old Welsh is the language found in some of the earliest surviving texts, such as the </w:t>
      </w:r>
      <w:r w:rsidRPr="006F71B0">
        <w:rPr>
          <w:i/>
          <w:iCs/>
        </w:rPr>
        <w:t>Poems of Taliesin</w:t>
      </w:r>
      <w:r w:rsidRPr="00472641">
        <w:t xml:space="preserve"> and the </w:t>
      </w:r>
      <w:r w:rsidRPr="006F71B0">
        <w:rPr>
          <w:i/>
          <w:iCs/>
        </w:rPr>
        <w:t>Gododdin</w:t>
      </w:r>
      <w:r w:rsidRPr="00472641">
        <w:t>. The grammar of Old Welsh was complex, featuring a high degree of inflection, a rich system of verb conjugations, and noun declensions. It preserved many elements of Proto-Brittonic, such as consonant mutations and a verb-subject-object word order. This period is marked by a heavy reliance on oral tradition, particularly in poetry, with themes of heroism, warfare, and the supernatural being common.</w:t>
      </w:r>
      <w:r w:rsidR="006F71B0">
        <w:rPr>
          <w:rStyle w:val="FootnoteReference"/>
        </w:rPr>
        <w:footnoteReference w:id="15"/>
      </w:r>
    </w:p>
    <w:p w14:paraId="20187948" w14:textId="77777777" w:rsidR="00300BAC" w:rsidRDefault="00300BAC" w:rsidP="00300BAC">
      <w:pPr>
        <w:pStyle w:val="ListParagraph"/>
        <w:spacing w:after="0"/>
        <w:ind w:left="1440"/>
      </w:pPr>
    </w:p>
    <w:p w14:paraId="422F45E4" w14:textId="21B1C884" w:rsidR="00DB261C" w:rsidRPr="00C77385" w:rsidRDefault="00DB261C" w:rsidP="006F71B0">
      <w:pPr>
        <w:spacing w:after="0"/>
      </w:pPr>
      <w:r w:rsidRPr="006F71B0">
        <w:rPr>
          <w:b/>
          <w:bCs/>
        </w:rPr>
        <w:t>Middle Welsh</w:t>
      </w:r>
      <w:r w:rsidRPr="00C77385">
        <w:t xml:space="preserve"> (12th–15th century): During the Middle Welsh period, the language saw a great literary flourishing, especially with the </w:t>
      </w:r>
      <w:r w:rsidRPr="006F71B0">
        <w:rPr>
          <w:i/>
          <w:iCs/>
        </w:rPr>
        <w:t>Mabinogion</w:t>
      </w:r>
      <w:r w:rsidRPr="00C77385">
        <w:t>—a collection of mythological tales that became central to Welsh culture. Middle Welsh underwent significant phonological and grammatical changes, including the simplification of Old Welsh’s complex system of inflection. The influence of Latin grew, evident in legal and ecclesiastical texts, and the Norman Conquest left a mark on Welsh, introducing many terms from Old French, particularly in the realms of law and governance.</w:t>
      </w:r>
      <w:r w:rsidR="006F71B0">
        <w:rPr>
          <w:rStyle w:val="FootnoteReference"/>
        </w:rPr>
        <w:footnoteReference w:id="16"/>
      </w:r>
    </w:p>
    <w:p w14:paraId="7C349218" w14:textId="77777777" w:rsidR="00300BAC" w:rsidRPr="00DB261C" w:rsidRDefault="00300BAC" w:rsidP="00300BAC">
      <w:pPr>
        <w:spacing w:after="0"/>
      </w:pPr>
    </w:p>
    <w:p w14:paraId="38CCF0C5" w14:textId="0851A1AD" w:rsidR="00300BAC" w:rsidRDefault="00DB261C" w:rsidP="006F71B0">
      <w:pPr>
        <w:spacing w:after="0"/>
      </w:pPr>
      <w:r w:rsidRPr="006F71B0">
        <w:rPr>
          <w:b/>
          <w:bCs/>
        </w:rPr>
        <w:t>Early Modern Welsh</w:t>
      </w:r>
      <w:r w:rsidRPr="00DB261C">
        <w:t xml:space="preserve"> (16th–18th century): The Early Modern Welsh period is particularly notable for William Morgan’s 1588 translation of the Bible, which was instrumental in standardizing Welsh grammar and spelling. During this time, English influence became more pronounced, leading to the decline of Welsh in many areas. However, Welsh remained important for religious and ceremonial purposes, particularly within the church.</w:t>
      </w:r>
      <w:r w:rsidR="006F71B0">
        <w:rPr>
          <w:rStyle w:val="FootnoteReference"/>
        </w:rPr>
        <w:footnoteReference w:id="17"/>
      </w:r>
    </w:p>
    <w:p w14:paraId="1BD28586" w14:textId="77777777" w:rsidR="00300BAC" w:rsidRPr="00DB261C" w:rsidRDefault="00300BAC" w:rsidP="00300BAC">
      <w:pPr>
        <w:spacing w:after="0"/>
      </w:pPr>
    </w:p>
    <w:p w14:paraId="4BF2A909" w14:textId="2F3B545C" w:rsidR="00DB261C" w:rsidRDefault="00DB261C" w:rsidP="006F71B0">
      <w:pPr>
        <w:spacing w:after="0"/>
      </w:pPr>
      <w:r w:rsidRPr="006F71B0">
        <w:rPr>
          <w:b/>
          <w:bCs/>
        </w:rPr>
        <w:t>Modern Welsh</w:t>
      </w:r>
      <w:r w:rsidRPr="00DB261C">
        <w:t xml:space="preserve"> (19th century–present): After a period of decline, particularly due to the annexation of Wales by England in 1536, Welsh began to experience a revival in the late 20th century. The creation of Welsh-medium schools and the passing of the 1993 Welsh Language Act, which granted Welsh official status, marked key moments in this revival. Today, Welsh is not only taught in schools but also used in media, and the number of speakers is increasing, although challenges remain.</w:t>
      </w:r>
      <w:r w:rsidR="006F71B0">
        <w:rPr>
          <w:rStyle w:val="FootnoteReference"/>
        </w:rPr>
        <w:footnoteReference w:id="18"/>
      </w:r>
    </w:p>
    <w:p w14:paraId="67275D44" w14:textId="77777777" w:rsidR="00300BAC" w:rsidRPr="00DB261C" w:rsidRDefault="00300BAC" w:rsidP="00300BAC">
      <w:pPr>
        <w:spacing w:after="0"/>
      </w:pPr>
    </w:p>
    <w:p w14:paraId="374BA9F1" w14:textId="6476A07C" w:rsidR="00DB261C" w:rsidRPr="00DB261C" w:rsidRDefault="00DB261C" w:rsidP="00DB261C">
      <w:pPr>
        <w:rPr>
          <w:b/>
          <w:bCs/>
        </w:rPr>
      </w:pPr>
      <w:r w:rsidRPr="00DB261C">
        <w:rPr>
          <w:b/>
          <w:bCs/>
        </w:rPr>
        <w:t>Etymology and Linguistic Features</w:t>
      </w:r>
    </w:p>
    <w:p w14:paraId="6CC35D10" w14:textId="11096436" w:rsidR="00DB261C" w:rsidRPr="00DB261C" w:rsidRDefault="00DB261C" w:rsidP="00DB261C">
      <w:r w:rsidRPr="00DB261C">
        <w:t>The Welsh language has a deep etymological history, with many words retaining traces of their Proto-Celtic roots. Several Welsh words have</w:t>
      </w:r>
      <w:r w:rsidR="00C77385">
        <w:t xml:space="preserve"> similarities</w:t>
      </w:r>
      <w:r w:rsidRPr="00DB261C">
        <w:t xml:space="preserve"> in other Celtic languages, such as Breton, Cornish, and Irish. For example, the Welsh word </w:t>
      </w:r>
      <w:r w:rsidRPr="00DB261C">
        <w:rPr>
          <w:i/>
          <w:iCs/>
        </w:rPr>
        <w:t>mam</w:t>
      </w:r>
      <w:r w:rsidRPr="00DB261C">
        <w:t xml:space="preserve"> (mother) derives from the Proto-Celtic </w:t>
      </w:r>
      <w:r w:rsidRPr="00DB261C">
        <w:rPr>
          <w:i/>
          <w:iCs/>
        </w:rPr>
        <w:t>māns</w:t>
      </w:r>
      <w:r w:rsidRPr="00DB261C">
        <w:t xml:space="preserve">, and shares its roots with the Irish </w:t>
      </w:r>
      <w:r w:rsidRPr="00DB261C">
        <w:rPr>
          <w:i/>
          <w:iCs/>
        </w:rPr>
        <w:t>mam</w:t>
      </w:r>
      <w:r w:rsidRPr="00DB261C">
        <w:t xml:space="preserve">, the Breton </w:t>
      </w:r>
      <w:r w:rsidRPr="00DB261C">
        <w:rPr>
          <w:i/>
          <w:iCs/>
        </w:rPr>
        <w:t>mam</w:t>
      </w:r>
      <w:r w:rsidRPr="00DB261C">
        <w:t xml:space="preserve">, and the Cornish </w:t>
      </w:r>
      <w:r w:rsidRPr="00DB261C">
        <w:rPr>
          <w:i/>
          <w:iCs/>
        </w:rPr>
        <w:t>mam</w:t>
      </w:r>
      <w:r w:rsidRPr="00DB261C">
        <w:t>.</w:t>
      </w:r>
      <w:r w:rsidR="006F71B0">
        <w:rPr>
          <w:rStyle w:val="FootnoteReference"/>
        </w:rPr>
        <w:footnoteReference w:id="19"/>
      </w:r>
      <w:r w:rsidRPr="00DB261C">
        <w:t xml:space="preserve"> </w:t>
      </w:r>
      <w:r w:rsidR="002602A9" w:rsidRPr="00DB261C">
        <w:t xml:space="preserve"> </w:t>
      </w:r>
    </w:p>
    <w:p w14:paraId="1DD618D7" w14:textId="004F6AA5" w:rsidR="00DB261C" w:rsidRPr="00DB261C" w:rsidRDefault="00DB261C" w:rsidP="00DB261C">
      <w:r w:rsidRPr="00DB261C">
        <w:t xml:space="preserve">One of the most distinctive features of Welsh is its system of consonant mutation, which is shared with other Celtic languages. In Welsh, the first letter of a word can change depending on the grammatical context. For example, </w:t>
      </w:r>
      <w:r w:rsidRPr="00DB261C">
        <w:rPr>
          <w:i/>
          <w:iCs/>
        </w:rPr>
        <w:t>cath</w:t>
      </w:r>
      <w:r w:rsidRPr="00DB261C">
        <w:t xml:space="preserve"> (cat) becomes </w:t>
      </w:r>
      <w:r w:rsidRPr="00DB261C">
        <w:rPr>
          <w:i/>
          <w:iCs/>
        </w:rPr>
        <w:t>gath</w:t>
      </w:r>
      <w:r w:rsidRPr="00DB261C">
        <w:t xml:space="preserve"> in the phrase </w:t>
      </w:r>
      <w:r w:rsidRPr="00DB261C">
        <w:rPr>
          <w:i/>
          <w:iCs/>
        </w:rPr>
        <w:t>y gath</w:t>
      </w:r>
      <w:r w:rsidRPr="00DB261C">
        <w:t xml:space="preserve"> (the cat), a key feature that makes Welsh stand out within the Celtic language family. This mutation system plays an important role in Welsh grammar.</w:t>
      </w:r>
      <w:r w:rsidR="006F71B0">
        <w:rPr>
          <w:rStyle w:val="FootnoteReference"/>
        </w:rPr>
        <w:footnoteReference w:id="20"/>
      </w:r>
    </w:p>
    <w:p w14:paraId="3983A47B" w14:textId="35F7951B" w:rsidR="00DB261C" w:rsidRPr="00DB261C" w:rsidRDefault="00DB261C" w:rsidP="00DB261C">
      <w:pPr>
        <w:rPr>
          <w:b/>
          <w:bCs/>
        </w:rPr>
      </w:pPr>
      <w:r w:rsidRPr="00DB261C">
        <w:rPr>
          <w:b/>
          <w:bCs/>
        </w:rPr>
        <w:t>Survival and Revitalization of Welsh</w:t>
      </w:r>
    </w:p>
    <w:p w14:paraId="0A49DB41" w14:textId="49772B8C" w:rsidR="00DB261C" w:rsidRPr="00DB261C" w:rsidRDefault="00DB261C" w:rsidP="00DB261C">
      <w:r w:rsidRPr="00DB261C">
        <w:t>The survival of Welsh into the modern era is remarkable, especially given the historical dominance of English, particularly following the Acts of Union in 1536.</w:t>
      </w:r>
      <w:r w:rsidR="006F71B0">
        <w:rPr>
          <w:rStyle w:val="FootnoteReference"/>
        </w:rPr>
        <w:footnoteReference w:id="21"/>
      </w:r>
      <w:r w:rsidRPr="00DB261C">
        <w:t xml:space="preserve"> The 19th century saw a sharp decline in Welsh speakers, particularly in urban areas. However, in the second half of the 20th century, a concerted effort to revitalize the language gained momentum. Efforts included the establishment of Welsh-medium schools, advocacy for the language, and the creation of Welsh-language media.</w:t>
      </w:r>
    </w:p>
    <w:p w14:paraId="4E6CF48D" w14:textId="5F2DCF3A" w:rsidR="00DB261C" w:rsidRPr="00DB261C" w:rsidRDefault="00DB261C" w:rsidP="00DB261C">
      <w:r w:rsidRPr="00DB261C">
        <w:t>Key milestones in the revitalization of Welsh include the passing of the Welsh Language Act in 1993, which granted Welsh official status, and the creation of Welsh-language television and radio station</w:t>
      </w:r>
      <w:r w:rsidR="002602A9">
        <w:t>s</w:t>
      </w:r>
      <w:r w:rsidRPr="00DB261C">
        <w:t>. The 2021 census</w:t>
      </w:r>
      <w:r w:rsidR="006F71B0">
        <w:t xml:space="preserve"> contains</w:t>
      </w:r>
      <w:r w:rsidRPr="00DB261C">
        <w:t xml:space="preserve"> </w:t>
      </w:r>
      <w:r w:rsidR="005F085B" w:rsidRPr="005F085B">
        <w:t xml:space="preserve">notable information relating to the number </w:t>
      </w:r>
      <w:r w:rsidRPr="00DB261C">
        <w:t xml:space="preserve">of Welsh speakers, with approximately </w:t>
      </w:r>
      <w:r w:rsidR="005F085B" w:rsidRPr="005F085B">
        <w:t>538,300 individuals</w:t>
      </w:r>
      <w:r w:rsidRPr="00DB261C">
        <w:t xml:space="preserve"> of the population in Wales reporting the ability to speak the language.</w:t>
      </w:r>
      <w:r w:rsidR="006F71B0">
        <w:rPr>
          <w:rStyle w:val="FootnoteReference"/>
        </w:rPr>
        <w:footnoteReference w:id="22"/>
      </w:r>
    </w:p>
    <w:p w14:paraId="44EE97F2" w14:textId="77777777" w:rsidR="00DB261C" w:rsidRPr="00DB261C" w:rsidRDefault="00DB261C" w:rsidP="00DB261C">
      <w:pPr>
        <w:rPr>
          <w:b/>
          <w:bCs/>
        </w:rPr>
      </w:pPr>
      <w:r w:rsidRPr="00DB261C">
        <w:rPr>
          <w:b/>
          <w:bCs/>
        </w:rPr>
        <w:t>Conclusion</w:t>
      </w:r>
    </w:p>
    <w:p w14:paraId="27D5BB7E" w14:textId="77777777" w:rsidR="0029148C" w:rsidRPr="0057151A" w:rsidRDefault="0029148C" w:rsidP="0029148C">
      <w:r w:rsidRPr="0057151A">
        <w:t xml:space="preserve">The evolution from Proto-Indo-European to Old Welsh reflects a long and complex process of linguistic change, shaped by migrations, cultural interactions, and internal language developments. Welsh retains many features from its Celtic and Proto-Indo-European ancestors, particularly in its system of consonant mutations and the remnants of its case system. </w:t>
      </w:r>
    </w:p>
    <w:p w14:paraId="1047E6C6" w14:textId="1F298616" w:rsidR="00DB261C" w:rsidRDefault="00DB261C" w:rsidP="00DB261C">
      <w:r w:rsidRPr="00DB261C">
        <w:t xml:space="preserve">The Welsh language, with its long and rich history, continues to be a symbol of Welsh national identity and cultural heritage. From its early development as part of the Brittonic language group to its </w:t>
      </w:r>
      <w:r w:rsidR="0029148C">
        <w:t xml:space="preserve">significant </w:t>
      </w:r>
      <w:r w:rsidRPr="00DB261C">
        <w:t>literary tradition, Welsh has withstood centuries of political and social pressures. The recent revival of Welsh, driven by efforts in education, media, and political advocacy, ensures that it remains a living and vibrant language</w:t>
      </w:r>
      <w:r w:rsidR="0029148C">
        <w:t xml:space="preserve"> which still contains remnants </w:t>
      </w:r>
      <w:r w:rsidR="0029148C" w:rsidRPr="0057151A">
        <w:t>its ancient Indo-European</w:t>
      </w:r>
      <w:r w:rsidRPr="00DB261C">
        <w:t xml:space="preserve"> </w:t>
      </w:r>
      <w:r w:rsidR="0029148C">
        <w:t xml:space="preserve">legacy </w:t>
      </w:r>
      <w:r w:rsidRPr="00DB261C">
        <w:t>today.</w:t>
      </w:r>
      <w:r w:rsidR="0029148C" w:rsidRPr="0029148C">
        <w:t xml:space="preserve"> </w:t>
      </w:r>
    </w:p>
    <w:p w14:paraId="3F95E684" w14:textId="51FB2E09" w:rsidR="00AE6ABB" w:rsidRDefault="00AE6ABB" w:rsidP="00DB261C"/>
    <w:p w14:paraId="2D5D18CF" w14:textId="77777777" w:rsidR="006F71B0" w:rsidRDefault="006F71B0" w:rsidP="00DB261C"/>
    <w:p w14:paraId="3BFF824A" w14:textId="77777777" w:rsidR="006F71B0" w:rsidRDefault="006F71B0" w:rsidP="00DB261C"/>
    <w:p w14:paraId="3E81BC53" w14:textId="77777777" w:rsidR="006F71B0" w:rsidRDefault="006F71B0" w:rsidP="00DB261C"/>
    <w:p w14:paraId="553FB32B" w14:textId="77777777" w:rsidR="006F71B0" w:rsidRDefault="006F71B0" w:rsidP="00DB261C"/>
    <w:p w14:paraId="1E41A257" w14:textId="77777777" w:rsidR="00A03FD9" w:rsidRDefault="00A03FD9" w:rsidP="00DB261C"/>
    <w:p w14:paraId="178E53FB" w14:textId="7EB91AAF" w:rsidR="006F71B0" w:rsidRPr="006F71B0" w:rsidRDefault="006F71B0" w:rsidP="00DB261C">
      <w:pPr>
        <w:rPr>
          <w:b/>
          <w:bCs/>
        </w:rPr>
      </w:pPr>
      <w:r w:rsidRPr="006F71B0">
        <w:rPr>
          <w:b/>
          <w:bCs/>
        </w:rPr>
        <w:t>Bibliography</w:t>
      </w:r>
    </w:p>
    <w:p w14:paraId="392DAA5C" w14:textId="77777777" w:rsidR="00A03FD9" w:rsidRPr="00657769" w:rsidRDefault="00A03FD9" w:rsidP="00A03FD9">
      <w:pPr>
        <w:pStyle w:val="FootnoteText"/>
        <w:spacing w:after="120"/>
        <w:ind w:left="720" w:hanging="720"/>
        <w:rPr>
          <w:sz w:val="24"/>
          <w:szCs w:val="24"/>
        </w:rPr>
      </w:pPr>
      <w:r w:rsidRPr="00657769">
        <w:rPr>
          <w:sz w:val="24"/>
          <w:szCs w:val="24"/>
        </w:rPr>
        <w:t xml:space="preserve">Aneurin, </w:t>
      </w:r>
      <w:r w:rsidRPr="00657769">
        <w:rPr>
          <w:i/>
          <w:iCs/>
          <w:sz w:val="24"/>
          <w:szCs w:val="24"/>
        </w:rPr>
        <w:t>Y Gogodin</w:t>
      </w:r>
      <w:r w:rsidRPr="00657769">
        <w:rPr>
          <w:sz w:val="24"/>
          <w:szCs w:val="24"/>
        </w:rPr>
        <w:t>, trans. by John Williams Ab Ithel (London: William Rees, 1852), &lt;https://www.gutenberg.org/files/9842/9842-h/9842-h.htm&gt; [Accessed 11 March 2025]</w:t>
      </w:r>
    </w:p>
    <w:p w14:paraId="27ED5B4C" w14:textId="77777777" w:rsidR="00A03FD9" w:rsidRPr="00657769" w:rsidRDefault="00A03FD9" w:rsidP="00A03FD9">
      <w:pPr>
        <w:pStyle w:val="FootnoteText"/>
        <w:spacing w:after="120"/>
        <w:ind w:left="720" w:hanging="720"/>
        <w:rPr>
          <w:sz w:val="24"/>
          <w:szCs w:val="24"/>
        </w:rPr>
      </w:pPr>
      <w:r w:rsidRPr="00657769">
        <w:rPr>
          <w:sz w:val="24"/>
          <w:szCs w:val="24"/>
        </w:rPr>
        <w:t xml:space="preserve">‘Ask Dr Gramadeg: Yr Wyddor / The Alphabet’, </w:t>
      </w:r>
      <w:r w:rsidRPr="00657769">
        <w:rPr>
          <w:i/>
          <w:iCs/>
          <w:sz w:val="24"/>
          <w:szCs w:val="24"/>
        </w:rPr>
        <w:t>Parallel</w:t>
      </w:r>
      <w:r w:rsidRPr="00657769">
        <w:rPr>
          <w:sz w:val="24"/>
          <w:szCs w:val="24"/>
        </w:rPr>
        <w:t xml:space="preserve"> &lt;https://parallel.cymru/ask-dr-gramadeg-the-alphabet/?lang=en&gt; [Accessed 11 March 2025]</w:t>
      </w:r>
    </w:p>
    <w:p w14:paraId="57D43E36" w14:textId="77777777" w:rsidR="00A03FD9" w:rsidRDefault="00A03FD9" w:rsidP="00A03FD9">
      <w:pPr>
        <w:spacing w:after="120" w:line="240" w:lineRule="auto"/>
        <w:ind w:left="720" w:hanging="720"/>
      </w:pPr>
      <w:r w:rsidRPr="00657769">
        <w:t>Brain</w:t>
      </w:r>
      <w:r>
        <w:t>,</w:t>
      </w:r>
      <w:r w:rsidRPr="00657769">
        <w:t xml:space="preserve"> Jessica, ‘The Welsh Language’, </w:t>
      </w:r>
      <w:r w:rsidRPr="00657769">
        <w:rPr>
          <w:i/>
          <w:iCs/>
        </w:rPr>
        <w:t>Historic UK</w:t>
      </w:r>
      <w:r w:rsidRPr="00657769">
        <w:t>, &lt;https://www.historic-uk.com/HistoryUK/HistoryofWales/Welsh-Language/&gt; [Accessed 11 March 2025]</w:t>
      </w:r>
    </w:p>
    <w:p w14:paraId="04638206" w14:textId="77777777" w:rsidR="00A03FD9" w:rsidRPr="00657769" w:rsidRDefault="00A03FD9" w:rsidP="00A03FD9">
      <w:pPr>
        <w:spacing w:after="120" w:line="240" w:lineRule="auto"/>
        <w:ind w:left="720" w:hanging="720"/>
      </w:pPr>
      <w:r w:rsidRPr="00657769">
        <w:t>Carter, Beverley, Wales, Encyclopedia Britannica, 11 Mar. 2025, &lt;https://www.britannica.com/topic/Act-of-Union-England-and-Wales-1536.&gt; [Accessed 11 March 2025]</w:t>
      </w:r>
    </w:p>
    <w:p w14:paraId="787FE2F0" w14:textId="77777777" w:rsidR="00A03FD9" w:rsidRDefault="00A03FD9" w:rsidP="00A03FD9">
      <w:pPr>
        <w:pStyle w:val="FootnoteText"/>
        <w:spacing w:after="120"/>
        <w:ind w:left="720" w:hanging="720"/>
        <w:rPr>
          <w:sz w:val="24"/>
          <w:szCs w:val="24"/>
        </w:rPr>
      </w:pPr>
      <w:r w:rsidRPr="00657769">
        <w:rPr>
          <w:sz w:val="24"/>
          <w:szCs w:val="24"/>
        </w:rPr>
        <w:t>Cunliffe</w:t>
      </w:r>
      <w:r>
        <w:rPr>
          <w:sz w:val="24"/>
          <w:szCs w:val="24"/>
        </w:rPr>
        <w:t>,</w:t>
      </w:r>
      <w:r w:rsidRPr="00657769">
        <w:rPr>
          <w:sz w:val="24"/>
          <w:szCs w:val="24"/>
        </w:rPr>
        <w:t xml:space="preserve"> Barry, </w:t>
      </w:r>
      <w:r w:rsidRPr="00657769">
        <w:rPr>
          <w:i/>
          <w:iCs/>
          <w:sz w:val="24"/>
          <w:szCs w:val="24"/>
        </w:rPr>
        <w:t>Celtic from the West: Alternative Perspectives from Archaeology, Genetics, Language and Literature</w:t>
      </w:r>
      <w:r w:rsidRPr="00657769">
        <w:rPr>
          <w:sz w:val="24"/>
          <w:szCs w:val="24"/>
        </w:rPr>
        <w:t>, ‘Part Three: Language and Literature’ (Oxford: Oxbow Books, 2010), pp. 153-168, DOI: 10.2307/j.ctv13pk64k.10</w:t>
      </w:r>
    </w:p>
    <w:p w14:paraId="5D320B52" w14:textId="77777777" w:rsidR="00A03FD9" w:rsidRPr="00657769" w:rsidRDefault="00A03FD9" w:rsidP="00A03FD9">
      <w:pPr>
        <w:pStyle w:val="FootnoteText"/>
        <w:spacing w:after="120"/>
        <w:ind w:left="720" w:hanging="720"/>
        <w:rPr>
          <w:sz w:val="24"/>
          <w:szCs w:val="24"/>
        </w:rPr>
      </w:pPr>
      <w:r w:rsidRPr="00657769">
        <w:rPr>
          <w:sz w:val="24"/>
          <w:szCs w:val="24"/>
        </w:rPr>
        <w:t>Davies, Janet, The Welsh Language</w:t>
      </w:r>
      <w:r w:rsidRPr="00657769">
        <w:rPr>
          <w:rFonts w:ascii="Arial" w:hAnsi="Arial" w:cs="Arial"/>
          <w:sz w:val="24"/>
          <w:szCs w:val="24"/>
        </w:rPr>
        <w:t> </w:t>
      </w:r>
      <w:r w:rsidRPr="00657769">
        <w:rPr>
          <w:sz w:val="24"/>
          <w:szCs w:val="24"/>
        </w:rPr>
        <w:t>: A History, 2nd ed. (Cardiff: University of Wales Press, 2014) &lt;https://www-jstor-org.ezproxy.uwtsd.ac.uk/stable/j.ctt9qhg9t&gt; [Accessed 11 March 2025]</w:t>
      </w:r>
    </w:p>
    <w:p w14:paraId="63E925A0" w14:textId="77777777" w:rsidR="00A03FD9" w:rsidRPr="00657769" w:rsidRDefault="00A03FD9" w:rsidP="00A03FD9">
      <w:pPr>
        <w:spacing w:after="120" w:line="240" w:lineRule="auto"/>
        <w:ind w:left="720" w:hanging="720"/>
      </w:pPr>
      <w:r w:rsidRPr="00657769">
        <w:t>Edwards</w:t>
      </w:r>
      <w:r>
        <w:t>,</w:t>
      </w:r>
      <w:r w:rsidRPr="00657769">
        <w:t xml:space="preserve"> Nancy, </w:t>
      </w:r>
      <w:r w:rsidRPr="00657769">
        <w:rPr>
          <w:i/>
          <w:iCs/>
        </w:rPr>
        <w:t xml:space="preserve">Early Medieval Wales – a matter of identity </w:t>
      </w:r>
      <w:r w:rsidRPr="00657769">
        <w:t>[video]. 2020 &lt;https://www.youtube.com/watch?v=pYuBNOe_rYw&gt;</w:t>
      </w:r>
    </w:p>
    <w:p w14:paraId="025546FE" w14:textId="77777777" w:rsidR="00A03FD9" w:rsidRDefault="00A03FD9" w:rsidP="00A03FD9">
      <w:pPr>
        <w:spacing w:after="120" w:line="240" w:lineRule="auto"/>
        <w:ind w:left="720" w:hanging="720"/>
      </w:pPr>
      <w:r w:rsidRPr="00657769">
        <w:t>Fontaine</w:t>
      </w:r>
      <w:r>
        <w:t>,</w:t>
      </w:r>
      <w:r w:rsidRPr="00657769">
        <w:t xml:space="preserve"> Lise and Lowri Williams, </w:t>
      </w:r>
      <w:r w:rsidRPr="00657769">
        <w:rPr>
          <w:i/>
          <w:iCs/>
        </w:rPr>
        <w:t>A Preliminary Description of Mood in Welsh</w:t>
      </w:r>
      <w:r w:rsidRPr="00657769">
        <w:t>, (Cardiff University, 2021), p.3 &lt;https://orca.cardiff.ac.uk/id/eprint/138636/1/Fontaine%20and%20Williams%20preprint.pdf&gt; [Accessed 11 March 2025]</w:t>
      </w:r>
    </w:p>
    <w:p w14:paraId="1C9125EA" w14:textId="77777777" w:rsidR="00A03FD9" w:rsidRPr="00657769" w:rsidRDefault="00A03FD9" w:rsidP="00A03FD9">
      <w:pPr>
        <w:spacing w:after="120" w:line="240" w:lineRule="auto"/>
        <w:ind w:left="720" w:hanging="720"/>
      </w:pPr>
      <w:r w:rsidRPr="00657769">
        <w:t>Gallacher, Johnnie, Celtic Origins: Archaeologically Speaking, University of the Highlands and Islands, &lt;https://www.abdn.ac.uk/media/site/llmvc/documents/Ch9-Gallacher.pdf&gt;  [Accessed 11 March 2025]</w:t>
      </w:r>
    </w:p>
    <w:p w14:paraId="076838DD" w14:textId="77777777" w:rsidR="00A03FD9" w:rsidRPr="00657769" w:rsidRDefault="00A03FD9" w:rsidP="00A03FD9">
      <w:pPr>
        <w:pStyle w:val="FootnoteText"/>
        <w:spacing w:after="120"/>
        <w:ind w:left="720" w:hanging="720"/>
        <w:rPr>
          <w:sz w:val="24"/>
          <w:szCs w:val="24"/>
        </w:rPr>
      </w:pPr>
      <w:r w:rsidRPr="00657769">
        <w:rPr>
          <w:sz w:val="24"/>
          <w:szCs w:val="24"/>
        </w:rPr>
        <w:t>Greene</w:t>
      </w:r>
      <w:r>
        <w:rPr>
          <w:sz w:val="24"/>
          <w:szCs w:val="24"/>
        </w:rPr>
        <w:t>,</w:t>
      </w:r>
      <w:r w:rsidRPr="00657769">
        <w:rPr>
          <w:sz w:val="24"/>
          <w:szCs w:val="24"/>
        </w:rPr>
        <w:t xml:space="preserve"> David, ‘Celtic languages’, </w:t>
      </w:r>
      <w:r w:rsidRPr="00657769">
        <w:rPr>
          <w:i/>
          <w:iCs/>
          <w:sz w:val="24"/>
          <w:szCs w:val="24"/>
        </w:rPr>
        <w:t>Encyclopedia Britannica</w:t>
      </w:r>
      <w:r w:rsidRPr="00657769">
        <w:rPr>
          <w:sz w:val="24"/>
          <w:szCs w:val="24"/>
        </w:rPr>
        <w:t>, 8 November 2024, &lt;https://www.britannica.com/topic/Celtic-languages&gt; [Accessed 11 March 2025]</w:t>
      </w:r>
    </w:p>
    <w:p w14:paraId="445A18E7" w14:textId="77777777" w:rsidR="00A03FD9" w:rsidRPr="00657769" w:rsidRDefault="00A03FD9" w:rsidP="00A03FD9">
      <w:pPr>
        <w:pStyle w:val="FootnoteText"/>
        <w:spacing w:after="120"/>
        <w:ind w:left="720" w:hanging="720"/>
        <w:rPr>
          <w:sz w:val="24"/>
          <w:szCs w:val="24"/>
        </w:rPr>
      </w:pPr>
      <w:r w:rsidRPr="00657769">
        <w:rPr>
          <w:sz w:val="24"/>
          <w:szCs w:val="24"/>
        </w:rPr>
        <w:t>Gwenogvryn</w:t>
      </w:r>
      <w:r>
        <w:rPr>
          <w:sz w:val="24"/>
          <w:szCs w:val="24"/>
        </w:rPr>
        <w:t>,</w:t>
      </w:r>
      <w:r w:rsidRPr="00657769">
        <w:rPr>
          <w:sz w:val="24"/>
          <w:szCs w:val="24"/>
        </w:rPr>
        <w:t xml:space="preserve"> John, </w:t>
      </w:r>
      <w:r w:rsidRPr="00657769">
        <w:rPr>
          <w:i/>
          <w:iCs/>
          <w:sz w:val="24"/>
          <w:szCs w:val="24"/>
        </w:rPr>
        <w:t>Poems from the Book of Taliesin</w:t>
      </w:r>
      <w:r w:rsidRPr="00657769">
        <w:rPr>
          <w:sz w:val="24"/>
          <w:szCs w:val="24"/>
        </w:rPr>
        <w:t>, (Tremban,1915) &lt;https://archive.org/details/cu31924068919541&gt; [Accessed 11/03/2025]</w:t>
      </w:r>
    </w:p>
    <w:p w14:paraId="4F7A2C9C" w14:textId="77777777" w:rsidR="00A03FD9" w:rsidRPr="00657769" w:rsidRDefault="00A03FD9" w:rsidP="00A03FD9">
      <w:pPr>
        <w:pStyle w:val="FootnoteText"/>
        <w:spacing w:after="120"/>
        <w:ind w:left="720" w:hanging="720"/>
        <w:rPr>
          <w:sz w:val="24"/>
          <w:szCs w:val="24"/>
        </w:rPr>
      </w:pPr>
      <w:r w:rsidRPr="00657769">
        <w:rPr>
          <w:sz w:val="24"/>
          <w:szCs w:val="24"/>
        </w:rPr>
        <w:t>Jackson</w:t>
      </w:r>
      <w:r>
        <w:rPr>
          <w:sz w:val="24"/>
          <w:szCs w:val="24"/>
        </w:rPr>
        <w:t>,</w:t>
      </w:r>
      <w:r w:rsidRPr="00657769">
        <w:rPr>
          <w:sz w:val="24"/>
          <w:szCs w:val="24"/>
        </w:rPr>
        <w:t xml:space="preserve"> Kenneth Hurlstone, </w:t>
      </w:r>
      <w:r w:rsidRPr="00657769">
        <w:rPr>
          <w:i/>
          <w:iCs/>
          <w:sz w:val="24"/>
          <w:szCs w:val="24"/>
        </w:rPr>
        <w:t>The Brittonic Languages, and the Breton Migrations</w:t>
      </w:r>
      <w:r w:rsidRPr="00657769">
        <w:rPr>
          <w:sz w:val="24"/>
          <w:szCs w:val="24"/>
        </w:rPr>
        <w:t xml:space="preserve"> (Edinburgh: Edinburgh University Press, 1953), p. 5 &lt;https://contentstore-cla-co-uk.ezproxy.uwtsd.ac.uk/EReader/Index?guid=4172508a-3320-ec11-ae72-a04a5e5d2f8d&amp;pcid=2753002&amp;t=eyJhbGciOiJIUzI1NiIsInR5cCI6IkpXVCJ9.eyJqdGkiOiI3ZGQxODU5Zi00ZTI0LTQzZDgtYjZiNy1jMWFlZDM2OGY1MGQiLCJuYmYiOjE3NDE2ODk0MjUsImV4cCI6MTc&gt; [Accessed 11 March 2025]</w:t>
      </w:r>
    </w:p>
    <w:p w14:paraId="1D0E3C95" w14:textId="77777777" w:rsidR="00A03FD9" w:rsidRPr="00657769" w:rsidRDefault="00A03FD9" w:rsidP="00A03FD9">
      <w:pPr>
        <w:pStyle w:val="FootnoteText"/>
        <w:spacing w:after="120"/>
        <w:ind w:left="720" w:hanging="720"/>
        <w:rPr>
          <w:sz w:val="24"/>
          <w:szCs w:val="24"/>
        </w:rPr>
      </w:pPr>
      <w:r w:rsidRPr="00657769">
        <w:rPr>
          <w:sz w:val="24"/>
          <w:szCs w:val="24"/>
        </w:rPr>
        <w:t>Jackson</w:t>
      </w:r>
      <w:r>
        <w:rPr>
          <w:sz w:val="24"/>
          <w:szCs w:val="24"/>
        </w:rPr>
        <w:t>,</w:t>
      </w:r>
      <w:r w:rsidRPr="00657769">
        <w:rPr>
          <w:sz w:val="24"/>
          <w:szCs w:val="24"/>
        </w:rPr>
        <w:t xml:space="preserve"> Kenneth Hurlstone, </w:t>
      </w:r>
      <w:r w:rsidRPr="00657769">
        <w:rPr>
          <w:i/>
          <w:iCs/>
          <w:sz w:val="24"/>
          <w:szCs w:val="24"/>
        </w:rPr>
        <w:t xml:space="preserve">Language and history in early Britain; a chronological survey of the Brittonic languages, first to twelfth century A.D, </w:t>
      </w:r>
      <w:r w:rsidRPr="00657769">
        <w:rPr>
          <w:sz w:val="24"/>
          <w:szCs w:val="24"/>
        </w:rPr>
        <w:t>(Edinburgh: Edinburgh University Press, 1953), p.</w:t>
      </w:r>
      <w:r>
        <w:rPr>
          <w:sz w:val="24"/>
          <w:szCs w:val="24"/>
        </w:rPr>
        <w:t xml:space="preserve"> </w:t>
      </w:r>
      <w:r w:rsidRPr="00657769">
        <w:rPr>
          <w:sz w:val="24"/>
          <w:szCs w:val="24"/>
        </w:rPr>
        <w:t>547 &lt;https://archive.org/details/languagehistoryi0000jack/page/547/mode/2up?q=brenin&gt; [Accessed 11 March 2025]</w:t>
      </w:r>
    </w:p>
    <w:p w14:paraId="4636E6C9" w14:textId="77777777" w:rsidR="00A03FD9" w:rsidRPr="00657769" w:rsidRDefault="00A03FD9" w:rsidP="00A03FD9">
      <w:pPr>
        <w:spacing w:after="120" w:line="240" w:lineRule="auto"/>
        <w:ind w:left="720" w:hanging="720"/>
      </w:pPr>
      <w:r w:rsidRPr="00657769">
        <w:t>Jasanoff</w:t>
      </w:r>
      <w:r>
        <w:t>,</w:t>
      </w:r>
      <w:r w:rsidRPr="00657769">
        <w:t xml:space="preserve"> Jay H, Warren Cowgill, ‘Indo-European languages’, </w:t>
      </w:r>
      <w:r w:rsidRPr="00657769">
        <w:rPr>
          <w:i/>
          <w:iCs/>
        </w:rPr>
        <w:t>Encyclopedia Britannica</w:t>
      </w:r>
      <w:r w:rsidRPr="00657769">
        <w:t>, 12 February 2025 &lt;https://www.britannica.com/topic/Indo-European-languages/Morphology-and-syntax.&gt; [Accessed 11 March 2025]</w:t>
      </w:r>
    </w:p>
    <w:p w14:paraId="434091E0" w14:textId="77777777" w:rsidR="00A03FD9" w:rsidRPr="00657769" w:rsidRDefault="00A03FD9" w:rsidP="00A03FD9">
      <w:pPr>
        <w:pStyle w:val="FootnoteText"/>
        <w:spacing w:after="120"/>
        <w:ind w:left="720" w:hanging="720"/>
        <w:rPr>
          <w:sz w:val="24"/>
          <w:szCs w:val="24"/>
        </w:rPr>
      </w:pPr>
      <w:r w:rsidRPr="00657769">
        <w:rPr>
          <w:sz w:val="24"/>
          <w:szCs w:val="24"/>
        </w:rPr>
        <w:t>Morgan</w:t>
      </w:r>
      <w:r>
        <w:rPr>
          <w:sz w:val="24"/>
          <w:szCs w:val="24"/>
        </w:rPr>
        <w:t>,</w:t>
      </w:r>
      <w:r w:rsidRPr="00657769">
        <w:rPr>
          <w:sz w:val="24"/>
          <w:szCs w:val="24"/>
        </w:rPr>
        <w:t xml:space="preserve"> William, ‘1588 Welsh Bible’, </w:t>
      </w:r>
      <w:r w:rsidRPr="00657769">
        <w:rPr>
          <w:i/>
          <w:iCs/>
          <w:sz w:val="24"/>
          <w:szCs w:val="24"/>
        </w:rPr>
        <w:t>The National Library of Wales</w:t>
      </w:r>
      <w:r w:rsidRPr="00657769">
        <w:rPr>
          <w:sz w:val="24"/>
          <w:szCs w:val="24"/>
        </w:rPr>
        <w:t xml:space="preserve"> &lt;https://www.library.wales/discover-learn/digital-exhibitions/printed-material/1588-welsh-bible#:~:text=The%20year%201588%20saw%20the,John's%20College%2C%20Cambridge.&gt; [Accessed 11 March 2025]</w:t>
      </w:r>
    </w:p>
    <w:p w14:paraId="1F290496" w14:textId="77777777" w:rsidR="00A03FD9" w:rsidRPr="00657769" w:rsidRDefault="00A03FD9" w:rsidP="00A03FD9">
      <w:pPr>
        <w:pStyle w:val="FootnoteText"/>
        <w:spacing w:after="120"/>
        <w:ind w:left="720" w:hanging="720"/>
        <w:rPr>
          <w:sz w:val="24"/>
          <w:szCs w:val="24"/>
        </w:rPr>
      </w:pPr>
      <w:r w:rsidRPr="00657769">
        <w:rPr>
          <w:sz w:val="24"/>
          <w:szCs w:val="24"/>
        </w:rPr>
        <w:t xml:space="preserve">Office for National Statistics, </w:t>
      </w:r>
      <w:r w:rsidRPr="00657769">
        <w:rPr>
          <w:i/>
          <w:iCs/>
          <w:sz w:val="24"/>
          <w:szCs w:val="24"/>
        </w:rPr>
        <w:t>Welsh language in Wales (Census 2021</w:t>
      </w:r>
      <w:r w:rsidRPr="00657769">
        <w:rPr>
          <w:sz w:val="24"/>
          <w:szCs w:val="24"/>
        </w:rPr>
        <w:t>) (2022) &lt;https://www.gov.wales/welsh-language-wales-census-2021-html#111193&gt; [Accessed 11 March 2025]</w:t>
      </w:r>
    </w:p>
    <w:p w14:paraId="03A1A98A" w14:textId="77777777" w:rsidR="00A03FD9" w:rsidRPr="00657769" w:rsidRDefault="00A03FD9" w:rsidP="00A03FD9">
      <w:pPr>
        <w:pStyle w:val="FootnoteText"/>
        <w:spacing w:after="120"/>
        <w:ind w:left="720" w:hanging="720"/>
        <w:rPr>
          <w:sz w:val="24"/>
          <w:szCs w:val="24"/>
        </w:rPr>
      </w:pPr>
      <w:r w:rsidRPr="00657769">
        <w:rPr>
          <w:sz w:val="24"/>
          <w:szCs w:val="24"/>
        </w:rPr>
        <w:t>Olander</w:t>
      </w:r>
      <w:r>
        <w:rPr>
          <w:sz w:val="24"/>
          <w:szCs w:val="24"/>
        </w:rPr>
        <w:t>,</w:t>
      </w:r>
      <w:r w:rsidRPr="00657769">
        <w:rPr>
          <w:sz w:val="24"/>
          <w:szCs w:val="24"/>
        </w:rPr>
        <w:t xml:space="preserve"> Thomas</w:t>
      </w:r>
      <w:r w:rsidRPr="00657769">
        <w:rPr>
          <w:i/>
          <w:iCs/>
          <w:sz w:val="24"/>
          <w:szCs w:val="24"/>
        </w:rPr>
        <w:t>, The Indo-European Language Family</w:t>
      </w:r>
      <w:r w:rsidRPr="00657769">
        <w:rPr>
          <w:sz w:val="24"/>
          <w:szCs w:val="24"/>
        </w:rPr>
        <w:t>, ‘Celtic’ (Cambridge: Cambridge University Press, 2022) pp.143-148  &lt;https://books.google.co.uk/books?hl=en&amp;lr=&amp;id=gdCIEAAAQBAJ&amp;oi=fnd&amp;pg=PA135&amp;dq=indo+european&gt; [Accessed 11 March 2025]</w:t>
      </w:r>
    </w:p>
    <w:p w14:paraId="6BF1CBB4" w14:textId="77777777" w:rsidR="00A03FD9" w:rsidRPr="00657769" w:rsidRDefault="00A03FD9" w:rsidP="00A03FD9">
      <w:pPr>
        <w:spacing w:after="120" w:line="240" w:lineRule="auto"/>
        <w:ind w:left="720" w:hanging="720"/>
      </w:pPr>
      <w:r w:rsidRPr="00657769">
        <w:t>Smith</w:t>
      </w:r>
      <w:r>
        <w:t>,</w:t>
      </w:r>
      <w:r w:rsidRPr="00657769">
        <w:t xml:space="preserve"> Jenkyn Beverley, Harold Carter and Pyrs Gruffudd, ‘Wales from the 16</w:t>
      </w:r>
      <w:r w:rsidRPr="00657769">
        <w:rPr>
          <w:vertAlign w:val="superscript"/>
        </w:rPr>
        <w:t>th</w:t>
      </w:r>
      <w:r w:rsidRPr="00657769">
        <w:t xml:space="preserve"> to the 21</w:t>
      </w:r>
      <w:r w:rsidRPr="00657769">
        <w:rPr>
          <w:vertAlign w:val="superscript"/>
        </w:rPr>
        <w:t>st</w:t>
      </w:r>
      <w:r w:rsidRPr="00657769">
        <w:t xml:space="preserve"> century’, </w:t>
      </w:r>
      <w:r w:rsidRPr="00657769">
        <w:rPr>
          <w:i/>
          <w:iCs/>
        </w:rPr>
        <w:t>Encyclopedia Britannica</w:t>
      </w:r>
      <w:r w:rsidRPr="00657769">
        <w:t>, 11 March 2025, &lt;https://www.britannica.com/topic/Act-of-Union-England-and-Wales-1536.&gt; [Accessed 11 March 2025]</w:t>
      </w:r>
    </w:p>
    <w:p w14:paraId="3620978D" w14:textId="77777777" w:rsidR="00A03FD9" w:rsidRPr="00657769" w:rsidRDefault="00A03FD9" w:rsidP="00A03FD9">
      <w:pPr>
        <w:pStyle w:val="FootnoteText"/>
        <w:spacing w:after="120"/>
        <w:ind w:left="720" w:hanging="720"/>
        <w:rPr>
          <w:sz w:val="24"/>
          <w:szCs w:val="24"/>
        </w:rPr>
      </w:pPr>
      <w:r w:rsidRPr="00657769">
        <w:rPr>
          <w:i/>
          <w:iCs/>
          <w:sz w:val="24"/>
          <w:szCs w:val="24"/>
        </w:rPr>
        <w:t>The Mabinogion</w:t>
      </w:r>
      <w:r w:rsidRPr="00657769">
        <w:rPr>
          <w:sz w:val="24"/>
          <w:szCs w:val="24"/>
        </w:rPr>
        <w:t>, trans. by Charlotte Guest (Project Gutenberg, 2021), &lt;https://www.gutenberg.org/files/5160/5160-h/5160-h.htm#chap09&gt; [Accessed 11 March 2025]</w:t>
      </w:r>
    </w:p>
    <w:p w14:paraId="1B62CA13" w14:textId="77777777" w:rsidR="00A03FD9" w:rsidRPr="00657769" w:rsidRDefault="00A03FD9" w:rsidP="00A03FD9">
      <w:pPr>
        <w:pStyle w:val="FootnoteText"/>
        <w:spacing w:after="120"/>
        <w:ind w:left="720" w:hanging="720"/>
        <w:rPr>
          <w:sz w:val="24"/>
          <w:szCs w:val="24"/>
        </w:rPr>
      </w:pPr>
      <w:r w:rsidRPr="00657769">
        <w:rPr>
          <w:sz w:val="24"/>
          <w:szCs w:val="24"/>
        </w:rPr>
        <w:t xml:space="preserve">‘The Ogham Stones of Wales’, </w:t>
      </w:r>
      <w:r w:rsidRPr="00657769">
        <w:rPr>
          <w:i/>
          <w:iCs/>
          <w:sz w:val="24"/>
          <w:szCs w:val="24"/>
        </w:rPr>
        <w:t>Babelstone</w:t>
      </w:r>
      <w:r w:rsidRPr="00657769">
        <w:rPr>
          <w:sz w:val="24"/>
          <w:szCs w:val="24"/>
        </w:rPr>
        <w:t>, 1 March 2010</w:t>
      </w:r>
      <w:r>
        <w:rPr>
          <w:sz w:val="24"/>
          <w:szCs w:val="24"/>
        </w:rPr>
        <w:t xml:space="preserve"> </w:t>
      </w:r>
      <w:r w:rsidRPr="00657769">
        <w:rPr>
          <w:sz w:val="24"/>
          <w:szCs w:val="24"/>
        </w:rPr>
        <w:t>&lt;https://www.babelstone.co.uk/Blog/2010/03/ogham-stones-of-wales.html&gt; [Accessed 11 March 2025]</w:t>
      </w:r>
    </w:p>
    <w:p w14:paraId="37EF0A2D" w14:textId="77777777" w:rsidR="00A03FD9" w:rsidRPr="00657769" w:rsidRDefault="00A03FD9" w:rsidP="00A03FD9">
      <w:pPr>
        <w:pStyle w:val="FootnoteText"/>
        <w:spacing w:after="120"/>
        <w:ind w:left="720" w:hanging="720"/>
        <w:rPr>
          <w:sz w:val="24"/>
          <w:szCs w:val="24"/>
        </w:rPr>
      </w:pPr>
      <w:r w:rsidRPr="00657769">
        <w:rPr>
          <w:i/>
          <w:iCs/>
          <w:sz w:val="24"/>
          <w:szCs w:val="24"/>
        </w:rPr>
        <w:t>Welsh Language Act 1993, c.38</w:t>
      </w:r>
      <w:r w:rsidRPr="00657769">
        <w:rPr>
          <w:sz w:val="24"/>
          <w:szCs w:val="24"/>
        </w:rPr>
        <w:t>, (London: Parliament of the United Kingdom, 1993) &lt;https://law.gov.wales/culture/welsh-language/welsh-language-act-1993&gt; [Accessed 11 March 2025]</w:t>
      </w:r>
    </w:p>
    <w:p w14:paraId="64000B99" w14:textId="77777777" w:rsidR="006F71B0" w:rsidRPr="00A03FD9" w:rsidRDefault="006F71B0" w:rsidP="006F71B0">
      <w:pPr>
        <w:pStyle w:val="FootnoteText"/>
        <w:rPr>
          <w:sz w:val="22"/>
          <w:szCs w:val="22"/>
        </w:rPr>
      </w:pPr>
    </w:p>
    <w:p w14:paraId="081E6B4A" w14:textId="65A890E6" w:rsidR="006F71B0" w:rsidRPr="00A03FD9" w:rsidRDefault="006F71B0" w:rsidP="006F71B0">
      <w:pPr>
        <w:pStyle w:val="FootnoteText"/>
        <w:rPr>
          <w:sz w:val="22"/>
          <w:szCs w:val="22"/>
        </w:rPr>
      </w:pPr>
    </w:p>
    <w:p w14:paraId="6136A401" w14:textId="77777777" w:rsidR="006F71B0" w:rsidRPr="00DB261C" w:rsidRDefault="006F71B0" w:rsidP="00DB261C">
      <w:pPr>
        <w:rPr>
          <w:sz w:val="22"/>
          <w:szCs w:val="22"/>
        </w:rPr>
      </w:pPr>
    </w:p>
    <w:p w14:paraId="3E313202" w14:textId="77777777" w:rsidR="00DB261C" w:rsidRPr="00A03FD9" w:rsidRDefault="00DB261C" w:rsidP="00DB261C">
      <w:pPr>
        <w:rPr>
          <w:sz w:val="22"/>
          <w:szCs w:val="22"/>
        </w:rPr>
      </w:pPr>
    </w:p>
    <w:sectPr w:rsidR="00DB261C" w:rsidRPr="00A03FD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DF100" w14:textId="77777777" w:rsidR="000B4FFC" w:rsidRDefault="000B4FFC" w:rsidP="006F71B0">
      <w:pPr>
        <w:spacing w:after="0" w:line="240" w:lineRule="auto"/>
      </w:pPr>
      <w:r>
        <w:separator/>
      </w:r>
    </w:p>
  </w:endnote>
  <w:endnote w:type="continuationSeparator" w:id="0">
    <w:p w14:paraId="4F249946" w14:textId="77777777" w:rsidR="000B4FFC" w:rsidRDefault="000B4FFC" w:rsidP="006F7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F301" w14:textId="77777777" w:rsidR="000B4FFC" w:rsidRDefault="000B4FFC" w:rsidP="006F71B0">
      <w:pPr>
        <w:spacing w:after="0" w:line="240" w:lineRule="auto"/>
      </w:pPr>
      <w:r>
        <w:separator/>
      </w:r>
    </w:p>
  </w:footnote>
  <w:footnote w:type="continuationSeparator" w:id="0">
    <w:p w14:paraId="1C5C5B18" w14:textId="77777777" w:rsidR="000B4FFC" w:rsidRDefault="000B4FFC" w:rsidP="006F71B0">
      <w:pPr>
        <w:spacing w:after="0" w:line="240" w:lineRule="auto"/>
      </w:pPr>
      <w:r>
        <w:continuationSeparator/>
      </w:r>
    </w:p>
  </w:footnote>
  <w:footnote w:id="1">
    <w:p w14:paraId="75E14E62" w14:textId="4C67F15A" w:rsidR="006F71B0" w:rsidRDefault="006F71B0">
      <w:pPr>
        <w:pStyle w:val="FootnoteText"/>
      </w:pPr>
      <w:r>
        <w:rPr>
          <w:rStyle w:val="FootnoteReference"/>
        </w:rPr>
        <w:footnoteRef/>
      </w:r>
      <w:r>
        <w:t xml:space="preserve">Kenneth Hurlstone Jackson, </w:t>
      </w:r>
      <w:r>
        <w:rPr>
          <w:i/>
          <w:iCs/>
        </w:rPr>
        <w:t xml:space="preserve">The </w:t>
      </w:r>
      <w:r w:rsidRPr="006F71B0">
        <w:rPr>
          <w:i/>
          <w:iCs/>
        </w:rPr>
        <w:t>Brittonic Language</w:t>
      </w:r>
      <w:r>
        <w:rPr>
          <w:i/>
          <w:iCs/>
        </w:rPr>
        <w:t>s,</w:t>
      </w:r>
      <w:r w:rsidRPr="006F71B0">
        <w:rPr>
          <w:i/>
          <w:iCs/>
        </w:rPr>
        <w:t xml:space="preserve"> </w:t>
      </w:r>
      <w:r>
        <w:rPr>
          <w:i/>
          <w:iCs/>
        </w:rPr>
        <w:t>and the Breton</w:t>
      </w:r>
      <w:r w:rsidRPr="006F71B0">
        <w:rPr>
          <w:i/>
          <w:iCs/>
        </w:rPr>
        <w:t xml:space="preserve"> Migrations</w:t>
      </w:r>
      <w:r>
        <w:t xml:space="preserve"> (Edinburgh: Edinburgh University Press, 1953), p. </w:t>
      </w:r>
      <w:r w:rsidR="00A03FD9">
        <w:t>5</w:t>
      </w:r>
    </w:p>
    <w:p w14:paraId="42E3E80B" w14:textId="017235A7" w:rsidR="006F71B0" w:rsidRDefault="006F71B0">
      <w:pPr>
        <w:pStyle w:val="FootnoteText"/>
      </w:pPr>
      <w:r>
        <w:t>&lt;</w:t>
      </w:r>
      <w:r w:rsidRPr="006F71B0">
        <w:t>https://contentstore-cla-co-uk.ezproxy.uwtsd.ac.uk/EReader/Index?guid=4172508a-3320-ec11-ae72-a04a5e5d2f8d&amp;pcid=2753002&amp;t=eyJhbGciOiJIUzI1NiIsInR5cCI6IkpXVCJ9.eyJqdGkiOiI3ZGQxODU5Zi00ZTI0LTQzZDgtYjZiNy1jMWFlZDM2OGY1MGQiLCJuYmYiOjE3NDE2ODk0MjUsImV4cCI6MTc</w:t>
      </w:r>
      <w:r>
        <w:t>&gt; [Accessed 11 March 2025].</w:t>
      </w:r>
    </w:p>
  </w:footnote>
  <w:footnote w:id="2">
    <w:p w14:paraId="7F7C82F9" w14:textId="52492314" w:rsidR="006F71B0" w:rsidRDefault="006F71B0">
      <w:pPr>
        <w:pStyle w:val="FootnoteText"/>
      </w:pPr>
      <w:r>
        <w:rPr>
          <w:rStyle w:val="FootnoteReference"/>
        </w:rPr>
        <w:footnoteRef/>
      </w:r>
      <w:r>
        <w:t xml:space="preserve"> </w:t>
      </w:r>
      <w:r w:rsidRPr="006F71B0">
        <w:t>Jenkyn Beverley</w:t>
      </w:r>
      <w:r>
        <w:t xml:space="preserve"> Smith</w:t>
      </w:r>
      <w:r w:rsidRPr="006F71B0">
        <w:t xml:space="preserve">, </w:t>
      </w:r>
      <w:r>
        <w:t>Harold Carter and Pyrs</w:t>
      </w:r>
      <w:r w:rsidRPr="006F71B0">
        <w:t xml:space="preserve"> Gruffudd</w:t>
      </w:r>
      <w:r>
        <w:t>, ‘</w:t>
      </w:r>
      <w:r w:rsidRPr="006F71B0">
        <w:t>Wales from the 16</w:t>
      </w:r>
      <w:r w:rsidRPr="006F71B0">
        <w:rPr>
          <w:vertAlign w:val="superscript"/>
        </w:rPr>
        <w:t>th</w:t>
      </w:r>
      <w:r w:rsidRPr="006F71B0">
        <w:t xml:space="preserve"> to the 21</w:t>
      </w:r>
      <w:r w:rsidRPr="006F71B0">
        <w:rPr>
          <w:vertAlign w:val="superscript"/>
        </w:rPr>
        <w:t>st</w:t>
      </w:r>
      <w:r w:rsidRPr="006F71B0">
        <w:t xml:space="preserve"> century</w:t>
      </w:r>
      <w:r>
        <w:t>’,</w:t>
      </w:r>
      <w:r w:rsidRPr="006F71B0">
        <w:t> </w:t>
      </w:r>
      <w:r w:rsidRPr="006F71B0">
        <w:rPr>
          <w:i/>
          <w:iCs/>
        </w:rPr>
        <w:t>Encyclopedia Britannica</w:t>
      </w:r>
      <w:r w:rsidRPr="006F71B0">
        <w:t>, 11 Mar</w:t>
      </w:r>
      <w:r>
        <w:t>ch</w:t>
      </w:r>
      <w:r w:rsidRPr="006F71B0">
        <w:t xml:space="preserve"> 2025, </w:t>
      </w:r>
      <w:r>
        <w:t>&lt;</w:t>
      </w:r>
      <w:r w:rsidRPr="006F71B0">
        <w:t>https://www.britannica.com/topic/Act-of-Union-England-and-Wales-1536.</w:t>
      </w:r>
      <w:r>
        <w:t>&gt;</w:t>
      </w:r>
      <w:r w:rsidRPr="006F71B0">
        <w:t xml:space="preserve"> </w:t>
      </w:r>
      <w:r>
        <w:t>[Accessed 11 March 2025].</w:t>
      </w:r>
    </w:p>
  </w:footnote>
  <w:footnote w:id="3">
    <w:p w14:paraId="6391EE90" w14:textId="351533DD" w:rsidR="006F71B0" w:rsidRPr="006F71B0" w:rsidRDefault="006F71B0" w:rsidP="006F71B0">
      <w:pPr>
        <w:pStyle w:val="FootnoteText"/>
      </w:pPr>
      <w:r w:rsidRPr="006F71B0">
        <w:rPr>
          <w:rStyle w:val="FootnoteReference"/>
        </w:rPr>
        <w:footnoteRef/>
      </w:r>
      <w:r w:rsidRPr="006F71B0">
        <w:t xml:space="preserve"> Kenneth Hurlstone Jackson, </w:t>
      </w:r>
      <w:r>
        <w:rPr>
          <w:i/>
          <w:iCs/>
        </w:rPr>
        <w:t xml:space="preserve">The </w:t>
      </w:r>
      <w:r w:rsidRPr="006F71B0">
        <w:rPr>
          <w:i/>
          <w:iCs/>
        </w:rPr>
        <w:t>Brittonic Language</w:t>
      </w:r>
      <w:r>
        <w:rPr>
          <w:i/>
          <w:iCs/>
        </w:rPr>
        <w:t>s,</w:t>
      </w:r>
      <w:r w:rsidRPr="006F71B0">
        <w:rPr>
          <w:i/>
          <w:iCs/>
        </w:rPr>
        <w:t xml:space="preserve"> </w:t>
      </w:r>
      <w:r>
        <w:rPr>
          <w:i/>
          <w:iCs/>
        </w:rPr>
        <w:t>and the Breton</w:t>
      </w:r>
      <w:r w:rsidRPr="006F71B0">
        <w:rPr>
          <w:i/>
          <w:iCs/>
        </w:rPr>
        <w:t xml:space="preserve"> Migrations</w:t>
      </w:r>
      <w:r>
        <w:t xml:space="preserve">, p. </w:t>
      </w:r>
      <w:r w:rsidR="00A03FD9">
        <w:t>5.</w:t>
      </w:r>
    </w:p>
  </w:footnote>
  <w:footnote w:id="4">
    <w:p w14:paraId="3D5A69BA" w14:textId="4A29B66C" w:rsidR="006F71B0" w:rsidRPr="006F71B0" w:rsidRDefault="006F71B0" w:rsidP="006F71B0">
      <w:pPr>
        <w:pStyle w:val="FootnoteText"/>
      </w:pPr>
      <w:r w:rsidRPr="00A03FD9">
        <w:rPr>
          <w:rStyle w:val="FootnoteReference"/>
        </w:rPr>
        <w:footnoteRef/>
      </w:r>
      <w:r w:rsidRPr="00A03FD9">
        <w:t xml:space="preserve"> John Gwenogvryn, </w:t>
      </w:r>
      <w:r w:rsidRPr="00A03FD9">
        <w:rPr>
          <w:i/>
          <w:iCs/>
        </w:rPr>
        <w:t>Poems from the Book of Taliesin</w:t>
      </w:r>
      <w:r w:rsidRPr="00A03FD9">
        <w:t>, (Tremban,1915) &lt;https://archive.org/details/cu31924068919541&gt; [Accessed 11/03/2025].</w:t>
      </w:r>
    </w:p>
  </w:footnote>
  <w:footnote w:id="5">
    <w:p w14:paraId="6D21DACD" w14:textId="1F37D795" w:rsidR="006F71B0" w:rsidRPr="006F71B0" w:rsidRDefault="006F71B0" w:rsidP="006F71B0">
      <w:pPr>
        <w:pStyle w:val="FootnoteText"/>
      </w:pPr>
      <w:r w:rsidRPr="006F71B0">
        <w:rPr>
          <w:rStyle w:val="FootnoteReference"/>
        </w:rPr>
        <w:footnoteRef/>
      </w:r>
      <w:r w:rsidRPr="006F71B0">
        <w:t xml:space="preserve"> Aneurin, </w:t>
      </w:r>
      <w:r>
        <w:rPr>
          <w:i/>
          <w:iCs/>
        </w:rPr>
        <w:t xml:space="preserve">Y </w:t>
      </w:r>
      <w:r w:rsidRPr="006F71B0">
        <w:rPr>
          <w:i/>
          <w:iCs/>
        </w:rPr>
        <w:t>Gogodin</w:t>
      </w:r>
      <w:r>
        <w:t>, t</w:t>
      </w:r>
      <w:r w:rsidRPr="006F71B0">
        <w:t>rans</w:t>
      </w:r>
      <w:r>
        <w:t>. by</w:t>
      </w:r>
      <w:r w:rsidRPr="006F71B0">
        <w:t xml:space="preserve"> John Williams Ab Ithel</w:t>
      </w:r>
      <w:r>
        <w:t xml:space="preserve"> (London: </w:t>
      </w:r>
      <w:r w:rsidRPr="006F71B0">
        <w:t xml:space="preserve">William Rees, 1852), </w:t>
      </w:r>
      <w:r>
        <w:t>&lt;</w:t>
      </w:r>
      <w:r w:rsidRPr="006F71B0">
        <w:t>https://www.gutenberg.org/files/9842/9842-h/9842-h.htm</w:t>
      </w:r>
      <w:r>
        <w:t>&gt;</w:t>
      </w:r>
      <w:r w:rsidRPr="006F71B0">
        <w:t xml:space="preserve"> [</w:t>
      </w:r>
      <w:r w:rsidR="00A03FD9" w:rsidRPr="006F71B0">
        <w:t>Accessed 11</w:t>
      </w:r>
      <w:r w:rsidR="00A03FD9">
        <w:t xml:space="preserve"> March </w:t>
      </w:r>
      <w:r w:rsidR="00A03FD9" w:rsidRPr="006F71B0">
        <w:t>2025</w:t>
      </w:r>
      <w:r w:rsidRPr="006F71B0">
        <w:t>].</w:t>
      </w:r>
    </w:p>
  </w:footnote>
  <w:footnote w:id="6">
    <w:p w14:paraId="1A51C858" w14:textId="750C9D79" w:rsidR="006F71B0" w:rsidRPr="006F71B0" w:rsidRDefault="006F71B0" w:rsidP="006F71B0">
      <w:pPr>
        <w:spacing w:after="0"/>
        <w:rPr>
          <w:sz w:val="20"/>
          <w:szCs w:val="20"/>
        </w:rPr>
      </w:pPr>
      <w:r w:rsidRPr="006F71B0">
        <w:rPr>
          <w:rStyle w:val="FootnoteReference"/>
          <w:sz w:val="20"/>
          <w:szCs w:val="20"/>
        </w:rPr>
        <w:footnoteRef/>
      </w:r>
      <w:r w:rsidRPr="006F71B0">
        <w:rPr>
          <w:sz w:val="20"/>
          <w:szCs w:val="20"/>
        </w:rPr>
        <w:t xml:space="preserve"> </w:t>
      </w:r>
      <w:r>
        <w:rPr>
          <w:sz w:val="20"/>
          <w:szCs w:val="20"/>
        </w:rPr>
        <w:t xml:space="preserve">Nancy Edwards, </w:t>
      </w:r>
      <w:r>
        <w:rPr>
          <w:i/>
          <w:iCs/>
          <w:sz w:val="20"/>
          <w:szCs w:val="20"/>
        </w:rPr>
        <w:t xml:space="preserve">Early Medieval Wales – a matter of identity </w:t>
      </w:r>
      <w:r>
        <w:rPr>
          <w:sz w:val="20"/>
          <w:szCs w:val="20"/>
        </w:rPr>
        <w:t>[video]. 2020 &lt;</w:t>
      </w:r>
      <w:r w:rsidRPr="006F71B0">
        <w:rPr>
          <w:sz w:val="20"/>
          <w:szCs w:val="20"/>
        </w:rPr>
        <w:t>https://www.youtube.com/watch?v=pYuBNOe_rYw</w:t>
      </w:r>
      <w:r>
        <w:rPr>
          <w:sz w:val="20"/>
          <w:szCs w:val="20"/>
        </w:rPr>
        <w:t xml:space="preserve">&gt;. </w:t>
      </w:r>
    </w:p>
  </w:footnote>
  <w:footnote w:id="7">
    <w:p w14:paraId="47261D32" w14:textId="0343378E" w:rsidR="006F71B0" w:rsidRPr="006F71B0" w:rsidRDefault="006F71B0" w:rsidP="006F71B0">
      <w:pPr>
        <w:pStyle w:val="FootnoteText"/>
      </w:pPr>
      <w:r w:rsidRPr="006F71B0">
        <w:rPr>
          <w:rStyle w:val="FootnoteReference"/>
        </w:rPr>
        <w:footnoteRef/>
      </w:r>
      <w:r w:rsidRPr="006F71B0">
        <w:t xml:space="preserve"> </w:t>
      </w:r>
      <w:r>
        <w:t>‘</w:t>
      </w:r>
      <w:r w:rsidRPr="006F71B0">
        <w:t>The Ogham Stones of Wales</w:t>
      </w:r>
      <w:r>
        <w:t>’</w:t>
      </w:r>
      <w:r w:rsidRPr="006F71B0">
        <w:t xml:space="preserve">, </w:t>
      </w:r>
      <w:r w:rsidRPr="006F71B0">
        <w:rPr>
          <w:i/>
          <w:iCs/>
        </w:rPr>
        <w:t>Babelstone</w:t>
      </w:r>
      <w:r>
        <w:t xml:space="preserve">, 1 March </w:t>
      </w:r>
      <w:r w:rsidRPr="006F71B0">
        <w:t>2010</w:t>
      </w:r>
    </w:p>
    <w:p w14:paraId="78CDCF5D" w14:textId="2FA98E5C" w:rsidR="006F71B0" w:rsidRDefault="006F71B0" w:rsidP="006F71B0">
      <w:pPr>
        <w:pStyle w:val="FootnoteText"/>
      </w:pPr>
      <w:r>
        <w:t>&lt;</w:t>
      </w:r>
      <w:r w:rsidRPr="006F71B0">
        <w:t>https://www.babelstone.co.uk/Blog/2010/03/ogham-stones-of-wales.html</w:t>
      </w:r>
      <w:r>
        <w:t>&gt;</w:t>
      </w:r>
      <w:r w:rsidRPr="006F71B0">
        <w:t xml:space="preserve"> [</w:t>
      </w:r>
      <w:r w:rsidR="00A03FD9" w:rsidRPr="006F71B0">
        <w:t>Accessed 11</w:t>
      </w:r>
      <w:r w:rsidR="00A03FD9">
        <w:t xml:space="preserve"> March </w:t>
      </w:r>
      <w:r w:rsidR="00A03FD9" w:rsidRPr="006F71B0">
        <w:t>2025</w:t>
      </w:r>
      <w:r w:rsidRPr="006F71B0">
        <w:t>].</w:t>
      </w:r>
    </w:p>
  </w:footnote>
  <w:footnote w:id="8">
    <w:p w14:paraId="79492711" w14:textId="26797699" w:rsidR="006F71B0" w:rsidRDefault="006F71B0">
      <w:pPr>
        <w:pStyle w:val="FootnoteText"/>
      </w:pPr>
      <w:r>
        <w:rPr>
          <w:rStyle w:val="FootnoteReference"/>
        </w:rPr>
        <w:footnoteRef/>
      </w:r>
      <w:r>
        <w:t xml:space="preserve"> ‘</w:t>
      </w:r>
      <w:r w:rsidRPr="006F71B0">
        <w:t>Ask Dr Gramadeg: Yr Wyddor / The Alphabet</w:t>
      </w:r>
      <w:r>
        <w:t>’</w:t>
      </w:r>
      <w:r w:rsidRPr="006F71B0">
        <w:t xml:space="preserve">, </w:t>
      </w:r>
      <w:r w:rsidRPr="006F71B0">
        <w:rPr>
          <w:i/>
          <w:iCs/>
        </w:rPr>
        <w:t>Parallel</w:t>
      </w:r>
      <w:r w:rsidRPr="006F71B0">
        <w:t xml:space="preserve"> </w:t>
      </w:r>
      <w:r>
        <w:t>&lt;</w:t>
      </w:r>
      <w:r w:rsidRPr="006F71B0">
        <w:t>https://parallel.cymru/ask-dr-gramadeg-the-alphabet/?lang=en</w:t>
      </w:r>
      <w:r>
        <w:t xml:space="preserve">&gt; </w:t>
      </w:r>
      <w:r w:rsidRPr="006F71B0">
        <w:t>[</w:t>
      </w:r>
      <w:r w:rsidR="00A03FD9" w:rsidRPr="006F71B0">
        <w:t>Accessed 11</w:t>
      </w:r>
      <w:r w:rsidR="00A03FD9">
        <w:t xml:space="preserve"> March </w:t>
      </w:r>
      <w:r w:rsidR="00A03FD9" w:rsidRPr="006F71B0">
        <w:t>2025</w:t>
      </w:r>
      <w:r w:rsidRPr="006F71B0">
        <w:t>].</w:t>
      </w:r>
    </w:p>
  </w:footnote>
  <w:footnote w:id="9">
    <w:p w14:paraId="6CE86064" w14:textId="67888BF5" w:rsidR="006F71B0" w:rsidRDefault="006F71B0">
      <w:pPr>
        <w:pStyle w:val="FootnoteText"/>
      </w:pPr>
      <w:r>
        <w:rPr>
          <w:rStyle w:val="FootnoteReference"/>
        </w:rPr>
        <w:footnoteRef/>
      </w:r>
      <w:r>
        <w:t xml:space="preserve"> William Morgan, ‘</w:t>
      </w:r>
      <w:r w:rsidRPr="006F71B0">
        <w:t>1588 Welsh Bible</w:t>
      </w:r>
      <w:r>
        <w:t xml:space="preserve">’, </w:t>
      </w:r>
      <w:r w:rsidRPr="006F71B0">
        <w:rPr>
          <w:i/>
          <w:iCs/>
        </w:rPr>
        <w:t>The National Library of Wales</w:t>
      </w:r>
      <w:r>
        <w:t xml:space="preserve"> &lt;</w:t>
      </w:r>
      <w:r w:rsidRPr="006F71B0">
        <w:t>https://www.library.wales/discover-learn/digital-exhibitions/printed-material/1588-welsh-bible#:~:text=The%20year%201588%20saw%20the,John's%20College%2C%20Cambridge.</w:t>
      </w:r>
      <w:r>
        <w:t xml:space="preserve">&gt; </w:t>
      </w:r>
      <w:r w:rsidRPr="006F71B0">
        <w:t>[</w:t>
      </w:r>
      <w:r w:rsidR="00A03FD9" w:rsidRPr="006F71B0">
        <w:t>Accessed 11</w:t>
      </w:r>
      <w:r w:rsidR="00A03FD9">
        <w:t xml:space="preserve"> March </w:t>
      </w:r>
      <w:r w:rsidR="00A03FD9" w:rsidRPr="006F71B0">
        <w:t>2025</w:t>
      </w:r>
      <w:r w:rsidRPr="006F71B0">
        <w:t>].</w:t>
      </w:r>
    </w:p>
  </w:footnote>
  <w:footnote w:id="10">
    <w:p w14:paraId="20F51C83" w14:textId="097375B0" w:rsidR="006F71B0" w:rsidRDefault="006F71B0">
      <w:pPr>
        <w:pStyle w:val="FootnoteText"/>
      </w:pPr>
      <w:r>
        <w:rPr>
          <w:rStyle w:val="FootnoteReference"/>
        </w:rPr>
        <w:footnoteRef/>
      </w:r>
      <w:r>
        <w:t xml:space="preserve"> </w:t>
      </w:r>
      <w:r w:rsidR="00A03FD9">
        <w:t>Barry Cunliffe</w:t>
      </w:r>
      <w:r>
        <w:t xml:space="preserve">, </w:t>
      </w:r>
      <w:r w:rsidRPr="006F71B0">
        <w:rPr>
          <w:i/>
          <w:iCs/>
        </w:rPr>
        <w:t>Celtic from the West: Alternative Perspectives from Archaeology, Genetics, Language and Literature</w:t>
      </w:r>
      <w:r w:rsidRPr="006F71B0">
        <w:t xml:space="preserve">, </w:t>
      </w:r>
      <w:r>
        <w:t xml:space="preserve">‘Part Three: Language and Literature’ (Oxford: Oxbow Books, </w:t>
      </w:r>
      <w:r w:rsidRPr="006F71B0">
        <w:t>2010</w:t>
      </w:r>
      <w:r>
        <w:t>)</w:t>
      </w:r>
      <w:r w:rsidRPr="006F71B0">
        <w:t xml:space="preserve">, </w:t>
      </w:r>
      <w:r w:rsidRPr="00A03FD9">
        <w:t>pp. 153-168</w:t>
      </w:r>
      <w:r>
        <w:t>, DOI: 10.2307/j.ctv13pk64k.10</w:t>
      </w:r>
      <w:r w:rsidR="00A03FD9">
        <w:t>.</w:t>
      </w:r>
    </w:p>
  </w:footnote>
  <w:footnote w:id="11">
    <w:p w14:paraId="52665BBF" w14:textId="2D769098" w:rsidR="006F71B0" w:rsidRPr="006F71B0" w:rsidRDefault="006F71B0">
      <w:pPr>
        <w:pStyle w:val="FootnoteText"/>
      </w:pPr>
      <w:r>
        <w:rPr>
          <w:rStyle w:val="FootnoteReference"/>
        </w:rPr>
        <w:footnoteRef/>
      </w:r>
      <w:r>
        <w:t xml:space="preserve"> </w:t>
      </w:r>
      <w:r w:rsidR="00A03FD9" w:rsidRPr="00A03FD9">
        <w:t xml:space="preserve">Jay H </w:t>
      </w:r>
      <w:r w:rsidRPr="00A03FD9">
        <w:t>Jasanoff</w:t>
      </w:r>
      <w:r w:rsidR="00A03FD9" w:rsidRPr="00A03FD9">
        <w:t>,</w:t>
      </w:r>
      <w:r w:rsidRPr="00A03FD9">
        <w:t xml:space="preserve"> Warren</w:t>
      </w:r>
      <w:r w:rsidR="00A03FD9" w:rsidRPr="00A03FD9">
        <w:t xml:space="preserve"> Cowgill</w:t>
      </w:r>
      <w:r w:rsidRPr="00A03FD9">
        <w:t>, ‘Indo-European languages’, </w:t>
      </w:r>
      <w:r w:rsidRPr="00A03FD9">
        <w:rPr>
          <w:i/>
          <w:iCs/>
        </w:rPr>
        <w:t>Encyclopedia Britannica</w:t>
      </w:r>
      <w:r w:rsidRPr="00A03FD9">
        <w:t>, 12 February 2025 &lt;https://www.britannica.com/topic/Indo</w:t>
      </w:r>
      <w:r w:rsidRPr="006F71B0">
        <w:t xml:space="preserve">-European-languages/Morphology-and-syntax.&gt; </w:t>
      </w:r>
      <w:r>
        <w:t>[</w:t>
      </w:r>
      <w:r w:rsidR="00A03FD9" w:rsidRPr="006F71B0">
        <w:t>Accessed 11</w:t>
      </w:r>
      <w:r w:rsidR="00A03FD9">
        <w:t xml:space="preserve"> March </w:t>
      </w:r>
      <w:r w:rsidR="00A03FD9" w:rsidRPr="006F71B0">
        <w:t>2025</w:t>
      </w:r>
      <w:r>
        <w:t>]</w:t>
      </w:r>
      <w:r w:rsidRPr="006F71B0">
        <w:t xml:space="preserve"> </w:t>
      </w:r>
      <w:r w:rsidR="00A03FD9">
        <w:t>.</w:t>
      </w:r>
    </w:p>
  </w:footnote>
  <w:footnote w:id="12">
    <w:p w14:paraId="1C9DE7C2" w14:textId="716FF07F" w:rsidR="00A03FD9" w:rsidRDefault="006F71B0">
      <w:pPr>
        <w:pStyle w:val="FootnoteText"/>
      </w:pPr>
      <w:r>
        <w:rPr>
          <w:rStyle w:val="FootnoteReference"/>
        </w:rPr>
        <w:footnoteRef/>
      </w:r>
      <w:r>
        <w:t xml:space="preserve"> </w:t>
      </w:r>
      <w:r w:rsidRPr="006F71B0">
        <w:t>Thomas Olander</w:t>
      </w:r>
      <w:r w:rsidRPr="006F71B0">
        <w:rPr>
          <w:i/>
          <w:iCs/>
        </w:rPr>
        <w:t>, The Indo-European Language Family</w:t>
      </w:r>
      <w:r>
        <w:t>, ‘Celtic’</w:t>
      </w:r>
      <w:r w:rsidRPr="006F71B0">
        <w:t xml:space="preserve"> </w:t>
      </w:r>
      <w:r>
        <w:t xml:space="preserve">(Cambridge: Cambridge University Press, 2022) </w:t>
      </w:r>
      <w:r w:rsidRPr="006F71B0">
        <w:t xml:space="preserve">pp.143-148  </w:t>
      </w:r>
      <w:r>
        <w:t>&lt;</w:t>
      </w:r>
      <w:r w:rsidRPr="006F71B0">
        <w:t>https://books.google.co.uk/books?hl=en&amp;lr=&amp;id=gdCIEAAAQBAJ&amp;oi=fnd&amp;pg=PA135&amp;dq=indo+europe</w:t>
      </w:r>
      <w:r>
        <w:t>an&gt;</w:t>
      </w:r>
      <w:r w:rsidRPr="006F71B0">
        <w:t xml:space="preserve"> [</w:t>
      </w:r>
      <w:r w:rsidR="00A03FD9" w:rsidRPr="006F71B0">
        <w:t>Accessed 11</w:t>
      </w:r>
      <w:r w:rsidR="00A03FD9">
        <w:t xml:space="preserve"> March </w:t>
      </w:r>
      <w:r w:rsidR="00A03FD9" w:rsidRPr="006F71B0">
        <w:t>2025</w:t>
      </w:r>
      <w:r w:rsidRPr="006F71B0">
        <w:t>].</w:t>
      </w:r>
    </w:p>
  </w:footnote>
  <w:footnote w:id="13">
    <w:p w14:paraId="5774A02B" w14:textId="7354AD34" w:rsidR="006F71B0" w:rsidRDefault="006F71B0" w:rsidP="006F71B0">
      <w:pPr>
        <w:pStyle w:val="FootnoteText"/>
      </w:pPr>
      <w:r>
        <w:rPr>
          <w:rStyle w:val="FootnoteReference"/>
        </w:rPr>
        <w:footnoteRef/>
      </w:r>
      <w:r>
        <w:t xml:space="preserve"> </w:t>
      </w:r>
      <w:r w:rsidRPr="006F71B0">
        <w:t xml:space="preserve">David Greene, </w:t>
      </w:r>
      <w:r>
        <w:t>‘</w:t>
      </w:r>
      <w:r w:rsidRPr="006F71B0">
        <w:t>Celtic languages</w:t>
      </w:r>
      <w:r>
        <w:t>’,</w:t>
      </w:r>
      <w:r w:rsidRPr="006F71B0">
        <w:t> </w:t>
      </w:r>
      <w:r w:rsidRPr="006F71B0">
        <w:rPr>
          <w:i/>
          <w:iCs/>
        </w:rPr>
        <w:t>Encyclopedia Britannica</w:t>
      </w:r>
      <w:r w:rsidRPr="006F71B0">
        <w:t>, 8 Nov</w:t>
      </w:r>
      <w:r>
        <w:t>ember</w:t>
      </w:r>
      <w:r w:rsidRPr="006F71B0">
        <w:t xml:space="preserve"> 2024, </w:t>
      </w:r>
      <w:r>
        <w:t>&lt;</w:t>
      </w:r>
      <w:r w:rsidRPr="006F71B0">
        <w:t>https://www.britannica.com/topic/Celtic-languages</w:t>
      </w:r>
      <w:r>
        <w:t xml:space="preserve">&gt; </w:t>
      </w:r>
      <w:r w:rsidRPr="006F71B0">
        <w:t>[</w:t>
      </w:r>
      <w:r w:rsidR="00A03FD9" w:rsidRPr="006F71B0">
        <w:t>Accessed 11</w:t>
      </w:r>
      <w:r w:rsidR="00A03FD9">
        <w:t xml:space="preserve"> March </w:t>
      </w:r>
      <w:r w:rsidR="00A03FD9" w:rsidRPr="006F71B0">
        <w:t>2025</w:t>
      </w:r>
      <w:r w:rsidRPr="006F71B0">
        <w:t>].</w:t>
      </w:r>
    </w:p>
  </w:footnote>
  <w:footnote w:id="14">
    <w:p w14:paraId="2101BF4E" w14:textId="742B429B" w:rsidR="006F71B0" w:rsidRDefault="006F71B0" w:rsidP="006F71B0">
      <w:pPr>
        <w:pStyle w:val="FootnoteText"/>
      </w:pPr>
      <w:r>
        <w:rPr>
          <w:rStyle w:val="FootnoteReference"/>
        </w:rPr>
        <w:footnoteRef/>
      </w:r>
      <w:r>
        <w:t xml:space="preserve"> </w:t>
      </w:r>
      <w:r w:rsidRPr="006F71B0">
        <w:t xml:space="preserve">Thomas Olander, </w:t>
      </w:r>
      <w:r w:rsidRPr="006F71B0">
        <w:rPr>
          <w:i/>
          <w:iCs/>
        </w:rPr>
        <w:t>The Indo-European Language Family</w:t>
      </w:r>
      <w:r>
        <w:t xml:space="preserve">, pp. </w:t>
      </w:r>
      <w:r w:rsidRPr="006F71B0">
        <w:t>(143-148)</w:t>
      </w:r>
      <w:r>
        <w:t>.</w:t>
      </w:r>
      <w:r w:rsidRPr="006F71B0">
        <w:t xml:space="preserve">  </w:t>
      </w:r>
    </w:p>
  </w:footnote>
  <w:footnote w:id="15">
    <w:p w14:paraId="0011559D" w14:textId="4EDDFA13" w:rsidR="006F71B0" w:rsidRDefault="006F71B0" w:rsidP="006F71B0">
      <w:pPr>
        <w:pStyle w:val="FootnoteText"/>
      </w:pPr>
      <w:r>
        <w:rPr>
          <w:rStyle w:val="FootnoteReference"/>
        </w:rPr>
        <w:footnoteRef/>
      </w:r>
      <w:r>
        <w:t xml:space="preserve"> Jessica Brain, ‘</w:t>
      </w:r>
      <w:r w:rsidRPr="006F71B0">
        <w:t>The Welsh Language</w:t>
      </w:r>
      <w:r>
        <w:t xml:space="preserve">’, </w:t>
      </w:r>
      <w:r w:rsidRPr="006F71B0">
        <w:rPr>
          <w:i/>
          <w:iCs/>
        </w:rPr>
        <w:t>Historic UK</w:t>
      </w:r>
      <w:r>
        <w:t>, &lt;</w:t>
      </w:r>
      <w:r w:rsidRPr="006F71B0">
        <w:t>https://www.historic-uk.com/HistoryUK/HistoryofWales/Welsh-Language/</w:t>
      </w:r>
      <w:r>
        <w:t xml:space="preserve">&gt; </w:t>
      </w:r>
      <w:r w:rsidRPr="006F71B0">
        <w:t>[Accessed 11</w:t>
      </w:r>
      <w:r>
        <w:t xml:space="preserve"> March </w:t>
      </w:r>
      <w:r w:rsidRPr="006F71B0">
        <w:t>2025].</w:t>
      </w:r>
    </w:p>
  </w:footnote>
  <w:footnote w:id="16">
    <w:p w14:paraId="3C6636FC" w14:textId="773C2BCC" w:rsidR="006F71B0" w:rsidRDefault="006F71B0" w:rsidP="006F71B0">
      <w:pPr>
        <w:pStyle w:val="FootnoteText"/>
      </w:pPr>
      <w:r>
        <w:rPr>
          <w:rStyle w:val="FootnoteReference"/>
        </w:rPr>
        <w:footnoteRef/>
      </w:r>
      <w:r>
        <w:t xml:space="preserve"> </w:t>
      </w:r>
      <w:r w:rsidRPr="003D35AB">
        <w:rPr>
          <w:i/>
          <w:iCs/>
        </w:rPr>
        <w:t>The Mabinogion</w:t>
      </w:r>
      <w:r>
        <w:t>, trans. by Charlotte Guest (Project Gutenberg, 2021), &lt;</w:t>
      </w:r>
      <w:r w:rsidRPr="003D35AB">
        <w:t>https://www.gutenberg.org/files/5160/5160-h/5160-h.htm#chap09</w:t>
      </w:r>
      <w:r>
        <w:t>&gt; [</w:t>
      </w:r>
      <w:r w:rsidRPr="004A3030">
        <w:t xml:space="preserve">Accessed </w:t>
      </w:r>
      <w:r>
        <w:t>11</w:t>
      </w:r>
      <w:r w:rsidRPr="004A3030">
        <w:t xml:space="preserve"> March 2025</w:t>
      </w:r>
      <w:r>
        <w:t>].</w:t>
      </w:r>
    </w:p>
  </w:footnote>
  <w:footnote w:id="17">
    <w:p w14:paraId="3EB410D0" w14:textId="7FF4D07F" w:rsidR="006F71B0" w:rsidRDefault="006F71B0">
      <w:pPr>
        <w:pStyle w:val="FootnoteText"/>
      </w:pPr>
      <w:r>
        <w:rPr>
          <w:rStyle w:val="FootnoteReference"/>
        </w:rPr>
        <w:footnoteRef/>
      </w:r>
      <w:r>
        <w:t xml:space="preserve"> William Morgan, ‘</w:t>
      </w:r>
      <w:r w:rsidRPr="006F71B0">
        <w:t>1588 Welsh Bible</w:t>
      </w:r>
      <w:r>
        <w:t>’.</w:t>
      </w:r>
    </w:p>
  </w:footnote>
  <w:footnote w:id="18">
    <w:p w14:paraId="623D3E2E" w14:textId="0F595BC7" w:rsidR="00A03FD9" w:rsidRPr="00A03FD9" w:rsidRDefault="006F71B0">
      <w:pPr>
        <w:pStyle w:val="FootnoteText"/>
      </w:pPr>
      <w:r>
        <w:rPr>
          <w:rStyle w:val="FootnoteReference"/>
        </w:rPr>
        <w:footnoteRef/>
      </w:r>
      <w:r>
        <w:t xml:space="preserve"> </w:t>
      </w:r>
      <w:r w:rsidR="00A03FD9">
        <w:rPr>
          <w:i/>
          <w:iCs/>
        </w:rPr>
        <w:t>Welsh Language Act 1993, c.38</w:t>
      </w:r>
      <w:r w:rsidR="00A03FD9">
        <w:t>, (London: Parliament of the United Kingdom, 1993) &lt;</w:t>
      </w:r>
      <w:r w:rsidR="00A03FD9" w:rsidRPr="006F71B0">
        <w:t>https://law.gov.wales/culture/welsh-language/welsh-language-act-1993</w:t>
      </w:r>
      <w:r w:rsidR="00A03FD9">
        <w:t xml:space="preserve">&gt; </w:t>
      </w:r>
      <w:r w:rsidR="00A03FD9" w:rsidRPr="006F71B0">
        <w:t>[Accessed 11</w:t>
      </w:r>
      <w:r w:rsidR="00A03FD9">
        <w:t xml:space="preserve"> March </w:t>
      </w:r>
      <w:r w:rsidR="00A03FD9" w:rsidRPr="006F71B0">
        <w:t>2025].</w:t>
      </w:r>
    </w:p>
  </w:footnote>
  <w:footnote w:id="19">
    <w:p w14:paraId="30561521" w14:textId="20C121A5" w:rsidR="006F71B0" w:rsidRDefault="006F71B0">
      <w:pPr>
        <w:pStyle w:val="FootnoteText"/>
      </w:pPr>
      <w:r>
        <w:rPr>
          <w:rStyle w:val="FootnoteReference"/>
        </w:rPr>
        <w:footnoteRef/>
      </w:r>
      <w:r>
        <w:t xml:space="preserve"> Kenneth Hurlstone Jackson, </w:t>
      </w:r>
      <w:r w:rsidRPr="006F71B0">
        <w:rPr>
          <w:i/>
          <w:iCs/>
        </w:rPr>
        <w:t xml:space="preserve">Language and history in early Britain; a chronological survey of the Brittonic languages, first to twelfth century A.D, </w:t>
      </w:r>
      <w:r w:rsidR="00A03FD9">
        <w:t xml:space="preserve">(Edinburgh: </w:t>
      </w:r>
      <w:r w:rsidRPr="00A03FD9">
        <w:t>Edinburgh University Press</w:t>
      </w:r>
      <w:r>
        <w:t>, 1953)</w:t>
      </w:r>
      <w:r w:rsidR="00A03FD9">
        <w:t>,</w:t>
      </w:r>
      <w:r>
        <w:t xml:space="preserve"> </w:t>
      </w:r>
      <w:r w:rsidR="00A03FD9">
        <w:t xml:space="preserve">p. 547 </w:t>
      </w:r>
      <w:r>
        <w:t>&lt;</w:t>
      </w:r>
      <w:r w:rsidRPr="006F71B0">
        <w:t>https://archive.org/details/languagehistoryi0000jack/page/547/mode/2up?q=brenin</w:t>
      </w:r>
      <w:r>
        <w:t xml:space="preserve">&gt; </w:t>
      </w:r>
      <w:r w:rsidRPr="006F71B0">
        <w:t>[</w:t>
      </w:r>
      <w:r w:rsidR="00A03FD9" w:rsidRPr="006F71B0">
        <w:t>Accessed 11</w:t>
      </w:r>
      <w:r w:rsidR="00A03FD9">
        <w:t xml:space="preserve"> March </w:t>
      </w:r>
      <w:r w:rsidR="00A03FD9" w:rsidRPr="006F71B0">
        <w:t>2025</w:t>
      </w:r>
      <w:r w:rsidRPr="006F71B0">
        <w:t>].</w:t>
      </w:r>
    </w:p>
  </w:footnote>
  <w:footnote w:id="20">
    <w:p w14:paraId="7A967536" w14:textId="06BE718A" w:rsidR="006F71B0" w:rsidRDefault="006F71B0">
      <w:pPr>
        <w:pStyle w:val="FootnoteText"/>
      </w:pPr>
      <w:r>
        <w:rPr>
          <w:rStyle w:val="FootnoteReference"/>
        </w:rPr>
        <w:footnoteRef/>
      </w:r>
      <w:r>
        <w:t xml:space="preserve"> Lise Fontaine and Lowri Williams, </w:t>
      </w:r>
      <w:r w:rsidRPr="006F71B0">
        <w:rPr>
          <w:i/>
          <w:iCs/>
        </w:rPr>
        <w:t>A Preliminary Description of Mood in Welsh</w:t>
      </w:r>
      <w:r>
        <w:t xml:space="preserve">, </w:t>
      </w:r>
      <w:r w:rsidR="00A03FD9">
        <w:t>(</w:t>
      </w:r>
      <w:r>
        <w:t>Cardiff University</w:t>
      </w:r>
      <w:r w:rsidR="00A03FD9">
        <w:t>, 2021),</w:t>
      </w:r>
      <w:r>
        <w:t xml:space="preserve"> p.3 &lt;</w:t>
      </w:r>
      <w:r w:rsidRPr="006F71B0">
        <w:t>https://orca.cardiff.ac.uk/id/eprint/138636/1/Fontaine%20and%20Williams%20preprint.pdf</w:t>
      </w:r>
      <w:r>
        <w:t xml:space="preserve">&gt; </w:t>
      </w:r>
      <w:r w:rsidRPr="006F71B0">
        <w:t>[Accessed 11</w:t>
      </w:r>
      <w:r>
        <w:t xml:space="preserve"> March </w:t>
      </w:r>
      <w:r w:rsidRPr="006F71B0">
        <w:t>2025].</w:t>
      </w:r>
    </w:p>
  </w:footnote>
  <w:footnote w:id="21">
    <w:p w14:paraId="7BCE792A" w14:textId="6234CCDC" w:rsidR="006F71B0" w:rsidRDefault="006F71B0">
      <w:pPr>
        <w:pStyle w:val="FootnoteText"/>
      </w:pPr>
      <w:r>
        <w:rPr>
          <w:rStyle w:val="FootnoteReference"/>
        </w:rPr>
        <w:footnoteRef/>
      </w:r>
      <w:r>
        <w:t xml:space="preserve"> </w:t>
      </w:r>
      <w:r w:rsidR="00A03FD9" w:rsidRPr="006F71B0">
        <w:t>Jenkyn Beverley</w:t>
      </w:r>
      <w:r w:rsidR="00A03FD9">
        <w:t xml:space="preserve"> Smith</w:t>
      </w:r>
      <w:r w:rsidR="00A03FD9" w:rsidRPr="006F71B0">
        <w:t xml:space="preserve">, </w:t>
      </w:r>
      <w:r w:rsidR="00A03FD9">
        <w:t>Harold Carter and Pyrs</w:t>
      </w:r>
      <w:r w:rsidR="00A03FD9" w:rsidRPr="006F71B0">
        <w:t xml:space="preserve"> Gruffudd</w:t>
      </w:r>
      <w:r w:rsidR="00A03FD9">
        <w:t>, ‘</w:t>
      </w:r>
      <w:r w:rsidR="00A03FD9" w:rsidRPr="006F71B0">
        <w:t>Wales from the 16</w:t>
      </w:r>
      <w:r w:rsidR="00A03FD9" w:rsidRPr="006F71B0">
        <w:rPr>
          <w:vertAlign w:val="superscript"/>
        </w:rPr>
        <w:t>th</w:t>
      </w:r>
      <w:r w:rsidR="00A03FD9" w:rsidRPr="006F71B0">
        <w:t xml:space="preserve"> to the 21</w:t>
      </w:r>
      <w:r w:rsidR="00A03FD9" w:rsidRPr="006F71B0">
        <w:rPr>
          <w:vertAlign w:val="superscript"/>
        </w:rPr>
        <w:t>st</w:t>
      </w:r>
      <w:r w:rsidR="00A03FD9" w:rsidRPr="006F71B0">
        <w:t xml:space="preserve"> century</w:t>
      </w:r>
      <w:r w:rsidR="00A03FD9">
        <w:t>’.</w:t>
      </w:r>
    </w:p>
  </w:footnote>
  <w:footnote w:id="22">
    <w:p w14:paraId="7B73D309" w14:textId="7241320B" w:rsidR="006F71B0" w:rsidRDefault="006F71B0">
      <w:pPr>
        <w:pStyle w:val="FootnoteText"/>
      </w:pPr>
      <w:r w:rsidRPr="006F71B0">
        <w:rPr>
          <w:rStyle w:val="FootnoteReference"/>
        </w:rPr>
        <w:footnoteRef/>
      </w:r>
      <w:r w:rsidRPr="006F71B0">
        <w:t xml:space="preserve"> </w:t>
      </w:r>
      <w:r w:rsidR="00A03FD9">
        <w:t xml:space="preserve">Office for National Statistics, </w:t>
      </w:r>
      <w:r w:rsidR="00A03FD9" w:rsidRPr="006F71B0">
        <w:rPr>
          <w:i/>
          <w:iCs/>
        </w:rPr>
        <w:t>Welsh language in Wales (Census 2021</w:t>
      </w:r>
      <w:r w:rsidR="00A03FD9" w:rsidRPr="006F71B0">
        <w:t>)</w:t>
      </w:r>
      <w:r w:rsidR="00A03FD9">
        <w:t xml:space="preserve"> (2022) </w:t>
      </w:r>
      <w:r>
        <w:t>&lt;</w:t>
      </w:r>
      <w:r w:rsidRPr="006F71B0">
        <w:t>https://www.gov.wales/welsh-language-wales-census-2021-html#111193</w:t>
      </w:r>
      <w:r>
        <w:t>&gt; [</w:t>
      </w:r>
      <w:r w:rsidRPr="006F71B0">
        <w:t>Accessed 11 March 2025</w:t>
      </w:r>
      <w:r>
        <w:t>].</w:t>
      </w:r>
    </w:p>
    <w:p w14:paraId="267397FD" w14:textId="3CC7B893" w:rsidR="00A03FD9" w:rsidRDefault="00A03FD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A5E4D" w14:textId="789B73DF" w:rsidR="00A03FD9" w:rsidRPr="00A03FD9" w:rsidRDefault="00A03FD9" w:rsidP="00A03FD9">
    <w:pPr>
      <w:pStyle w:val="Header"/>
    </w:pPr>
    <w:r w:rsidRPr="00A03FD9">
      <w:t>Chris Guy</w:t>
    </w:r>
    <w:r w:rsidRPr="00A03FD9">
      <w:tab/>
      <w:t>An Introduction to the Celtic Languages</w:t>
    </w:r>
    <w:r w:rsidRPr="00A03FD9">
      <w:tab/>
      <w:t>HPCS4002</w:t>
    </w:r>
    <w:r w:rsidRPr="00A03FD9">
      <w:tab/>
    </w:r>
  </w:p>
  <w:p w14:paraId="7E443E18" w14:textId="1B308EE9" w:rsidR="00A03FD9" w:rsidRPr="00A03FD9" w:rsidRDefault="00A03FD9" w:rsidP="00A03FD9">
    <w:pPr>
      <w:pStyle w:val="Header"/>
      <w:rPr>
        <w:b/>
        <w:bCs/>
      </w:rPr>
    </w:pPr>
    <w:r>
      <w:rPr>
        <w:b/>
        <w:bCs/>
      </w:rPr>
      <w:tab/>
    </w:r>
  </w:p>
  <w:p w14:paraId="7502013B" w14:textId="44B2A59B" w:rsidR="00A03FD9" w:rsidRDefault="00A03FD9">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939FB"/>
    <w:multiLevelType w:val="multilevel"/>
    <w:tmpl w:val="3848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C6207"/>
    <w:multiLevelType w:val="multilevel"/>
    <w:tmpl w:val="DA38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F62886"/>
    <w:multiLevelType w:val="hybridMultilevel"/>
    <w:tmpl w:val="8EB8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FF0EF8"/>
    <w:multiLevelType w:val="hybridMultilevel"/>
    <w:tmpl w:val="DC8A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376BC6"/>
    <w:multiLevelType w:val="hybridMultilevel"/>
    <w:tmpl w:val="99C6CD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45223097">
    <w:abstractNumId w:val="0"/>
  </w:num>
  <w:num w:numId="2" w16cid:durableId="738018560">
    <w:abstractNumId w:val="1"/>
  </w:num>
  <w:num w:numId="3" w16cid:durableId="1951204821">
    <w:abstractNumId w:val="3"/>
  </w:num>
  <w:num w:numId="4" w16cid:durableId="1843817674">
    <w:abstractNumId w:val="2"/>
  </w:num>
  <w:num w:numId="5" w16cid:durableId="3261292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1C"/>
    <w:rsid w:val="0001697C"/>
    <w:rsid w:val="000B4FFC"/>
    <w:rsid w:val="00166433"/>
    <w:rsid w:val="00194D3B"/>
    <w:rsid w:val="002602A9"/>
    <w:rsid w:val="00274AEC"/>
    <w:rsid w:val="0029148C"/>
    <w:rsid w:val="00300BAC"/>
    <w:rsid w:val="00354129"/>
    <w:rsid w:val="00454B27"/>
    <w:rsid w:val="00472641"/>
    <w:rsid w:val="00522D2A"/>
    <w:rsid w:val="005F085B"/>
    <w:rsid w:val="006F71B0"/>
    <w:rsid w:val="00911243"/>
    <w:rsid w:val="0093550E"/>
    <w:rsid w:val="009D096C"/>
    <w:rsid w:val="009D4762"/>
    <w:rsid w:val="009E4B2E"/>
    <w:rsid w:val="00A03FD9"/>
    <w:rsid w:val="00A3599F"/>
    <w:rsid w:val="00AA6A07"/>
    <w:rsid w:val="00AE6ABB"/>
    <w:rsid w:val="00B92247"/>
    <w:rsid w:val="00C75B08"/>
    <w:rsid w:val="00C77385"/>
    <w:rsid w:val="00CA0E83"/>
    <w:rsid w:val="00DB261C"/>
    <w:rsid w:val="00E630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97430"/>
  <w15:chartTrackingRefBased/>
  <w15:docId w15:val="{1DC7356B-1724-4C39-9324-E336E9FE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26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26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26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26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26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26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26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26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26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6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26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26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26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26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26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26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26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261C"/>
    <w:rPr>
      <w:rFonts w:eastAsiaTheme="majorEastAsia" w:cstheme="majorBidi"/>
      <w:color w:val="272727" w:themeColor="text1" w:themeTint="D8"/>
    </w:rPr>
  </w:style>
  <w:style w:type="paragraph" w:styleId="Title">
    <w:name w:val="Title"/>
    <w:basedOn w:val="Normal"/>
    <w:next w:val="Normal"/>
    <w:link w:val="TitleChar"/>
    <w:uiPriority w:val="10"/>
    <w:qFormat/>
    <w:rsid w:val="00DB2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2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26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26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261C"/>
    <w:pPr>
      <w:spacing w:before="160"/>
      <w:jc w:val="center"/>
    </w:pPr>
    <w:rPr>
      <w:i/>
      <w:iCs/>
      <w:color w:val="404040" w:themeColor="text1" w:themeTint="BF"/>
    </w:rPr>
  </w:style>
  <w:style w:type="character" w:customStyle="1" w:styleId="QuoteChar">
    <w:name w:val="Quote Char"/>
    <w:basedOn w:val="DefaultParagraphFont"/>
    <w:link w:val="Quote"/>
    <w:uiPriority w:val="29"/>
    <w:rsid w:val="00DB261C"/>
    <w:rPr>
      <w:i/>
      <w:iCs/>
      <w:color w:val="404040" w:themeColor="text1" w:themeTint="BF"/>
    </w:rPr>
  </w:style>
  <w:style w:type="paragraph" w:styleId="ListParagraph">
    <w:name w:val="List Paragraph"/>
    <w:basedOn w:val="Normal"/>
    <w:uiPriority w:val="34"/>
    <w:qFormat/>
    <w:rsid w:val="00DB261C"/>
    <w:pPr>
      <w:ind w:left="720"/>
      <w:contextualSpacing/>
    </w:pPr>
  </w:style>
  <w:style w:type="character" w:styleId="IntenseEmphasis">
    <w:name w:val="Intense Emphasis"/>
    <w:basedOn w:val="DefaultParagraphFont"/>
    <w:uiPriority w:val="21"/>
    <w:qFormat/>
    <w:rsid w:val="00DB261C"/>
    <w:rPr>
      <w:i/>
      <w:iCs/>
      <w:color w:val="0F4761" w:themeColor="accent1" w:themeShade="BF"/>
    </w:rPr>
  </w:style>
  <w:style w:type="paragraph" w:styleId="IntenseQuote">
    <w:name w:val="Intense Quote"/>
    <w:basedOn w:val="Normal"/>
    <w:next w:val="Normal"/>
    <w:link w:val="IntenseQuoteChar"/>
    <w:uiPriority w:val="30"/>
    <w:qFormat/>
    <w:rsid w:val="00DB26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261C"/>
    <w:rPr>
      <w:i/>
      <w:iCs/>
      <w:color w:val="0F4761" w:themeColor="accent1" w:themeShade="BF"/>
    </w:rPr>
  </w:style>
  <w:style w:type="character" w:styleId="IntenseReference">
    <w:name w:val="Intense Reference"/>
    <w:basedOn w:val="DefaultParagraphFont"/>
    <w:uiPriority w:val="32"/>
    <w:qFormat/>
    <w:rsid w:val="00DB261C"/>
    <w:rPr>
      <w:b/>
      <w:bCs/>
      <w:smallCaps/>
      <w:color w:val="0F4761" w:themeColor="accent1" w:themeShade="BF"/>
      <w:spacing w:val="5"/>
    </w:rPr>
  </w:style>
  <w:style w:type="character" w:styleId="CommentReference">
    <w:name w:val="annotation reference"/>
    <w:basedOn w:val="DefaultParagraphFont"/>
    <w:uiPriority w:val="99"/>
    <w:semiHidden/>
    <w:unhideWhenUsed/>
    <w:rsid w:val="005F085B"/>
    <w:rPr>
      <w:sz w:val="16"/>
      <w:szCs w:val="16"/>
    </w:rPr>
  </w:style>
  <w:style w:type="paragraph" w:styleId="CommentText">
    <w:name w:val="annotation text"/>
    <w:basedOn w:val="Normal"/>
    <w:link w:val="CommentTextChar"/>
    <w:uiPriority w:val="99"/>
    <w:unhideWhenUsed/>
    <w:rsid w:val="005F085B"/>
    <w:pPr>
      <w:spacing w:line="240" w:lineRule="auto"/>
    </w:pPr>
    <w:rPr>
      <w:sz w:val="20"/>
      <w:szCs w:val="20"/>
    </w:rPr>
  </w:style>
  <w:style w:type="character" w:customStyle="1" w:styleId="CommentTextChar">
    <w:name w:val="Comment Text Char"/>
    <w:basedOn w:val="DefaultParagraphFont"/>
    <w:link w:val="CommentText"/>
    <w:uiPriority w:val="99"/>
    <w:rsid w:val="005F085B"/>
    <w:rPr>
      <w:sz w:val="20"/>
      <w:szCs w:val="20"/>
    </w:rPr>
  </w:style>
  <w:style w:type="paragraph" w:styleId="CommentSubject">
    <w:name w:val="annotation subject"/>
    <w:basedOn w:val="CommentText"/>
    <w:next w:val="CommentText"/>
    <w:link w:val="CommentSubjectChar"/>
    <w:uiPriority w:val="99"/>
    <w:semiHidden/>
    <w:unhideWhenUsed/>
    <w:rsid w:val="005F085B"/>
    <w:rPr>
      <w:b/>
      <w:bCs/>
    </w:rPr>
  </w:style>
  <w:style w:type="character" w:customStyle="1" w:styleId="CommentSubjectChar">
    <w:name w:val="Comment Subject Char"/>
    <w:basedOn w:val="CommentTextChar"/>
    <w:link w:val="CommentSubject"/>
    <w:uiPriority w:val="99"/>
    <w:semiHidden/>
    <w:rsid w:val="005F085B"/>
    <w:rPr>
      <w:b/>
      <w:bCs/>
      <w:sz w:val="20"/>
      <w:szCs w:val="20"/>
    </w:rPr>
  </w:style>
  <w:style w:type="character" w:styleId="Hyperlink">
    <w:name w:val="Hyperlink"/>
    <w:basedOn w:val="DefaultParagraphFont"/>
    <w:uiPriority w:val="99"/>
    <w:unhideWhenUsed/>
    <w:rsid w:val="005F085B"/>
    <w:rPr>
      <w:color w:val="467886" w:themeColor="hyperlink"/>
      <w:u w:val="single"/>
    </w:rPr>
  </w:style>
  <w:style w:type="character" w:styleId="UnresolvedMention">
    <w:name w:val="Unresolved Mention"/>
    <w:basedOn w:val="DefaultParagraphFont"/>
    <w:uiPriority w:val="99"/>
    <w:semiHidden/>
    <w:unhideWhenUsed/>
    <w:rsid w:val="005F085B"/>
    <w:rPr>
      <w:color w:val="605E5C"/>
      <w:shd w:val="clear" w:color="auto" w:fill="E1DFDD"/>
    </w:rPr>
  </w:style>
  <w:style w:type="paragraph" w:styleId="FootnoteText">
    <w:name w:val="footnote text"/>
    <w:basedOn w:val="Normal"/>
    <w:link w:val="FootnoteTextChar"/>
    <w:uiPriority w:val="99"/>
    <w:unhideWhenUsed/>
    <w:rsid w:val="006F71B0"/>
    <w:pPr>
      <w:spacing w:after="0" w:line="240" w:lineRule="auto"/>
    </w:pPr>
    <w:rPr>
      <w:sz w:val="20"/>
      <w:szCs w:val="20"/>
    </w:rPr>
  </w:style>
  <w:style w:type="character" w:customStyle="1" w:styleId="FootnoteTextChar">
    <w:name w:val="Footnote Text Char"/>
    <w:basedOn w:val="DefaultParagraphFont"/>
    <w:link w:val="FootnoteText"/>
    <w:uiPriority w:val="99"/>
    <w:rsid w:val="006F71B0"/>
    <w:rPr>
      <w:sz w:val="20"/>
      <w:szCs w:val="20"/>
    </w:rPr>
  </w:style>
  <w:style w:type="character" w:styleId="FootnoteReference">
    <w:name w:val="footnote reference"/>
    <w:basedOn w:val="DefaultParagraphFont"/>
    <w:uiPriority w:val="99"/>
    <w:semiHidden/>
    <w:unhideWhenUsed/>
    <w:rsid w:val="006F71B0"/>
    <w:rPr>
      <w:vertAlign w:val="superscript"/>
    </w:rPr>
  </w:style>
  <w:style w:type="character" w:styleId="FollowedHyperlink">
    <w:name w:val="FollowedHyperlink"/>
    <w:basedOn w:val="DefaultParagraphFont"/>
    <w:uiPriority w:val="99"/>
    <w:semiHidden/>
    <w:unhideWhenUsed/>
    <w:rsid w:val="006F71B0"/>
    <w:rPr>
      <w:color w:val="96607D" w:themeColor="followedHyperlink"/>
      <w:u w:val="single"/>
    </w:rPr>
  </w:style>
  <w:style w:type="paragraph" w:styleId="Header">
    <w:name w:val="header"/>
    <w:basedOn w:val="Normal"/>
    <w:link w:val="HeaderChar"/>
    <w:uiPriority w:val="99"/>
    <w:unhideWhenUsed/>
    <w:rsid w:val="00A03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FD9"/>
  </w:style>
  <w:style w:type="paragraph" w:styleId="Footer">
    <w:name w:val="footer"/>
    <w:basedOn w:val="Normal"/>
    <w:link w:val="FooterChar"/>
    <w:uiPriority w:val="99"/>
    <w:unhideWhenUsed/>
    <w:rsid w:val="00A03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505">
      <w:bodyDiv w:val="1"/>
      <w:marLeft w:val="0"/>
      <w:marRight w:val="0"/>
      <w:marTop w:val="0"/>
      <w:marBottom w:val="0"/>
      <w:divBdr>
        <w:top w:val="none" w:sz="0" w:space="0" w:color="auto"/>
        <w:left w:val="none" w:sz="0" w:space="0" w:color="auto"/>
        <w:bottom w:val="none" w:sz="0" w:space="0" w:color="auto"/>
        <w:right w:val="none" w:sz="0" w:space="0" w:color="auto"/>
      </w:divBdr>
    </w:div>
    <w:div w:id="15665238">
      <w:bodyDiv w:val="1"/>
      <w:marLeft w:val="0"/>
      <w:marRight w:val="0"/>
      <w:marTop w:val="0"/>
      <w:marBottom w:val="0"/>
      <w:divBdr>
        <w:top w:val="none" w:sz="0" w:space="0" w:color="auto"/>
        <w:left w:val="none" w:sz="0" w:space="0" w:color="auto"/>
        <w:bottom w:val="none" w:sz="0" w:space="0" w:color="auto"/>
        <w:right w:val="none" w:sz="0" w:space="0" w:color="auto"/>
      </w:divBdr>
    </w:div>
    <w:div w:id="748844090">
      <w:bodyDiv w:val="1"/>
      <w:marLeft w:val="0"/>
      <w:marRight w:val="0"/>
      <w:marTop w:val="0"/>
      <w:marBottom w:val="0"/>
      <w:divBdr>
        <w:top w:val="none" w:sz="0" w:space="0" w:color="auto"/>
        <w:left w:val="none" w:sz="0" w:space="0" w:color="auto"/>
        <w:bottom w:val="none" w:sz="0" w:space="0" w:color="auto"/>
        <w:right w:val="none" w:sz="0" w:space="0" w:color="auto"/>
      </w:divBdr>
    </w:div>
    <w:div w:id="825053117">
      <w:bodyDiv w:val="1"/>
      <w:marLeft w:val="0"/>
      <w:marRight w:val="0"/>
      <w:marTop w:val="0"/>
      <w:marBottom w:val="0"/>
      <w:divBdr>
        <w:top w:val="none" w:sz="0" w:space="0" w:color="auto"/>
        <w:left w:val="none" w:sz="0" w:space="0" w:color="auto"/>
        <w:bottom w:val="none" w:sz="0" w:space="0" w:color="auto"/>
        <w:right w:val="none" w:sz="0" w:space="0" w:color="auto"/>
      </w:divBdr>
    </w:div>
    <w:div w:id="956177148">
      <w:bodyDiv w:val="1"/>
      <w:marLeft w:val="0"/>
      <w:marRight w:val="0"/>
      <w:marTop w:val="0"/>
      <w:marBottom w:val="0"/>
      <w:divBdr>
        <w:top w:val="none" w:sz="0" w:space="0" w:color="auto"/>
        <w:left w:val="none" w:sz="0" w:space="0" w:color="auto"/>
        <w:bottom w:val="none" w:sz="0" w:space="0" w:color="auto"/>
        <w:right w:val="none" w:sz="0" w:space="0" w:color="auto"/>
      </w:divBdr>
    </w:div>
    <w:div w:id="1076055418">
      <w:bodyDiv w:val="1"/>
      <w:marLeft w:val="0"/>
      <w:marRight w:val="0"/>
      <w:marTop w:val="0"/>
      <w:marBottom w:val="0"/>
      <w:divBdr>
        <w:top w:val="none" w:sz="0" w:space="0" w:color="auto"/>
        <w:left w:val="none" w:sz="0" w:space="0" w:color="auto"/>
        <w:bottom w:val="none" w:sz="0" w:space="0" w:color="auto"/>
        <w:right w:val="none" w:sz="0" w:space="0" w:color="auto"/>
      </w:divBdr>
    </w:div>
    <w:div w:id="1081485978">
      <w:bodyDiv w:val="1"/>
      <w:marLeft w:val="0"/>
      <w:marRight w:val="0"/>
      <w:marTop w:val="0"/>
      <w:marBottom w:val="0"/>
      <w:divBdr>
        <w:top w:val="none" w:sz="0" w:space="0" w:color="auto"/>
        <w:left w:val="none" w:sz="0" w:space="0" w:color="auto"/>
        <w:bottom w:val="none" w:sz="0" w:space="0" w:color="auto"/>
        <w:right w:val="none" w:sz="0" w:space="0" w:color="auto"/>
      </w:divBdr>
    </w:div>
    <w:div w:id="1349677436">
      <w:bodyDiv w:val="1"/>
      <w:marLeft w:val="0"/>
      <w:marRight w:val="0"/>
      <w:marTop w:val="0"/>
      <w:marBottom w:val="0"/>
      <w:divBdr>
        <w:top w:val="none" w:sz="0" w:space="0" w:color="auto"/>
        <w:left w:val="none" w:sz="0" w:space="0" w:color="auto"/>
        <w:bottom w:val="none" w:sz="0" w:space="0" w:color="auto"/>
        <w:right w:val="none" w:sz="0" w:space="0" w:color="auto"/>
      </w:divBdr>
    </w:div>
    <w:div w:id="1374453507">
      <w:bodyDiv w:val="1"/>
      <w:marLeft w:val="0"/>
      <w:marRight w:val="0"/>
      <w:marTop w:val="0"/>
      <w:marBottom w:val="0"/>
      <w:divBdr>
        <w:top w:val="none" w:sz="0" w:space="0" w:color="auto"/>
        <w:left w:val="none" w:sz="0" w:space="0" w:color="auto"/>
        <w:bottom w:val="none" w:sz="0" w:space="0" w:color="auto"/>
        <w:right w:val="none" w:sz="0" w:space="0" w:color="auto"/>
      </w:divBdr>
    </w:div>
    <w:div w:id="1515461300">
      <w:bodyDiv w:val="1"/>
      <w:marLeft w:val="0"/>
      <w:marRight w:val="0"/>
      <w:marTop w:val="0"/>
      <w:marBottom w:val="0"/>
      <w:divBdr>
        <w:top w:val="none" w:sz="0" w:space="0" w:color="auto"/>
        <w:left w:val="none" w:sz="0" w:space="0" w:color="auto"/>
        <w:bottom w:val="none" w:sz="0" w:space="0" w:color="auto"/>
        <w:right w:val="none" w:sz="0" w:space="0" w:color="auto"/>
      </w:divBdr>
    </w:div>
    <w:div w:id="1628579859">
      <w:bodyDiv w:val="1"/>
      <w:marLeft w:val="0"/>
      <w:marRight w:val="0"/>
      <w:marTop w:val="0"/>
      <w:marBottom w:val="0"/>
      <w:divBdr>
        <w:top w:val="none" w:sz="0" w:space="0" w:color="auto"/>
        <w:left w:val="none" w:sz="0" w:space="0" w:color="auto"/>
        <w:bottom w:val="none" w:sz="0" w:space="0" w:color="auto"/>
        <w:right w:val="none" w:sz="0" w:space="0" w:color="auto"/>
      </w:divBdr>
    </w:div>
    <w:div w:id="1676110568">
      <w:bodyDiv w:val="1"/>
      <w:marLeft w:val="0"/>
      <w:marRight w:val="0"/>
      <w:marTop w:val="0"/>
      <w:marBottom w:val="0"/>
      <w:divBdr>
        <w:top w:val="none" w:sz="0" w:space="0" w:color="auto"/>
        <w:left w:val="none" w:sz="0" w:space="0" w:color="auto"/>
        <w:bottom w:val="none" w:sz="0" w:space="0" w:color="auto"/>
        <w:right w:val="none" w:sz="0" w:space="0" w:color="auto"/>
      </w:divBdr>
    </w:div>
    <w:div w:id="1775400677">
      <w:bodyDiv w:val="1"/>
      <w:marLeft w:val="0"/>
      <w:marRight w:val="0"/>
      <w:marTop w:val="0"/>
      <w:marBottom w:val="0"/>
      <w:divBdr>
        <w:top w:val="none" w:sz="0" w:space="0" w:color="auto"/>
        <w:left w:val="none" w:sz="0" w:space="0" w:color="auto"/>
        <w:bottom w:val="none" w:sz="0" w:space="0" w:color="auto"/>
        <w:right w:val="none" w:sz="0" w:space="0" w:color="auto"/>
      </w:divBdr>
    </w:div>
    <w:div w:id="1874809168">
      <w:bodyDiv w:val="1"/>
      <w:marLeft w:val="0"/>
      <w:marRight w:val="0"/>
      <w:marTop w:val="0"/>
      <w:marBottom w:val="0"/>
      <w:divBdr>
        <w:top w:val="none" w:sz="0" w:space="0" w:color="auto"/>
        <w:left w:val="none" w:sz="0" w:space="0" w:color="auto"/>
        <w:bottom w:val="none" w:sz="0" w:space="0" w:color="auto"/>
        <w:right w:val="none" w:sz="0" w:space="0" w:color="auto"/>
      </w:divBdr>
    </w:div>
    <w:div w:id="1977445784">
      <w:bodyDiv w:val="1"/>
      <w:marLeft w:val="0"/>
      <w:marRight w:val="0"/>
      <w:marTop w:val="0"/>
      <w:marBottom w:val="0"/>
      <w:divBdr>
        <w:top w:val="none" w:sz="0" w:space="0" w:color="auto"/>
        <w:left w:val="none" w:sz="0" w:space="0" w:color="auto"/>
        <w:bottom w:val="none" w:sz="0" w:space="0" w:color="auto"/>
        <w:right w:val="none" w:sz="0" w:space="0" w:color="auto"/>
      </w:divBdr>
    </w:div>
    <w:div w:id="201032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10866AF-0C37-4B22-9653-C7B476B37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2</Pages>
  <Words>2548</Words>
  <Characters>13943</Characters>
  <Application>Microsoft Office Word</Application>
  <DocSecurity>0</DocSecurity>
  <Lines>240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4</cp:revision>
  <dcterms:created xsi:type="dcterms:W3CDTF">2025-03-11T09:36:00Z</dcterms:created>
  <dcterms:modified xsi:type="dcterms:W3CDTF">2025-03-11T23:11:00Z</dcterms:modified>
</cp:coreProperties>
</file>