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0D717" w14:textId="2B63069C" w:rsidR="00AC2B77" w:rsidRDefault="00AC2B77" w:rsidP="00487E7A">
      <w:pPr>
        <w:pStyle w:val="TOCHeading"/>
      </w:pPr>
    </w:p>
    <w:p w14:paraId="69A73C73" w14:textId="5F4F9431" w:rsidR="00E23607" w:rsidRDefault="00AB7D32" w:rsidP="00345D8C">
      <w:pPr>
        <w:rPr>
          <w:rFonts w:asciiTheme="minorBidi" w:hAnsiTheme="minorBidi"/>
          <w:b/>
          <w:bCs/>
          <w:sz w:val="36"/>
          <w:szCs w:val="36"/>
        </w:rPr>
      </w:pPr>
      <w:r>
        <w:rPr>
          <w:rFonts w:asciiTheme="minorBidi" w:hAnsiTheme="minorBidi"/>
          <w:b/>
          <w:bCs/>
          <w:sz w:val="36"/>
          <w:szCs w:val="36"/>
        </w:rPr>
        <w:t xml:space="preserve">                                                                                                                  </w:t>
      </w:r>
    </w:p>
    <w:p w14:paraId="1F3CB45F" w14:textId="1F74AB0C" w:rsidR="00E23607" w:rsidRDefault="00AB7D32" w:rsidP="00345D8C">
      <w:pPr>
        <w:rPr>
          <w:rFonts w:asciiTheme="minorBidi" w:hAnsiTheme="minorBidi"/>
          <w:b/>
          <w:bCs/>
          <w:sz w:val="36"/>
          <w:szCs w:val="36"/>
        </w:rPr>
      </w:pPr>
      <w:r>
        <w:rPr>
          <w:rFonts w:asciiTheme="minorBidi" w:hAnsiTheme="minorBidi"/>
          <w:b/>
          <w:bCs/>
          <w:sz w:val="36"/>
          <w:szCs w:val="36"/>
        </w:rPr>
        <w:t xml:space="preserve">                  </w:t>
      </w:r>
      <w:r w:rsidR="00F77B08">
        <w:rPr>
          <w:rFonts w:ascii="Calibri" w:hAnsi="Calibri"/>
          <w:i/>
          <w:iCs/>
          <w:noProof/>
        </w:rPr>
        <w:drawing>
          <wp:inline distT="0" distB="0" distL="0" distR="0" wp14:anchorId="58886CB4" wp14:editId="1D516600">
            <wp:extent cx="3149937" cy="1316182"/>
            <wp:effectExtent l="0" t="0" r="0" b="0"/>
            <wp:docPr id="5112652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93639" cy="1376227"/>
                    </a:xfrm>
                    <a:prstGeom prst="rect">
                      <a:avLst/>
                    </a:prstGeom>
                    <a:noFill/>
                    <a:ln>
                      <a:noFill/>
                    </a:ln>
                  </pic:spPr>
                </pic:pic>
              </a:graphicData>
            </a:graphic>
          </wp:inline>
        </w:drawing>
      </w:r>
    </w:p>
    <w:p w14:paraId="1DB92CCE" w14:textId="4F74E7A3" w:rsidR="00E23607" w:rsidRDefault="00604394" w:rsidP="00604394">
      <w:pPr>
        <w:pStyle w:val="NoSpacing"/>
        <w:spacing w:before="1540" w:after="240"/>
        <w:rPr>
          <w:color w:val="156082" w:themeColor="accent1"/>
        </w:rPr>
      </w:pPr>
      <w:r>
        <w:rPr>
          <w:color w:val="156082" w:themeColor="accent1"/>
        </w:rPr>
        <w:br w:type="textWrapping" w:clear="all"/>
      </w:r>
    </w:p>
    <w:sdt>
      <w:sdtPr>
        <w:rPr>
          <w:rFonts w:asciiTheme="minorBidi" w:hAnsiTheme="minorBidi"/>
          <w:b/>
          <w:bCs/>
        </w:rPr>
        <w:alias w:val="Title"/>
        <w:id w:val="1735040861"/>
        <w:placeholder>
          <w:docPart w:val="F8B032825D6C4FA99C24F92BD7EEE4AD"/>
        </w:placeholder>
        <w:dataBinding w:prefixMappings="xmlns:ns0='http://purl.org/dc/elements/1.1/' xmlns:ns1='http://schemas.openxmlformats.org/package/2006/metadata/core-properties' " w:xpath="/ns1:coreProperties[1]/ns0:title[1]" w:storeItemID="{6C3C8BC8-F283-45AE-878A-BAB7291924A1}"/>
        <w:text/>
      </w:sdtPr>
      <w:sdtContent>
        <w:p w14:paraId="63F88CE3" w14:textId="02F1EA7C" w:rsidR="00E23607" w:rsidRDefault="00E4049F" w:rsidP="00E2360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E4049F">
            <w:rPr>
              <w:rFonts w:asciiTheme="minorBidi" w:hAnsiTheme="minorBidi"/>
              <w:b/>
              <w:bCs/>
            </w:rPr>
            <w:t>Principles and Concepts of Finance – BMSW5012</w:t>
          </w:r>
        </w:p>
      </w:sdtContent>
    </w:sdt>
    <w:sdt>
      <w:sdtPr>
        <w:rPr>
          <w:rFonts w:asciiTheme="minorBidi" w:eastAsiaTheme="minorHAnsi" w:hAnsiTheme="minorBidi"/>
          <w:b/>
          <w:bCs/>
          <w:lang w:val="en-GB"/>
        </w:rPr>
        <w:alias w:val="Subtitle"/>
        <w:id w:val="328029620"/>
        <w:dataBinding w:prefixMappings="xmlns:ns0='http://purl.org/dc/elements/1.1/' xmlns:ns1='http://schemas.openxmlformats.org/package/2006/metadata/core-properties' " w:xpath="/ns1:coreProperties[1]/ns0:subject[1]" w:storeItemID="{6C3C8BC8-F283-45AE-878A-BAB7291924A1}"/>
        <w:text/>
      </w:sdtPr>
      <w:sdtContent>
        <w:p w14:paraId="5141C731" w14:textId="72414D52" w:rsidR="00E23607" w:rsidRDefault="00E4049F" w:rsidP="00E4049F">
          <w:pPr>
            <w:pStyle w:val="NoSpacing"/>
            <w:jc w:val="center"/>
            <w:rPr>
              <w:rFonts w:asciiTheme="minorHAnsi" w:hAnsiTheme="minorHAnsi"/>
              <w:color w:val="156082" w:themeColor="accent1"/>
              <w:sz w:val="28"/>
              <w:szCs w:val="28"/>
            </w:rPr>
          </w:pPr>
          <w:r w:rsidRPr="00E4049F">
            <w:rPr>
              <w:rFonts w:asciiTheme="minorBidi" w:eastAsiaTheme="minorHAnsi" w:hAnsiTheme="minorBidi"/>
              <w:b/>
              <w:bCs/>
              <w:lang w:val="en-GB"/>
            </w:rPr>
            <w:t>Budgeting Principles and Approaches</w:t>
          </w:r>
          <w:r w:rsidR="00A23E64">
            <w:rPr>
              <w:rFonts w:asciiTheme="minorBidi" w:eastAsiaTheme="minorHAnsi" w:hAnsiTheme="minorBidi"/>
              <w:b/>
              <w:bCs/>
              <w:lang w:val="en-GB"/>
            </w:rPr>
            <w:t xml:space="preserve"> (Financial</w:t>
          </w:r>
          <w:r w:rsidRPr="00E4049F">
            <w:rPr>
              <w:rFonts w:asciiTheme="minorBidi" w:eastAsiaTheme="minorHAnsi" w:hAnsiTheme="minorBidi"/>
              <w:b/>
              <w:bCs/>
              <w:lang w:val="en-GB"/>
            </w:rPr>
            <w:t xml:space="preserve"> Analysis of Silver Stitch</w:t>
          </w:r>
          <w:r w:rsidR="00A23E64">
            <w:rPr>
              <w:rFonts w:asciiTheme="minorBidi" w:eastAsiaTheme="minorHAnsi" w:hAnsiTheme="minorBidi"/>
              <w:b/>
              <w:bCs/>
              <w:lang w:val="en-GB"/>
            </w:rPr>
            <w:t>)</w:t>
          </w:r>
        </w:p>
      </w:sdtContent>
    </w:sdt>
    <w:p w14:paraId="63837DC3" w14:textId="1919146B" w:rsidR="00E23607" w:rsidRDefault="00E23607" w:rsidP="00E23607">
      <w:pPr>
        <w:pStyle w:val="NoSpacing"/>
        <w:jc w:val="center"/>
        <w:rPr>
          <w:color w:val="156082" w:themeColor="accent1"/>
          <w:sz w:val="22"/>
          <w:szCs w:val="22"/>
        </w:rPr>
      </w:pPr>
      <w:r>
        <w:rPr>
          <w:noProof/>
          <w:sz w:val="22"/>
          <w:szCs w:val="22"/>
        </w:rPr>
        <mc:AlternateContent>
          <mc:Choice Requires="wps">
            <w:drawing>
              <wp:anchor distT="0" distB="0" distL="114300" distR="114300" simplePos="0" relativeHeight="251659264" behindDoc="0" locked="0" layoutInCell="1" allowOverlap="1" wp14:anchorId="1B80D1EA" wp14:editId="1CBC5DD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849620" cy="613410"/>
                <wp:effectExtent l="0" t="0" r="2540" b="6350"/>
                <wp:wrapNone/>
                <wp:docPr id="142" name="Text Box 3"/>
                <wp:cNvGraphicFramePr/>
                <a:graphic xmlns:a="http://schemas.openxmlformats.org/drawingml/2006/main">
                  <a:graphicData uri="http://schemas.microsoft.com/office/word/2010/wordprocessingShape">
                    <wps:wsp>
                      <wps:cNvSpPr txBox="1"/>
                      <wps:spPr>
                        <a:xfrm>
                          <a:off x="0" y="0"/>
                          <a:ext cx="594360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Bidi" w:hAnsiTheme="minorBidi"/>
                                <w:b/>
                                <w:bCs/>
                              </w:rPr>
                              <w:alias w:val="Date"/>
                              <w:id w:val="197127006"/>
                              <w:dataBinding w:prefixMappings="xmlns:ns0='http://schemas.microsoft.com/office/2006/coverPageProps' " w:xpath="/ns0:CoverPageProperties[1]/ns0:PublishDate[1]" w:storeItemID="{55AF091B-3C7A-41E3-B477-F2FDAA23CFDA}"/>
                              <w:date w:fullDate="2026-03-20T00:00:00Z">
                                <w:dateFormat w:val="MMMM d, yyyy"/>
                                <w:lid w:val="en-US"/>
                                <w:storeMappedDataAs w:val="dateTime"/>
                                <w:calendar w:val="gregorian"/>
                              </w:date>
                            </w:sdtPr>
                            <w:sdtContent>
                              <w:p w14:paraId="7A36D04C" w14:textId="09240882" w:rsidR="00E23607" w:rsidRDefault="00D67247" w:rsidP="00E23607">
                                <w:pPr>
                                  <w:pStyle w:val="NoSpacing"/>
                                  <w:spacing w:after="40"/>
                                  <w:jc w:val="center"/>
                                  <w:rPr>
                                    <w:caps/>
                                    <w:color w:val="156082" w:themeColor="accent1"/>
                                    <w:sz w:val="28"/>
                                    <w:szCs w:val="28"/>
                                  </w:rPr>
                                </w:pPr>
                                <w:r>
                                  <w:rPr>
                                    <w:rFonts w:asciiTheme="minorBidi" w:hAnsiTheme="minorBidi"/>
                                    <w:b/>
                                    <w:bCs/>
                                  </w:rPr>
                                  <w:t>March 20, 2026</w:t>
                                </w:r>
                              </w:p>
                            </w:sdtContent>
                          </w:sdt>
                          <w:p w14:paraId="23E1E74D" w14:textId="77777777" w:rsidR="00E23607" w:rsidRDefault="00000000" w:rsidP="00E23607">
                            <w:pPr>
                              <w:pStyle w:val="NoSpacing"/>
                              <w:jc w:val="center"/>
                              <w:rPr>
                                <w:color w:val="156082" w:themeColor="accent1"/>
                                <w:sz w:val="22"/>
                                <w:szCs w:val="22"/>
                              </w:rPr>
                            </w:pPr>
                            <w:sdt>
                              <w:sdtPr>
                                <w:rPr>
                                  <w:caps/>
                                  <w:color w:val="156082" w:themeColor="accent1"/>
                                </w:rPr>
                                <w:alias w:val="Company"/>
                                <w:id w:val="1390145197"/>
                                <w:showingPlcHdr/>
                                <w:dataBinding w:prefixMappings="xmlns:ns0='http://schemas.openxmlformats.org/officeDocument/2006/extended-properties' " w:xpath="/ns0:Properties[1]/ns0:Company[1]" w:storeItemID="{6668398D-A668-4E3E-A5EB-62B293D839F1}"/>
                                <w:text/>
                              </w:sdtPr>
                              <w:sdtContent>
                                <w:r w:rsidR="00E23607">
                                  <w:rPr>
                                    <w:caps/>
                                    <w:color w:val="156082" w:themeColor="accent1"/>
                                  </w:rPr>
                                  <w:t xml:space="preserve">     </w:t>
                                </w:r>
                              </w:sdtContent>
                            </w:sdt>
                          </w:p>
                          <w:p w14:paraId="2C7339D5" w14:textId="77777777" w:rsidR="00E23607" w:rsidRDefault="00000000" w:rsidP="00E23607">
                            <w:pPr>
                              <w:pStyle w:val="NoSpacing"/>
                              <w:jc w:val="center"/>
                              <w:rPr>
                                <w:color w:val="156082" w:themeColor="accent1"/>
                              </w:rPr>
                            </w:pPr>
                            <w:sdt>
                              <w:sdtPr>
                                <w:rPr>
                                  <w:color w:val="156082"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sidR="00E23607">
                                  <w:rPr>
                                    <w:color w:val="156082" w:themeColor="accent1"/>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80D1EA" id="_x0000_t202" coordsize="21600,21600" o:spt="202" path="m,l,21600r21600,l21600,xe">
                <v:stroke joinstyle="miter"/>
                <v:path gradientshapeok="t" o:connecttype="rect"/>
              </v:shapetype>
              <v:shape id="Text Box 3" o:spid="_x0000_s1026" type="#_x0000_t202" style="position:absolute;left:0;text-align:left;margin-left:0;margin-top:0;width:460.6pt;height:48.3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" filled="f" stroked="f" strokeweight=".5pt">
                <v:textbox style="mso-fit-shape-to-text:t" inset="0,0,0,0">
                  <w:txbxContent>
                    <w:sdt>
                      <w:sdtPr>
                        <w:rPr>
                          <w:rFonts w:asciiTheme="minorBidi" w:hAnsiTheme="minorBidi"/>
                          <w:b/>
                          <w:bCs/>
                        </w:rPr>
                        <w:alias w:val="Date"/>
                        <w:id w:val="197127006"/>
                        <w:dataBinding w:prefixMappings="xmlns:ns0='http://schemas.microsoft.com/office/2006/coverPageProps' " w:xpath="/ns0:CoverPageProperties[1]/ns0:PublishDate[1]" w:storeItemID="{55AF091B-3C7A-41E3-B477-F2FDAA23CFDA}"/>
                        <w:date w:fullDate="2026-03-20T00:00:00Z">
                          <w:dateFormat w:val="MMMM d, yyyy"/>
                          <w:lid w:val="en-US"/>
                          <w:storeMappedDataAs w:val="dateTime"/>
                          <w:calendar w:val="gregorian"/>
                        </w:date>
                      </w:sdtPr>
                      <w:sdtContent>
                        <w:p w14:paraId="7A36D04C" w14:textId="09240882" w:rsidR="00E23607" w:rsidRDefault="00D67247" w:rsidP="00E23607">
                          <w:pPr>
                            <w:pStyle w:val="NoSpacing"/>
                            <w:spacing w:after="40"/>
                            <w:jc w:val="center"/>
                            <w:rPr>
                              <w:caps/>
                              <w:color w:val="156082" w:themeColor="accent1"/>
                              <w:sz w:val="28"/>
                              <w:szCs w:val="28"/>
                            </w:rPr>
                          </w:pPr>
                          <w:r>
                            <w:rPr>
                              <w:rFonts w:asciiTheme="minorBidi" w:hAnsiTheme="minorBidi"/>
                              <w:b/>
                              <w:bCs/>
                            </w:rPr>
                            <w:t>March 20, 2026</w:t>
                          </w:r>
                        </w:p>
                      </w:sdtContent>
                    </w:sdt>
                    <w:p w14:paraId="23E1E74D" w14:textId="77777777" w:rsidR="00E23607" w:rsidRDefault="00000000" w:rsidP="00E23607">
                      <w:pPr>
                        <w:pStyle w:val="NoSpacing"/>
                        <w:jc w:val="center"/>
                        <w:rPr>
                          <w:color w:val="156082" w:themeColor="accent1"/>
                          <w:sz w:val="22"/>
                          <w:szCs w:val="22"/>
                        </w:rPr>
                      </w:pPr>
                      <w:sdt>
                        <w:sdtPr>
                          <w:rPr>
                            <w:caps/>
                            <w:color w:val="156082" w:themeColor="accent1"/>
                          </w:rPr>
                          <w:alias w:val="Company"/>
                          <w:id w:val="1390145197"/>
                          <w:showingPlcHdr/>
                          <w:dataBinding w:prefixMappings="xmlns:ns0='http://schemas.openxmlformats.org/officeDocument/2006/extended-properties' " w:xpath="/ns0:Properties[1]/ns0:Company[1]" w:storeItemID="{6668398D-A668-4E3E-A5EB-62B293D839F1}"/>
                          <w:text/>
                        </w:sdtPr>
                        <w:sdtContent>
                          <w:r w:rsidR="00E23607">
                            <w:rPr>
                              <w:caps/>
                              <w:color w:val="156082" w:themeColor="accent1"/>
                            </w:rPr>
                            <w:t xml:space="preserve">     </w:t>
                          </w:r>
                        </w:sdtContent>
                      </w:sdt>
                    </w:p>
                    <w:p w14:paraId="2C7339D5" w14:textId="77777777" w:rsidR="00E23607" w:rsidRDefault="00000000" w:rsidP="00E23607">
                      <w:pPr>
                        <w:pStyle w:val="NoSpacing"/>
                        <w:jc w:val="center"/>
                        <w:rPr>
                          <w:color w:val="156082" w:themeColor="accent1"/>
                        </w:rPr>
                      </w:pPr>
                      <w:sdt>
                        <w:sdtPr>
                          <w:rPr>
                            <w:color w:val="156082"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sidR="00E23607">
                            <w:rPr>
                              <w:color w:val="156082" w:themeColor="accent1"/>
                            </w:rPr>
                            <w:t xml:space="preserve">     </w:t>
                          </w:r>
                        </w:sdtContent>
                      </w:sdt>
                    </w:p>
                  </w:txbxContent>
                </v:textbox>
                <w10:wrap anchorx="margin" anchory="page"/>
              </v:shape>
            </w:pict>
          </mc:Fallback>
        </mc:AlternateContent>
      </w:r>
    </w:p>
    <w:p w14:paraId="53F4DCE0" w14:textId="3978FDCE" w:rsidR="00203BA1" w:rsidRDefault="00203BA1" w:rsidP="00203BA1">
      <w:pPr>
        <w:rPr>
          <w:rFonts w:asciiTheme="minorBidi" w:hAnsiTheme="minorBidi"/>
          <w:b/>
          <w:bCs/>
        </w:rPr>
      </w:pPr>
      <w:r>
        <w:t xml:space="preserve">                                                    </w:t>
      </w:r>
      <w:r w:rsidR="00F405AB">
        <w:t xml:space="preserve">  </w:t>
      </w:r>
      <w:r>
        <w:t xml:space="preserve">  </w:t>
      </w:r>
      <w:r w:rsidRPr="00327CFE">
        <w:rPr>
          <w:rFonts w:asciiTheme="minorBidi" w:hAnsiTheme="minorBidi"/>
          <w:b/>
          <w:bCs/>
        </w:rPr>
        <w:t>Module Lecturer:</w:t>
      </w:r>
      <w:r w:rsidRPr="00521949">
        <w:t xml:space="preserve"> </w:t>
      </w:r>
      <w:r w:rsidRPr="00521949">
        <w:rPr>
          <w:rFonts w:asciiTheme="minorBidi" w:hAnsiTheme="minorBidi"/>
          <w:b/>
          <w:bCs/>
        </w:rPr>
        <w:t>Christine Joy</w:t>
      </w:r>
    </w:p>
    <w:p w14:paraId="020110A8" w14:textId="56A7C8F4" w:rsidR="00203BA1" w:rsidRPr="00345D8C" w:rsidRDefault="00203BA1" w:rsidP="00D67247">
      <w:pPr>
        <w:rPr>
          <w:rFonts w:asciiTheme="minorBidi" w:hAnsiTheme="minorBidi"/>
          <w:b/>
          <w:bCs/>
        </w:rPr>
      </w:pPr>
      <w:r>
        <w:rPr>
          <w:rFonts w:asciiTheme="minorBidi" w:hAnsiTheme="minorBidi"/>
          <w:b/>
          <w:bCs/>
        </w:rPr>
        <w:t xml:space="preserve">                                        </w:t>
      </w:r>
      <w:r w:rsidR="00F405AB">
        <w:rPr>
          <w:rFonts w:asciiTheme="minorBidi" w:hAnsiTheme="minorBidi"/>
          <w:b/>
          <w:bCs/>
        </w:rPr>
        <w:t xml:space="preserve">  </w:t>
      </w:r>
      <w:r w:rsidRPr="00345D8C">
        <w:rPr>
          <w:rFonts w:asciiTheme="minorBidi" w:hAnsiTheme="minorBidi"/>
          <w:b/>
          <w:bCs/>
        </w:rPr>
        <w:t>Student Name: Salma</w:t>
      </w:r>
      <w:r w:rsidRPr="008F4B46">
        <w:rPr>
          <w:rFonts w:asciiTheme="minorBidi" w:hAnsiTheme="minorBidi"/>
          <w:b/>
          <w:bCs/>
        </w:rPr>
        <w:t xml:space="preserve"> Farache</w:t>
      </w:r>
      <w:r w:rsidRPr="00345D8C">
        <w:rPr>
          <w:rFonts w:asciiTheme="minorBidi" w:hAnsiTheme="minorBidi"/>
          <w:b/>
          <w:bCs/>
        </w:rPr>
        <w:br/>
      </w:r>
      <w:r>
        <w:rPr>
          <w:rFonts w:asciiTheme="minorBidi" w:hAnsiTheme="minorBidi"/>
          <w:b/>
          <w:bCs/>
        </w:rPr>
        <w:t xml:space="preserve">                                             </w:t>
      </w:r>
      <w:r w:rsidR="00F405AB">
        <w:rPr>
          <w:rFonts w:asciiTheme="minorBidi" w:hAnsiTheme="minorBidi"/>
          <w:b/>
          <w:bCs/>
        </w:rPr>
        <w:t xml:space="preserve">  </w:t>
      </w:r>
      <w:r w:rsidRPr="00345D8C">
        <w:rPr>
          <w:rFonts w:asciiTheme="minorBidi" w:hAnsiTheme="minorBidi"/>
          <w:b/>
          <w:bCs/>
        </w:rPr>
        <w:t xml:space="preserve">Student ID: </w:t>
      </w:r>
      <w:r w:rsidRPr="008F4B46">
        <w:rPr>
          <w:rFonts w:asciiTheme="minorBidi" w:hAnsiTheme="minorBidi"/>
          <w:b/>
          <w:bCs/>
        </w:rPr>
        <w:t>240862</w:t>
      </w:r>
      <w:r w:rsidR="005D0921">
        <w:rPr>
          <w:rFonts w:asciiTheme="minorBidi" w:hAnsiTheme="minorBidi"/>
          <w:b/>
          <w:bCs/>
        </w:rPr>
        <w:t>1</w:t>
      </w:r>
    </w:p>
    <w:p w14:paraId="7DE8ACD5" w14:textId="7D9A8AE0" w:rsidR="00203BA1" w:rsidRPr="00345D8C" w:rsidRDefault="00D67247" w:rsidP="00203BA1">
      <w:pPr>
        <w:rPr>
          <w:rFonts w:asciiTheme="minorBidi" w:hAnsiTheme="minorBidi"/>
          <w:b/>
          <w:bCs/>
        </w:rPr>
      </w:pPr>
      <w:r>
        <w:rPr>
          <w:rFonts w:asciiTheme="minorBidi" w:hAnsiTheme="minorBidi"/>
          <w:b/>
          <w:bCs/>
        </w:rPr>
        <w:t xml:space="preserve">                                            </w:t>
      </w:r>
      <w:r w:rsidR="00F405AB">
        <w:rPr>
          <w:rFonts w:asciiTheme="minorBidi" w:hAnsiTheme="minorBidi"/>
          <w:b/>
          <w:bCs/>
        </w:rPr>
        <w:t xml:space="preserve">    </w:t>
      </w:r>
      <w:r>
        <w:rPr>
          <w:rFonts w:asciiTheme="minorBidi" w:hAnsiTheme="minorBidi"/>
          <w:b/>
          <w:bCs/>
        </w:rPr>
        <w:t xml:space="preserve"> </w:t>
      </w:r>
      <w:r w:rsidR="00203BA1" w:rsidRPr="00345D8C">
        <w:rPr>
          <w:rFonts w:asciiTheme="minorBidi" w:hAnsiTheme="minorBidi"/>
          <w:b/>
          <w:bCs/>
        </w:rPr>
        <w:t xml:space="preserve">Word Count: </w:t>
      </w:r>
      <w:r w:rsidR="00AF18CF">
        <w:rPr>
          <w:rFonts w:asciiTheme="minorBidi" w:hAnsiTheme="minorBidi"/>
          <w:b/>
          <w:bCs/>
        </w:rPr>
        <w:t>3929</w:t>
      </w:r>
    </w:p>
    <w:p w14:paraId="171141F0" w14:textId="623B633C" w:rsidR="00E23607" w:rsidRDefault="00E23607" w:rsidP="00E23607">
      <w:pPr>
        <w:rPr>
          <w:rFonts w:asciiTheme="minorBidi" w:hAnsiTheme="minorBidi"/>
          <w:b/>
          <w:bCs/>
          <w:sz w:val="36"/>
          <w:szCs w:val="36"/>
        </w:rPr>
      </w:pPr>
    </w:p>
    <w:p w14:paraId="1033F86E" w14:textId="77777777" w:rsidR="00E23607" w:rsidRDefault="00E23607" w:rsidP="00345D8C">
      <w:pPr>
        <w:rPr>
          <w:rFonts w:asciiTheme="minorBidi" w:hAnsiTheme="minorBidi"/>
          <w:b/>
          <w:bCs/>
          <w:sz w:val="36"/>
          <w:szCs w:val="36"/>
        </w:rPr>
      </w:pPr>
    </w:p>
    <w:p w14:paraId="68F920F6" w14:textId="77777777" w:rsidR="00E23607" w:rsidRDefault="00E23607" w:rsidP="00345D8C">
      <w:pPr>
        <w:rPr>
          <w:rFonts w:asciiTheme="minorBidi" w:hAnsiTheme="minorBidi"/>
          <w:b/>
          <w:bCs/>
          <w:sz w:val="36"/>
          <w:szCs w:val="36"/>
        </w:rPr>
      </w:pPr>
    </w:p>
    <w:p w14:paraId="1776C7AF" w14:textId="77777777" w:rsidR="00E23607" w:rsidRDefault="00E23607" w:rsidP="00345D8C">
      <w:pPr>
        <w:rPr>
          <w:rFonts w:asciiTheme="minorBidi" w:hAnsiTheme="minorBidi"/>
          <w:b/>
          <w:bCs/>
          <w:sz w:val="36"/>
          <w:szCs w:val="36"/>
        </w:rPr>
      </w:pPr>
    </w:p>
    <w:p w14:paraId="587F3A83" w14:textId="77777777" w:rsidR="00E23607" w:rsidRDefault="00E23607" w:rsidP="00345D8C">
      <w:pPr>
        <w:rPr>
          <w:rFonts w:asciiTheme="minorBidi" w:hAnsiTheme="minorBidi"/>
          <w:b/>
          <w:bCs/>
          <w:sz w:val="36"/>
          <w:szCs w:val="36"/>
        </w:rPr>
      </w:pPr>
    </w:p>
    <w:p w14:paraId="76FC90FA" w14:textId="77777777" w:rsidR="00E23607" w:rsidRDefault="00E23607" w:rsidP="00345D8C">
      <w:pPr>
        <w:rPr>
          <w:rFonts w:asciiTheme="minorBidi" w:hAnsiTheme="minorBidi"/>
          <w:b/>
          <w:bCs/>
          <w:sz w:val="36"/>
          <w:szCs w:val="36"/>
        </w:rPr>
      </w:pPr>
    </w:p>
    <w:p w14:paraId="1199608F" w14:textId="77777777" w:rsidR="00EB368B" w:rsidRDefault="00EB368B" w:rsidP="00EB368B">
      <w:pPr>
        <w:rPr>
          <w:b/>
          <w:bCs/>
        </w:rPr>
      </w:pPr>
    </w:p>
    <w:p w14:paraId="38503AC2" w14:textId="77777777" w:rsidR="00EB368B" w:rsidRDefault="00EB368B" w:rsidP="00EB368B">
      <w:pPr>
        <w:rPr>
          <w:b/>
          <w:bCs/>
        </w:rPr>
      </w:pPr>
    </w:p>
    <w:sdt>
      <w:sdtPr>
        <w:rPr>
          <w:rFonts w:asciiTheme="minorHAnsi" w:eastAsiaTheme="minorHAnsi" w:hAnsiTheme="minorHAnsi" w:cstheme="minorBidi"/>
          <w:color w:val="auto"/>
          <w:kern w:val="2"/>
          <w:sz w:val="24"/>
          <w:szCs w:val="24"/>
          <w:lang w:eastAsia="en-US"/>
          <w14:ligatures w14:val="standardContextual"/>
        </w:rPr>
        <w:id w:val="-286742647"/>
        <w:docPartObj>
          <w:docPartGallery w:val="Table of Contents"/>
          <w:docPartUnique/>
        </w:docPartObj>
      </w:sdtPr>
      <w:sdtEndPr>
        <w:rPr>
          <w:b/>
          <w:bCs/>
        </w:rPr>
      </w:sdtEndPr>
      <w:sdtContent>
        <w:p w14:paraId="1C0B0B91" w14:textId="0333DB67" w:rsidR="00467910" w:rsidRDefault="00467910">
          <w:pPr>
            <w:pStyle w:val="TOCHeading"/>
          </w:pPr>
          <w:r>
            <w:t>Table of Contents</w:t>
          </w:r>
        </w:p>
        <w:p w14:paraId="07366B56" w14:textId="4415A5DE" w:rsidR="00467910" w:rsidRDefault="00467910">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24170196" w:history="1">
            <w:r w:rsidRPr="007B7825">
              <w:rPr>
                <w:rStyle w:val="Hyperlink"/>
                <w:noProof/>
              </w:rPr>
              <w:t>1.</w:t>
            </w:r>
            <w:r>
              <w:rPr>
                <w:rFonts w:eastAsiaTheme="minorEastAsia"/>
                <w:noProof/>
                <w:lang w:eastAsia="en-GB"/>
              </w:rPr>
              <w:tab/>
            </w:r>
            <w:r w:rsidRPr="007B7825">
              <w:rPr>
                <w:rStyle w:val="Hyperlink"/>
                <w:noProof/>
              </w:rPr>
              <w:t>Executive Summary:</w:t>
            </w:r>
            <w:r>
              <w:rPr>
                <w:noProof/>
                <w:webHidden/>
              </w:rPr>
              <w:tab/>
            </w:r>
            <w:r>
              <w:rPr>
                <w:noProof/>
                <w:webHidden/>
              </w:rPr>
              <w:fldChar w:fldCharType="begin"/>
            </w:r>
            <w:r>
              <w:rPr>
                <w:noProof/>
                <w:webHidden/>
              </w:rPr>
              <w:instrText xml:space="preserve"> PAGEREF _Toc224170196 \h </w:instrText>
            </w:r>
            <w:r>
              <w:rPr>
                <w:noProof/>
                <w:webHidden/>
              </w:rPr>
            </w:r>
            <w:r>
              <w:rPr>
                <w:noProof/>
                <w:webHidden/>
              </w:rPr>
              <w:fldChar w:fldCharType="separate"/>
            </w:r>
            <w:r>
              <w:rPr>
                <w:noProof/>
                <w:webHidden/>
              </w:rPr>
              <w:t>2</w:t>
            </w:r>
            <w:r>
              <w:rPr>
                <w:noProof/>
                <w:webHidden/>
              </w:rPr>
              <w:fldChar w:fldCharType="end"/>
            </w:r>
          </w:hyperlink>
        </w:p>
        <w:p w14:paraId="4DC06F33" w14:textId="59F3D88B" w:rsidR="00467910" w:rsidRDefault="00467910" w:rsidP="00095B06">
          <w:pPr>
            <w:pStyle w:val="TOC2"/>
            <w:tabs>
              <w:tab w:val="left" w:pos="720"/>
              <w:tab w:val="right" w:leader="dot" w:pos="9016"/>
            </w:tabs>
            <w:ind w:left="0"/>
            <w:rPr>
              <w:rFonts w:eastAsiaTheme="minorEastAsia"/>
              <w:noProof/>
              <w:lang w:eastAsia="en-GB"/>
            </w:rPr>
          </w:pPr>
          <w:hyperlink w:anchor="_Toc224170197" w:history="1">
            <w:r w:rsidRPr="007B7825">
              <w:rPr>
                <w:rStyle w:val="Hyperlink"/>
                <w:noProof/>
              </w:rPr>
              <w:t>2.</w:t>
            </w:r>
            <w:r w:rsidR="009A7ABF">
              <w:rPr>
                <w:rFonts w:eastAsiaTheme="minorEastAsia"/>
                <w:noProof/>
                <w:lang w:eastAsia="en-GB"/>
              </w:rPr>
              <w:t xml:space="preserve">       </w:t>
            </w:r>
            <w:r w:rsidRPr="007B7825">
              <w:rPr>
                <w:rStyle w:val="Hyperlink"/>
                <w:noProof/>
              </w:rPr>
              <w:t>Introduction:</w:t>
            </w:r>
            <w:r>
              <w:rPr>
                <w:noProof/>
                <w:webHidden/>
              </w:rPr>
              <w:tab/>
            </w:r>
            <w:r>
              <w:rPr>
                <w:noProof/>
                <w:webHidden/>
              </w:rPr>
              <w:fldChar w:fldCharType="begin"/>
            </w:r>
            <w:r>
              <w:rPr>
                <w:noProof/>
                <w:webHidden/>
              </w:rPr>
              <w:instrText xml:space="preserve"> PAGEREF _Toc224170197 \h </w:instrText>
            </w:r>
            <w:r>
              <w:rPr>
                <w:noProof/>
                <w:webHidden/>
              </w:rPr>
            </w:r>
            <w:r>
              <w:rPr>
                <w:noProof/>
                <w:webHidden/>
              </w:rPr>
              <w:fldChar w:fldCharType="separate"/>
            </w:r>
            <w:r>
              <w:rPr>
                <w:noProof/>
                <w:webHidden/>
              </w:rPr>
              <w:t>3</w:t>
            </w:r>
            <w:r>
              <w:rPr>
                <w:noProof/>
                <w:webHidden/>
              </w:rPr>
              <w:fldChar w:fldCharType="end"/>
            </w:r>
          </w:hyperlink>
        </w:p>
        <w:p w14:paraId="2B8402E4" w14:textId="4BA57DE3" w:rsidR="00807725" w:rsidRDefault="00467910" w:rsidP="00095B06">
          <w:pPr>
            <w:pStyle w:val="TOC3"/>
            <w:tabs>
              <w:tab w:val="left" w:pos="960"/>
              <w:tab w:val="right" w:leader="dot" w:pos="9016"/>
            </w:tabs>
            <w:ind w:left="0"/>
            <w:rPr>
              <w:rStyle w:val="Hyperlink"/>
              <w:noProof/>
            </w:rPr>
          </w:pPr>
          <w:hyperlink w:anchor="_Toc224170198" w:history="1">
            <w:r w:rsidRPr="007B7825">
              <w:rPr>
                <w:rStyle w:val="Hyperlink"/>
                <w:noProof/>
              </w:rPr>
              <w:t>3.</w:t>
            </w:r>
            <w:r w:rsidR="009A7ABF">
              <w:rPr>
                <w:rFonts w:eastAsiaTheme="minorEastAsia"/>
                <w:noProof/>
                <w:lang w:eastAsia="en-GB"/>
              </w:rPr>
              <w:t xml:space="preserve">      </w:t>
            </w:r>
            <w:r w:rsidRPr="007B7825">
              <w:rPr>
                <w:rStyle w:val="Hyperlink"/>
                <w:noProof/>
              </w:rPr>
              <w:t>Main Findings:</w:t>
            </w:r>
            <w:r>
              <w:rPr>
                <w:noProof/>
                <w:webHidden/>
              </w:rPr>
              <w:tab/>
            </w:r>
            <w:r>
              <w:rPr>
                <w:noProof/>
                <w:webHidden/>
              </w:rPr>
              <w:fldChar w:fldCharType="begin"/>
            </w:r>
            <w:r>
              <w:rPr>
                <w:noProof/>
                <w:webHidden/>
              </w:rPr>
              <w:instrText xml:space="preserve"> PAGEREF _Toc224170198 \h </w:instrText>
            </w:r>
            <w:r>
              <w:rPr>
                <w:noProof/>
                <w:webHidden/>
              </w:rPr>
            </w:r>
            <w:r>
              <w:rPr>
                <w:noProof/>
                <w:webHidden/>
              </w:rPr>
              <w:fldChar w:fldCharType="separate"/>
            </w:r>
            <w:r>
              <w:rPr>
                <w:noProof/>
                <w:webHidden/>
              </w:rPr>
              <w:t>4</w:t>
            </w:r>
            <w:r>
              <w:rPr>
                <w:noProof/>
                <w:webHidden/>
              </w:rPr>
              <w:fldChar w:fldCharType="end"/>
            </w:r>
          </w:hyperlink>
        </w:p>
        <w:p w14:paraId="1A64CB7F" w14:textId="57C0F2EB" w:rsidR="002F7600" w:rsidRDefault="00837F23" w:rsidP="002F7600">
          <w:pPr>
            <w:pStyle w:val="Heading4"/>
            <w:spacing w:line="276" w:lineRule="auto"/>
            <w:jc w:val="both"/>
            <w:rPr>
              <w:rFonts w:asciiTheme="minorBidi" w:hAnsiTheme="minorBidi" w:cstheme="minorBidi"/>
              <w:b/>
              <w:bCs/>
              <w:i w:val="0"/>
              <w:iCs w:val="0"/>
              <w:color w:val="auto"/>
            </w:rPr>
          </w:pPr>
          <w:r>
            <w:t xml:space="preserve">        </w:t>
          </w:r>
          <w:r w:rsidRPr="009A7ABF">
            <w:rPr>
              <w:rFonts w:asciiTheme="minorBidi" w:hAnsiTheme="minorBidi" w:cstheme="minorBidi"/>
              <w:color w:val="auto"/>
            </w:rPr>
            <w:t xml:space="preserve"> </w:t>
          </w:r>
          <w:r w:rsidRPr="009A7ABF">
            <w:rPr>
              <w:rFonts w:asciiTheme="minorBidi" w:hAnsiTheme="minorBidi" w:cstheme="minorBidi"/>
              <w:i w:val="0"/>
              <w:iCs w:val="0"/>
              <w:color w:val="auto"/>
            </w:rPr>
            <w:t xml:space="preserve"> </w:t>
          </w:r>
          <w:r w:rsidRPr="009A7ABF">
            <w:rPr>
              <w:rFonts w:asciiTheme="minorBidi" w:hAnsiTheme="minorBidi" w:cstheme="minorBidi"/>
              <w:i w:val="0"/>
              <w:iCs w:val="0"/>
              <w:color w:val="auto"/>
              <w:sz w:val="22"/>
              <w:szCs w:val="22"/>
            </w:rPr>
            <w:t>3.1</w:t>
          </w:r>
          <w:r w:rsidRPr="00FD3A74">
            <w:rPr>
              <w:i w:val="0"/>
              <w:iCs w:val="0"/>
              <w:sz w:val="22"/>
              <w:szCs w:val="22"/>
            </w:rPr>
            <w:t xml:space="preserve"> </w:t>
          </w:r>
          <w:r w:rsidR="002F7600" w:rsidRPr="00FD3A74">
            <w:rPr>
              <w:rFonts w:asciiTheme="minorBidi" w:hAnsiTheme="minorBidi" w:cstheme="minorBidi"/>
              <w:i w:val="0"/>
              <w:iCs w:val="0"/>
              <w:color w:val="auto"/>
              <w:sz w:val="22"/>
              <w:szCs w:val="22"/>
            </w:rPr>
            <w:t xml:space="preserve">Stock Budget </w:t>
          </w:r>
          <w:r w:rsidR="006252DB" w:rsidRPr="00FD3A74">
            <w:rPr>
              <w:rFonts w:asciiTheme="minorBidi" w:hAnsiTheme="minorBidi" w:cstheme="minorBidi"/>
              <w:i w:val="0"/>
              <w:iCs w:val="0"/>
              <w:color w:val="auto"/>
              <w:sz w:val="22"/>
              <w:szCs w:val="22"/>
            </w:rPr>
            <w:t>Analysis</w:t>
          </w:r>
          <w:r w:rsidR="006252DB" w:rsidRPr="00A350BD">
            <w:rPr>
              <w:rFonts w:asciiTheme="minorBidi" w:hAnsiTheme="minorBidi" w:cstheme="minorBidi"/>
              <w:b/>
              <w:bCs/>
              <w:i w:val="0"/>
              <w:iCs w:val="0"/>
              <w:color w:val="auto"/>
            </w:rPr>
            <w:t>…</w:t>
          </w:r>
          <w:r w:rsidR="00FD3A74">
            <w:rPr>
              <w:rFonts w:asciiTheme="minorBidi" w:hAnsiTheme="minorBidi" w:cstheme="minorBidi"/>
              <w:b/>
              <w:bCs/>
              <w:i w:val="0"/>
              <w:iCs w:val="0"/>
              <w:color w:val="auto"/>
            </w:rPr>
            <w:t>……………………………………………………………</w:t>
          </w:r>
          <w:r w:rsidR="006252DB">
            <w:rPr>
              <w:rFonts w:asciiTheme="minorBidi" w:hAnsiTheme="minorBidi" w:cstheme="minorBidi"/>
              <w:b/>
              <w:bCs/>
              <w:i w:val="0"/>
              <w:iCs w:val="0"/>
              <w:color w:val="auto"/>
            </w:rPr>
            <w:t>.7</w:t>
          </w:r>
        </w:p>
        <w:p w14:paraId="1A93659F" w14:textId="297A8D2B" w:rsidR="004A0931" w:rsidRDefault="004A0931" w:rsidP="004A0931">
          <w:pPr>
            <w:rPr>
              <w:rFonts w:asciiTheme="minorBidi" w:hAnsiTheme="minorBidi"/>
              <w:sz w:val="22"/>
              <w:szCs w:val="22"/>
            </w:rPr>
          </w:pPr>
          <w:r>
            <w:t xml:space="preserve">         </w:t>
          </w:r>
          <w:r w:rsidRPr="004A0931">
            <w:rPr>
              <w:sz w:val="22"/>
              <w:szCs w:val="22"/>
            </w:rPr>
            <w:t xml:space="preserve"> </w:t>
          </w:r>
          <w:r w:rsidRPr="004A0931">
            <w:rPr>
              <w:rFonts w:asciiTheme="minorBidi" w:hAnsiTheme="minorBidi"/>
              <w:sz w:val="22"/>
              <w:szCs w:val="22"/>
            </w:rPr>
            <w:t>3.2 Cash Budget Analysis…</w:t>
          </w:r>
          <w:r>
            <w:rPr>
              <w:rFonts w:asciiTheme="minorBidi" w:hAnsiTheme="minorBidi"/>
              <w:sz w:val="22"/>
              <w:szCs w:val="22"/>
            </w:rPr>
            <w:t>……………………………………………………………</w:t>
          </w:r>
          <w:r w:rsidR="00D50744">
            <w:rPr>
              <w:rFonts w:asciiTheme="minorBidi" w:hAnsiTheme="minorBidi"/>
              <w:sz w:val="22"/>
              <w:szCs w:val="22"/>
            </w:rPr>
            <w:t>.</w:t>
          </w:r>
          <w:r>
            <w:rPr>
              <w:rFonts w:asciiTheme="minorBidi" w:hAnsiTheme="minorBidi"/>
              <w:sz w:val="22"/>
              <w:szCs w:val="22"/>
            </w:rPr>
            <w:t>…….8</w:t>
          </w:r>
        </w:p>
        <w:p w14:paraId="0657BE60" w14:textId="720241C4" w:rsidR="00573817" w:rsidRDefault="00573817" w:rsidP="004A0931">
          <w:pPr>
            <w:rPr>
              <w:rFonts w:asciiTheme="minorBidi" w:hAnsiTheme="minorBidi"/>
              <w:sz w:val="22"/>
              <w:szCs w:val="22"/>
            </w:rPr>
          </w:pPr>
          <w:r>
            <w:rPr>
              <w:rFonts w:asciiTheme="minorBidi" w:hAnsiTheme="minorBidi"/>
              <w:sz w:val="22"/>
              <w:szCs w:val="22"/>
            </w:rPr>
            <w:t xml:space="preserve">   </w:t>
          </w:r>
          <w:r w:rsidRPr="00573817">
            <w:rPr>
              <w:rFonts w:asciiTheme="minorBidi" w:hAnsiTheme="minorBidi"/>
              <w:sz w:val="22"/>
              <w:szCs w:val="22"/>
            </w:rPr>
            <w:t xml:space="preserve">     3.3 Budgeted Profit and Loss Account </w:t>
          </w:r>
          <w:r w:rsidR="00D50744" w:rsidRPr="00573817">
            <w:rPr>
              <w:rFonts w:asciiTheme="minorBidi" w:hAnsiTheme="minorBidi"/>
              <w:sz w:val="22"/>
              <w:szCs w:val="22"/>
            </w:rPr>
            <w:t>Analysis…</w:t>
          </w:r>
          <w:r w:rsidR="00D50744">
            <w:rPr>
              <w:rFonts w:asciiTheme="minorBidi" w:hAnsiTheme="minorBidi"/>
              <w:sz w:val="22"/>
              <w:szCs w:val="22"/>
            </w:rPr>
            <w:t>…………………………………………9</w:t>
          </w:r>
        </w:p>
        <w:p w14:paraId="695FD6E6" w14:textId="2C1D1FC0" w:rsidR="00D50744" w:rsidRDefault="00D50744" w:rsidP="00D50744">
          <w:pPr>
            <w:pStyle w:val="Heading7"/>
            <w:spacing w:line="276" w:lineRule="auto"/>
            <w:jc w:val="both"/>
            <w:rPr>
              <w:rFonts w:asciiTheme="minorBidi" w:hAnsiTheme="minorBidi" w:cstheme="minorBidi"/>
              <w:color w:val="auto"/>
              <w:sz w:val="22"/>
              <w:szCs w:val="22"/>
            </w:rPr>
          </w:pPr>
          <w:r>
            <w:rPr>
              <w:rFonts w:asciiTheme="minorBidi" w:hAnsiTheme="minorBidi"/>
              <w:sz w:val="22"/>
              <w:szCs w:val="22"/>
            </w:rPr>
            <w:t xml:space="preserve">       </w:t>
          </w:r>
          <w:r w:rsidRPr="00D50744">
            <w:rPr>
              <w:rFonts w:asciiTheme="minorBidi" w:hAnsiTheme="minorBidi"/>
              <w:sz w:val="22"/>
              <w:szCs w:val="22"/>
            </w:rPr>
            <w:t xml:space="preserve"> </w:t>
          </w:r>
          <w:r w:rsidRPr="00D50744">
            <w:rPr>
              <w:rFonts w:asciiTheme="minorBidi" w:hAnsiTheme="minorBidi" w:cstheme="minorBidi"/>
              <w:color w:val="auto"/>
              <w:sz w:val="22"/>
              <w:szCs w:val="22"/>
            </w:rPr>
            <w:t xml:space="preserve">3.4 Financial Problems </w:t>
          </w:r>
          <w:r w:rsidR="003950F1" w:rsidRPr="00D50744">
            <w:rPr>
              <w:rFonts w:asciiTheme="minorBidi" w:hAnsiTheme="minorBidi" w:cstheme="minorBidi"/>
              <w:color w:val="auto"/>
              <w:sz w:val="22"/>
              <w:szCs w:val="22"/>
            </w:rPr>
            <w:t>Identified…</w:t>
          </w:r>
          <w:r>
            <w:rPr>
              <w:rFonts w:asciiTheme="minorBidi" w:hAnsiTheme="minorBidi" w:cstheme="minorBidi"/>
              <w:color w:val="auto"/>
              <w:sz w:val="22"/>
              <w:szCs w:val="22"/>
            </w:rPr>
            <w:t>…………………………………………………………9</w:t>
          </w:r>
        </w:p>
        <w:p w14:paraId="498263D3" w14:textId="1E8FD74D" w:rsidR="003950F1" w:rsidRDefault="003950F1" w:rsidP="003950F1">
          <w:pPr>
            <w:pStyle w:val="Heading8"/>
            <w:spacing w:line="276" w:lineRule="auto"/>
            <w:jc w:val="both"/>
            <w:rPr>
              <w:rFonts w:asciiTheme="minorBidi" w:hAnsiTheme="minorBidi" w:cstheme="minorBidi"/>
              <w:i w:val="0"/>
              <w:iCs w:val="0"/>
              <w:sz w:val="22"/>
              <w:szCs w:val="22"/>
            </w:rPr>
          </w:pPr>
          <w:r>
            <w:t xml:space="preserve">       </w:t>
          </w:r>
          <w:r w:rsidRPr="003950F1">
            <w:rPr>
              <w:sz w:val="22"/>
              <w:szCs w:val="22"/>
            </w:rPr>
            <w:t xml:space="preserve">   </w:t>
          </w:r>
          <w:r w:rsidRPr="003950F1">
            <w:rPr>
              <w:rFonts w:asciiTheme="minorBidi" w:hAnsiTheme="minorBidi" w:cstheme="minorBidi"/>
              <w:i w:val="0"/>
              <w:iCs w:val="0"/>
              <w:sz w:val="22"/>
              <w:szCs w:val="22"/>
            </w:rPr>
            <w:t xml:space="preserve">3.5 Budgeting and Budgetary </w:t>
          </w:r>
          <w:r w:rsidR="00BE1049" w:rsidRPr="003950F1">
            <w:rPr>
              <w:rFonts w:asciiTheme="minorBidi" w:hAnsiTheme="minorBidi" w:cstheme="minorBidi"/>
              <w:i w:val="0"/>
              <w:iCs w:val="0"/>
              <w:sz w:val="22"/>
              <w:szCs w:val="22"/>
            </w:rPr>
            <w:t>Control…</w:t>
          </w:r>
          <w:r>
            <w:rPr>
              <w:rFonts w:asciiTheme="minorBidi" w:hAnsiTheme="minorBidi" w:cstheme="minorBidi"/>
              <w:i w:val="0"/>
              <w:iCs w:val="0"/>
              <w:sz w:val="22"/>
              <w:szCs w:val="22"/>
            </w:rPr>
            <w:t>…………………………………………………...</w:t>
          </w:r>
          <w:r w:rsidR="0015210D">
            <w:rPr>
              <w:rFonts w:asciiTheme="minorBidi" w:hAnsiTheme="minorBidi" w:cstheme="minorBidi"/>
              <w:i w:val="0"/>
              <w:iCs w:val="0"/>
              <w:sz w:val="22"/>
              <w:szCs w:val="22"/>
            </w:rPr>
            <w:t>11</w:t>
          </w:r>
        </w:p>
        <w:p w14:paraId="2579E764" w14:textId="3A179CB4" w:rsidR="00BE1049" w:rsidRDefault="00BE1049" w:rsidP="00BE1049">
          <w:pPr>
            <w:rPr>
              <w:rFonts w:asciiTheme="minorBidi" w:hAnsiTheme="minorBidi"/>
              <w:sz w:val="22"/>
              <w:szCs w:val="22"/>
            </w:rPr>
          </w:pPr>
          <w:r>
            <w:t xml:space="preserve">          3.6 </w:t>
          </w:r>
          <w:r w:rsidRPr="00BE1049">
            <w:rPr>
              <w:rFonts w:asciiTheme="minorBidi" w:hAnsiTheme="minorBidi"/>
              <w:sz w:val="22"/>
              <w:szCs w:val="22"/>
            </w:rPr>
            <w:t xml:space="preserve">Behavioural Issues in </w:t>
          </w:r>
          <w:r w:rsidR="00AE2D82" w:rsidRPr="00BE1049">
            <w:rPr>
              <w:rFonts w:asciiTheme="minorBidi" w:hAnsiTheme="minorBidi"/>
              <w:sz w:val="22"/>
              <w:szCs w:val="22"/>
            </w:rPr>
            <w:t>Budgeting…</w:t>
          </w:r>
          <w:r>
            <w:rPr>
              <w:rFonts w:asciiTheme="minorBidi" w:hAnsiTheme="minorBidi"/>
              <w:sz w:val="22"/>
              <w:szCs w:val="22"/>
            </w:rPr>
            <w:t>………………</w:t>
          </w:r>
          <w:r w:rsidR="00095B06">
            <w:rPr>
              <w:rFonts w:asciiTheme="minorBidi" w:hAnsiTheme="minorBidi"/>
              <w:sz w:val="22"/>
              <w:szCs w:val="22"/>
            </w:rPr>
            <w:t>.</w:t>
          </w:r>
          <w:r>
            <w:rPr>
              <w:rFonts w:asciiTheme="minorBidi" w:hAnsiTheme="minorBidi"/>
              <w:sz w:val="22"/>
              <w:szCs w:val="22"/>
            </w:rPr>
            <w:t>……………………………………12</w:t>
          </w:r>
        </w:p>
        <w:p w14:paraId="4599C4F1" w14:textId="31107DF7" w:rsidR="00741024" w:rsidRDefault="00741024" w:rsidP="00BE1049">
          <w:pPr>
            <w:rPr>
              <w:rFonts w:asciiTheme="minorBidi" w:hAnsiTheme="minorBidi"/>
              <w:sz w:val="22"/>
              <w:szCs w:val="22"/>
            </w:rPr>
          </w:pPr>
          <w:r w:rsidRPr="00AE2D82">
            <w:rPr>
              <w:rFonts w:asciiTheme="minorBidi" w:hAnsiTheme="minorBidi"/>
              <w:sz w:val="22"/>
              <w:szCs w:val="22"/>
            </w:rPr>
            <w:t xml:space="preserve">        </w:t>
          </w:r>
          <w:r w:rsidR="00AE2D82" w:rsidRPr="00AE2D82">
            <w:rPr>
              <w:rFonts w:asciiTheme="minorBidi" w:hAnsiTheme="minorBidi"/>
              <w:sz w:val="22"/>
              <w:szCs w:val="22"/>
            </w:rPr>
            <w:t>3.7 Critical Evaluation of Traditional Budgeting…</w:t>
          </w:r>
          <w:r w:rsidR="00AE2D82">
            <w:rPr>
              <w:rFonts w:asciiTheme="minorBidi" w:hAnsiTheme="minorBidi"/>
              <w:sz w:val="22"/>
              <w:szCs w:val="22"/>
            </w:rPr>
            <w:t>……………………………………</w:t>
          </w:r>
          <w:r w:rsidR="00095B06">
            <w:rPr>
              <w:rFonts w:asciiTheme="minorBidi" w:hAnsiTheme="minorBidi"/>
              <w:sz w:val="22"/>
              <w:szCs w:val="22"/>
            </w:rPr>
            <w:t>…...</w:t>
          </w:r>
          <w:r w:rsidR="00AE2D82">
            <w:rPr>
              <w:rFonts w:asciiTheme="minorBidi" w:hAnsiTheme="minorBidi"/>
              <w:sz w:val="22"/>
              <w:szCs w:val="22"/>
            </w:rPr>
            <w:t>13</w:t>
          </w:r>
        </w:p>
        <w:p w14:paraId="1FE9460E" w14:textId="3E8F2D57" w:rsidR="00D1736A" w:rsidRDefault="00D1736A" w:rsidP="00BE1049">
          <w:pPr>
            <w:rPr>
              <w:rFonts w:asciiTheme="minorBidi" w:hAnsiTheme="minorBidi"/>
              <w:sz w:val="22"/>
              <w:szCs w:val="22"/>
            </w:rPr>
          </w:pPr>
          <w:r>
            <w:rPr>
              <w:rFonts w:asciiTheme="minorBidi" w:hAnsiTheme="minorBidi"/>
              <w:sz w:val="22"/>
              <w:szCs w:val="22"/>
            </w:rPr>
            <w:t>4</w:t>
          </w:r>
          <w:r w:rsidR="00F2745F">
            <w:rPr>
              <w:rFonts w:asciiTheme="minorBidi" w:hAnsiTheme="minorBidi"/>
              <w:sz w:val="22"/>
              <w:szCs w:val="22"/>
            </w:rPr>
            <w:t xml:space="preserve">      </w:t>
          </w:r>
          <w:r w:rsidR="001C082B">
            <w:rPr>
              <w:rFonts w:asciiTheme="minorBidi" w:hAnsiTheme="minorBidi"/>
              <w:sz w:val="22"/>
              <w:szCs w:val="22"/>
            </w:rPr>
            <w:t>Conclusion…………………………………………………………………………………….15</w:t>
          </w:r>
        </w:p>
        <w:p w14:paraId="312B2F77" w14:textId="4F05F061" w:rsidR="001C082B" w:rsidRDefault="001C082B" w:rsidP="00BE1049">
          <w:pPr>
            <w:rPr>
              <w:rFonts w:asciiTheme="minorBidi" w:hAnsiTheme="minorBidi"/>
              <w:sz w:val="22"/>
              <w:szCs w:val="22"/>
            </w:rPr>
          </w:pPr>
          <w:r>
            <w:rPr>
              <w:rFonts w:asciiTheme="minorBidi" w:hAnsiTheme="minorBidi"/>
              <w:sz w:val="22"/>
              <w:szCs w:val="22"/>
            </w:rPr>
            <w:t>5.</w:t>
          </w:r>
          <w:r w:rsidR="00504C20">
            <w:rPr>
              <w:rFonts w:asciiTheme="minorBidi" w:hAnsiTheme="minorBidi"/>
              <w:sz w:val="22"/>
              <w:szCs w:val="22"/>
            </w:rPr>
            <w:t xml:space="preserve">     </w:t>
          </w:r>
          <w:r>
            <w:rPr>
              <w:rFonts w:asciiTheme="minorBidi" w:hAnsiTheme="minorBidi"/>
              <w:sz w:val="22"/>
              <w:szCs w:val="22"/>
            </w:rPr>
            <w:t xml:space="preserve">References </w:t>
          </w:r>
          <w:r w:rsidR="00504C20">
            <w:rPr>
              <w:rFonts w:asciiTheme="minorBidi" w:hAnsiTheme="minorBidi"/>
              <w:sz w:val="22"/>
              <w:szCs w:val="22"/>
            </w:rPr>
            <w:t>list…</w:t>
          </w:r>
          <w:r w:rsidR="00E0481A">
            <w:rPr>
              <w:rFonts w:asciiTheme="minorBidi" w:hAnsiTheme="minorBidi"/>
              <w:sz w:val="22"/>
              <w:szCs w:val="22"/>
            </w:rPr>
            <w:t>.</w:t>
          </w:r>
          <w:r w:rsidR="00504C20">
            <w:rPr>
              <w:rFonts w:asciiTheme="minorBidi" w:hAnsiTheme="minorBidi"/>
              <w:sz w:val="22"/>
              <w:szCs w:val="22"/>
            </w:rPr>
            <w:t>…………………………………………………</w:t>
          </w:r>
          <w:r w:rsidR="00E0481A">
            <w:rPr>
              <w:rFonts w:asciiTheme="minorBidi" w:hAnsiTheme="minorBidi"/>
              <w:sz w:val="22"/>
              <w:szCs w:val="22"/>
            </w:rPr>
            <w:t>.</w:t>
          </w:r>
          <w:r w:rsidR="00504C20">
            <w:rPr>
              <w:rFonts w:asciiTheme="minorBidi" w:hAnsiTheme="minorBidi"/>
              <w:sz w:val="22"/>
              <w:szCs w:val="22"/>
            </w:rPr>
            <w:t>…………………………16</w:t>
          </w:r>
        </w:p>
        <w:p w14:paraId="7C951C84" w14:textId="77777777" w:rsidR="00504C20" w:rsidRDefault="00504C20" w:rsidP="00BE1049">
          <w:pPr>
            <w:rPr>
              <w:rFonts w:asciiTheme="minorBidi" w:hAnsiTheme="minorBidi"/>
              <w:sz w:val="22"/>
              <w:szCs w:val="22"/>
            </w:rPr>
          </w:pPr>
        </w:p>
        <w:p w14:paraId="0DD24EEF" w14:textId="77777777" w:rsidR="001C082B" w:rsidRDefault="001C082B" w:rsidP="00BE1049">
          <w:pPr>
            <w:rPr>
              <w:rFonts w:asciiTheme="minorBidi" w:hAnsiTheme="minorBidi"/>
              <w:sz w:val="22"/>
              <w:szCs w:val="22"/>
            </w:rPr>
          </w:pPr>
        </w:p>
        <w:p w14:paraId="46629FF8" w14:textId="77777777" w:rsidR="00D1736A" w:rsidRDefault="00D1736A" w:rsidP="00BE1049">
          <w:pPr>
            <w:rPr>
              <w:rFonts w:asciiTheme="minorBidi" w:hAnsiTheme="minorBidi"/>
              <w:sz w:val="22"/>
              <w:szCs w:val="22"/>
            </w:rPr>
          </w:pPr>
        </w:p>
        <w:p w14:paraId="580703AF" w14:textId="77777777" w:rsidR="00095B06" w:rsidRDefault="00095B06" w:rsidP="00BE1049">
          <w:pPr>
            <w:rPr>
              <w:rFonts w:asciiTheme="minorBidi" w:hAnsiTheme="minorBidi"/>
              <w:sz w:val="22"/>
              <w:szCs w:val="22"/>
            </w:rPr>
          </w:pPr>
        </w:p>
        <w:p w14:paraId="3B1406D1" w14:textId="77777777" w:rsidR="00AE2D82" w:rsidRPr="00AE2D82" w:rsidRDefault="00AE2D82" w:rsidP="00BE1049">
          <w:pPr>
            <w:rPr>
              <w:rFonts w:asciiTheme="minorBidi" w:hAnsiTheme="minorBidi"/>
              <w:sz w:val="22"/>
              <w:szCs w:val="22"/>
            </w:rPr>
          </w:pPr>
        </w:p>
        <w:p w14:paraId="103956DA" w14:textId="77777777" w:rsidR="00654E48" w:rsidRPr="00BE1049" w:rsidRDefault="00654E48" w:rsidP="00BE1049">
          <w:pPr>
            <w:rPr>
              <w:sz w:val="22"/>
              <w:szCs w:val="22"/>
            </w:rPr>
          </w:pPr>
        </w:p>
        <w:p w14:paraId="4D4F20C0" w14:textId="77777777" w:rsidR="0015210D" w:rsidRPr="0015210D" w:rsidRDefault="0015210D" w:rsidP="0015210D"/>
        <w:p w14:paraId="69211D99" w14:textId="2A3C6AB3" w:rsidR="003950F1" w:rsidRPr="003950F1" w:rsidRDefault="003950F1" w:rsidP="003950F1"/>
        <w:p w14:paraId="02308BD7" w14:textId="77777777" w:rsidR="00D50744" w:rsidRPr="00D50744" w:rsidRDefault="00D50744" w:rsidP="00D50744"/>
        <w:p w14:paraId="6E68CA07" w14:textId="1CC41A30" w:rsidR="00D50744" w:rsidRDefault="00D50744" w:rsidP="004A0931">
          <w:pPr>
            <w:rPr>
              <w:rFonts w:asciiTheme="minorBidi" w:hAnsiTheme="minorBidi"/>
              <w:sz w:val="22"/>
              <w:szCs w:val="22"/>
            </w:rPr>
          </w:pPr>
        </w:p>
        <w:p w14:paraId="092A9BDC" w14:textId="77777777" w:rsidR="00D50744" w:rsidRPr="00573817" w:rsidRDefault="00D50744" w:rsidP="004A0931">
          <w:pPr>
            <w:rPr>
              <w:sz w:val="22"/>
              <w:szCs w:val="22"/>
            </w:rPr>
          </w:pPr>
        </w:p>
        <w:p w14:paraId="3EA2E611" w14:textId="27DF8C86" w:rsidR="00837F23" w:rsidRPr="002F7600" w:rsidRDefault="00837F23" w:rsidP="00837F23"/>
        <w:p w14:paraId="407D2B8F" w14:textId="026FA652" w:rsidR="00807725" w:rsidRPr="00807725" w:rsidRDefault="00807725" w:rsidP="00807725"/>
        <w:p w14:paraId="6EC7685B" w14:textId="51A6B328" w:rsidR="00467910" w:rsidRDefault="00467910">
          <w:r>
            <w:rPr>
              <w:b/>
              <w:bCs/>
            </w:rPr>
            <w:fldChar w:fldCharType="end"/>
          </w:r>
        </w:p>
      </w:sdtContent>
    </w:sdt>
    <w:p w14:paraId="6753FBD1" w14:textId="77777777" w:rsidR="00EB368B" w:rsidRDefault="00EB368B" w:rsidP="00EB368B">
      <w:pPr>
        <w:rPr>
          <w:b/>
          <w:bCs/>
        </w:rPr>
      </w:pPr>
    </w:p>
    <w:p w14:paraId="6FCE17C0" w14:textId="77777777" w:rsidR="00EB368B" w:rsidRDefault="00EB368B" w:rsidP="00EB368B">
      <w:pPr>
        <w:rPr>
          <w:b/>
          <w:bCs/>
        </w:rPr>
      </w:pPr>
    </w:p>
    <w:p w14:paraId="43F712F1" w14:textId="77777777" w:rsidR="00EB368B" w:rsidRDefault="00EB368B" w:rsidP="00EB368B">
      <w:pPr>
        <w:rPr>
          <w:b/>
          <w:bCs/>
        </w:rPr>
      </w:pPr>
    </w:p>
    <w:p w14:paraId="2B36D38E" w14:textId="77777777" w:rsidR="004F33DB" w:rsidRDefault="004F33DB" w:rsidP="00EB368B">
      <w:pPr>
        <w:rPr>
          <w:b/>
          <w:bCs/>
        </w:rPr>
      </w:pPr>
    </w:p>
    <w:p w14:paraId="69472707" w14:textId="77777777" w:rsidR="00E0481A" w:rsidRDefault="00E0481A" w:rsidP="00EB368B">
      <w:pPr>
        <w:rPr>
          <w:b/>
          <w:bCs/>
        </w:rPr>
      </w:pPr>
    </w:p>
    <w:p w14:paraId="2473D67C" w14:textId="77777777" w:rsidR="00E0481A" w:rsidRDefault="00E0481A" w:rsidP="00EB368B">
      <w:pPr>
        <w:rPr>
          <w:b/>
          <w:bCs/>
        </w:rPr>
      </w:pPr>
    </w:p>
    <w:p w14:paraId="603BA1BA" w14:textId="1520401F" w:rsidR="002F5C3B" w:rsidRPr="00A27436" w:rsidRDefault="002F5C3B" w:rsidP="00A27436">
      <w:pPr>
        <w:pStyle w:val="Heading1"/>
        <w:numPr>
          <w:ilvl w:val="0"/>
          <w:numId w:val="1"/>
        </w:numPr>
        <w:spacing w:line="276" w:lineRule="auto"/>
        <w:jc w:val="both"/>
        <w:rPr>
          <w:rFonts w:asciiTheme="minorBidi" w:hAnsiTheme="minorBidi" w:cstheme="minorBidi"/>
          <w:b/>
          <w:bCs/>
          <w:color w:val="auto"/>
          <w:sz w:val="24"/>
          <w:szCs w:val="24"/>
        </w:rPr>
      </w:pPr>
      <w:bookmarkStart w:id="0" w:name="_Toc224142899"/>
      <w:bookmarkStart w:id="1" w:name="_Toc224170196"/>
      <w:r w:rsidRPr="00A27436">
        <w:rPr>
          <w:rFonts w:asciiTheme="minorBidi" w:hAnsiTheme="minorBidi" w:cstheme="minorBidi"/>
          <w:b/>
          <w:bCs/>
          <w:color w:val="auto"/>
          <w:sz w:val="24"/>
          <w:szCs w:val="24"/>
        </w:rPr>
        <w:t>Executive Summary</w:t>
      </w:r>
      <w:r w:rsidR="006F0D4C" w:rsidRPr="00A27436">
        <w:rPr>
          <w:rFonts w:asciiTheme="minorBidi" w:hAnsiTheme="minorBidi" w:cstheme="minorBidi"/>
          <w:b/>
          <w:bCs/>
          <w:color w:val="auto"/>
          <w:sz w:val="24"/>
          <w:szCs w:val="24"/>
        </w:rPr>
        <w:t>:</w:t>
      </w:r>
      <w:bookmarkEnd w:id="0"/>
      <w:bookmarkEnd w:id="1"/>
    </w:p>
    <w:p w14:paraId="17ED2F63" w14:textId="77777777" w:rsidR="006C5FFB" w:rsidRPr="00A27436" w:rsidRDefault="006C5FFB" w:rsidP="00A27436">
      <w:pPr>
        <w:spacing w:line="276" w:lineRule="auto"/>
        <w:jc w:val="both"/>
        <w:rPr>
          <w:rFonts w:asciiTheme="minorBidi" w:hAnsiTheme="minorBidi"/>
        </w:rPr>
      </w:pPr>
    </w:p>
    <w:p w14:paraId="6AB842D8"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This report examines the budgeting principles and financial planning of Silver Stitch Ltd, a retail business operating twelve clothing stores. The report focuses on three key budgeting tools: a stock budget, a cash budget and a budgeted profit and loss account for the six-month period ending 31 December. These budgets are important because they allow management to forecast performance, assess financial risk and support decision-making (Drury, 2021; Seal, Garrison and Noreen, 2018).</w:t>
      </w:r>
    </w:p>
    <w:p w14:paraId="39E95659"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The stock budget shows how inventory levels are expected to change during the period and highlights the importance of effective stock control in retail businesses. The cash budget evaluates the company’s liquidity by analysing expected cash inflows and outflows, including sales receipts, operating expenses and loan repayments. The budgeted profit and loss account estimates the company’s profitability during the period.</w:t>
      </w:r>
    </w:p>
    <w:p w14:paraId="47A2742A"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The findings suggest that although Silver Stitch Ltd is expected to remain profitable, it may still face important financial challenges. These include pressure on cash flow, increasing inventory levels and the burden of loan repayments and refurbishment costs. The report also discusses the conditions required for successful budgeting and budgetary control and considers behavioural issues that management should address when introducing or operating budgeting systems.</w:t>
      </w:r>
    </w:p>
    <w:p w14:paraId="3E4F5550"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Finally, the report critically evaluates traditional budgeting approaches and their weaknesses in a fast-changing business environment. The report concludes that while traditional budgets remain useful for planning and control, organisations may need more flexible approaches to respond effectively to changing market conditions.</w:t>
      </w:r>
    </w:p>
    <w:p w14:paraId="0488A0AD" w14:textId="52205185" w:rsidR="002F5C3B" w:rsidRPr="00A27436" w:rsidRDefault="002F5C3B" w:rsidP="00A27436">
      <w:pPr>
        <w:spacing w:line="276" w:lineRule="auto"/>
        <w:jc w:val="both"/>
        <w:rPr>
          <w:rFonts w:asciiTheme="minorBidi" w:hAnsiTheme="minorBidi"/>
        </w:rPr>
      </w:pPr>
    </w:p>
    <w:p w14:paraId="67BEECAF" w14:textId="77777777" w:rsidR="006F0D4C" w:rsidRPr="00A27436" w:rsidRDefault="006F0D4C" w:rsidP="00A27436">
      <w:pPr>
        <w:spacing w:line="276" w:lineRule="auto"/>
        <w:jc w:val="both"/>
        <w:rPr>
          <w:rFonts w:asciiTheme="minorBidi" w:hAnsiTheme="minorBidi"/>
        </w:rPr>
      </w:pPr>
    </w:p>
    <w:p w14:paraId="43521B06" w14:textId="77777777" w:rsidR="006F0D4C" w:rsidRPr="00A27436" w:rsidRDefault="006F0D4C" w:rsidP="00A27436">
      <w:pPr>
        <w:spacing w:line="276" w:lineRule="auto"/>
        <w:jc w:val="both"/>
        <w:rPr>
          <w:rFonts w:asciiTheme="minorBidi" w:hAnsiTheme="minorBidi"/>
        </w:rPr>
      </w:pPr>
    </w:p>
    <w:p w14:paraId="17518BBC" w14:textId="77777777" w:rsidR="006F0D4C" w:rsidRPr="00A27436" w:rsidRDefault="006F0D4C" w:rsidP="00A27436">
      <w:pPr>
        <w:spacing w:line="276" w:lineRule="auto"/>
        <w:jc w:val="both"/>
        <w:rPr>
          <w:rFonts w:asciiTheme="minorBidi" w:hAnsiTheme="minorBidi"/>
        </w:rPr>
      </w:pPr>
    </w:p>
    <w:p w14:paraId="41C86358" w14:textId="77777777" w:rsidR="006F0D4C" w:rsidRPr="00A27436" w:rsidRDefault="006F0D4C" w:rsidP="00A27436">
      <w:pPr>
        <w:spacing w:line="276" w:lineRule="auto"/>
        <w:jc w:val="both"/>
        <w:rPr>
          <w:rFonts w:asciiTheme="minorBidi" w:hAnsiTheme="minorBidi"/>
        </w:rPr>
      </w:pPr>
    </w:p>
    <w:p w14:paraId="441665DF" w14:textId="77777777" w:rsidR="006F0D4C" w:rsidRPr="00A27436" w:rsidRDefault="006F0D4C" w:rsidP="00A27436">
      <w:pPr>
        <w:spacing w:line="276" w:lineRule="auto"/>
        <w:jc w:val="both"/>
        <w:rPr>
          <w:rFonts w:asciiTheme="minorBidi" w:hAnsiTheme="minorBidi"/>
        </w:rPr>
      </w:pPr>
    </w:p>
    <w:p w14:paraId="0BF6F1A2" w14:textId="77777777" w:rsidR="00D114BF" w:rsidRDefault="00D114BF" w:rsidP="00A27436">
      <w:pPr>
        <w:pStyle w:val="Heading2"/>
        <w:spacing w:line="276" w:lineRule="auto"/>
        <w:jc w:val="both"/>
        <w:rPr>
          <w:rFonts w:asciiTheme="minorBidi" w:hAnsiTheme="minorBidi" w:cstheme="minorBidi"/>
          <w:sz w:val="24"/>
          <w:szCs w:val="24"/>
        </w:rPr>
      </w:pPr>
    </w:p>
    <w:p w14:paraId="0864088F" w14:textId="77777777" w:rsidR="00A27436" w:rsidRDefault="00A27436" w:rsidP="00A27436"/>
    <w:p w14:paraId="6D716812" w14:textId="77777777" w:rsidR="00A27436" w:rsidRDefault="00A27436" w:rsidP="00A27436"/>
    <w:p w14:paraId="09956459" w14:textId="77777777" w:rsidR="00A27436" w:rsidRPr="00A27436" w:rsidRDefault="00A27436" w:rsidP="00A27436"/>
    <w:p w14:paraId="0888D2AF" w14:textId="52EAAD0C" w:rsidR="002F5C3B" w:rsidRPr="00A27436" w:rsidRDefault="002F5C3B" w:rsidP="00A27436">
      <w:pPr>
        <w:pStyle w:val="Heading2"/>
        <w:numPr>
          <w:ilvl w:val="0"/>
          <w:numId w:val="1"/>
        </w:numPr>
        <w:spacing w:line="276" w:lineRule="auto"/>
        <w:jc w:val="both"/>
        <w:rPr>
          <w:rFonts w:asciiTheme="minorBidi" w:hAnsiTheme="minorBidi" w:cstheme="minorBidi"/>
          <w:b/>
          <w:bCs/>
          <w:color w:val="auto"/>
          <w:sz w:val="24"/>
          <w:szCs w:val="24"/>
        </w:rPr>
      </w:pPr>
      <w:bookmarkStart w:id="2" w:name="_Toc224142900"/>
      <w:bookmarkStart w:id="3" w:name="_Toc224170197"/>
      <w:r w:rsidRPr="00A27436">
        <w:rPr>
          <w:rFonts w:asciiTheme="minorBidi" w:hAnsiTheme="minorBidi" w:cstheme="minorBidi"/>
          <w:b/>
          <w:bCs/>
          <w:color w:val="auto"/>
          <w:sz w:val="24"/>
          <w:szCs w:val="24"/>
        </w:rPr>
        <w:t>Introduction</w:t>
      </w:r>
      <w:r w:rsidR="006F0D4C" w:rsidRPr="00A27436">
        <w:rPr>
          <w:rFonts w:asciiTheme="minorBidi" w:hAnsiTheme="minorBidi" w:cstheme="minorBidi"/>
          <w:b/>
          <w:bCs/>
          <w:color w:val="auto"/>
          <w:sz w:val="24"/>
          <w:szCs w:val="24"/>
        </w:rPr>
        <w:t>:</w:t>
      </w:r>
      <w:bookmarkEnd w:id="2"/>
      <w:bookmarkEnd w:id="3"/>
    </w:p>
    <w:p w14:paraId="2771E5E5" w14:textId="77777777" w:rsidR="006C5FFB" w:rsidRPr="00A27436" w:rsidRDefault="006C5FFB" w:rsidP="00A27436">
      <w:pPr>
        <w:spacing w:line="276" w:lineRule="auto"/>
        <w:jc w:val="both"/>
        <w:rPr>
          <w:rFonts w:asciiTheme="minorBidi" w:hAnsiTheme="minorBidi"/>
        </w:rPr>
      </w:pPr>
    </w:p>
    <w:p w14:paraId="04074225"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 xml:space="preserve">Budgeting plays a central role in financial management and is widely used by organisations to plan and control their financial activities. A budget can be defined as a financial plan for a future period which sets out expected revenues and expenditures. By preparing budgets, organisations can forecast financial performance, allocate resources efficiently and measure progress against organisational objectives (Drury, 2021; </w:t>
      </w:r>
      <w:proofErr w:type="spellStart"/>
      <w:r w:rsidRPr="00A27436">
        <w:rPr>
          <w:rFonts w:asciiTheme="minorBidi" w:hAnsiTheme="minorBidi"/>
        </w:rPr>
        <w:t>Atrill</w:t>
      </w:r>
      <w:proofErr w:type="spellEnd"/>
      <w:r w:rsidRPr="00A27436">
        <w:rPr>
          <w:rFonts w:asciiTheme="minorBidi" w:hAnsiTheme="minorBidi"/>
        </w:rPr>
        <w:t xml:space="preserve"> and McLaney, 2021).</w:t>
      </w:r>
    </w:p>
    <w:p w14:paraId="25812C42"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In modern organisations, budgeting forms an important part of management accounting. Management accounting provides internal financial information to support planning, decision-making and performance evaluation. Unlike financial accounting, which mainly reports historical results for external stakeholders, management accounting is future-oriented and supports internal control and strategic decisions (Seal, Garrison and Noreen, 2018; Horner, 2020). This makes budgeting especially important in competitive sectors such as retail, where businesses must manage stock, cash flow and operating costs carefully.</w:t>
      </w:r>
    </w:p>
    <w:p w14:paraId="678B96E6"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Retail businesses rely heavily on budgeting because they must balance customer demand with financial efficiency. Inventory is a major investment in retail operations, and poor stock management can lead either to lost sales or to excess stock and unnecessary cost (</w:t>
      </w:r>
      <w:proofErr w:type="spellStart"/>
      <w:r w:rsidRPr="00A27436">
        <w:rPr>
          <w:rFonts w:asciiTheme="minorBidi" w:hAnsiTheme="minorBidi"/>
        </w:rPr>
        <w:t>Kolitz</w:t>
      </w:r>
      <w:proofErr w:type="spellEnd"/>
      <w:r w:rsidRPr="00A27436">
        <w:rPr>
          <w:rFonts w:asciiTheme="minorBidi" w:hAnsiTheme="minorBidi"/>
        </w:rPr>
        <w:t>, 2017; Weetman, 2019). At the same time, strong cash flow management is essential, because a profitable business may still face liquidity problems if cash is not managed properly (</w:t>
      </w:r>
      <w:proofErr w:type="spellStart"/>
      <w:r w:rsidRPr="00A27436">
        <w:rPr>
          <w:rFonts w:asciiTheme="minorBidi" w:hAnsiTheme="minorBidi"/>
        </w:rPr>
        <w:t>Atrill</w:t>
      </w:r>
      <w:proofErr w:type="spellEnd"/>
      <w:r w:rsidRPr="00A27436">
        <w:rPr>
          <w:rFonts w:asciiTheme="minorBidi" w:hAnsiTheme="minorBidi"/>
        </w:rPr>
        <w:t xml:space="preserve"> and McLaney, 2018; Dyson, 2020).</w:t>
      </w:r>
    </w:p>
    <w:p w14:paraId="7128D4DC"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Silver Stitch Ltd operates a chain of twelve stores selling premium casual clothing. At the beginning of June, the company had an overdraft of £30,000, and the bank required this overdraft to be eliminated by the end of December. This created a need for careful financial planning. In response, the directors reviewed the company’s expected financial position over the following six months.</w:t>
      </w:r>
    </w:p>
    <w:p w14:paraId="467AFDEC"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 xml:space="preserve">This report analyses the financial position of Silver Stitch Ltd by preparing a stock budget, a cash budget and a budgeted profit and loss account for the six-month period ending 31 December. It then identifies the main financial problems shown by the budgets, discusses the conditions necessary for effective budgeting and budgetary control, and critically evaluates traditional budgeting in the context of a rapidly changing business environment. This approach reflects the assignment requirement to combine numerical analysis with wider theoretical discussion and critical evaluation. </w:t>
      </w:r>
    </w:p>
    <w:p w14:paraId="0B04EF40" w14:textId="783ABAC0" w:rsidR="002F5C3B" w:rsidRPr="00A27436" w:rsidRDefault="002F5C3B" w:rsidP="00A27436">
      <w:pPr>
        <w:spacing w:line="276" w:lineRule="auto"/>
        <w:jc w:val="both"/>
        <w:rPr>
          <w:rFonts w:asciiTheme="minorBidi" w:hAnsiTheme="minorBidi"/>
        </w:rPr>
      </w:pPr>
    </w:p>
    <w:p w14:paraId="2F388EBA" w14:textId="77777777" w:rsidR="006F0D4C" w:rsidRPr="00A27436" w:rsidRDefault="006F0D4C" w:rsidP="00A27436">
      <w:pPr>
        <w:spacing w:line="276" w:lineRule="auto"/>
        <w:jc w:val="both"/>
        <w:rPr>
          <w:rFonts w:asciiTheme="minorBidi" w:hAnsiTheme="minorBidi"/>
        </w:rPr>
      </w:pPr>
    </w:p>
    <w:p w14:paraId="22122980" w14:textId="77777777" w:rsidR="006F0D4C" w:rsidRPr="00A27436" w:rsidRDefault="006F0D4C" w:rsidP="00A27436">
      <w:pPr>
        <w:spacing w:line="276" w:lineRule="auto"/>
        <w:jc w:val="both"/>
        <w:rPr>
          <w:rFonts w:asciiTheme="minorBidi" w:hAnsiTheme="minorBidi"/>
        </w:rPr>
      </w:pPr>
    </w:p>
    <w:p w14:paraId="575B1722" w14:textId="38D9C381" w:rsidR="002F5C3B" w:rsidRPr="00A27436" w:rsidRDefault="002F5C3B" w:rsidP="00A27436">
      <w:pPr>
        <w:pStyle w:val="Heading3"/>
        <w:numPr>
          <w:ilvl w:val="0"/>
          <w:numId w:val="1"/>
        </w:numPr>
        <w:spacing w:line="276" w:lineRule="auto"/>
        <w:jc w:val="both"/>
        <w:rPr>
          <w:rFonts w:asciiTheme="minorBidi" w:hAnsiTheme="minorBidi" w:cstheme="minorBidi"/>
          <w:b/>
          <w:bCs/>
          <w:color w:val="auto"/>
          <w:sz w:val="24"/>
          <w:szCs w:val="24"/>
        </w:rPr>
      </w:pPr>
      <w:bookmarkStart w:id="4" w:name="_Toc224142901"/>
      <w:bookmarkStart w:id="5" w:name="_Toc224170198"/>
      <w:r w:rsidRPr="00A27436">
        <w:rPr>
          <w:rFonts w:asciiTheme="minorBidi" w:hAnsiTheme="minorBidi" w:cstheme="minorBidi"/>
          <w:b/>
          <w:bCs/>
          <w:color w:val="auto"/>
          <w:sz w:val="24"/>
          <w:szCs w:val="24"/>
        </w:rPr>
        <w:lastRenderedPageBreak/>
        <w:t>Main Findings</w:t>
      </w:r>
      <w:r w:rsidR="006F0D4C" w:rsidRPr="00A27436">
        <w:rPr>
          <w:rFonts w:asciiTheme="minorBidi" w:hAnsiTheme="minorBidi" w:cstheme="minorBidi"/>
          <w:b/>
          <w:bCs/>
          <w:color w:val="auto"/>
          <w:sz w:val="24"/>
          <w:szCs w:val="24"/>
        </w:rPr>
        <w:t>:</w:t>
      </w:r>
      <w:bookmarkEnd w:id="4"/>
      <w:bookmarkEnd w:id="5"/>
    </w:p>
    <w:p w14:paraId="5C56E4D1" w14:textId="77777777" w:rsidR="006C5FFB" w:rsidRPr="00A27436" w:rsidRDefault="006C5FFB" w:rsidP="00A27436">
      <w:pPr>
        <w:spacing w:line="276" w:lineRule="auto"/>
        <w:jc w:val="both"/>
        <w:rPr>
          <w:rFonts w:asciiTheme="minorBidi" w:hAnsiTheme="minorBidi"/>
        </w:rPr>
      </w:pPr>
    </w:p>
    <w:p w14:paraId="5C93459F"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This section presents the financial forecasts for Silver Stitch Ltd for the six-month period ending 31 December. Three budgeting tools are used to assess the company’s expected financial performance: the stock budget, the cash budget and the budgeted profit and loss account. Together, these budgets help management evaluate expected income, expenditure, profitability and liquidity.</w:t>
      </w:r>
    </w:p>
    <w:p w14:paraId="18E2CF8A"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Budgets are a key part of management accounting because they translate business plans into measurable financial targets. They also allow managers to compare expected performance with actual results and take corrective action where necessary (Drury, 2021; Garrison, Noreen and Brewer, 2021). In this way, budgeting supports both planning and control.</w:t>
      </w:r>
    </w:p>
    <w:p w14:paraId="3F1F89D9" w14:textId="77777777" w:rsidR="00B743EC" w:rsidRPr="00A27436" w:rsidRDefault="00B743EC" w:rsidP="00A27436">
      <w:pPr>
        <w:spacing w:line="276" w:lineRule="auto"/>
        <w:jc w:val="both"/>
        <w:rPr>
          <w:rFonts w:asciiTheme="minorBidi" w:hAnsiTheme="minorBidi"/>
        </w:rPr>
      </w:pPr>
    </w:p>
    <w:p w14:paraId="45E1EAA1" w14:textId="77777777" w:rsidR="00B743EC" w:rsidRPr="00A27436" w:rsidRDefault="00B743EC" w:rsidP="00A27436">
      <w:pPr>
        <w:spacing w:line="276" w:lineRule="auto"/>
        <w:jc w:val="both"/>
        <w:rPr>
          <w:rFonts w:asciiTheme="minorBidi" w:hAnsiTheme="minorBidi"/>
        </w:rPr>
      </w:pPr>
    </w:p>
    <w:p w14:paraId="7314A7A9" w14:textId="77777777" w:rsidR="0055323A" w:rsidRPr="00A27436" w:rsidRDefault="0008732B" w:rsidP="00A27436">
      <w:pPr>
        <w:spacing w:line="276" w:lineRule="auto"/>
        <w:jc w:val="both"/>
        <w:rPr>
          <w:rFonts w:asciiTheme="minorBidi" w:hAnsiTheme="minorBidi"/>
          <w:b/>
          <w:bCs/>
        </w:rPr>
      </w:pPr>
      <w:r w:rsidRPr="00A27436">
        <w:rPr>
          <w:rFonts w:asciiTheme="minorBidi" w:hAnsiTheme="minorBidi"/>
          <w:b/>
          <w:bCs/>
        </w:rPr>
        <w:t xml:space="preserve"> </w:t>
      </w:r>
    </w:p>
    <w:p w14:paraId="5C73BEDC" w14:textId="77777777" w:rsidR="0055323A" w:rsidRPr="00A27436" w:rsidRDefault="0055323A" w:rsidP="00A27436">
      <w:pPr>
        <w:spacing w:line="276" w:lineRule="auto"/>
        <w:jc w:val="both"/>
        <w:rPr>
          <w:rFonts w:asciiTheme="minorBidi" w:hAnsiTheme="minorBidi"/>
          <w:b/>
          <w:bCs/>
        </w:rPr>
      </w:pPr>
    </w:p>
    <w:p w14:paraId="5ED51795" w14:textId="7A71025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The stock budget for the six months to 31 December is: </w:t>
      </w:r>
    </w:p>
    <w:tbl>
      <w:tblPr>
        <w:tblW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85"/>
        <w:gridCol w:w="1125"/>
        <w:gridCol w:w="1125"/>
        <w:gridCol w:w="1125"/>
        <w:gridCol w:w="990"/>
        <w:gridCol w:w="990"/>
        <w:gridCol w:w="930"/>
      </w:tblGrid>
      <w:tr w:rsidR="008C1C27" w:rsidRPr="00A27436" w14:paraId="4888E439"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2FF6A7B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125" w:type="dxa"/>
            <w:tcBorders>
              <w:top w:val="single" w:sz="6" w:space="0" w:color="auto"/>
              <w:left w:val="single" w:sz="6" w:space="0" w:color="auto"/>
              <w:bottom w:val="single" w:sz="6" w:space="0" w:color="auto"/>
              <w:right w:val="single" w:sz="6" w:space="0" w:color="auto"/>
            </w:tcBorders>
            <w:hideMark/>
          </w:tcPr>
          <w:p w14:paraId="248BEEB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July </w:t>
            </w:r>
          </w:p>
        </w:tc>
        <w:tc>
          <w:tcPr>
            <w:tcW w:w="1125" w:type="dxa"/>
            <w:tcBorders>
              <w:top w:val="single" w:sz="6" w:space="0" w:color="auto"/>
              <w:left w:val="single" w:sz="6" w:space="0" w:color="auto"/>
              <w:bottom w:val="single" w:sz="6" w:space="0" w:color="auto"/>
              <w:right w:val="single" w:sz="6" w:space="0" w:color="auto"/>
            </w:tcBorders>
            <w:hideMark/>
          </w:tcPr>
          <w:p w14:paraId="2752C6C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Aug </w:t>
            </w:r>
          </w:p>
        </w:tc>
        <w:tc>
          <w:tcPr>
            <w:tcW w:w="1125" w:type="dxa"/>
            <w:tcBorders>
              <w:top w:val="single" w:sz="6" w:space="0" w:color="auto"/>
              <w:left w:val="single" w:sz="6" w:space="0" w:color="auto"/>
              <w:bottom w:val="single" w:sz="6" w:space="0" w:color="auto"/>
              <w:right w:val="single" w:sz="6" w:space="0" w:color="auto"/>
            </w:tcBorders>
            <w:hideMark/>
          </w:tcPr>
          <w:p w14:paraId="2DA01B9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Sept </w:t>
            </w:r>
          </w:p>
        </w:tc>
        <w:tc>
          <w:tcPr>
            <w:tcW w:w="990" w:type="dxa"/>
            <w:tcBorders>
              <w:top w:val="single" w:sz="6" w:space="0" w:color="auto"/>
              <w:left w:val="single" w:sz="6" w:space="0" w:color="auto"/>
              <w:bottom w:val="single" w:sz="6" w:space="0" w:color="auto"/>
              <w:right w:val="single" w:sz="6" w:space="0" w:color="auto"/>
            </w:tcBorders>
            <w:hideMark/>
          </w:tcPr>
          <w:p w14:paraId="724ED67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Oct </w:t>
            </w:r>
          </w:p>
        </w:tc>
        <w:tc>
          <w:tcPr>
            <w:tcW w:w="990" w:type="dxa"/>
            <w:tcBorders>
              <w:top w:val="single" w:sz="6" w:space="0" w:color="auto"/>
              <w:left w:val="single" w:sz="6" w:space="0" w:color="auto"/>
              <w:bottom w:val="single" w:sz="6" w:space="0" w:color="auto"/>
              <w:right w:val="single" w:sz="6" w:space="0" w:color="auto"/>
            </w:tcBorders>
            <w:hideMark/>
          </w:tcPr>
          <w:p w14:paraId="55860A3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Nov </w:t>
            </w:r>
          </w:p>
        </w:tc>
        <w:tc>
          <w:tcPr>
            <w:tcW w:w="930" w:type="dxa"/>
            <w:tcBorders>
              <w:top w:val="single" w:sz="6" w:space="0" w:color="auto"/>
              <w:left w:val="single" w:sz="6" w:space="0" w:color="auto"/>
              <w:bottom w:val="single" w:sz="6" w:space="0" w:color="auto"/>
              <w:right w:val="single" w:sz="6" w:space="0" w:color="auto"/>
            </w:tcBorders>
            <w:hideMark/>
          </w:tcPr>
          <w:p w14:paraId="1243A7C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Dec </w:t>
            </w:r>
          </w:p>
        </w:tc>
      </w:tr>
      <w:tr w:rsidR="008C1C27" w:rsidRPr="00A27436" w14:paraId="38072686"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46A8318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125" w:type="dxa"/>
            <w:tcBorders>
              <w:top w:val="single" w:sz="6" w:space="0" w:color="auto"/>
              <w:left w:val="single" w:sz="6" w:space="0" w:color="auto"/>
              <w:bottom w:val="single" w:sz="6" w:space="0" w:color="auto"/>
              <w:right w:val="single" w:sz="6" w:space="0" w:color="auto"/>
            </w:tcBorders>
            <w:hideMark/>
          </w:tcPr>
          <w:p w14:paraId="3D7FF0B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1125" w:type="dxa"/>
            <w:tcBorders>
              <w:top w:val="single" w:sz="6" w:space="0" w:color="auto"/>
              <w:left w:val="single" w:sz="6" w:space="0" w:color="auto"/>
              <w:bottom w:val="single" w:sz="6" w:space="0" w:color="auto"/>
              <w:right w:val="single" w:sz="6" w:space="0" w:color="auto"/>
            </w:tcBorders>
            <w:hideMark/>
          </w:tcPr>
          <w:p w14:paraId="70416D1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1125" w:type="dxa"/>
            <w:tcBorders>
              <w:top w:val="single" w:sz="6" w:space="0" w:color="auto"/>
              <w:left w:val="single" w:sz="6" w:space="0" w:color="auto"/>
              <w:bottom w:val="single" w:sz="6" w:space="0" w:color="auto"/>
              <w:right w:val="single" w:sz="6" w:space="0" w:color="auto"/>
            </w:tcBorders>
            <w:hideMark/>
          </w:tcPr>
          <w:p w14:paraId="1902434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990" w:type="dxa"/>
            <w:tcBorders>
              <w:top w:val="single" w:sz="6" w:space="0" w:color="auto"/>
              <w:left w:val="single" w:sz="6" w:space="0" w:color="auto"/>
              <w:bottom w:val="single" w:sz="6" w:space="0" w:color="auto"/>
              <w:right w:val="single" w:sz="6" w:space="0" w:color="auto"/>
            </w:tcBorders>
            <w:hideMark/>
          </w:tcPr>
          <w:p w14:paraId="06DBB876"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990" w:type="dxa"/>
            <w:tcBorders>
              <w:top w:val="single" w:sz="6" w:space="0" w:color="auto"/>
              <w:left w:val="single" w:sz="6" w:space="0" w:color="auto"/>
              <w:bottom w:val="single" w:sz="6" w:space="0" w:color="auto"/>
              <w:right w:val="single" w:sz="6" w:space="0" w:color="auto"/>
            </w:tcBorders>
            <w:hideMark/>
          </w:tcPr>
          <w:p w14:paraId="36404D2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930" w:type="dxa"/>
            <w:tcBorders>
              <w:top w:val="single" w:sz="6" w:space="0" w:color="auto"/>
              <w:left w:val="single" w:sz="6" w:space="0" w:color="auto"/>
              <w:bottom w:val="single" w:sz="6" w:space="0" w:color="auto"/>
              <w:right w:val="single" w:sz="6" w:space="0" w:color="auto"/>
            </w:tcBorders>
            <w:hideMark/>
          </w:tcPr>
          <w:p w14:paraId="5BDC932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r>
      <w:tr w:rsidR="008C1C27" w:rsidRPr="00A27436" w14:paraId="1698BCCA"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055DC23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Opening balance  </w:t>
            </w:r>
          </w:p>
        </w:tc>
        <w:tc>
          <w:tcPr>
            <w:tcW w:w="1125" w:type="dxa"/>
            <w:tcBorders>
              <w:top w:val="single" w:sz="6" w:space="0" w:color="auto"/>
              <w:left w:val="single" w:sz="6" w:space="0" w:color="auto"/>
              <w:bottom w:val="single" w:sz="6" w:space="0" w:color="auto"/>
              <w:right w:val="single" w:sz="6" w:space="0" w:color="auto"/>
            </w:tcBorders>
            <w:hideMark/>
          </w:tcPr>
          <w:p w14:paraId="78F0822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100 </w:t>
            </w:r>
          </w:p>
        </w:tc>
        <w:tc>
          <w:tcPr>
            <w:tcW w:w="1125" w:type="dxa"/>
            <w:tcBorders>
              <w:top w:val="single" w:sz="6" w:space="0" w:color="auto"/>
              <w:left w:val="single" w:sz="6" w:space="0" w:color="auto"/>
              <w:bottom w:val="single" w:sz="6" w:space="0" w:color="auto"/>
              <w:right w:val="single" w:sz="6" w:space="0" w:color="auto"/>
            </w:tcBorders>
            <w:hideMark/>
          </w:tcPr>
          <w:p w14:paraId="3DBE31F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154 </w:t>
            </w:r>
          </w:p>
        </w:tc>
        <w:tc>
          <w:tcPr>
            <w:tcW w:w="1125" w:type="dxa"/>
            <w:tcBorders>
              <w:top w:val="single" w:sz="6" w:space="0" w:color="auto"/>
              <w:left w:val="single" w:sz="6" w:space="0" w:color="auto"/>
              <w:bottom w:val="single" w:sz="6" w:space="0" w:color="auto"/>
              <w:right w:val="single" w:sz="6" w:space="0" w:color="auto"/>
            </w:tcBorders>
            <w:hideMark/>
          </w:tcPr>
          <w:p w14:paraId="4490A1AF"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186 </w:t>
            </w:r>
          </w:p>
        </w:tc>
        <w:tc>
          <w:tcPr>
            <w:tcW w:w="990" w:type="dxa"/>
            <w:tcBorders>
              <w:top w:val="single" w:sz="6" w:space="0" w:color="auto"/>
              <w:left w:val="single" w:sz="6" w:space="0" w:color="auto"/>
              <w:bottom w:val="single" w:sz="6" w:space="0" w:color="auto"/>
              <w:right w:val="single" w:sz="6" w:space="0" w:color="auto"/>
            </w:tcBorders>
            <w:hideMark/>
          </w:tcPr>
          <w:p w14:paraId="7B978A3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230 </w:t>
            </w:r>
          </w:p>
        </w:tc>
        <w:tc>
          <w:tcPr>
            <w:tcW w:w="990" w:type="dxa"/>
            <w:tcBorders>
              <w:top w:val="single" w:sz="6" w:space="0" w:color="auto"/>
              <w:left w:val="single" w:sz="6" w:space="0" w:color="auto"/>
              <w:bottom w:val="single" w:sz="6" w:space="0" w:color="auto"/>
              <w:right w:val="single" w:sz="6" w:space="0" w:color="auto"/>
            </w:tcBorders>
            <w:hideMark/>
          </w:tcPr>
          <w:p w14:paraId="7F9D6EE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296 </w:t>
            </w:r>
          </w:p>
        </w:tc>
        <w:tc>
          <w:tcPr>
            <w:tcW w:w="930" w:type="dxa"/>
            <w:tcBorders>
              <w:top w:val="single" w:sz="6" w:space="0" w:color="auto"/>
              <w:left w:val="single" w:sz="6" w:space="0" w:color="auto"/>
              <w:bottom w:val="single" w:sz="6" w:space="0" w:color="auto"/>
              <w:right w:val="single" w:sz="6" w:space="0" w:color="auto"/>
            </w:tcBorders>
            <w:hideMark/>
          </w:tcPr>
          <w:p w14:paraId="55B4DD4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336 </w:t>
            </w:r>
          </w:p>
        </w:tc>
      </w:tr>
      <w:tr w:rsidR="008C1C27" w:rsidRPr="00A27436" w14:paraId="1FD73269"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7C8F515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Stock purchased </w:t>
            </w:r>
          </w:p>
        </w:tc>
        <w:tc>
          <w:tcPr>
            <w:tcW w:w="1125" w:type="dxa"/>
            <w:tcBorders>
              <w:top w:val="single" w:sz="6" w:space="0" w:color="auto"/>
              <w:left w:val="single" w:sz="6" w:space="0" w:color="auto"/>
              <w:bottom w:val="single" w:sz="6" w:space="0" w:color="auto"/>
              <w:right w:val="single" w:sz="6" w:space="0" w:color="auto"/>
            </w:tcBorders>
            <w:hideMark/>
          </w:tcPr>
          <w:p w14:paraId="2131880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180 </w:t>
            </w:r>
          </w:p>
        </w:tc>
        <w:tc>
          <w:tcPr>
            <w:tcW w:w="1125" w:type="dxa"/>
            <w:tcBorders>
              <w:top w:val="single" w:sz="6" w:space="0" w:color="auto"/>
              <w:left w:val="single" w:sz="6" w:space="0" w:color="auto"/>
              <w:bottom w:val="single" w:sz="6" w:space="0" w:color="auto"/>
              <w:right w:val="single" w:sz="6" w:space="0" w:color="auto"/>
            </w:tcBorders>
            <w:hideMark/>
          </w:tcPr>
          <w:p w14:paraId="043B1D6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170 </w:t>
            </w:r>
          </w:p>
        </w:tc>
        <w:tc>
          <w:tcPr>
            <w:tcW w:w="1125" w:type="dxa"/>
            <w:tcBorders>
              <w:top w:val="single" w:sz="6" w:space="0" w:color="auto"/>
              <w:left w:val="single" w:sz="6" w:space="0" w:color="auto"/>
              <w:bottom w:val="single" w:sz="6" w:space="0" w:color="auto"/>
              <w:right w:val="single" w:sz="6" w:space="0" w:color="auto"/>
            </w:tcBorders>
            <w:hideMark/>
          </w:tcPr>
          <w:p w14:paraId="6AE4A5A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200 </w:t>
            </w:r>
          </w:p>
        </w:tc>
        <w:tc>
          <w:tcPr>
            <w:tcW w:w="990" w:type="dxa"/>
            <w:tcBorders>
              <w:top w:val="single" w:sz="6" w:space="0" w:color="auto"/>
              <w:left w:val="single" w:sz="6" w:space="0" w:color="auto"/>
              <w:bottom w:val="single" w:sz="6" w:space="0" w:color="auto"/>
              <w:right w:val="single" w:sz="6" w:space="0" w:color="auto"/>
            </w:tcBorders>
            <w:hideMark/>
          </w:tcPr>
          <w:p w14:paraId="60B2F2D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210 </w:t>
            </w:r>
          </w:p>
        </w:tc>
        <w:tc>
          <w:tcPr>
            <w:tcW w:w="990" w:type="dxa"/>
            <w:tcBorders>
              <w:top w:val="single" w:sz="6" w:space="0" w:color="auto"/>
              <w:left w:val="single" w:sz="6" w:space="0" w:color="auto"/>
              <w:bottom w:val="single" w:sz="6" w:space="0" w:color="auto"/>
              <w:right w:val="single" w:sz="6" w:space="0" w:color="auto"/>
            </w:tcBorders>
            <w:hideMark/>
          </w:tcPr>
          <w:p w14:paraId="4C1A3A5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190 </w:t>
            </w:r>
          </w:p>
        </w:tc>
        <w:tc>
          <w:tcPr>
            <w:tcW w:w="930" w:type="dxa"/>
            <w:tcBorders>
              <w:top w:val="single" w:sz="6" w:space="0" w:color="auto"/>
              <w:left w:val="single" w:sz="6" w:space="0" w:color="auto"/>
              <w:bottom w:val="single" w:sz="6" w:space="0" w:color="auto"/>
              <w:right w:val="single" w:sz="6" w:space="0" w:color="auto"/>
            </w:tcBorders>
            <w:hideMark/>
          </w:tcPr>
          <w:p w14:paraId="253C92C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220 </w:t>
            </w:r>
          </w:p>
        </w:tc>
      </w:tr>
      <w:tr w:rsidR="008C1C27" w:rsidRPr="00A27436" w14:paraId="1840FABB"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1DB5AB6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125" w:type="dxa"/>
            <w:tcBorders>
              <w:top w:val="single" w:sz="6" w:space="0" w:color="auto"/>
              <w:left w:val="single" w:sz="6" w:space="0" w:color="auto"/>
              <w:bottom w:val="single" w:sz="6" w:space="0" w:color="auto"/>
              <w:right w:val="single" w:sz="6" w:space="0" w:color="auto"/>
            </w:tcBorders>
            <w:hideMark/>
          </w:tcPr>
          <w:p w14:paraId="5D7C7BC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280 </w:t>
            </w:r>
          </w:p>
        </w:tc>
        <w:tc>
          <w:tcPr>
            <w:tcW w:w="1125" w:type="dxa"/>
            <w:tcBorders>
              <w:top w:val="single" w:sz="6" w:space="0" w:color="auto"/>
              <w:left w:val="single" w:sz="6" w:space="0" w:color="auto"/>
              <w:bottom w:val="single" w:sz="6" w:space="0" w:color="auto"/>
              <w:right w:val="single" w:sz="6" w:space="0" w:color="auto"/>
            </w:tcBorders>
            <w:hideMark/>
          </w:tcPr>
          <w:p w14:paraId="0BA595C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324 </w:t>
            </w:r>
          </w:p>
        </w:tc>
        <w:tc>
          <w:tcPr>
            <w:tcW w:w="1125" w:type="dxa"/>
            <w:tcBorders>
              <w:top w:val="single" w:sz="6" w:space="0" w:color="auto"/>
              <w:left w:val="single" w:sz="6" w:space="0" w:color="auto"/>
              <w:bottom w:val="single" w:sz="6" w:space="0" w:color="auto"/>
              <w:right w:val="single" w:sz="6" w:space="0" w:color="auto"/>
            </w:tcBorders>
            <w:hideMark/>
          </w:tcPr>
          <w:p w14:paraId="6A70B3C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386 </w:t>
            </w:r>
          </w:p>
        </w:tc>
        <w:tc>
          <w:tcPr>
            <w:tcW w:w="990" w:type="dxa"/>
            <w:tcBorders>
              <w:top w:val="single" w:sz="6" w:space="0" w:color="auto"/>
              <w:left w:val="single" w:sz="6" w:space="0" w:color="auto"/>
              <w:bottom w:val="single" w:sz="6" w:space="0" w:color="auto"/>
              <w:right w:val="single" w:sz="6" w:space="0" w:color="auto"/>
            </w:tcBorders>
            <w:hideMark/>
          </w:tcPr>
          <w:p w14:paraId="00AD14F6"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440 </w:t>
            </w:r>
          </w:p>
        </w:tc>
        <w:tc>
          <w:tcPr>
            <w:tcW w:w="990" w:type="dxa"/>
            <w:tcBorders>
              <w:top w:val="single" w:sz="6" w:space="0" w:color="auto"/>
              <w:left w:val="single" w:sz="6" w:space="0" w:color="auto"/>
              <w:bottom w:val="single" w:sz="6" w:space="0" w:color="auto"/>
              <w:right w:val="single" w:sz="6" w:space="0" w:color="auto"/>
            </w:tcBorders>
            <w:hideMark/>
          </w:tcPr>
          <w:p w14:paraId="0B09E20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486 </w:t>
            </w:r>
          </w:p>
        </w:tc>
        <w:tc>
          <w:tcPr>
            <w:tcW w:w="930" w:type="dxa"/>
            <w:tcBorders>
              <w:top w:val="single" w:sz="6" w:space="0" w:color="auto"/>
              <w:left w:val="single" w:sz="6" w:space="0" w:color="auto"/>
              <w:bottom w:val="single" w:sz="6" w:space="0" w:color="auto"/>
              <w:right w:val="single" w:sz="6" w:space="0" w:color="auto"/>
            </w:tcBorders>
            <w:hideMark/>
          </w:tcPr>
          <w:p w14:paraId="15311D6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556 </w:t>
            </w:r>
          </w:p>
        </w:tc>
      </w:tr>
      <w:tr w:rsidR="008C1C27" w:rsidRPr="00A27436" w14:paraId="519BC294"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0FDF83A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Cost of Stock sold </w:t>
            </w:r>
          </w:p>
        </w:tc>
        <w:tc>
          <w:tcPr>
            <w:tcW w:w="1125" w:type="dxa"/>
            <w:tcBorders>
              <w:top w:val="single" w:sz="6" w:space="0" w:color="auto"/>
              <w:left w:val="single" w:sz="6" w:space="0" w:color="auto"/>
              <w:bottom w:val="single" w:sz="6" w:space="0" w:color="auto"/>
              <w:right w:val="single" w:sz="6" w:space="0" w:color="auto"/>
            </w:tcBorders>
            <w:hideMark/>
          </w:tcPr>
          <w:p w14:paraId="0CCA8A3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125" w:type="dxa"/>
            <w:tcBorders>
              <w:top w:val="single" w:sz="6" w:space="0" w:color="auto"/>
              <w:left w:val="single" w:sz="6" w:space="0" w:color="auto"/>
              <w:bottom w:val="single" w:sz="6" w:space="0" w:color="auto"/>
              <w:right w:val="single" w:sz="6" w:space="0" w:color="auto"/>
            </w:tcBorders>
            <w:hideMark/>
          </w:tcPr>
          <w:p w14:paraId="5124B7A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125" w:type="dxa"/>
            <w:tcBorders>
              <w:top w:val="single" w:sz="6" w:space="0" w:color="auto"/>
              <w:left w:val="single" w:sz="6" w:space="0" w:color="auto"/>
              <w:bottom w:val="single" w:sz="6" w:space="0" w:color="auto"/>
              <w:right w:val="single" w:sz="6" w:space="0" w:color="auto"/>
            </w:tcBorders>
            <w:hideMark/>
          </w:tcPr>
          <w:p w14:paraId="08A58FA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990" w:type="dxa"/>
            <w:tcBorders>
              <w:top w:val="single" w:sz="6" w:space="0" w:color="auto"/>
              <w:left w:val="single" w:sz="6" w:space="0" w:color="auto"/>
              <w:bottom w:val="single" w:sz="6" w:space="0" w:color="auto"/>
              <w:right w:val="single" w:sz="6" w:space="0" w:color="auto"/>
            </w:tcBorders>
            <w:hideMark/>
          </w:tcPr>
          <w:p w14:paraId="52854BC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990" w:type="dxa"/>
            <w:tcBorders>
              <w:top w:val="single" w:sz="6" w:space="0" w:color="auto"/>
              <w:left w:val="single" w:sz="6" w:space="0" w:color="auto"/>
              <w:bottom w:val="single" w:sz="6" w:space="0" w:color="auto"/>
              <w:right w:val="single" w:sz="6" w:space="0" w:color="auto"/>
            </w:tcBorders>
            <w:hideMark/>
          </w:tcPr>
          <w:p w14:paraId="5EB8845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930" w:type="dxa"/>
            <w:tcBorders>
              <w:top w:val="single" w:sz="6" w:space="0" w:color="auto"/>
              <w:left w:val="single" w:sz="6" w:space="0" w:color="auto"/>
              <w:bottom w:val="single" w:sz="6" w:space="0" w:color="auto"/>
              <w:right w:val="single" w:sz="6" w:space="0" w:color="auto"/>
            </w:tcBorders>
            <w:hideMark/>
          </w:tcPr>
          <w:p w14:paraId="67B97A75"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r>
      <w:tr w:rsidR="008C1C27" w:rsidRPr="00A27436" w14:paraId="1DEDAC19"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5F848D1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(60% of sales)  </w:t>
            </w:r>
          </w:p>
        </w:tc>
        <w:tc>
          <w:tcPr>
            <w:tcW w:w="1125" w:type="dxa"/>
            <w:tcBorders>
              <w:top w:val="single" w:sz="6" w:space="0" w:color="auto"/>
              <w:left w:val="single" w:sz="6" w:space="0" w:color="auto"/>
              <w:bottom w:val="single" w:sz="6" w:space="0" w:color="auto"/>
              <w:right w:val="single" w:sz="6" w:space="0" w:color="auto"/>
            </w:tcBorders>
            <w:hideMark/>
          </w:tcPr>
          <w:p w14:paraId="7B24B53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(126) </w:t>
            </w:r>
          </w:p>
        </w:tc>
        <w:tc>
          <w:tcPr>
            <w:tcW w:w="1125" w:type="dxa"/>
            <w:tcBorders>
              <w:top w:val="single" w:sz="6" w:space="0" w:color="auto"/>
              <w:left w:val="single" w:sz="6" w:space="0" w:color="auto"/>
              <w:bottom w:val="single" w:sz="6" w:space="0" w:color="auto"/>
              <w:right w:val="single" w:sz="6" w:space="0" w:color="auto"/>
            </w:tcBorders>
            <w:hideMark/>
          </w:tcPr>
          <w:p w14:paraId="4A4807D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(138) </w:t>
            </w:r>
          </w:p>
        </w:tc>
        <w:tc>
          <w:tcPr>
            <w:tcW w:w="1125" w:type="dxa"/>
            <w:tcBorders>
              <w:top w:val="single" w:sz="6" w:space="0" w:color="auto"/>
              <w:left w:val="single" w:sz="6" w:space="0" w:color="auto"/>
              <w:bottom w:val="single" w:sz="6" w:space="0" w:color="auto"/>
              <w:right w:val="single" w:sz="6" w:space="0" w:color="auto"/>
            </w:tcBorders>
            <w:hideMark/>
          </w:tcPr>
          <w:p w14:paraId="4861CAC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(156) </w:t>
            </w:r>
          </w:p>
        </w:tc>
        <w:tc>
          <w:tcPr>
            <w:tcW w:w="990" w:type="dxa"/>
            <w:tcBorders>
              <w:top w:val="single" w:sz="6" w:space="0" w:color="auto"/>
              <w:left w:val="single" w:sz="6" w:space="0" w:color="auto"/>
              <w:bottom w:val="single" w:sz="6" w:space="0" w:color="auto"/>
              <w:right w:val="single" w:sz="6" w:space="0" w:color="auto"/>
            </w:tcBorders>
            <w:hideMark/>
          </w:tcPr>
          <w:p w14:paraId="6AADF27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(144) </w:t>
            </w:r>
          </w:p>
        </w:tc>
        <w:tc>
          <w:tcPr>
            <w:tcW w:w="990" w:type="dxa"/>
            <w:tcBorders>
              <w:top w:val="single" w:sz="6" w:space="0" w:color="auto"/>
              <w:left w:val="single" w:sz="6" w:space="0" w:color="auto"/>
              <w:bottom w:val="single" w:sz="6" w:space="0" w:color="auto"/>
              <w:right w:val="single" w:sz="6" w:space="0" w:color="auto"/>
            </w:tcBorders>
            <w:hideMark/>
          </w:tcPr>
          <w:p w14:paraId="2E3A95F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(150) </w:t>
            </w:r>
          </w:p>
        </w:tc>
        <w:tc>
          <w:tcPr>
            <w:tcW w:w="930" w:type="dxa"/>
            <w:tcBorders>
              <w:top w:val="single" w:sz="6" w:space="0" w:color="auto"/>
              <w:left w:val="single" w:sz="6" w:space="0" w:color="auto"/>
              <w:bottom w:val="single" w:sz="6" w:space="0" w:color="auto"/>
              <w:right w:val="single" w:sz="6" w:space="0" w:color="auto"/>
            </w:tcBorders>
            <w:hideMark/>
          </w:tcPr>
          <w:p w14:paraId="1898186C"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(168) </w:t>
            </w:r>
          </w:p>
        </w:tc>
      </w:tr>
      <w:tr w:rsidR="008C1C27" w:rsidRPr="00A27436" w14:paraId="7F05B5C2"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41EFEBC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Closing stock </w:t>
            </w:r>
          </w:p>
        </w:tc>
        <w:tc>
          <w:tcPr>
            <w:tcW w:w="1125" w:type="dxa"/>
            <w:tcBorders>
              <w:top w:val="single" w:sz="6" w:space="0" w:color="auto"/>
              <w:left w:val="single" w:sz="6" w:space="0" w:color="auto"/>
              <w:bottom w:val="single" w:sz="6" w:space="0" w:color="auto"/>
              <w:right w:val="single" w:sz="6" w:space="0" w:color="auto"/>
            </w:tcBorders>
            <w:hideMark/>
          </w:tcPr>
          <w:p w14:paraId="2C355A6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154 </w:t>
            </w:r>
          </w:p>
        </w:tc>
        <w:tc>
          <w:tcPr>
            <w:tcW w:w="1125" w:type="dxa"/>
            <w:tcBorders>
              <w:top w:val="single" w:sz="6" w:space="0" w:color="auto"/>
              <w:left w:val="single" w:sz="6" w:space="0" w:color="auto"/>
              <w:bottom w:val="single" w:sz="6" w:space="0" w:color="auto"/>
              <w:right w:val="single" w:sz="6" w:space="0" w:color="auto"/>
            </w:tcBorders>
            <w:hideMark/>
          </w:tcPr>
          <w:p w14:paraId="15DA203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186 </w:t>
            </w:r>
          </w:p>
        </w:tc>
        <w:tc>
          <w:tcPr>
            <w:tcW w:w="1125" w:type="dxa"/>
            <w:tcBorders>
              <w:top w:val="single" w:sz="6" w:space="0" w:color="auto"/>
              <w:left w:val="single" w:sz="6" w:space="0" w:color="auto"/>
              <w:bottom w:val="single" w:sz="6" w:space="0" w:color="auto"/>
              <w:right w:val="single" w:sz="6" w:space="0" w:color="auto"/>
            </w:tcBorders>
            <w:hideMark/>
          </w:tcPr>
          <w:p w14:paraId="6C1204E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230 </w:t>
            </w:r>
          </w:p>
        </w:tc>
        <w:tc>
          <w:tcPr>
            <w:tcW w:w="990" w:type="dxa"/>
            <w:tcBorders>
              <w:top w:val="single" w:sz="6" w:space="0" w:color="auto"/>
              <w:left w:val="single" w:sz="6" w:space="0" w:color="auto"/>
              <w:bottom w:val="single" w:sz="6" w:space="0" w:color="auto"/>
              <w:right w:val="single" w:sz="6" w:space="0" w:color="auto"/>
            </w:tcBorders>
            <w:hideMark/>
          </w:tcPr>
          <w:p w14:paraId="0A5279C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296 </w:t>
            </w:r>
          </w:p>
        </w:tc>
        <w:tc>
          <w:tcPr>
            <w:tcW w:w="990" w:type="dxa"/>
            <w:tcBorders>
              <w:top w:val="single" w:sz="6" w:space="0" w:color="auto"/>
              <w:left w:val="single" w:sz="6" w:space="0" w:color="auto"/>
              <w:bottom w:val="single" w:sz="6" w:space="0" w:color="auto"/>
              <w:right w:val="single" w:sz="6" w:space="0" w:color="auto"/>
            </w:tcBorders>
            <w:hideMark/>
          </w:tcPr>
          <w:p w14:paraId="1917280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336 </w:t>
            </w:r>
          </w:p>
        </w:tc>
        <w:tc>
          <w:tcPr>
            <w:tcW w:w="930" w:type="dxa"/>
            <w:tcBorders>
              <w:top w:val="single" w:sz="6" w:space="0" w:color="auto"/>
              <w:left w:val="single" w:sz="6" w:space="0" w:color="auto"/>
              <w:bottom w:val="single" w:sz="6" w:space="0" w:color="auto"/>
              <w:right w:val="single" w:sz="6" w:space="0" w:color="auto"/>
            </w:tcBorders>
            <w:hideMark/>
          </w:tcPr>
          <w:p w14:paraId="28667E3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388 </w:t>
            </w:r>
          </w:p>
        </w:tc>
      </w:tr>
    </w:tbl>
    <w:p w14:paraId="191ADE3F"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p w14:paraId="36CCD9A6"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p w14:paraId="445E8A10" w14:textId="77777777" w:rsidR="0008732B" w:rsidRPr="00A27436" w:rsidRDefault="0008732B" w:rsidP="00A27436">
      <w:pPr>
        <w:spacing w:line="276" w:lineRule="auto"/>
        <w:jc w:val="both"/>
        <w:rPr>
          <w:rFonts w:asciiTheme="minorBidi" w:hAnsiTheme="minorBidi"/>
          <w:b/>
          <w:bCs/>
        </w:rPr>
      </w:pPr>
    </w:p>
    <w:p w14:paraId="244E2805" w14:textId="77777777" w:rsidR="0008732B" w:rsidRPr="00A27436" w:rsidRDefault="0008732B" w:rsidP="00A27436">
      <w:pPr>
        <w:spacing w:line="276" w:lineRule="auto"/>
        <w:jc w:val="both"/>
        <w:rPr>
          <w:rFonts w:asciiTheme="minorBidi" w:hAnsiTheme="minorBidi"/>
          <w:b/>
          <w:bCs/>
        </w:rPr>
      </w:pPr>
    </w:p>
    <w:p w14:paraId="6722FFF2" w14:textId="77777777" w:rsidR="0055323A" w:rsidRPr="00A27436" w:rsidRDefault="0055323A" w:rsidP="00A27436">
      <w:pPr>
        <w:spacing w:line="276" w:lineRule="auto"/>
        <w:jc w:val="both"/>
        <w:rPr>
          <w:rFonts w:asciiTheme="minorBidi" w:hAnsiTheme="minorBidi"/>
          <w:b/>
          <w:bCs/>
        </w:rPr>
      </w:pPr>
    </w:p>
    <w:p w14:paraId="7104E815" w14:textId="77777777" w:rsidR="00741024" w:rsidRPr="00A27436" w:rsidRDefault="00741024" w:rsidP="00A27436">
      <w:pPr>
        <w:spacing w:line="276" w:lineRule="auto"/>
        <w:jc w:val="both"/>
        <w:rPr>
          <w:rFonts w:asciiTheme="minorBidi" w:hAnsiTheme="minorBidi"/>
          <w:b/>
          <w:bCs/>
        </w:rPr>
      </w:pPr>
    </w:p>
    <w:p w14:paraId="2DBCC0DB" w14:textId="7973F82E"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lastRenderedPageBreak/>
        <w:t>The Cash budget for the period to 31 December is: </w:t>
      </w:r>
    </w:p>
    <w:tbl>
      <w:tblPr>
        <w:tblW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20"/>
        <w:gridCol w:w="1231"/>
        <w:gridCol w:w="1090"/>
        <w:gridCol w:w="1090"/>
        <w:gridCol w:w="965"/>
        <w:gridCol w:w="965"/>
        <w:gridCol w:w="1049"/>
      </w:tblGrid>
      <w:tr w:rsidR="008C1C27" w:rsidRPr="00A27436" w14:paraId="2D0CBC2F"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3D3F6EC5"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990" w:type="dxa"/>
            <w:tcBorders>
              <w:top w:val="single" w:sz="6" w:space="0" w:color="auto"/>
              <w:left w:val="single" w:sz="6" w:space="0" w:color="auto"/>
              <w:bottom w:val="single" w:sz="6" w:space="0" w:color="auto"/>
              <w:right w:val="single" w:sz="6" w:space="0" w:color="auto"/>
            </w:tcBorders>
            <w:hideMark/>
          </w:tcPr>
          <w:p w14:paraId="458953E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July </w:t>
            </w:r>
          </w:p>
        </w:tc>
        <w:tc>
          <w:tcPr>
            <w:tcW w:w="1125" w:type="dxa"/>
            <w:tcBorders>
              <w:top w:val="single" w:sz="6" w:space="0" w:color="auto"/>
              <w:left w:val="single" w:sz="6" w:space="0" w:color="auto"/>
              <w:bottom w:val="single" w:sz="6" w:space="0" w:color="auto"/>
              <w:right w:val="single" w:sz="6" w:space="0" w:color="auto"/>
            </w:tcBorders>
            <w:hideMark/>
          </w:tcPr>
          <w:p w14:paraId="4064CB0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Aug </w:t>
            </w:r>
          </w:p>
        </w:tc>
        <w:tc>
          <w:tcPr>
            <w:tcW w:w="1125" w:type="dxa"/>
            <w:tcBorders>
              <w:top w:val="single" w:sz="6" w:space="0" w:color="auto"/>
              <w:left w:val="single" w:sz="6" w:space="0" w:color="auto"/>
              <w:bottom w:val="single" w:sz="6" w:space="0" w:color="auto"/>
              <w:right w:val="single" w:sz="6" w:space="0" w:color="auto"/>
            </w:tcBorders>
            <w:hideMark/>
          </w:tcPr>
          <w:p w14:paraId="75CE1DB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Sept </w:t>
            </w:r>
          </w:p>
        </w:tc>
        <w:tc>
          <w:tcPr>
            <w:tcW w:w="990" w:type="dxa"/>
            <w:tcBorders>
              <w:top w:val="single" w:sz="6" w:space="0" w:color="auto"/>
              <w:left w:val="single" w:sz="6" w:space="0" w:color="auto"/>
              <w:bottom w:val="single" w:sz="6" w:space="0" w:color="auto"/>
              <w:right w:val="single" w:sz="6" w:space="0" w:color="auto"/>
            </w:tcBorders>
            <w:hideMark/>
          </w:tcPr>
          <w:p w14:paraId="7F56E29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Oct </w:t>
            </w:r>
          </w:p>
        </w:tc>
        <w:tc>
          <w:tcPr>
            <w:tcW w:w="990" w:type="dxa"/>
            <w:tcBorders>
              <w:top w:val="single" w:sz="6" w:space="0" w:color="auto"/>
              <w:left w:val="single" w:sz="6" w:space="0" w:color="auto"/>
              <w:bottom w:val="single" w:sz="6" w:space="0" w:color="auto"/>
              <w:right w:val="single" w:sz="6" w:space="0" w:color="auto"/>
            </w:tcBorders>
            <w:hideMark/>
          </w:tcPr>
          <w:p w14:paraId="433F0D3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Nov </w:t>
            </w:r>
          </w:p>
        </w:tc>
        <w:tc>
          <w:tcPr>
            <w:tcW w:w="1080" w:type="dxa"/>
            <w:tcBorders>
              <w:top w:val="single" w:sz="6" w:space="0" w:color="auto"/>
              <w:left w:val="single" w:sz="6" w:space="0" w:color="auto"/>
              <w:bottom w:val="single" w:sz="6" w:space="0" w:color="auto"/>
              <w:right w:val="single" w:sz="6" w:space="0" w:color="auto"/>
            </w:tcBorders>
            <w:hideMark/>
          </w:tcPr>
          <w:p w14:paraId="64EB2C3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Dec </w:t>
            </w:r>
          </w:p>
        </w:tc>
      </w:tr>
      <w:tr w:rsidR="008C1C27" w:rsidRPr="00A27436" w14:paraId="23644696"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5C9C2E5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990" w:type="dxa"/>
            <w:tcBorders>
              <w:top w:val="single" w:sz="6" w:space="0" w:color="auto"/>
              <w:left w:val="single" w:sz="6" w:space="0" w:color="auto"/>
              <w:bottom w:val="single" w:sz="6" w:space="0" w:color="auto"/>
              <w:right w:val="single" w:sz="6" w:space="0" w:color="auto"/>
            </w:tcBorders>
            <w:hideMark/>
          </w:tcPr>
          <w:p w14:paraId="6EAB971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1125" w:type="dxa"/>
            <w:tcBorders>
              <w:top w:val="single" w:sz="6" w:space="0" w:color="auto"/>
              <w:left w:val="single" w:sz="6" w:space="0" w:color="auto"/>
              <w:bottom w:val="single" w:sz="6" w:space="0" w:color="auto"/>
              <w:right w:val="single" w:sz="6" w:space="0" w:color="auto"/>
            </w:tcBorders>
            <w:hideMark/>
          </w:tcPr>
          <w:p w14:paraId="47CFA65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1125" w:type="dxa"/>
            <w:tcBorders>
              <w:top w:val="single" w:sz="6" w:space="0" w:color="auto"/>
              <w:left w:val="single" w:sz="6" w:space="0" w:color="auto"/>
              <w:bottom w:val="single" w:sz="6" w:space="0" w:color="auto"/>
              <w:right w:val="single" w:sz="6" w:space="0" w:color="auto"/>
            </w:tcBorders>
            <w:hideMark/>
          </w:tcPr>
          <w:p w14:paraId="042C595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990" w:type="dxa"/>
            <w:tcBorders>
              <w:top w:val="single" w:sz="6" w:space="0" w:color="auto"/>
              <w:left w:val="single" w:sz="6" w:space="0" w:color="auto"/>
              <w:bottom w:val="single" w:sz="6" w:space="0" w:color="auto"/>
              <w:right w:val="single" w:sz="6" w:space="0" w:color="auto"/>
            </w:tcBorders>
            <w:hideMark/>
          </w:tcPr>
          <w:p w14:paraId="346CA91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990" w:type="dxa"/>
            <w:tcBorders>
              <w:top w:val="single" w:sz="6" w:space="0" w:color="auto"/>
              <w:left w:val="single" w:sz="6" w:space="0" w:color="auto"/>
              <w:bottom w:val="single" w:sz="6" w:space="0" w:color="auto"/>
              <w:right w:val="single" w:sz="6" w:space="0" w:color="auto"/>
            </w:tcBorders>
            <w:hideMark/>
          </w:tcPr>
          <w:p w14:paraId="479E9CB6"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1080" w:type="dxa"/>
            <w:tcBorders>
              <w:top w:val="single" w:sz="6" w:space="0" w:color="auto"/>
              <w:left w:val="single" w:sz="6" w:space="0" w:color="auto"/>
              <w:bottom w:val="single" w:sz="6" w:space="0" w:color="auto"/>
              <w:right w:val="single" w:sz="6" w:space="0" w:color="auto"/>
            </w:tcBorders>
            <w:hideMark/>
          </w:tcPr>
          <w:p w14:paraId="2AEEBA0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r>
      <w:tr w:rsidR="008C1C27" w:rsidRPr="00A27436" w14:paraId="3C3A971B"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58F4B55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Cash receipts </w:t>
            </w:r>
          </w:p>
          <w:p w14:paraId="3EDEBEE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Sales net of 0.35 x 2.5%  </w:t>
            </w:r>
          </w:p>
        </w:tc>
        <w:tc>
          <w:tcPr>
            <w:tcW w:w="990" w:type="dxa"/>
            <w:tcBorders>
              <w:top w:val="single" w:sz="6" w:space="0" w:color="auto"/>
              <w:left w:val="single" w:sz="6" w:space="0" w:color="auto"/>
              <w:bottom w:val="single" w:sz="6" w:space="0" w:color="auto"/>
              <w:right w:val="single" w:sz="6" w:space="0" w:color="auto"/>
            </w:tcBorders>
            <w:hideMark/>
          </w:tcPr>
          <w:p w14:paraId="024F538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208 </w:t>
            </w:r>
          </w:p>
        </w:tc>
        <w:tc>
          <w:tcPr>
            <w:tcW w:w="1125" w:type="dxa"/>
            <w:tcBorders>
              <w:top w:val="single" w:sz="6" w:space="0" w:color="auto"/>
              <w:left w:val="single" w:sz="6" w:space="0" w:color="auto"/>
              <w:bottom w:val="single" w:sz="6" w:space="0" w:color="auto"/>
              <w:right w:val="single" w:sz="6" w:space="0" w:color="auto"/>
            </w:tcBorders>
            <w:hideMark/>
          </w:tcPr>
          <w:p w14:paraId="38443C2F"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228 </w:t>
            </w:r>
          </w:p>
        </w:tc>
        <w:tc>
          <w:tcPr>
            <w:tcW w:w="1125" w:type="dxa"/>
            <w:tcBorders>
              <w:top w:val="single" w:sz="6" w:space="0" w:color="auto"/>
              <w:left w:val="single" w:sz="6" w:space="0" w:color="auto"/>
              <w:bottom w:val="single" w:sz="6" w:space="0" w:color="auto"/>
              <w:right w:val="single" w:sz="6" w:space="0" w:color="auto"/>
            </w:tcBorders>
            <w:hideMark/>
          </w:tcPr>
          <w:p w14:paraId="2CC59E4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258 </w:t>
            </w:r>
          </w:p>
        </w:tc>
        <w:tc>
          <w:tcPr>
            <w:tcW w:w="990" w:type="dxa"/>
            <w:tcBorders>
              <w:top w:val="single" w:sz="6" w:space="0" w:color="auto"/>
              <w:left w:val="single" w:sz="6" w:space="0" w:color="auto"/>
              <w:bottom w:val="single" w:sz="6" w:space="0" w:color="auto"/>
              <w:right w:val="single" w:sz="6" w:space="0" w:color="auto"/>
            </w:tcBorders>
            <w:hideMark/>
          </w:tcPr>
          <w:p w14:paraId="345529E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238 </w:t>
            </w:r>
          </w:p>
        </w:tc>
        <w:tc>
          <w:tcPr>
            <w:tcW w:w="990" w:type="dxa"/>
            <w:tcBorders>
              <w:top w:val="single" w:sz="6" w:space="0" w:color="auto"/>
              <w:left w:val="single" w:sz="6" w:space="0" w:color="auto"/>
              <w:bottom w:val="single" w:sz="6" w:space="0" w:color="auto"/>
              <w:right w:val="single" w:sz="6" w:space="0" w:color="auto"/>
            </w:tcBorders>
            <w:hideMark/>
          </w:tcPr>
          <w:p w14:paraId="4234B01F"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248 </w:t>
            </w:r>
          </w:p>
        </w:tc>
        <w:tc>
          <w:tcPr>
            <w:tcW w:w="1080" w:type="dxa"/>
            <w:tcBorders>
              <w:top w:val="single" w:sz="6" w:space="0" w:color="auto"/>
              <w:left w:val="single" w:sz="6" w:space="0" w:color="auto"/>
              <w:bottom w:val="single" w:sz="6" w:space="0" w:color="auto"/>
              <w:right w:val="single" w:sz="6" w:space="0" w:color="auto"/>
            </w:tcBorders>
            <w:hideMark/>
          </w:tcPr>
          <w:p w14:paraId="7A557A1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278 </w:t>
            </w:r>
          </w:p>
        </w:tc>
      </w:tr>
      <w:tr w:rsidR="008C1C27" w:rsidRPr="00A27436" w14:paraId="57AE3AF0"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2EC3C84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Cash payments </w:t>
            </w:r>
          </w:p>
          <w:p w14:paraId="27E7A4C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Administration </w:t>
            </w:r>
          </w:p>
        </w:tc>
        <w:tc>
          <w:tcPr>
            <w:tcW w:w="990" w:type="dxa"/>
            <w:tcBorders>
              <w:top w:val="single" w:sz="6" w:space="0" w:color="auto"/>
              <w:left w:val="single" w:sz="6" w:space="0" w:color="auto"/>
              <w:bottom w:val="single" w:sz="6" w:space="0" w:color="auto"/>
              <w:right w:val="single" w:sz="6" w:space="0" w:color="auto"/>
            </w:tcBorders>
            <w:hideMark/>
          </w:tcPr>
          <w:p w14:paraId="7CA98E0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(17) </w:t>
            </w:r>
          </w:p>
        </w:tc>
        <w:tc>
          <w:tcPr>
            <w:tcW w:w="1125" w:type="dxa"/>
            <w:tcBorders>
              <w:top w:val="single" w:sz="6" w:space="0" w:color="auto"/>
              <w:left w:val="single" w:sz="6" w:space="0" w:color="auto"/>
              <w:bottom w:val="single" w:sz="6" w:space="0" w:color="auto"/>
              <w:right w:val="single" w:sz="6" w:space="0" w:color="auto"/>
            </w:tcBorders>
            <w:hideMark/>
          </w:tcPr>
          <w:p w14:paraId="0FBBA38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(18) </w:t>
            </w:r>
          </w:p>
        </w:tc>
        <w:tc>
          <w:tcPr>
            <w:tcW w:w="1125" w:type="dxa"/>
            <w:tcBorders>
              <w:top w:val="single" w:sz="6" w:space="0" w:color="auto"/>
              <w:left w:val="single" w:sz="6" w:space="0" w:color="auto"/>
              <w:bottom w:val="single" w:sz="6" w:space="0" w:color="auto"/>
              <w:right w:val="single" w:sz="6" w:space="0" w:color="auto"/>
            </w:tcBorders>
            <w:hideMark/>
          </w:tcPr>
          <w:p w14:paraId="2C7D300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(19) </w:t>
            </w:r>
          </w:p>
        </w:tc>
        <w:tc>
          <w:tcPr>
            <w:tcW w:w="990" w:type="dxa"/>
            <w:tcBorders>
              <w:top w:val="single" w:sz="6" w:space="0" w:color="auto"/>
              <w:left w:val="single" w:sz="6" w:space="0" w:color="auto"/>
              <w:bottom w:val="single" w:sz="6" w:space="0" w:color="auto"/>
              <w:right w:val="single" w:sz="6" w:space="0" w:color="auto"/>
            </w:tcBorders>
            <w:hideMark/>
          </w:tcPr>
          <w:p w14:paraId="59A79EE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(20) </w:t>
            </w:r>
          </w:p>
        </w:tc>
        <w:tc>
          <w:tcPr>
            <w:tcW w:w="990" w:type="dxa"/>
            <w:tcBorders>
              <w:top w:val="single" w:sz="6" w:space="0" w:color="auto"/>
              <w:left w:val="single" w:sz="6" w:space="0" w:color="auto"/>
              <w:bottom w:val="single" w:sz="6" w:space="0" w:color="auto"/>
              <w:right w:val="single" w:sz="6" w:space="0" w:color="auto"/>
            </w:tcBorders>
            <w:hideMark/>
          </w:tcPr>
          <w:p w14:paraId="0E871BFF"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(21) </w:t>
            </w:r>
          </w:p>
        </w:tc>
        <w:tc>
          <w:tcPr>
            <w:tcW w:w="1080" w:type="dxa"/>
            <w:tcBorders>
              <w:top w:val="single" w:sz="6" w:space="0" w:color="auto"/>
              <w:left w:val="single" w:sz="6" w:space="0" w:color="auto"/>
              <w:bottom w:val="single" w:sz="6" w:space="0" w:color="auto"/>
              <w:right w:val="single" w:sz="6" w:space="0" w:color="auto"/>
            </w:tcBorders>
            <w:hideMark/>
          </w:tcPr>
          <w:p w14:paraId="7049BB95"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(22) </w:t>
            </w:r>
          </w:p>
        </w:tc>
      </w:tr>
      <w:tr w:rsidR="008C1C27" w:rsidRPr="00A27436" w14:paraId="780BCFD0"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5217F41C"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Stock purchased </w:t>
            </w:r>
          </w:p>
        </w:tc>
        <w:tc>
          <w:tcPr>
            <w:tcW w:w="990" w:type="dxa"/>
            <w:tcBorders>
              <w:top w:val="single" w:sz="6" w:space="0" w:color="auto"/>
              <w:left w:val="single" w:sz="6" w:space="0" w:color="auto"/>
              <w:bottom w:val="single" w:sz="6" w:space="0" w:color="auto"/>
              <w:right w:val="single" w:sz="6" w:space="0" w:color="auto"/>
            </w:tcBorders>
            <w:hideMark/>
          </w:tcPr>
          <w:p w14:paraId="7BFCB7B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(150) </w:t>
            </w:r>
          </w:p>
        </w:tc>
        <w:tc>
          <w:tcPr>
            <w:tcW w:w="1125" w:type="dxa"/>
            <w:tcBorders>
              <w:top w:val="single" w:sz="6" w:space="0" w:color="auto"/>
              <w:left w:val="single" w:sz="6" w:space="0" w:color="auto"/>
              <w:bottom w:val="single" w:sz="6" w:space="0" w:color="auto"/>
              <w:right w:val="single" w:sz="6" w:space="0" w:color="auto"/>
            </w:tcBorders>
            <w:hideMark/>
          </w:tcPr>
          <w:p w14:paraId="2921477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(180) </w:t>
            </w:r>
          </w:p>
        </w:tc>
        <w:tc>
          <w:tcPr>
            <w:tcW w:w="1125" w:type="dxa"/>
            <w:tcBorders>
              <w:top w:val="single" w:sz="6" w:space="0" w:color="auto"/>
              <w:left w:val="single" w:sz="6" w:space="0" w:color="auto"/>
              <w:bottom w:val="single" w:sz="6" w:space="0" w:color="auto"/>
              <w:right w:val="single" w:sz="6" w:space="0" w:color="auto"/>
            </w:tcBorders>
            <w:hideMark/>
          </w:tcPr>
          <w:p w14:paraId="7CBE910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(170) </w:t>
            </w:r>
          </w:p>
        </w:tc>
        <w:tc>
          <w:tcPr>
            <w:tcW w:w="990" w:type="dxa"/>
            <w:tcBorders>
              <w:top w:val="single" w:sz="6" w:space="0" w:color="auto"/>
              <w:left w:val="single" w:sz="6" w:space="0" w:color="auto"/>
              <w:bottom w:val="single" w:sz="6" w:space="0" w:color="auto"/>
              <w:right w:val="single" w:sz="6" w:space="0" w:color="auto"/>
            </w:tcBorders>
            <w:hideMark/>
          </w:tcPr>
          <w:p w14:paraId="35CF286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(200) </w:t>
            </w:r>
          </w:p>
        </w:tc>
        <w:tc>
          <w:tcPr>
            <w:tcW w:w="990" w:type="dxa"/>
            <w:tcBorders>
              <w:top w:val="single" w:sz="6" w:space="0" w:color="auto"/>
              <w:left w:val="single" w:sz="6" w:space="0" w:color="auto"/>
              <w:bottom w:val="single" w:sz="6" w:space="0" w:color="auto"/>
              <w:right w:val="single" w:sz="6" w:space="0" w:color="auto"/>
            </w:tcBorders>
            <w:hideMark/>
          </w:tcPr>
          <w:p w14:paraId="674E470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(210) </w:t>
            </w:r>
          </w:p>
        </w:tc>
        <w:tc>
          <w:tcPr>
            <w:tcW w:w="1080" w:type="dxa"/>
            <w:tcBorders>
              <w:top w:val="single" w:sz="6" w:space="0" w:color="auto"/>
              <w:left w:val="single" w:sz="6" w:space="0" w:color="auto"/>
              <w:bottom w:val="single" w:sz="6" w:space="0" w:color="auto"/>
              <w:right w:val="single" w:sz="6" w:space="0" w:color="auto"/>
            </w:tcBorders>
            <w:hideMark/>
          </w:tcPr>
          <w:p w14:paraId="4108575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(190) </w:t>
            </w:r>
          </w:p>
        </w:tc>
      </w:tr>
      <w:tr w:rsidR="008C1C27" w:rsidRPr="00A27436" w14:paraId="0CB56CD7"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783060A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Repayments of Ioan </w:t>
            </w:r>
          </w:p>
        </w:tc>
        <w:tc>
          <w:tcPr>
            <w:tcW w:w="990" w:type="dxa"/>
            <w:tcBorders>
              <w:top w:val="single" w:sz="6" w:space="0" w:color="auto"/>
              <w:left w:val="single" w:sz="6" w:space="0" w:color="auto"/>
              <w:bottom w:val="single" w:sz="6" w:space="0" w:color="auto"/>
              <w:right w:val="single" w:sz="6" w:space="0" w:color="auto"/>
            </w:tcBorders>
            <w:hideMark/>
          </w:tcPr>
          <w:p w14:paraId="72F833A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 </w:t>
            </w:r>
          </w:p>
        </w:tc>
        <w:tc>
          <w:tcPr>
            <w:tcW w:w="1125" w:type="dxa"/>
            <w:tcBorders>
              <w:top w:val="single" w:sz="6" w:space="0" w:color="auto"/>
              <w:left w:val="single" w:sz="6" w:space="0" w:color="auto"/>
              <w:bottom w:val="single" w:sz="6" w:space="0" w:color="auto"/>
              <w:right w:val="single" w:sz="6" w:space="0" w:color="auto"/>
            </w:tcBorders>
            <w:hideMark/>
          </w:tcPr>
          <w:p w14:paraId="36E2001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 </w:t>
            </w:r>
          </w:p>
        </w:tc>
        <w:tc>
          <w:tcPr>
            <w:tcW w:w="1125" w:type="dxa"/>
            <w:tcBorders>
              <w:top w:val="single" w:sz="6" w:space="0" w:color="auto"/>
              <w:left w:val="single" w:sz="6" w:space="0" w:color="auto"/>
              <w:bottom w:val="single" w:sz="6" w:space="0" w:color="auto"/>
              <w:right w:val="single" w:sz="6" w:space="0" w:color="auto"/>
            </w:tcBorders>
            <w:hideMark/>
          </w:tcPr>
          <w:p w14:paraId="172AEA7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 </w:t>
            </w:r>
          </w:p>
        </w:tc>
        <w:tc>
          <w:tcPr>
            <w:tcW w:w="990" w:type="dxa"/>
            <w:tcBorders>
              <w:top w:val="single" w:sz="6" w:space="0" w:color="auto"/>
              <w:left w:val="single" w:sz="6" w:space="0" w:color="auto"/>
              <w:bottom w:val="single" w:sz="6" w:space="0" w:color="auto"/>
              <w:right w:val="single" w:sz="6" w:space="0" w:color="auto"/>
            </w:tcBorders>
            <w:hideMark/>
          </w:tcPr>
          <w:p w14:paraId="6470DAB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 </w:t>
            </w:r>
          </w:p>
        </w:tc>
        <w:tc>
          <w:tcPr>
            <w:tcW w:w="990" w:type="dxa"/>
            <w:tcBorders>
              <w:top w:val="single" w:sz="6" w:space="0" w:color="auto"/>
              <w:left w:val="single" w:sz="6" w:space="0" w:color="auto"/>
              <w:bottom w:val="single" w:sz="6" w:space="0" w:color="auto"/>
              <w:right w:val="single" w:sz="6" w:space="0" w:color="auto"/>
            </w:tcBorders>
            <w:hideMark/>
          </w:tcPr>
          <w:p w14:paraId="5882E336"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 </w:t>
            </w:r>
          </w:p>
        </w:tc>
        <w:tc>
          <w:tcPr>
            <w:tcW w:w="1080" w:type="dxa"/>
            <w:tcBorders>
              <w:top w:val="single" w:sz="6" w:space="0" w:color="auto"/>
              <w:left w:val="single" w:sz="6" w:space="0" w:color="auto"/>
              <w:bottom w:val="single" w:sz="6" w:space="0" w:color="auto"/>
              <w:right w:val="single" w:sz="6" w:space="0" w:color="auto"/>
            </w:tcBorders>
            <w:hideMark/>
          </w:tcPr>
          <w:p w14:paraId="305374D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 </w:t>
            </w:r>
          </w:p>
        </w:tc>
      </w:tr>
      <w:tr w:rsidR="008C1C27" w:rsidRPr="00A27436" w14:paraId="4B52781E"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271D31B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Selling expenses </w:t>
            </w:r>
          </w:p>
        </w:tc>
        <w:tc>
          <w:tcPr>
            <w:tcW w:w="990" w:type="dxa"/>
            <w:tcBorders>
              <w:top w:val="single" w:sz="6" w:space="0" w:color="auto"/>
              <w:left w:val="single" w:sz="6" w:space="0" w:color="auto"/>
              <w:bottom w:val="single" w:sz="6" w:space="0" w:color="auto"/>
              <w:right w:val="single" w:sz="6" w:space="0" w:color="auto"/>
            </w:tcBorders>
            <w:hideMark/>
          </w:tcPr>
          <w:p w14:paraId="26085F5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 </w:t>
            </w:r>
          </w:p>
        </w:tc>
        <w:tc>
          <w:tcPr>
            <w:tcW w:w="1125" w:type="dxa"/>
            <w:tcBorders>
              <w:top w:val="single" w:sz="6" w:space="0" w:color="auto"/>
              <w:left w:val="single" w:sz="6" w:space="0" w:color="auto"/>
              <w:bottom w:val="single" w:sz="6" w:space="0" w:color="auto"/>
              <w:right w:val="single" w:sz="6" w:space="0" w:color="auto"/>
            </w:tcBorders>
            <w:hideMark/>
          </w:tcPr>
          <w:p w14:paraId="2A3E791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(6) </w:t>
            </w:r>
          </w:p>
        </w:tc>
        <w:tc>
          <w:tcPr>
            <w:tcW w:w="1125" w:type="dxa"/>
            <w:tcBorders>
              <w:top w:val="single" w:sz="6" w:space="0" w:color="auto"/>
              <w:left w:val="single" w:sz="6" w:space="0" w:color="auto"/>
              <w:bottom w:val="single" w:sz="6" w:space="0" w:color="auto"/>
              <w:right w:val="single" w:sz="6" w:space="0" w:color="auto"/>
            </w:tcBorders>
            <w:hideMark/>
          </w:tcPr>
          <w:p w14:paraId="39B8B4E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(7) </w:t>
            </w:r>
          </w:p>
        </w:tc>
        <w:tc>
          <w:tcPr>
            <w:tcW w:w="990" w:type="dxa"/>
            <w:tcBorders>
              <w:top w:val="single" w:sz="6" w:space="0" w:color="auto"/>
              <w:left w:val="single" w:sz="6" w:space="0" w:color="auto"/>
              <w:bottom w:val="single" w:sz="6" w:space="0" w:color="auto"/>
              <w:right w:val="single" w:sz="6" w:space="0" w:color="auto"/>
            </w:tcBorders>
            <w:hideMark/>
          </w:tcPr>
          <w:p w14:paraId="7E00252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(8) </w:t>
            </w:r>
          </w:p>
        </w:tc>
        <w:tc>
          <w:tcPr>
            <w:tcW w:w="990" w:type="dxa"/>
            <w:tcBorders>
              <w:top w:val="single" w:sz="6" w:space="0" w:color="auto"/>
              <w:left w:val="single" w:sz="6" w:space="0" w:color="auto"/>
              <w:bottom w:val="single" w:sz="6" w:space="0" w:color="auto"/>
              <w:right w:val="single" w:sz="6" w:space="0" w:color="auto"/>
            </w:tcBorders>
            <w:hideMark/>
          </w:tcPr>
          <w:p w14:paraId="669E4E5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(9) </w:t>
            </w:r>
          </w:p>
        </w:tc>
        <w:tc>
          <w:tcPr>
            <w:tcW w:w="1080" w:type="dxa"/>
            <w:tcBorders>
              <w:top w:val="single" w:sz="6" w:space="0" w:color="auto"/>
              <w:left w:val="single" w:sz="6" w:space="0" w:color="auto"/>
              <w:bottom w:val="single" w:sz="6" w:space="0" w:color="auto"/>
              <w:right w:val="single" w:sz="6" w:space="0" w:color="auto"/>
            </w:tcBorders>
            <w:hideMark/>
          </w:tcPr>
          <w:p w14:paraId="622F4AB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(7) </w:t>
            </w:r>
          </w:p>
        </w:tc>
      </w:tr>
      <w:tr w:rsidR="008C1C27" w:rsidRPr="00A27436" w14:paraId="6BB54EAE"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35D6F9B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Taxation paid </w:t>
            </w:r>
          </w:p>
        </w:tc>
        <w:tc>
          <w:tcPr>
            <w:tcW w:w="990" w:type="dxa"/>
            <w:tcBorders>
              <w:top w:val="single" w:sz="6" w:space="0" w:color="auto"/>
              <w:left w:val="single" w:sz="6" w:space="0" w:color="auto"/>
              <w:bottom w:val="single" w:sz="6" w:space="0" w:color="auto"/>
              <w:right w:val="single" w:sz="6" w:space="0" w:color="auto"/>
            </w:tcBorders>
            <w:hideMark/>
          </w:tcPr>
          <w:p w14:paraId="133744D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125" w:type="dxa"/>
            <w:tcBorders>
              <w:top w:val="single" w:sz="6" w:space="0" w:color="auto"/>
              <w:left w:val="single" w:sz="6" w:space="0" w:color="auto"/>
              <w:bottom w:val="single" w:sz="6" w:space="0" w:color="auto"/>
              <w:right w:val="single" w:sz="6" w:space="0" w:color="auto"/>
            </w:tcBorders>
            <w:hideMark/>
          </w:tcPr>
          <w:p w14:paraId="4A57BD26"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125" w:type="dxa"/>
            <w:tcBorders>
              <w:top w:val="single" w:sz="6" w:space="0" w:color="auto"/>
              <w:left w:val="single" w:sz="6" w:space="0" w:color="auto"/>
              <w:bottom w:val="single" w:sz="6" w:space="0" w:color="auto"/>
              <w:right w:val="single" w:sz="6" w:space="0" w:color="auto"/>
            </w:tcBorders>
            <w:hideMark/>
          </w:tcPr>
          <w:p w14:paraId="23002FA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(18) </w:t>
            </w:r>
          </w:p>
        </w:tc>
        <w:tc>
          <w:tcPr>
            <w:tcW w:w="990" w:type="dxa"/>
            <w:tcBorders>
              <w:top w:val="single" w:sz="6" w:space="0" w:color="auto"/>
              <w:left w:val="single" w:sz="6" w:space="0" w:color="auto"/>
              <w:bottom w:val="single" w:sz="6" w:space="0" w:color="auto"/>
              <w:right w:val="single" w:sz="6" w:space="0" w:color="auto"/>
            </w:tcBorders>
            <w:hideMark/>
          </w:tcPr>
          <w:p w14:paraId="592FD84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990" w:type="dxa"/>
            <w:tcBorders>
              <w:top w:val="single" w:sz="6" w:space="0" w:color="auto"/>
              <w:left w:val="single" w:sz="6" w:space="0" w:color="auto"/>
              <w:bottom w:val="single" w:sz="6" w:space="0" w:color="auto"/>
              <w:right w:val="single" w:sz="6" w:space="0" w:color="auto"/>
            </w:tcBorders>
            <w:hideMark/>
          </w:tcPr>
          <w:p w14:paraId="1B88FCC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080" w:type="dxa"/>
            <w:tcBorders>
              <w:top w:val="single" w:sz="6" w:space="0" w:color="auto"/>
              <w:left w:val="single" w:sz="6" w:space="0" w:color="auto"/>
              <w:bottom w:val="single" w:sz="6" w:space="0" w:color="auto"/>
              <w:right w:val="single" w:sz="6" w:space="0" w:color="auto"/>
            </w:tcBorders>
            <w:hideMark/>
          </w:tcPr>
          <w:p w14:paraId="71552D3C"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r>
      <w:tr w:rsidR="008C1C27" w:rsidRPr="00A27436" w14:paraId="564BA37C"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25985B0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Interest payments </w:t>
            </w:r>
          </w:p>
        </w:tc>
        <w:tc>
          <w:tcPr>
            <w:tcW w:w="990" w:type="dxa"/>
            <w:tcBorders>
              <w:top w:val="single" w:sz="6" w:space="0" w:color="auto"/>
              <w:left w:val="single" w:sz="6" w:space="0" w:color="auto"/>
              <w:bottom w:val="single" w:sz="6" w:space="0" w:color="auto"/>
              <w:right w:val="single" w:sz="6" w:space="0" w:color="auto"/>
            </w:tcBorders>
            <w:hideMark/>
          </w:tcPr>
          <w:p w14:paraId="60E8F215"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 </w:t>
            </w:r>
          </w:p>
        </w:tc>
        <w:tc>
          <w:tcPr>
            <w:tcW w:w="1125" w:type="dxa"/>
            <w:tcBorders>
              <w:top w:val="single" w:sz="6" w:space="0" w:color="auto"/>
              <w:left w:val="single" w:sz="6" w:space="0" w:color="auto"/>
              <w:bottom w:val="single" w:sz="6" w:space="0" w:color="auto"/>
              <w:right w:val="single" w:sz="6" w:space="0" w:color="auto"/>
            </w:tcBorders>
            <w:hideMark/>
          </w:tcPr>
          <w:p w14:paraId="639C07F6"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 </w:t>
            </w:r>
          </w:p>
        </w:tc>
        <w:tc>
          <w:tcPr>
            <w:tcW w:w="1125" w:type="dxa"/>
            <w:tcBorders>
              <w:top w:val="single" w:sz="6" w:space="0" w:color="auto"/>
              <w:left w:val="single" w:sz="6" w:space="0" w:color="auto"/>
              <w:bottom w:val="single" w:sz="6" w:space="0" w:color="auto"/>
              <w:right w:val="single" w:sz="6" w:space="0" w:color="auto"/>
            </w:tcBorders>
            <w:hideMark/>
          </w:tcPr>
          <w:p w14:paraId="73EA5DA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 </w:t>
            </w:r>
          </w:p>
        </w:tc>
        <w:tc>
          <w:tcPr>
            <w:tcW w:w="990" w:type="dxa"/>
            <w:tcBorders>
              <w:top w:val="single" w:sz="6" w:space="0" w:color="auto"/>
              <w:left w:val="single" w:sz="6" w:space="0" w:color="auto"/>
              <w:bottom w:val="single" w:sz="6" w:space="0" w:color="auto"/>
              <w:right w:val="single" w:sz="6" w:space="0" w:color="auto"/>
            </w:tcBorders>
            <w:hideMark/>
          </w:tcPr>
          <w:p w14:paraId="0116CD9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 </w:t>
            </w:r>
          </w:p>
        </w:tc>
        <w:tc>
          <w:tcPr>
            <w:tcW w:w="990" w:type="dxa"/>
            <w:tcBorders>
              <w:top w:val="single" w:sz="6" w:space="0" w:color="auto"/>
              <w:left w:val="single" w:sz="6" w:space="0" w:color="auto"/>
              <w:bottom w:val="single" w:sz="6" w:space="0" w:color="auto"/>
              <w:right w:val="single" w:sz="6" w:space="0" w:color="auto"/>
            </w:tcBorders>
            <w:hideMark/>
          </w:tcPr>
          <w:p w14:paraId="62DA0D7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 </w:t>
            </w:r>
          </w:p>
        </w:tc>
        <w:tc>
          <w:tcPr>
            <w:tcW w:w="1080" w:type="dxa"/>
            <w:tcBorders>
              <w:top w:val="single" w:sz="6" w:space="0" w:color="auto"/>
              <w:left w:val="single" w:sz="6" w:space="0" w:color="auto"/>
              <w:bottom w:val="single" w:sz="6" w:space="0" w:color="auto"/>
              <w:right w:val="single" w:sz="6" w:space="0" w:color="auto"/>
            </w:tcBorders>
            <w:hideMark/>
          </w:tcPr>
          <w:p w14:paraId="624398D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 </w:t>
            </w:r>
          </w:p>
        </w:tc>
      </w:tr>
      <w:tr w:rsidR="008C1C27" w:rsidRPr="00A27436" w14:paraId="768F2606"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2ECBA00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Shop refurbishment </w:t>
            </w:r>
          </w:p>
        </w:tc>
        <w:tc>
          <w:tcPr>
            <w:tcW w:w="990" w:type="dxa"/>
            <w:tcBorders>
              <w:top w:val="single" w:sz="6" w:space="0" w:color="auto"/>
              <w:left w:val="single" w:sz="6" w:space="0" w:color="auto"/>
              <w:bottom w:val="single" w:sz="6" w:space="0" w:color="auto"/>
              <w:right w:val="single" w:sz="6" w:space="0" w:color="auto"/>
            </w:tcBorders>
            <w:hideMark/>
          </w:tcPr>
          <w:p w14:paraId="54C7913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 </w:t>
            </w:r>
          </w:p>
        </w:tc>
        <w:tc>
          <w:tcPr>
            <w:tcW w:w="1125" w:type="dxa"/>
            <w:tcBorders>
              <w:top w:val="single" w:sz="6" w:space="0" w:color="auto"/>
              <w:left w:val="single" w:sz="6" w:space="0" w:color="auto"/>
              <w:bottom w:val="single" w:sz="6" w:space="0" w:color="auto"/>
              <w:right w:val="single" w:sz="6" w:space="0" w:color="auto"/>
            </w:tcBorders>
            <w:hideMark/>
          </w:tcPr>
          <w:p w14:paraId="071B1FA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(12) </w:t>
            </w:r>
          </w:p>
        </w:tc>
        <w:tc>
          <w:tcPr>
            <w:tcW w:w="1125" w:type="dxa"/>
            <w:tcBorders>
              <w:top w:val="single" w:sz="6" w:space="0" w:color="auto"/>
              <w:left w:val="single" w:sz="6" w:space="0" w:color="auto"/>
              <w:bottom w:val="single" w:sz="6" w:space="0" w:color="auto"/>
              <w:right w:val="single" w:sz="6" w:space="0" w:color="auto"/>
            </w:tcBorders>
            <w:hideMark/>
          </w:tcPr>
          <w:p w14:paraId="3699613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(10) </w:t>
            </w:r>
          </w:p>
        </w:tc>
        <w:tc>
          <w:tcPr>
            <w:tcW w:w="990" w:type="dxa"/>
            <w:tcBorders>
              <w:top w:val="single" w:sz="6" w:space="0" w:color="auto"/>
              <w:left w:val="single" w:sz="6" w:space="0" w:color="auto"/>
              <w:bottom w:val="single" w:sz="6" w:space="0" w:color="auto"/>
              <w:right w:val="single" w:sz="6" w:space="0" w:color="auto"/>
            </w:tcBorders>
            <w:hideMark/>
          </w:tcPr>
          <w:p w14:paraId="3533733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990" w:type="dxa"/>
            <w:tcBorders>
              <w:top w:val="single" w:sz="6" w:space="0" w:color="auto"/>
              <w:left w:val="single" w:sz="6" w:space="0" w:color="auto"/>
              <w:bottom w:val="single" w:sz="6" w:space="0" w:color="auto"/>
              <w:right w:val="single" w:sz="6" w:space="0" w:color="auto"/>
            </w:tcBorders>
            <w:hideMark/>
          </w:tcPr>
          <w:p w14:paraId="11D8D975"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1080" w:type="dxa"/>
            <w:tcBorders>
              <w:top w:val="single" w:sz="6" w:space="0" w:color="auto"/>
              <w:left w:val="single" w:sz="6" w:space="0" w:color="auto"/>
              <w:bottom w:val="single" w:sz="6" w:space="0" w:color="auto"/>
              <w:right w:val="single" w:sz="6" w:space="0" w:color="auto"/>
            </w:tcBorders>
            <w:hideMark/>
          </w:tcPr>
          <w:p w14:paraId="471B1F5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r>
      <w:tr w:rsidR="008C1C27" w:rsidRPr="00A27436" w14:paraId="7AC80592"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6CB29BF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Cash surplus (deficit) </w:t>
            </w:r>
          </w:p>
        </w:tc>
        <w:tc>
          <w:tcPr>
            <w:tcW w:w="990" w:type="dxa"/>
            <w:tcBorders>
              <w:top w:val="single" w:sz="6" w:space="0" w:color="auto"/>
              <w:left w:val="single" w:sz="6" w:space="0" w:color="auto"/>
              <w:bottom w:val="single" w:sz="6" w:space="0" w:color="auto"/>
              <w:right w:val="single" w:sz="6" w:space="0" w:color="auto"/>
            </w:tcBorders>
            <w:hideMark/>
          </w:tcPr>
          <w:p w14:paraId="1B15CF8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15 </w:t>
            </w:r>
          </w:p>
        </w:tc>
        <w:tc>
          <w:tcPr>
            <w:tcW w:w="1125" w:type="dxa"/>
            <w:tcBorders>
              <w:top w:val="single" w:sz="6" w:space="0" w:color="auto"/>
              <w:left w:val="single" w:sz="6" w:space="0" w:color="auto"/>
              <w:bottom w:val="single" w:sz="6" w:space="0" w:color="auto"/>
              <w:right w:val="single" w:sz="6" w:space="0" w:color="auto"/>
            </w:tcBorders>
            <w:hideMark/>
          </w:tcPr>
          <w:p w14:paraId="2EC68F69"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6 </w:t>
            </w:r>
          </w:p>
        </w:tc>
        <w:tc>
          <w:tcPr>
            <w:tcW w:w="1125" w:type="dxa"/>
            <w:tcBorders>
              <w:top w:val="single" w:sz="6" w:space="0" w:color="auto"/>
              <w:left w:val="single" w:sz="6" w:space="0" w:color="auto"/>
              <w:bottom w:val="single" w:sz="6" w:space="0" w:color="auto"/>
              <w:right w:val="single" w:sz="6" w:space="0" w:color="auto"/>
            </w:tcBorders>
            <w:hideMark/>
          </w:tcPr>
          <w:p w14:paraId="1278792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28 </w:t>
            </w:r>
          </w:p>
        </w:tc>
        <w:tc>
          <w:tcPr>
            <w:tcW w:w="990" w:type="dxa"/>
            <w:tcBorders>
              <w:top w:val="single" w:sz="6" w:space="0" w:color="auto"/>
              <w:left w:val="single" w:sz="6" w:space="0" w:color="auto"/>
              <w:bottom w:val="single" w:sz="6" w:space="0" w:color="auto"/>
              <w:right w:val="single" w:sz="6" w:space="0" w:color="auto"/>
            </w:tcBorders>
            <w:hideMark/>
          </w:tcPr>
          <w:p w14:paraId="32CD788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4 </w:t>
            </w:r>
          </w:p>
        </w:tc>
        <w:tc>
          <w:tcPr>
            <w:tcW w:w="990" w:type="dxa"/>
            <w:tcBorders>
              <w:top w:val="single" w:sz="6" w:space="0" w:color="auto"/>
              <w:left w:val="single" w:sz="6" w:space="0" w:color="auto"/>
              <w:bottom w:val="single" w:sz="6" w:space="0" w:color="auto"/>
              <w:right w:val="single" w:sz="6" w:space="0" w:color="auto"/>
            </w:tcBorders>
            <w:hideMark/>
          </w:tcPr>
          <w:p w14:paraId="0F94DFC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2 </w:t>
            </w:r>
          </w:p>
        </w:tc>
        <w:tc>
          <w:tcPr>
            <w:tcW w:w="1080" w:type="dxa"/>
            <w:tcBorders>
              <w:top w:val="single" w:sz="6" w:space="0" w:color="auto"/>
              <w:left w:val="single" w:sz="6" w:space="0" w:color="auto"/>
              <w:bottom w:val="single" w:sz="6" w:space="0" w:color="auto"/>
              <w:right w:val="single" w:sz="6" w:space="0" w:color="auto"/>
            </w:tcBorders>
            <w:hideMark/>
          </w:tcPr>
          <w:p w14:paraId="5D5AADB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53 </w:t>
            </w:r>
          </w:p>
        </w:tc>
      </w:tr>
      <w:tr w:rsidR="008C1C27" w:rsidRPr="00A27436" w14:paraId="2F8B6D48"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668AB10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Opening balance </w:t>
            </w:r>
          </w:p>
        </w:tc>
        <w:tc>
          <w:tcPr>
            <w:tcW w:w="990" w:type="dxa"/>
            <w:tcBorders>
              <w:top w:val="single" w:sz="6" w:space="0" w:color="auto"/>
              <w:left w:val="single" w:sz="6" w:space="0" w:color="auto"/>
              <w:bottom w:val="single" w:sz="6" w:space="0" w:color="auto"/>
              <w:right w:val="single" w:sz="6" w:space="0" w:color="auto"/>
            </w:tcBorders>
            <w:hideMark/>
          </w:tcPr>
          <w:p w14:paraId="71B6C856"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50 </w:t>
            </w:r>
          </w:p>
          <w:p w14:paraId="0C30872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w:t>
            </w:r>
            <w:proofErr w:type="gramStart"/>
            <w:r w:rsidRPr="00A27436">
              <w:rPr>
                <w:rFonts w:asciiTheme="minorBidi" w:hAnsiTheme="minorBidi"/>
                <w:b/>
                <w:bCs/>
              </w:rPr>
              <w:t>min</w:t>
            </w:r>
            <w:proofErr w:type="gramEnd"/>
            <w:r w:rsidRPr="00A27436">
              <w:rPr>
                <w:rFonts w:asciiTheme="minorBidi" w:hAnsiTheme="minorBidi"/>
                <w:b/>
                <w:bCs/>
              </w:rPr>
              <w:t> stock level </w:t>
            </w:r>
          </w:p>
        </w:tc>
        <w:tc>
          <w:tcPr>
            <w:tcW w:w="1125" w:type="dxa"/>
            <w:tcBorders>
              <w:top w:val="single" w:sz="6" w:space="0" w:color="auto"/>
              <w:left w:val="single" w:sz="6" w:space="0" w:color="auto"/>
              <w:bottom w:val="single" w:sz="6" w:space="0" w:color="auto"/>
              <w:right w:val="single" w:sz="6" w:space="0" w:color="auto"/>
            </w:tcBorders>
            <w:hideMark/>
          </w:tcPr>
          <w:p w14:paraId="3CBE8D9C"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65 </w:t>
            </w:r>
          </w:p>
        </w:tc>
        <w:tc>
          <w:tcPr>
            <w:tcW w:w="1125" w:type="dxa"/>
            <w:tcBorders>
              <w:top w:val="single" w:sz="6" w:space="0" w:color="auto"/>
              <w:left w:val="single" w:sz="6" w:space="0" w:color="auto"/>
              <w:bottom w:val="single" w:sz="6" w:space="0" w:color="auto"/>
              <w:right w:val="single" w:sz="6" w:space="0" w:color="auto"/>
            </w:tcBorders>
            <w:hideMark/>
          </w:tcPr>
          <w:p w14:paraId="754B5F5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71 </w:t>
            </w:r>
          </w:p>
        </w:tc>
        <w:tc>
          <w:tcPr>
            <w:tcW w:w="990" w:type="dxa"/>
            <w:tcBorders>
              <w:top w:val="single" w:sz="6" w:space="0" w:color="auto"/>
              <w:left w:val="single" w:sz="6" w:space="0" w:color="auto"/>
              <w:bottom w:val="single" w:sz="6" w:space="0" w:color="auto"/>
              <w:right w:val="single" w:sz="6" w:space="0" w:color="auto"/>
            </w:tcBorders>
            <w:hideMark/>
          </w:tcPr>
          <w:p w14:paraId="6795FD0C"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99 </w:t>
            </w:r>
          </w:p>
        </w:tc>
        <w:tc>
          <w:tcPr>
            <w:tcW w:w="990" w:type="dxa"/>
            <w:tcBorders>
              <w:top w:val="single" w:sz="6" w:space="0" w:color="auto"/>
              <w:left w:val="single" w:sz="6" w:space="0" w:color="auto"/>
              <w:bottom w:val="single" w:sz="6" w:space="0" w:color="auto"/>
              <w:right w:val="single" w:sz="6" w:space="0" w:color="auto"/>
            </w:tcBorders>
            <w:hideMark/>
          </w:tcPr>
          <w:p w14:paraId="0019B13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103 </w:t>
            </w:r>
          </w:p>
        </w:tc>
        <w:tc>
          <w:tcPr>
            <w:tcW w:w="1080" w:type="dxa"/>
            <w:tcBorders>
              <w:top w:val="single" w:sz="6" w:space="0" w:color="auto"/>
              <w:left w:val="single" w:sz="6" w:space="0" w:color="auto"/>
              <w:bottom w:val="single" w:sz="6" w:space="0" w:color="auto"/>
              <w:right w:val="single" w:sz="6" w:space="0" w:color="auto"/>
            </w:tcBorders>
            <w:hideMark/>
          </w:tcPr>
          <w:p w14:paraId="74B06E7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105 </w:t>
            </w:r>
          </w:p>
        </w:tc>
      </w:tr>
      <w:tr w:rsidR="008C1C27" w:rsidRPr="00A27436" w14:paraId="5298E58B" w14:textId="77777777">
        <w:trPr>
          <w:trHeight w:val="300"/>
        </w:trPr>
        <w:tc>
          <w:tcPr>
            <w:tcW w:w="2685" w:type="dxa"/>
            <w:tcBorders>
              <w:top w:val="single" w:sz="6" w:space="0" w:color="auto"/>
              <w:left w:val="single" w:sz="6" w:space="0" w:color="auto"/>
              <w:bottom w:val="single" w:sz="6" w:space="0" w:color="auto"/>
              <w:right w:val="single" w:sz="6" w:space="0" w:color="auto"/>
            </w:tcBorders>
            <w:hideMark/>
          </w:tcPr>
          <w:p w14:paraId="12EC295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Closing balance </w:t>
            </w:r>
          </w:p>
        </w:tc>
        <w:tc>
          <w:tcPr>
            <w:tcW w:w="990" w:type="dxa"/>
            <w:tcBorders>
              <w:top w:val="single" w:sz="6" w:space="0" w:color="auto"/>
              <w:left w:val="single" w:sz="6" w:space="0" w:color="auto"/>
              <w:bottom w:val="single" w:sz="6" w:space="0" w:color="auto"/>
              <w:right w:val="single" w:sz="6" w:space="0" w:color="auto"/>
            </w:tcBorders>
            <w:hideMark/>
          </w:tcPr>
          <w:p w14:paraId="08FBB63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65 </w:t>
            </w:r>
          </w:p>
        </w:tc>
        <w:tc>
          <w:tcPr>
            <w:tcW w:w="1125" w:type="dxa"/>
            <w:tcBorders>
              <w:top w:val="single" w:sz="6" w:space="0" w:color="auto"/>
              <w:left w:val="single" w:sz="6" w:space="0" w:color="auto"/>
              <w:bottom w:val="single" w:sz="6" w:space="0" w:color="auto"/>
              <w:right w:val="single" w:sz="6" w:space="0" w:color="auto"/>
            </w:tcBorders>
            <w:hideMark/>
          </w:tcPr>
          <w:p w14:paraId="3B8954BC"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71 </w:t>
            </w:r>
          </w:p>
        </w:tc>
        <w:tc>
          <w:tcPr>
            <w:tcW w:w="1125" w:type="dxa"/>
            <w:tcBorders>
              <w:top w:val="single" w:sz="6" w:space="0" w:color="auto"/>
              <w:left w:val="single" w:sz="6" w:space="0" w:color="auto"/>
              <w:bottom w:val="single" w:sz="6" w:space="0" w:color="auto"/>
              <w:right w:val="single" w:sz="6" w:space="0" w:color="auto"/>
            </w:tcBorders>
            <w:hideMark/>
          </w:tcPr>
          <w:p w14:paraId="1E848F75"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99 </w:t>
            </w:r>
          </w:p>
        </w:tc>
        <w:tc>
          <w:tcPr>
            <w:tcW w:w="990" w:type="dxa"/>
            <w:tcBorders>
              <w:top w:val="single" w:sz="6" w:space="0" w:color="auto"/>
              <w:left w:val="single" w:sz="6" w:space="0" w:color="auto"/>
              <w:bottom w:val="single" w:sz="6" w:space="0" w:color="auto"/>
              <w:right w:val="single" w:sz="6" w:space="0" w:color="auto"/>
            </w:tcBorders>
            <w:hideMark/>
          </w:tcPr>
          <w:p w14:paraId="5E804934"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103 </w:t>
            </w:r>
          </w:p>
        </w:tc>
        <w:tc>
          <w:tcPr>
            <w:tcW w:w="990" w:type="dxa"/>
            <w:tcBorders>
              <w:top w:val="single" w:sz="6" w:space="0" w:color="auto"/>
              <w:left w:val="single" w:sz="6" w:space="0" w:color="auto"/>
              <w:bottom w:val="single" w:sz="6" w:space="0" w:color="auto"/>
              <w:right w:val="single" w:sz="6" w:space="0" w:color="auto"/>
            </w:tcBorders>
            <w:hideMark/>
          </w:tcPr>
          <w:p w14:paraId="7A85379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105 </w:t>
            </w:r>
          </w:p>
        </w:tc>
        <w:tc>
          <w:tcPr>
            <w:tcW w:w="1080" w:type="dxa"/>
            <w:tcBorders>
              <w:top w:val="single" w:sz="6" w:space="0" w:color="auto"/>
              <w:left w:val="single" w:sz="6" w:space="0" w:color="auto"/>
              <w:bottom w:val="single" w:sz="6" w:space="0" w:color="auto"/>
              <w:right w:val="single" w:sz="6" w:space="0" w:color="auto"/>
            </w:tcBorders>
            <w:hideMark/>
          </w:tcPr>
          <w:p w14:paraId="63B284A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158 </w:t>
            </w:r>
          </w:p>
        </w:tc>
      </w:tr>
    </w:tbl>
    <w:p w14:paraId="4EAAF9A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p w14:paraId="1037AA86" w14:textId="77777777" w:rsidR="008C1C27" w:rsidRPr="00A27436" w:rsidRDefault="008C1C27" w:rsidP="00A27436">
      <w:pPr>
        <w:spacing w:line="276" w:lineRule="auto"/>
        <w:jc w:val="both"/>
        <w:rPr>
          <w:rFonts w:asciiTheme="minorBidi" w:hAnsiTheme="minorBidi"/>
          <w:b/>
          <w:bCs/>
        </w:rPr>
      </w:pPr>
    </w:p>
    <w:p w14:paraId="5DC95BB3" w14:textId="77777777" w:rsidR="0055323A" w:rsidRPr="00A27436" w:rsidRDefault="0055323A" w:rsidP="00A27436">
      <w:pPr>
        <w:spacing w:line="276" w:lineRule="auto"/>
        <w:jc w:val="both"/>
        <w:rPr>
          <w:rFonts w:asciiTheme="minorBidi" w:hAnsiTheme="minorBidi"/>
          <w:b/>
          <w:bCs/>
        </w:rPr>
      </w:pPr>
    </w:p>
    <w:p w14:paraId="0CF3DEFD" w14:textId="77777777" w:rsidR="0055323A" w:rsidRPr="00A27436" w:rsidRDefault="0055323A" w:rsidP="00A27436">
      <w:pPr>
        <w:spacing w:line="276" w:lineRule="auto"/>
        <w:jc w:val="both"/>
        <w:rPr>
          <w:rFonts w:asciiTheme="minorBidi" w:hAnsiTheme="minorBidi"/>
          <w:b/>
          <w:bCs/>
        </w:rPr>
      </w:pPr>
    </w:p>
    <w:p w14:paraId="5696B0DF" w14:textId="77777777" w:rsidR="0055323A" w:rsidRPr="00A27436" w:rsidRDefault="0055323A" w:rsidP="00A27436">
      <w:pPr>
        <w:spacing w:line="276" w:lineRule="auto"/>
        <w:jc w:val="both"/>
        <w:rPr>
          <w:rFonts w:asciiTheme="minorBidi" w:hAnsiTheme="minorBidi"/>
          <w:b/>
          <w:bCs/>
        </w:rPr>
      </w:pPr>
    </w:p>
    <w:p w14:paraId="661ACEF2" w14:textId="77777777" w:rsidR="0055323A" w:rsidRPr="00A27436" w:rsidRDefault="0055323A" w:rsidP="00A27436">
      <w:pPr>
        <w:spacing w:line="276" w:lineRule="auto"/>
        <w:jc w:val="both"/>
        <w:rPr>
          <w:rFonts w:asciiTheme="minorBidi" w:hAnsiTheme="minorBidi"/>
          <w:b/>
          <w:bCs/>
        </w:rPr>
      </w:pPr>
    </w:p>
    <w:p w14:paraId="6F6AEE05" w14:textId="77777777" w:rsidR="0055323A" w:rsidRPr="00A27436" w:rsidRDefault="0055323A" w:rsidP="00A27436">
      <w:pPr>
        <w:spacing w:line="276" w:lineRule="auto"/>
        <w:jc w:val="both"/>
        <w:rPr>
          <w:rFonts w:asciiTheme="minorBidi" w:hAnsiTheme="minorBidi"/>
          <w:b/>
          <w:bCs/>
        </w:rPr>
      </w:pPr>
    </w:p>
    <w:p w14:paraId="78AFEA21" w14:textId="77777777" w:rsidR="0055323A" w:rsidRPr="00A27436" w:rsidRDefault="0055323A" w:rsidP="00A27436">
      <w:pPr>
        <w:spacing w:line="276" w:lineRule="auto"/>
        <w:jc w:val="both"/>
        <w:rPr>
          <w:rFonts w:asciiTheme="minorBidi" w:hAnsiTheme="minorBidi"/>
          <w:b/>
          <w:bCs/>
        </w:rPr>
      </w:pPr>
    </w:p>
    <w:p w14:paraId="5071A40D" w14:textId="77777777" w:rsidR="0055323A" w:rsidRPr="00A27436" w:rsidRDefault="0055323A" w:rsidP="00A27436">
      <w:pPr>
        <w:spacing w:line="276" w:lineRule="auto"/>
        <w:jc w:val="both"/>
        <w:rPr>
          <w:rFonts w:asciiTheme="minorBidi" w:hAnsiTheme="minorBidi"/>
          <w:b/>
          <w:bCs/>
        </w:rPr>
      </w:pPr>
    </w:p>
    <w:p w14:paraId="2F809F39" w14:textId="77777777" w:rsidR="00654E48" w:rsidRPr="00A27436" w:rsidRDefault="00654E48" w:rsidP="00A27436">
      <w:pPr>
        <w:spacing w:line="276" w:lineRule="auto"/>
        <w:jc w:val="both"/>
        <w:rPr>
          <w:rFonts w:asciiTheme="minorBidi" w:hAnsiTheme="minorBidi"/>
          <w:b/>
          <w:bCs/>
        </w:rPr>
      </w:pPr>
    </w:p>
    <w:p w14:paraId="55F7886D" w14:textId="4257706B"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lastRenderedPageBreak/>
        <w:t>The budgeted Profit and Loss Account for the six months ending 31 December is: </w:t>
      </w:r>
    </w:p>
    <w:tbl>
      <w:tblPr>
        <w:tblW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911"/>
        <w:gridCol w:w="2898"/>
        <w:gridCol w:w="3201"/>
      </w:tblGrid>
      <w:tr w:rsidR="008C1C27" w:rsidRPr="00A27436" w14:paraId="10CF7CF5"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14399BEF"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c>
          <w:tcPr>
            <w:tcW w:w="2970" w:type="dxa"/>
            <w:tcBorders>
              <w:top w:val="single" w:sz="6" w:space="0" w:color="auto"/>
              <w:left w:val="single" w:sz="6" w:space="0" w:color="auto"/>
              <w:bottom w:val="single" w:sz="6" w:space="0" w:color="auto"/>
              <w:right w:val="single" w:sz="6" w:space="0" w:color="auto"/>
            </w:tcBorders>
            <w:hideMark/>
          </w:tcPr>
          <w:p w14:paraId="011FED9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£000 </w:t>
            </w:r>
          </w:p>
        </w:tc>
        <w:tc>
          <w:tcPr>
            <w:tcW w:w="3060" w:type="dxa"/>
            <w:tcBorders>
              <w:top w:val="single" w:sz="6" w:space="0" w:color="auto"/>
              <w:left w:val="single" w:sz="6" w:space="0" w:color="auto"/>
              <w:bottom w:val="single" w:sz="6" w:space="0" w:color="auto"/>
              <w:right w:val="single" w:sz="6" w:space="0" w:color="auto"/>
            </w:tcBorders>
            <w:hideMark/>
          </w:tcPr>
          <w:p w14:paraId="40EAF54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Calculation </w:t>
            </w:r>
          </w:p>
        </w:tc>
      </w:tr>
      <w:tr w:rsidR="008C1C27" w:rsidRPr="00A27436" w14:paraId="00ADB703"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02F986BE"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Sales </w:t>
            </w:r>
          </w:p>
        </w:tc>
        <w:tc>
          <w:tcPr>
            <w:tcW w:w="2970" w:type="dxa"/>
            <w:tcBorders>
              <w:top w:val="single" w:sz="6" w:space="0" w:color="auto"/>
              <w:left w:val="single" w:sz="6" w:space="0" w:color="auto"/>
              <w:bottom w:val="single" w:sz="6" w:space="0" w:color="auto"/>
              <w:right w:val="single" w:sz="6" w:space="0" w:color="auto"/>
            </w:tcBorders>
            <w:hideMark/>
          </w:tcPr>
          <w:p w14:paraId="39B2E24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1470 </w:t>
            </w:r>
          </w:p>
        </w:tc>
        <w:tc>
          <w:tcPr>
            <w:tcW w:w="3060" w:type="dxa"/>
            <w:tcBorders>
              <w:top w:val="single" w:sz="6" w:space="0" w:color="auto"/>
              <w:left w:val="single" w:sz="6" w:space="0" w:color="auto"/>
              <w:bottom w:val="single" w:sz="6" w:space="0" w:color="auto"/>
              <w:right w:val="single" w:sz="6" w:space="0" w:color="auto"/>
            </w:tcBorders>
            <w:hideMark/>
          </w:tcPr>
          <w:p w14:paraId="1EA024B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210+230+260+240+250+280 </w:t>
            </w:r>
          </w:p>
        </w:tc>
      </w:tr>
      <w:tr w:rsidR="008C1C27" w:rsidRPr="00A27436" w14:paraId="195BF13E"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23528D7D"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Cost of goods sold </w:t>
            </w:r>
          </w:p>
        </w:tc>
        <w:tc>
          <w:tcPr>
            <w:tcW w:w="2970" w:type="dxa"/>
            <w:tcBorders>
              <w:top w:val="single" w:sz="6" w:space="0" w:color="auto"/>
              <w:left w:val="single" w:sz="6" w:space="0" w:color="auto"/>
              <w:bottom w:val="single" w:sz="6" w:space="0" w:color="auto"/>
              <w:right w:val="single" w:sz="6" w:space="0" w:color="auto"/>
            </w:tcBorders>
            <w:hideMark/>
          </w:tcPr>
          <w:p w14:paraId="310AAC0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882 </w:t>
            </w:r>
          </w:p>
        </w:tc>
        <w:tc>
          <w:tcPr>
            <w:tcW w:w="3060" w:type="dxa"/>
            <w:tcBorders>
              <w:top w:val="single" w:sz="6" w:space="0" w:color="auto"/>
              <w:left w:val="single" w:sz="6" w:space="0" w:color="auto"/>
              <w:bottom w:val="single" w:sz="6" w:space="0" w:color="auto"/>
              <w:right w:val="single" w:sz="6" w:space="0" w:color="auto"/>
            </w:tcBorders>
            <w:hideMark/>
          </w:tcPr>
          <w:p w14:paraId="0175A58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1470 x 60% </w:t>
            </w:r>
          </w:p>
        </w:tc>
      </w:tr>
      <w:tr w:rsidR="008C1C27" w:rsidRPr="00A27436" w14:paraId="3536A223"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7742946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Gross profit </w:t>
            </w:r>
          </w:p>
        </w:tc>
        <w:tc>
          <w:tcPr>
            <w:tcW w:w="2970" w:type="dxa"/>
            <w:tcBorders>
              <w:top w:val="single" w:sz="6" w:space="0" w:color="auto"/>
              <w:left w:val="single" w:sz="6" w:space="0" w:color="auto"/>
              <w:bottom w:val="single" w:sz="6" w:space="0" w:color="auto"/>
              <w:right w:val="single" w:sz="6" w:space="0" w:color="auto"/>
            </w:tcBorders>
            <w:hideMark/>
          </w:tcPr>
          <w:p w14:paraId="50441BF1"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588 </w:t>
            </w:r>
          </w:p>
        </w:tc>
        <w:tc>
          <w:tcPr>
            <w:tcW w:w="3060" w:type="dxa"/>
            <w:tcBorders>
              <w:top w:val="single" w:sz="6" w:space="0" w:color="auto"/>
              <w:left w:val="single" w:sz="6" w:space="0" w:color="auto"/>
              <w:bottom w:val="single" w:sz="6" w:space="0" w:color="auto"/>
              <w:right w:val="single" w:sz="6" w:space="0" w:color="auto"/>
            </w:tcBorders>
            <w:hideMark/>
          </w:tcPr>
          <w:p w14:paraId="5FF0D560"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1470 x 40% </w:t>
            </w:r>
          </w:p>
        </w:tc>
      </w:tr>
      <w:tr w:rsidR="008C1C27" w:rsidRPr="00A27436" w14:paraId="4CD154DF"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0BF6DF87"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Selling expenses </w:t>
            </w:r>
          </w:p>
        </w:tc>
        <w:tc>
          <w:tcPr>
            <w:tcW w:w="2970" w:type="dxa"/>
            <w:tcBorders>
              <w:top w:val="single" w:sz="6" w:space="0" w:color="auto"/>
              <w:left w:val="single" w:sz="6" w:space="0" w:color="auto"/>
              <w:bottom w:val="single" w:sz="6" w:space="0" w:color="auto"/>
              <w:right w:val="single" w:sz="6" w:space="0" w:color="auto"/>
            </w:tcBorders>
            <w:hideMark/>
          </w:tcPr>
          <w:p w14:paraId="18E9E41C"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42 </w:t>
            </w:r>
          </w:p>
        </w:tc>
        <w:tc>
          <w:tcPr>
            <w:tcW w:w="3060" w:type="dxa"/>
            <w:tcBorders>
              <w:top w:val="single" w:sz="6" w:space="0" w:color="auto"/>
              <w:left w:val="single" w:sz="6" w:space="0" w:color="auto"/>
              <w:bottom w:val="single" w:sz="6" w:space="0" w:color="auto"/>
              <w:right w:val="single" w:sz="6" w:space="0" w:color="auto"/>
            </w:tcBorders>
            <w:hideMark/>
          </w:tcPr>
          <w:p w14:paraId="5FE0C42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5+6+7+8+9+7 </w:t>
            </w:r>
          </w:p>
        </w:tc>
      </w:tr>
      <w:tr w:rsidR="008C1C27" w:rsidRPr="00A27436" w14:paraId="157E5297"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15B1C6E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Admin expenses </w:t>
            </w:r>
          </w:p>
        </w:tc>
        <w:tc>
          <w:tcPr>
            <w:tcW w:w="2970" w:type="dxa"/>
            <w:tcBorders>
              <w:top w:val="single" w:sz="6" w:space="0" w:color="auto"/>
              <w:left w:val="single" w:sz="6" w:space="0" w:color="auto"/>
              <w:bottom w:val="single" w:sz="6" w:space="0" w:color="auto"/>
              <w:right w:val="single" w:sz="6" w:space="0" w:color="auto"/>
            </w:tcBorders>
            <w:hideMark/>
          </w:tcPr>
          <w:p w14:paraId="6028683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159 </w:t>
            </w:r>
          </w:p>
        </w:tc>
        <w:tc>
          <w:tcPr>
            <w:tcW w:w="3060" w:type="dxa"/>
            <w:tcBorders>
              <w:top w:val="single" w:sz="6" w:space="0" w:color="auto"/>
              <w:left w:val="single" w:sz="6" w:space="0" w:color="auto"/>
              <w:bottom w:val="single" w:sz="6" w:space="0" w:color="auto"/>
              <w:right w:val="single" w:sz="6" w:space="0" w:color="auto"/>
            </w:tcBorders>
            <w:hideMark/>
          </w:tcPr>
          <w:p w14:paraId="093370E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24+25+26+27+28+29 </w:t>
            </w:r>
          </w:p>
        </w:tc>
      </w:tr>
      <w:tr w:rsidR="008C1C27" w:rsidRPr="00A27436" w14:paraId="35E95D4A"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2A331F15"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Credit card charges </w:t>
            </w:r>
          </w:p>
        </w:tc>
        <w:tc>
          <w:tcPr>
            <w:tcW w:w="2970" w:type="dxa"/>
            <w:tcBorders>
              <w:top w:val="single" w:sz="6" w:space="0" w:color="auto"/>
              <w:left w:val="single" w:sz="6" w:space="0" w:color="auto"/>
              <w:bottom w:val="single" w:sz="6" w:space="0" w:color="auto"/>
              <w:right w:val="single" w:sz="6" w:space="0" w:color="auto"/>
            </w:tcBorders>
            <w:hideMark/>
          </w:tcPr>
          <w:p w14:paraId="063C334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12.86 </w:t>
            </w:r>
          </w:p>
        </w:tc>
        <w:tc>
          <w:tcPr>
            <w:tcW w:w="3060" w:type="dxa"/>
            <w:tcBorders>
              <w:top w:val="single" w:sz="6" w:space="0" w:color="auto"/>
              <w:left w:val="single" w:sz="6" w:space="0" w:color="auto"/>
              <w:bottom w:val="single" w:sz="6" w:space="0" w:color="auto"/>
              <w:right w:val="single" w:sz="6" w:space="0" w:color="auto"/>
            </w:tcBorders>
            <w:hideMark/>
          </w:tcPr>
          <w:p w14:paraId="4E874185"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1470 x 35% x 2.5% </w:t>
            </w:r>
          </w:p>
        </w:tc>
      </w:tr>
      <w:tr w:rsidR="008C1C27" w:rsidRPr="00A27436" w14:paraId="4C9AA6AF"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54ACAEC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Operating profit </w:t>
            </w:r>
          </w:p>
        </w:tc>
        <w:tc>
          <w:tcPr>
            <w:tcW w:w="2970" w:type="dxa"/>
            <w:tcBorders>
              <w:top w:val="single" w:sz="6" w:space="0" w:color="auto"/>
              <w:left w:val="single" w:sz="6" w:space="0" w:color="auto"/>
              <w:bottom w:val="single" w:sz="6" w:space="0" w:color="auto"/>
              <w:right w:val="single" w:sz="6" w:space="0" w:color="auto"/>
            </w:tcBorders>
            <w:hideMark/>
          </w:tcPr>
          <w:p w14:paraId="7FBA12C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374.14 </w:t>
            </w:r>
          </w:p>
        </w:tc>
        <w:tc>
          <w:tcPr>
            <w:tcW w:w="3060" w:type="dxa"/>
            <w:tcBorders>
              <w:top w:val="single" w:sz="6" w:space="0" w:color="auto"/>
              <w:left w:val="single" w:sz="6" w:space="0" w:color="auto"/>
              <w:bottom w:val="single" w:sz="6" w:space="0" w:color="auto"/>
              <w:right w:val="single" w:sz="6" w:space="0" w:color="auto"/>
            </w:tcBorders>
            <w:hideMark/>
          </w:tcPr>
          <w:p w14:paraId="206E901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r>
      <w:tr w:rsidR="008C1C27" w:rsidRPr="00A27436" w14:paraId="4E9BB92D"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63F969BA"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Interest payable </w:t>
            </w:r>
          </w:p>
        </w:tc>
        <w:tc>
          <w:tcPr>
            <w:tcW w:w="2970" w:type="dxa"/>
            <w:tcBorders>
              <w:top w:val="single" w:sz="6" w:space="0" w:color="auto"/>
              <w:left w:val="single" w:sz="6" w:space="0" w:color="auto"/>
              <w:bottom w:val="single" w:sz="6" w:space="0" w:color="auto"/>
              <w:right w:val="single" w:sz="6" w:space="0" w:color="auto"/>
            </w:tcBorders>
            <w:hideMark/>
          </w:tcPr>
          <w:p w14:paraId="725A02D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6 </w:t>
            </w:r>
          </w:p>
        </w:tc>
        <w:tc>
          <w:tcPr>
            <w:tcW w:w="3060" w:type="dxa"/>
            <w:tcBorders>
              <w:top w:val="single" w:sz="6" w:space="0" w:color="auto"/>
              <w:left w:val="single" w:sz="6" w:space="0" w:color="auto"/>
              <w:bottom w:val="single" w:sz="6" w:space="0" w:color="auto"/>
              <w:right w:val="single" w:sz="6" w:space="0" w:color="auto"/>
            </w:tcBorders>
            <w:hideMark/>
          </w:tcPr>
          <w:p w14:paraId="022B34F8"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6 x 5 x 20% </w:t>
            </w:r>
          </w:p>
        </w:tc>
      </w:tr>
      <w:tr w:rsidR="008C1C27" w:rsidRPr="00A27436" w14:paraId="7BB1D7FF" w14:textId="77777777">
        <w:trPr>
          <w:trHeight w:val="300"/>
        </w:trPr>
        <w:tc>
          <w:tcPr>
            <w:tcW w:w="2970" w:type="dxa"/>
            <w:tcBorders>
              <w:top w:val="single" w:sz="6" w:space="0" w:color="auto"/>
              <w:left w:val="single" w:sz="6" w:space="0" w:color="auto"/>
              <w:bottom w:val="single" w:sz="6" w:space="0" w:color="auto"/>
              <w:right w:val="single" w:sz="6" w:space="0" w:color="auto"/>
            </w:tcBorders>
            <w:hideMark/>
          </w:tcPr>
          <w:p w14:paraId="471BDE33"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Profit for the period </w:t>
            </w:r>
          </w:p>
        </w:tc>
        <w:tc>
          <w:tcPr>
            <w:tcW w:w="2970" w:type="dxa"/>
            <w:tcBorders>
              <w:top w:val="single" w:sz="6" w:space="0" w:color="auto"/>
              <w:left w:val="single" w:sz="6" w:space="0" w:color="auto"/>
              <w:bottom w:val="single" w:sz="6" w:space="0" w:color="auto"/>
              <w:right w:val="single" w:sz="6" w:space="0" w:color="auto"/>
            </w:tcBorders>
            <w:hideMark/>
          </w:tcPr>
          <w:p w14:paraId="132815C2"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368.14 </w:t>
            </w:r>
          </w:p>
        </w:tc>
        <w:tc>
          <w:tcPr>
            <w:tcW w:w="3060" w:type="dxa"/>
            <w:tcBorders>
              <w:top w:val="single" w:sz="6" w:space="0" w:color="auto"/>
              <w:left w:val="single" w:sz="6" w:space="0" w:color="auto"/>
              <w:bottom w:val="single" w:sz="6" w:space="0" w:color="auto"/>
              <w:right w:val="single" w:sz="6" w:space="0" w:color="auto"/>
            </w:tcBorders>
            <w:hideMark/>
          </w:tcPr>
          <w:p w14:paraId="03D7750B" w14:textId="77777777" w:rsidR="008C1C27" w:rsidRPr="00A27436" w:rsidRDefault="008C1C27" w:rsidP="00A27436">
            <w:pPr>
              <w:spacing w:line="276" w:lineRule="auto"/>
              <w:jc w:val="both"/>
              <w:rPr>
                <w:rFonts w:asciiTheme="minorBidi" w:hAnsiTheme="minorBidi"/>
                <w:b/>
                <w:bCs/>
              </w:rPr>
            </w:pPr>
            <w:r w:rsidRPr="00A27436">
              <w:rPr>
                <w:rFonts w:asciiTheme="minorBidi" w:hAnsiTheme="minorBidi"/>
                <w:b/>
                <w:bCs/>
              </w:rPr>
              <w:t> </w:t>
            </w:r>
          </w:p>
        </w:tc>
      </w:tr>
    </w:tbl>
    <w:p w14:paraId="183D8AF7" w14:textId="77777777" w:rsidR="004B02EE" w:rsidRPr="00A27436" w:rsidRDefault="004B02EE" w:rsidP="00A27436">
      <w:pPr>
        <w:spacing w:line="276" w:lineRule="auto"/>
        <w:jc w:val="both"/>
        <w:rPr>
          <w:rFonts w:asciiTheme="minorBidi" w:hAnsiTheme="minorBidi"/>
          <w:b/>
          <w:bCs/>
        </w:rPr>
      </w:pPr>
    </w:p>
    <w:p w14:paraId="7158491D" w14:textId="667D6813" w:rsidR="00B02E0C" w:rsidRPr="00A27436" w:rsidRDefault="00D60AE8" w:rsidP="00A27436">
      <w:pPr>
        <w:pStyle w:val="Heading4"/>
        <w:spacing w:line="276" w:lineRule="auto"/>
        <w:jc w:val="both"/>
        <w:rPr>
          <w:rFonts w:asciiTheme="minorBidi" w:hAnsiTheme="minorBidi" w:cstheme="minorBidi"/>
          <w:b/>
          <w:bCs/>
          <w:i w:val="0"/>
          <w:iCs w:val="0"/>
          <w:color w:val="auto"/>
        </w:rPr>
      </w:pPr>
      <w:r w:rsidRPr="00A27436">
        <w:rPr>
          <w:rFonts w:asciiTheme="minorBidi" w:hAnsiTheme="minorBidi" w:cstheme="minorBidi"/>
          <w:b/>
          <w:bCs/>
          <w:i w:val="0"/>
          <w:iCs w:val="0"/>
          <w:color w:val="auto"/>
        </w:rPr>
        <w:t xml:space="preserve"> </w:t>
      </w:r>
      <w:r w:rsidR="00B02E0C" w:rsidRPr="00A27436">
        <w:rPr>
          <w:rFonts w:asciiTheme="minorBidi" w:hAnsiTheme="minorBidi" w:cstheme="minorBidi"/>
          <w:b/>
          <w:bCs/>
          <w:i w:val="0"/>
          <w:iCs w:val="0"/>
          <w:color w:val="auto"/>
        </w:rPr>
        <w:t>3.1 Stock Budget Analysis:</w:t>
      </w:r>
    </w:p>
    <w:p w14:paraId="1335016A" w14:textId="7879BD18" w:rsidR="002F5C3B" w:rsidRPr="00A27436" w:rsidRDefault="002F5C3B" w:rsidP="00A27436">
      <w:pPr>
        <w:pStyle w:val="Subtitle"/>
        <w:spacing w:line="276" w:lineRule="auto"/>
        <w:jc w:val="both"/>
        <w:rPr>
          <w:rFonts w:asciiTheme="minorBidi" w:hAnsiTheme="minorBidi" w:cstheme="minorBidi"/>
          <w:sz w:val="24"/>
          <w:szCs w:val="24"/>
        </w:rPr>
      </w:pPr>
    </w:p>
    <w:p w14:paraId="7383FB13"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 xml:space="preserve">The stock budget estimates the inventory levels that Silver Stitch Ltd expects to hold during the six-month period. This is especially important for retail organisations because stock represents a major investment of working capital and has a direct effect on both </w:t>
      </w:r>
      <w:proofErr w:type="gramStart"/>
      <w:r w:rsidRPr="00A27436">
        <w:rPr>
          <w:rFonts w:asciiTheme="minorBidi" w:hAnsiTheme="minorBidi"/>
        </w:rPr>
        <w:t>sales</w:t>
      </w:r>
      <w:proofErr w:type="gramEnd"/>
      <w:r w:rsidRPr="00A27436">
        <w:rPr>
          <w:rFonts w:asciiTheme="minorBidi" w:hAnsiTheme="minorBidi"/>
        </w:rPr>
        <w:t xml:space="preserve"> performance and cash flow (</w:t>
      </w:r>
      <w:proofErr w:type="spellStart"/>
      <w:r w:rsidRPr="00A27436">
        <w:rPr>
          <w:rFonts w:asciiTheme="minorBidi" w:hAnsiTheme="minorBidi"/>
        </w:rPr>
        <w:t>Kolitz</w:t>
      </w:r>
      <w:proofErr w:type="spellEnd"/>
      <w:r w:rsidRPr="00A27436">
        <w:rPr>
          <w:rFonts w:asciiTheme="minorBidi" w:hAnsiTheme="minorBidi"/>
        </w:rPr>
        <w:t>, 2017; Weetman, 2019). If stock levels are too low, the company may lose sales and disappoint customers. If they are too high, cash becomes tied up in unsold goods and storage costs may rise (</w:t>
      </w:r>
      <w:proofErr w:type="spellStart"/>
      <w:r w:rsidRPr="00A27436">
        <w:rPr>
          <w:rFonts w:asciiTheme="minorBidi" w:hAnsiTheme="minorBidi"/>
        </w:rPr>
        <w:t>Atrill</w:t>
      </w:r>
      <w:proofErr w:type="spellEnd"/>
      <w:r w:rsidRPr="00A27436">
        <w:rPr>
          <w:rFonts w:asciiTheme="minorBidi" w:hAnsiTheme="minorBidi"/>
        </w:rPr>
        <w:t xml:space="preserve"> and McLaney, 2021).</w:t>
      </w:r>
    </w:p>
    <w:p w14:paraId="2943F141"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Silver Stitch Ltd begins July with opening stock of £100,000. The cost of goods sold is calculated at 60% of sales because the case states that the gross profit margin is 40%. This is a standard budgeting approach because gross profit margins are commonly used to estimate cost of sales and support purchasing decisions (Seal, Garrison and Noreen, 2018; Datar and Rajan, 2017).</w:t>
      </w:r>
    </w:p>
    <w:p w14:paraId="2E8B0D13"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The stock budget shows a steady increase in closing stock, rising from £154,000 in July to £388,000 in December. On one hand, this may suggest that the company is preparing for higher future sales and wants to avoid stock shortages. On the other hand, the continued rise in stock may also indicate that too much capital is being tied up in inventory. This is important because efficient stock control is not only about availability of goods, but also about financial efficiency and working capital management (Drury, 2021; Hansen, Mowen and Heitger, 2019).</w:t>
      </w:r>
    </w:p>
    <w:p w14:paraId="2781702A"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lastRenderedPageBreak/>
        <w:t>A critical point is that the stock budget appears strong operationally but may create financial pressure elsewhere. Higher stock can support sales, yet it may also worsen liquidity if the goods are not sold quickly enough. Therefore, management should not evaluate the stock budget in isolation. It should be assessed alongside the cash budget to understand whether the company can financially support its increasing inventory levels (</w:t>
      </w:r>
      <w:proofErr w:type="spellStart"/>
      <w:r w:rsidRPr="00A27436">
        <w:rPr>
          <w:rFonts w:asciiTheme="minorBidi" w:hAnsiTheme="minorBidi"/>
        </w:rPr>
        <w:t>Atrill</w:t>
      </w:r>
      <w:proofErr w:type="spellEnd"/>
      <w:r w:rsidRPr="00A27436">
        <w:rPr>
          <w:rFonts w:asciiTheme="minorBidi" w:hAnsiTheme="minorBidi"/>
        </w:rPr>
        <w:t xml:space="preserve"> and McLaney, 2018; Walsh, 2008).</w:t>
      </w:r>
    </w:p>
    <w:p w14:paraId="636B9E23" w14:textId="77777777" w:rsidR="00C55D64" w:rsidRPr="00A27436" w:rsidRDefault="00A350BD" w:rsidP="00A27436">
      <w:pPr>
        <w:pStyle w:val="Heading5"/>
        <w:spacing w:line="276" w:lineRule="auto"/>
        <w:jc w:val="both"/>
        <w:rPr>
          <w:rFonts w:asciiTheme="minorBidi" w:hAnsiTheme="minorBidi" w:cstheme="minorBidi"/>
          <w:b/>
          <w:bCs/>
          <w:color w:val="auto"/>
        </w:rPr>
      </w:pPr>
      <w:r w:rsidRPr="00A27436">
        <w:rPr>
          <w:rFonts w:asciiTheme="minorBidi" w:hAnsiTheme="minorBidi" w:cstheme="minorBidi"/>
          <w:b/>
          <w:bCs/>
          <w:color w:val="auto"/>
        </w:rPr>
        <w:t xml:space="preserve">    </w:t>
      </w:r>
    </w:p>
    <w:p w14:paraId="2BB8C211" w14:textId="7566FB6D" w:rsidR="002F5C3B" w:rsidRPr="00A27436" w:rsidRDefault="00C55D64" w:rsidP="00A27436">
      <w:pPr>
        <w:pStyle w:val="Heading5"/>
        <w:spacing w:line="276" w:lineRule="auto"/>
        <w:jc w:val="both"/>
        <w:rPr>
          <w:rFonts w:asciiTheme="minorBidi" w:hAnsiTheme="minorBidi" w:cstheme="minorBidi"/>
          <w:b/>
          <w:bCs/>
          <w:color w:val="auto"/>
        </w:rPr>
      </w:pPr>
      <w:r w:rsidRPr="00A27436">
        <w:rPr>
          <w:rFonts w:asciiTheme="minorBidi" w:hAnsiTheme="minorBidi" w:cstheme="minorBidi"/>
          <w:b/>
          <w:bCs/>
          <w:color w:val="auto"/>
        </w:rPr>
        <w:t xml:space="preserve"> </w:t>
      </w:r>
      <w:r w:rsidR="00FA54C5" w:rsidRPr="00A27436">
        <w:rPr>
          <w:rFonts w:asciiTheme="minorBidi" w:hAnsiTheme="minorBidi" w:cstheme="minorBidi"/>
          <w:b/>
          <w:bCs/>
          <w:color w:val="auto"/>
        </w:rPr>
        <w:t>3</w:t>
      </w:r>
      <w:r w:rsidR="008F6D11" w:rsidRPr="00A27436">
        <w:rPr>
          <w:rFonts w:asciiTheme="minorBidi" w:hAnsiTheme="minorBidi" w:cstheme="minorBidi"/>
          <w:b/>
          <w:bCs/>
          <w:color w:val="auto"/>
        </w:rPr>
        <w:t>.</w:t>
      </w:r>
      <w:r w:rsidR="00FA54C5" w:rsidRPr="00A27436">
        <w:rPr>
          <w:rFonts w:asciiTheme="minorBidi" w:hAnsiTheme="minorBidi" w:cstheme="minorBidi"/>
          <w:b/>
          <w:bCs/>
          <w:color w:val="auto"/>
        </w:rPr>
        <w:t xml:space="preserve">2 </w:t>
      </w:r>
      <w:r w:rsidR="002F5C3B" w:rsidRPr="00A27436">
        <w:rPr>
          <w:rFonts w:asciiTheme="minorBidi" w:hAnsiTheme="minorBidi" w:cstheme="minorBidi"/>
          <w:b/>
          <w:bCs/>
          <w:color w:val="auto"/>
        </w:rPr>
        <w:t>Cash Budget Analysis</w:t>
      </w:r>
      <w:r w:rsidR="00AC3D43" w:rsidRPr="00A27436">
        <w:rPr>
          <w:rFonts w:asciiTheme="minorBidi" w:hAnsiTheme="minorBidi" w:cstheme="minorBidi"/>
          <w:b/>
          <w:bCs/>
          <w:color w:val="auto"/>
        </w:rPr>
        <w:t>:</w:t>
      </w:r>
    </w:p>
    <w:p w14:paraId="298855BB" w14:textId="77777777" w:rsidR="00A350BD" w:rsidRPr="00A27436" w:rsidRDefault="00A350BD" w:rsidP="00A27436">
      <w:pPr>
        <w:spacing w:line="276" w:lineRule="auto"/>
        <w:jc w:val="both"/>
        <w:rPr>
          <w:rFonts w:asciiTheme="minorBidi" w:hAnsiTheme="minorBidi"/>
        </w:rPr>
      </w:pPr>
    </w:p>
    <w:p w14:paraId="69F9D29A"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The cash budget estimates expected cash inflows and outflows during the six-month period. Cash budgeting is extremely important because profitability does not automatically mean good liquidity. A business may report profit while still facing difficulties in paying suppliers, staff or lenders if cash receipts are delayed or cash payments are high (Horner, 2020; Dyson, 2020).</w:t>
      </w:r>
    </w:p>
    <w:p w14:paraId="30114247"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For Silver Stitch Ltd, the main source of cash inflow is sales revenue. All sales proceeds are received in the month of sale, although 35% of customers pay by credit card and the credit card company charges 2.5% of the sales value. This slightly reduces the company’s cash receipts. This detail is important because even small transaction charges can affect liquidity over time, especially in businesses with high sales volume and narrow cash margins (Drury, 2021).</w:t>
      </w:r>
    </w:p>
    <w:p w14:paraId="21285997"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Cash outflows include administration costs, stock purchases, selling expenses, taxation, refurbishment costs, loan repayments and interest. The budget also reflects the effect of timing differences. For example, suppliers allow one month’s credit for stock purchases, meaning goods bought in one month are paid for in the next month. Selling expenses are also paid one month later. These timing differences are a major part of working capital management and can significantly affect short-term liquidity (</w:t>
      </w:r>
      <w:proofErr w:type="spellStart"/>
      <w:r w:rsidRPr="00A27436">
        <w:rPr>
          <w:rFonts w:asciiTheme="minorBidi" w:hAnsiTheme="minorBidi"/>
        </w:rPr>
        <w:t>Atrill</w:t>
      </w:r>
      <w:proofErr w:type="spellEnd"/>
      <w:r w:rsidRPr="00A27436">
        <w:rPr>
          <w:rFonts w:asciiTheme="minorBidi" w:hAnsiTheme="minorBidi"/>
        </w:rPr>
        <w:t xml:space="preserve"> and McLaney, 2021; Ryan, 2016).</w:t>
      </w:r>
    </w:p>
    <w:p w14:paraId="2401A763"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 xml:space="preserve">The cash budget shows that the company generates monthly cash surpluses, but several of them are small, especially in October and November. This suggests that the company may be operating with limited cash flexibility. Although there is no monthly cash deficit in the table presented, the small surpluses mean that any unexpected fall in sales or increase in costs could quickly create pressure on liquidity. This is a key weakness because the company already begins from an overdraft position and has been instructed by the bank to eliminate it by the end of December. </w:t>
      </w:r>
    </w:p>
    <w:p w14:paraId="6E7F36E9" w14:textId="1F560437" w:rsidR="002F5C3B" w:rsidRPr="00A27436" w:rsidRDefault="002F5C3B" w:rsidP="00A27436">
      <w:pPr>
        <w:spacing w:line="276" w:lineRule="auto"/>
        <w:jc w:val="both"/>
        <w:rPr>
          <w:rFonts w:asciiTheme="minorBidi" w:hAnsiTheme="minorBidi"/>
        </w:rPr>
      </w:pPr>
    </w:p>
    <w:p w14:paraId="216A8075"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 xml:space="preserve">A more critical interpretation is that the company’s cash position appears more fragile than its profit figure suggests. This supports the view that managers should not rely on profit alone when assessing financial health. Cash budgeting provides a more realistic picture of whether the business can meet its obligations at the right time (Seal, Garrison and Noreen, 2018; </w:t>
      </w:r>
      <w:proofErr w:type="spellStart"/>
      <w:r w:rsidRPr="00A27436">
        <w:rPr>
          <w:rFonts w:asciiTheme="minorBidi" w:hAnsiTheme="minorBidi"/>
        </w:rPr>
        <w:t>Friedlob</w:t>
      </w:r>
      <w:proofErr w:type="spellEnd"/>
      <w:r w:rsidRPr="00A27436">
        <w:rPr>
          <w:rFonts w:asciiTheme="minorBidi" w:hAnsiTheme="minorBidi"/>
        </w:rPr>
        <w:t xml:space="preserve"> and Plewa, 2018).</w:t>
      </w:r>
    </w:p>
    <w:p w14:paraId="498DEB6E" w14:textId="77777777" w:rsidR="00AC3D43" w:rsidRPr="00A27436" w:rsidRDefault="00AC3D43" w:rsidP="00A27436">
      <w:pPr>
        <w:spacing w:line="276" w:lineRule="auto"/>
        <w:jc w:val="both"/>
        <w:rPr>
          <w:rFonts w:asciiTheme="minorBidi" w:hAnsiTheme="minorBidi"/>
        </w:rPr>
      </w:pPr>
    </w:p>
    <w:p w14:paraId="0DCECD11" w14:textId="45966C85" w:rsidR="002F5C3B" w:rsidRPr="00A27436" w:rsidRDefault="00A350BD" w:rsidP="00A27436">
      <w:pPr>
        <w:pStyle w:val="Heading6"/>
        <w:spacing w:line="276" w:lineRule="auto"/>
        <w:jc w:val="both"/>
        <w:rPr>
          <w:rFonts w:asciiTheme="minorBidi" w:hAnsiTheme="minorBidi" w:cstheme="minorBidi"/>
          <w:b/>
          <w:bCs/>
          <w:i w:val="0"/>
          <w:iCs w:val="0"/>
          <w:color w:val="auto"/>
        </w:rPr>
      </w:pPr>
      <w:r w:rsidRPr="00A27436">
        <w:rPr>
          <w:rFonts w:asciiTheme="minorBidi" w:hAnsiTheme="minorBidi" w:cstheme="minorBidi"/>
          <w:b/>
          <w:bCs/>
          <w:i w:val="0"/>
          <w:iCs w:val="0"/>
          <w:color w:val="auto"/>
        </w:rPr>
        <w:t xml:space="preserve">  </w:t>
      </w:r>
      <w:r w:rsidR="00FA54C5" w:rsidRPr="00A27436">
        <w:rPr>
          <w:rFonts w:asciiTheme="minorBidi" w:hAnsiTheme="minorBidi" w:cstheme="minorBidi"/>
          <w:b/>
          <w:bCs/>
          <w:i w:val="0"/>
          <w:iCs w:val="0"/>
          <w:color w:val="auto"/>
        </w:rPr>
        <w:t>3</w:t>
      </w:r>
      <w:r w:rsidR="008F6D11" w:rsidRPr="00A27436">
        <w:rPr>
          <w:rFonts w:asciiTheme="minorBidi" w:hAnsiTheme="minorBidi" w:cstheme="minorBidi"/>
          <w:b/>
          <w:bCs/>
          <w:i w:val="0"/>
          <w:iCs w:val="0"/>
          <w:color w:val="auto"/>
        </w:rPr>
        <w:t>.</w:t>
      </w:r>
      <w:r w:rsidR="00FA54C5" w:rsidRPr="00A27436">
        <w:rPr>
          <w:rFonts w:asciiTheme="minorBidi" w:hAnsiTheme="minorBidi" w:cstheme="minorBidi"/>
          <w:b/>
          <w:bCs/>
          <w:i w:val="0"/>
          <w:iCs w:val="0"/>
          <w:color w:val="auto"/>
        </w:rPr>
        <w:t>3</w:t>
      </w:r>
      <w:r w:rsidR="008F6D11" w:rsidRPr="00A27436">
        <w:rPr>
          <w:rFonts w:asciiTheme="minorBidi" w:hAnsiTheme="minorBidi" w:cstheme="minorBidi"/>
          <w:b/>
          <w:bCs/>
          <w:i w:val="0"/>
          <w:iCs w:val="0"/>
          <w:color w:val="auto"/>
        </w:rPr>
        <w:t xml:space="preserve"> </w:t>
      </w:r>
      <w:r w:rsidR="002F5C3B" w:rsidRPr="00A27436">
        <w:rPr>
          <w:rFonts w:asciiTheme="minorBidi" w:hAnsiTheme="minorBidi" w:cstheme="minorBidi"/>
          <w:b/>
          <w:bCs/>
          <w:i w:val="0"/>
          <w:iCs w:val="0"/>
          <w:color w:val="auto"/>
        </w:rPr>
        <w:t>Budgeted Profit and Loss Account Analysis</w:t>
      </w:r>
      <w:r w:rsidR="00AC3D43" w:rsidRPr="00A27436">
        <w:rPr>
          <w:rFonts w:asciiTheme="minorBidi" w:hAnsiTheme="minorBidi" w:cstheme="minorBidi"/>
          <w:b/>
          <w:bCs/>
          <w:i w:val="0"/>
          <w:iCs w:val="0"/>
          <w:color w:val="auto"/>
        </w:rPr>
        <w:t>:</w:t>
      </w:r>
    </w:p>
    <w:p w14:paraId="14620A43" w14:textId="77777777" w:rsidR="00A350BD" w:rsidRPr="00A27436" w:rsidRDefault="00A350BD" w:rsidP="00A27436">
      <w:pPr>
        <w:spacing w:line="276" w:lineRule="auto"/>
        <w:jc w:val="both"/>
        <w:rPr>
          <w:rFonts w:asciiTheme="minorBidi" w:hAnsiTheme="minorBidi"/>
        </w:rPr>
      </w:pPr>
    </w:p>
    <w:p w14:paraId="519DC05E"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The budgeted profit and loss account summarises expected revenues and expenses for the six-month period and gives an estimate of overall profitability. Total sales are forecast at £1,470,000, with cost of goods sold of £882,000, producing a gross profit of £588,000. This indicates that the company is expected to maintain a healthy gross margin, which is important for a retail business facing ongoing operating costs (Seal, Garrison and Noreen, 2018).</w:t>
      </w:r>
    </w:p>
    <w:p w14:paraId="2BE9C305"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Operating expenses include selling expenses, administration expenses and credit card charges. Administration expenses include depreciation, which is a non-cash expense. Although depreciation does not reduce cash directly, it must still be included in the profit and loss account because it reflects the use of long-term assets over time (Drury, 2021; Libby, Libby and Hodge, 2020).</w:t>
      </w:r>
    </w:p>
    <w:p w14:paraId="41EB6DBC"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After operating expenses and interest, the company is forecast to earn a profit of £365,140. This suggests that Silver Stitch Ltd is financially viable in terms of profitability. However, the critical issue is that profitability and liquidity are not the same. A business can be profitable on paper while still struggling to manage cash, especially when there are loan repayments, refurbishment spending and increasing stock levels (</w:t>
      </w:r>
      <w:proofErr w:type="spellStart"/>
      <w:r w:rsidRPr="00A27436">
        <w:rPr>
          <w:rFonts w:asciiTheme="minorBidi" w:hAnsiTheme="minorBidi"/>
        </w:rPr>
        <w:t>Atrill</w:t>
      </w:r>
      <w:proofErr w:type="spellEnd"/>
      <w:r w:rsidRPr="00A27436">
        <w:rPr>
          <w:rFonts w:asciiTheme="minorBidi" w:hAnsiTheme="minorBidi"/>
        </w:rPr>
        <w:t xml:space="preserve"> and McLaney, 2021; Needles, Powers and Crosson, 2014).</w:t>
      </w:r>
    </w:p>
    <w:p w14:paraId="7FDD93BE"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Therefore, while the profit and loss budget is positive, it should not lead management to assume that the business is free from financial risk. The company’s profitability is encouraging, but the cash budget shows that careful control is still needed.</w:t>
      </w:r>
    </w:p>
    <w:p w14:paraId="7279E70B" w14:textId="3BD97DD3" w:rsidR="002F5C3B" w:rsidRPr="00A27436" w:rsidRDefault="002F5C3B" w:rsidP="00A27436">
      <w:pPr>
        <w:spacing w:line="276" w:lineRule="auto"/>
        <w:jc w:val="both"/>
        <w:rPr>
          <w:rFonts w:asciiTheme="minorBidi" w:hAnsiTheme="minorBidi"/>
        </w:rPr>
      </w:pPr>
    </w:p>
    <w:p w14:paraId="49A17720" w14:textId="11F6572B" w:rsidR="002F5C3B" w:rsidRPr="00A27436" w:rsidRDefault="00A350BD" w:rsidP="00A27436">
      <w:pPr>
        <w:pStyle w:val="Heading7"/>
        <w:spacing w:line="276" w:lineRule="auto"/>
        <w:jc w:val="both"/>
        <w:rPr>
          <w:rFonts w:asciiTheme="minorBidi" w:hAnsiTheme="minorBidi" w:cstheme="minorBidi"/>
          <w:b/>
          <w:bCs/>
          <w:color w:val="auto"/>
        </w:rPr>
      </w:pPr>
      <w:r w:rsidRPr="00A27436">
        <w:rPr>
          <w:rFonts w:asciiTheme="minorBidi" w:hAnsiTheme="minorBidi" w:cstheme="minorBidi"/>
          <w:b/>
          <w:bCs/>
          <w:color w:val="auto"/>
        </w:rPr>
        <w:t xml:space="preserve"> </w:t>
      </w:r>
      <w:r w:rsidR="00FA54C5" w:rsidRPr="00A27436">
        <w:rPr>
          <w:rFonts w:asciiTheme="minorBidi" w:hAnsiTheme="minorBidi" w:cstheme="minorBidi"/>
          <w:b/>
          <w:bCs/>
          <w:color w:val="auto"/>
        </w:rPr>
        <w:t>3</w:t>
      </w:r>
      <w:r w:rsidR="006B26A9" w:rsidRPr="00A27436">
        <w:rPr>
          <w:rFonts w:asciiTheme="minorBidi" w:hAnsiTheme="minorBidi" w:cstheme="minorBidi"/>
          <w:b/>
          <w:bCs/>
          <w:color w:val="auto"/>
        </w:rPr>
        <w:t>.4</w:t>
      </w:r>
      <w:r w:rsidR="00B4626B" w:rsidRPr="00A27436">
        <w:rPr>
          <w:rFonts w:asciiTheme="minorBidi" w:hAnsiTheme="minorBidi" w:cstheme="minorBidi"/>
          <w:b/>
          <w:bCs/>
          <w:color w:val="auto"/>
        </w:rPr>
        <w:t xml:space="preserve"> </w:t>
      </w:r>
      <w:r w:rsidR="002F5C3B" w:rsidRPr="00A27436">
        <w:rPr>
          <w:rFonts w:asciiTheme="minorBidi" w:hAnsiTheme="minorBidi" w:cstheme="minorBidi"/>
          <w:b/>
          <w:bCs/>
          <w:color w:val="auto"/>
        </w:rPr>
        <w:t>Financial Problems Identified</w:t>
      </w:r>
      <w:r w:rsidR="00AC3D43" w:rsidRPr="00A27436">
        <w:rPr>
          <w:rFonts w:asciiTheme="minorBidi" w:hAnsiTheme="minorBidi" w:cstheme="minorBidi"/>
          <w:b/>
          <w:bCs/>
          <w:color w:val="auto"/>
        </w:rPr>
        <w:t>:</w:t>
      </w:r>
    </w:p>
    <w:p w14:paraId="7DF0FCF3" w14:textId="77777777" w:rsidR="00A350BD" w:rsidRPr="00A27436" w:rsidRDefault="00A350BD" w:rsidP="00A27436">
      <w:pPr>
        <w:spacing w:line="276" w:lineRule="auto"/>
        <w:jc w:val="both"/>
        <w:rPr>
          <w:rFonts w:asciiTheme="minorBidi" w:hAnsiTheme="minorBidi"/>
        </w:rPr>
      </w:pPr>
    </w:p>
    <w:p w14:paraId="5263D047"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Although the budgets suggest that Silver Stitch Ltd will remain profitable during the six-month period, they also reveal several important financial challenges. Identifying these problems is one of the main purposes of budgeting, because budgets are not only forecasting tools but also early warning systems for financial risk (Drury, 2021; Merchant and Van der Stede, 2017).</w:t>
      </w:r>
    </w:p>
    <w:p w14:paraId="5A3A22D6"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The first major issue is liquidity pressure. The company begins with an overdraft of £30,000 and is expected to remove this by the end of December. Even though the business generates positive cash surpluses in the budget period, the monthly figures are modest in some months. This means that the business may not have a large safety margin if sales fall below expectation or if expenses increase unexpectedly. Liquidity is critical because a company that cannot meet short-term obligations may face operational disruption or strained relationships with lenders and suppliers (</w:t>
      </w:r>
      <w:proofErr w:type="spellStart"/>
      <w:r w:rsidRPr="00A27436">
        <w:rPr>
          <w:rFonts w:asciiTheme="minorBidi" w:hAnsiTheme="minorBidi"/>
        </w:rPr>
        <w:t>Atrill</w:t>
      </w:r>
      <w:proofErr w:type="spellEnd"/>
      <w:r w:rsidRPr="00A27436">
        <w:rPr>
          <w:rFonts w:asciiTheme="minorBidi" w:hAnsiTheme="minorBidi"/>
        </w:rPr>
        <w:t xml:space="preserve"> and McLaney, 2021; Brealey, Myers and Allen, 2020).</w:t>
      </w:r>
    </w:p>
    <w:p w14:paraId="03574CEE"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lastRenderedPageBreak/>
        <w:t>The second issue is the significant growth in inventory. Closing stock rises every month and reaches £388,000 by December. This may suggest that management expects stronger future demand, but it may also indicate inefficient stock planning. If goods do not sell quickly enough, the company may be holding too much capital in stock rather than cash. In retail, this is especially risky because consumer demand can change, and unsold clothing may lose value over time due to seasonality or changing trends (</w:t>
      </w:r>
      <w:proofErr w:type="spellStart"/>
      <w:r w:rsidRPr="00A27436">
        <w:rPr>
          <w:rFonts w:asciiTheme="minorBidi" w:hAnsiTheme="minorBidi"/>
        </w:rPr>
        <w:t>Kolitz</w:t>
      </w:r>
      <w:proofErr w:type="spellEnd"/>
      <w:r w:rsidRPr="00A27436">
        <w:rPr>
          <w:rFonts w:asciiTheme="minorBidi" w:hAnsiTheme="minorBidi"/>
        </w:rPr>
        <w:t>, 2017; Hansen, Mowen and Heitger, 2019).</w:t>
      </w:r>
    </w:p>
    <w:p w14:paraId="472EEA20"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 third problem is the burden of debt repayment. The company must repay £5,000 per month plus interest. These regular repayments reduce available cash and can limit the business’s flexibility. From a critical perspective, debt is not automatically negative, since it can support business operations and investment. However, where liquidity is already tight, fixed debt commitments can increase financial risk (Horner, 2020; Ryan, 2016).</w:t>
      </w:r>
    </w:p>
    <w:p w14:paraId="6DD8B925"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 xml:space="preserve">The fourth issue is the presence of irregular but significant expenses, such as refurbishment and taxation. These payments create uneven pressure on the company’s cash flow. </w:t>
      </w:r>
      <w:proofErr w:type="gramStart"/>
      <w:r w:rsidRPr="00A27436">
        <w:rPr>
          <w:rFonts w:asciiTheme="minorBidi" w:hAnsiTheme="minorBidi"/>
        </w:rPr>
        <w:t>In particular, refurbishment</w:t>
      </w:r>
      <w:proofErr w:type="gramEnd"/>
      <w:r w:rsidRPr="00A27436">
        <w:rPr>
          <w:rFonts w:asciiTheme="minorBidi" w:hAnsiTheme="minorBidi"/>
        </w:rPr>
        <w:t xml:space="preserve"> spending may be strategically useful if it improves store performance and customer experience, but in the short term it reduces available cash. This shows the tension between short-term liquidity and long-term investment. Management therefore needs to balance immediate financial pressure with future operational benefit (Seal, Garrison and Noreen, 2018; Collier, 2015).</w:t>
      </w:r>
    </w:p>
    <w:p w14:paraId="2E43B362"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To address these problems, management should strengthen its cash flow monitoring, review stock purchasing policies and consider whether all planned expenditure is necessary within the same period. Tighter working capital control, especially over stock and cash, would improve financial stability. In addition, management could re-examine the timing of some discretionary expenditure, such as refurbishment, if cash pressure becomes severe (</w:t>
      </w:r>
      <w:proofErr w:type="spellStart"/>
      <w:r w:rsidRPr="00A27436">
        <w:rPr>
          <w:rFonts w:asciiTheme="minorBidi" w:hAnsiTheme="minorBidi"/>
        </w:rPr>
        <w:t>Atrill</w:t>
      </w:r>
      <w:proofErr w:type="spellEnd"/>
      <w:r w:rsidRPr="00A27436">
        <w:rPr>
          <w:rFonts w:asciiTheme="minorBidi" w:hAnsiTheme="minorBidi"/>
        </w:rPr>
        <w:t xml:space="preserve"> and McLaney, 2018; Walsh, 2008).</w:t>
      </w:r>
    </w:p>
    <w:p w14:paraId="764582A7"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Overall, the budgets indicate that the company is not facing a profitability crisis, but it is facing a control challenge. Its success will depend on how effectively management controls liquidity, inventory and expenditure over the six-month period.</w:t>
      </w:r>
    </w:p>
    <w:p w14:paraId="63B22884" w14:textId="45CDF446" w:rsidR="002F5C3B" w:rsidRPr="00A27436" w:rsidRDefault="002F5C3B" w:rsidP="00A27436">
      <w:pPr>
        <w:spacing w:line="276" w:lineRule="auto"/>
        <w:jc w:val="both"/>
        <w:rPr>
          <w:rFonts w:asciiTheme="minorBidi" w:hAnsiTheme="minorBidi"/>
        </w:rPr>
      </w:pPr>
    </w:p>
    <w:p w14:paraId="452DA604" w14:textId="77777777" w:rsidR="004A370D" w:rsidRPr="00A27436" w:rsidRDefault="00A350BD" w:rsidP="00A27436">
      <w:pPr>
        <w:pStyle w:val="Heading8"/>
        <w:spacing w:line="276" w:lineRule="auto"/>
        <w:jc w:val="both"/>
        <w:rPr>
          <w:rFonts w:asciiTheme="minorBidi" w:hAnsiTheme="minorBidi" w:cstheme="minorBidi"/>
          <w:b/>
          <w:bCs/>
          <w:i w:val="0"/>
          <w:iCs w:val="0"/>
        </w:rPr>
      </w:pPr>
      <w:r w:rsidRPr="00A27436">
        <w:rPr>
          <w:rFonts w:asciiTheme="minorBidi" w:hAnsiTheme="minorBidi" w:cstheme="minorBidi"/>
          <w:b/>
          <w:bCs/>
          <w:i w:val="0"/>
          <w:iCs w:val="0"/>
        </w:rPr>
        <w:t xml:space="preserve"> </w:t>
      </w:r>
    </w:p>
    <w:p w14:paraId="4CD107A6" w14:textId="77777777" w:rsidR="004A370D" w:rsidRPr="00A27436" w:rsidRDefault="004A370D" w:rsidP="00A27436">
      <w:pPr>
        <w:pStyle w:val="Heading8"/>
        <w:spacing w:line="276" w:lineRule="auto"/>
        <w:jc w:val="both"/>
        <w:rPr>
          <w:rFonts w:asciiTheme="minorBidi" w:hAnsiTheme="minorBidi" w:cstheme="minorBidi"/>
          <w:b/>
          <w:bCs/>
          <w:i w:val="0"/>
          <w:iCs w:val="0"/>
        </w:rPr>
      </w:pPr>
    </w:p>
    <w:p w14:paraId="64499D6D" w14:textId="77777777" w:rsidR="00767BBC" w:rsidRPr="00A27436" w:rsidRDefault="00767BBC" w:rsidP="00A27436">
      <w:pPr>
        <w:spacing w:line="276" w:lineRule="auto"/>
        <w:jc w:val="both"/>
        <w:rPr>
          <w:rFonts w:asciiTheme="minorBidi" w:hAnsiTheme="minorBidi"/>
        </w:rPr>
      </w:pPr>
    </w:p>
    <w:p w14:paraId="05807A2E" w14:textId="77777777" w:rsidR="00767BBC" w:rsidRPr="00A27436" w:rsidRDefault="00767BBC" w:rsidP="00A27436">
      <w:pPr>
        <w:spacing w:line="276" w:lineRule="auto"/>
        <w:jc w:val="both"/>
        <w:rPr>
          <w:rFonts w:asciiTheme="minorBidi" w:hAnsiTheme="minorBidi"/>
        </w:rPr>
      </w:pPr>
    </w:p>
    <w:p w14:paraId="0B244B94" w14:textId="77777777" w:rsidR="00767BBC" w:rsidRPr="00A27436" w:rsidRDefault="00767BBC" w:rsidP="00A27436">
      <w:pPr>
        <w:spacing w:line="276" w:lineRule="auto"/>
        <w:jc w:val="both"/>
        <w:rPr>
          <w:rFonts w:asciiTheme="minorBidi" w:hAnsiTheme="minorBidi"/>
        </w:rPr>
      </w:pPr>
    </w:p>
    <w:p w14:paraId="2616A467" w14:textId="77777777" w:rsidR="00767BBC" w:rsidRDefault="00767BBC" w:rsidP="00A27436">
      <w:pPr>
        <w:spacing w:line="276" w:lineRule="auto"/>
        <w:jc w:val="both"/>
        <w:rPr>
          <w:rFonts w:asciiTheme="minorBidi" w:hAnsiTheme="minorBidi"/>
        </w:rPr>
      </w:pPr>
    </w:p>
    <w:p w14:paraId="14EBBF9A" w14:textId="77777777" w:rsidR="00A27436" w:rsidRPr="00A27436" w:rsidRDefault="00A27436" w:rsidP="00A27436">
      <w:pPr>
        <w:spacing w:line="276" w:lineRule="auto"/>
        <w:jc w:val="both"/>
        <w:rPr>
          <w:rFonts w:asciiTheme="minorBidi" w:hAnsiTheme="minorBidi"/>
        </w:rPr>
      </w:pPr>
    </w:p>
    <w:p w14:paraId="40AB5E54" w14:textId="229A60C3" w:rsidR="00242C63" w:rsidRPr="00A27436" w:rsidRDefault="00FA54C5" w:rsidP="00A27436">
      <w:pPr>
        <w:pStyle w:val="Heading8"/>
        <w:spacing w:line="276" w:lineRule="auto"/>
        <w:jc w:val="both"/>
        <w:rPr>
          <w:rFonts w:asciiTheme="minorBidi" w:hAnsiTheme="minorBidi" w:cstheme="minorBidi"/>
          <w:b/>
          <w:bCs/>
          <w:i w:val="0"/>
          <w:iCs w:val="0"/>
        </w:rPr>
      </w:pPr>
      <w:r w:rsidRPr="00A27436">
        <w:rPr>
          <w:rFonts w:asciiTheme="minorBidi" w:hAnsiTheme="minorBidi" w:cstheme="minorBidi"/>
          <w:b/>
          <w:bCs/>
          <w:i w:val="0"/>
          <w:iCs w:val="0"/>
        </w:rPr>
        <w:lastRenderedPageBreak/>
        <w:t>3</w:t>
      </w:r>
      <w:r w:rsidR="006B26A9" w:rsidRPr="00A27436">
        <w:rPr>
          <w:rFonts w:asciiTheme="minorBidi" w:hAnsiTheme="minorBidi" w:cstheme="minorBidi"/>
          <w:b/>
          <w:bCs/>
          <w:i w:val="0"/>
          <w:iCs w:val="0"/>
        </w:rPr>
        <w:t>.5</w:t>
      </w:r>
      <w:r w:rsidRPr="00A27436">
        <w:rPr>
          <w:rFonts w:asciiTheme="minorBidi" w:hAnsiTheme="minorBidi" w:cstheme="minorBidi"/>
          <w:b/>
          <w:bCs/>
          <w:i w:val="0"/>
          <w:iCs w:val="0"/>
        </w:rPr>
        <w:t xml:space="preserve"> </w:t>
      </w:r>
      <w:r w:rsidR="002F5C3B" w:rsidRPr="00A27436">
        <w:rPr>
          <w:rFonts w:asciiTheme="minorBidi" w:hAnsiTheme="minorBidi" w:cstheme="minorBidi"/>
          <w:b/>
          <w:bCs/>
          <w:i w:val="0"/>
          <w:iCs w:val="0"/>
        </w:rPr>
        <w:t>Budgeting and Budgetary Control</w:t>
      </w:r>
      <w:r w:rsidR="00AC3D43" w:rsidRPr="00A27436">
        <w:rPr>
          <w:rFonts w:asciiTheme="minorBidi" w:hAnsiTheme="minorBidi" w:cstheme="minorBidi"/>
          <w:b/>
          <w:bCs/>
          <w:i w:val="0"/>
          <w:iCs w:val="0"/>
        </w:rPr>
        <w:t>:</w:t>
      </w:r>
    </w:p>
    <w:p w14:paraId="2DCA7DAC" w14:textId="77777777" w:rsidR="00A350BD" w:rsidRPr="00A27436" w:rsidRDefault="00A350BD" w:rsidP="00A27436">
      <w:pPr>
        <w:spacing w:line="276" w:lineRule="auto"/>
        <w:jc w:val="both"/>
        <w:rPr>
          <w:rFonts w:asciiTheme="minorBidi" w:hAnsiTheme="minorBidi"/>
        </w:rPr>
      </w:pPr>
    </w:p>
    <w:p w14:paraId="78B0703D"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Budgeting is widely recognised as one of the most important tools in management accounting because it supports planning, coordination and control. A budget sets out expectations for a future period and helps managers direct organisational resources towards agreed objectives (Drury, 2021; Garrison, Noreen and Brewer, 2021). However, budgeting is not simply about producing numbers. For a budgeting system to be effective, it must operate within the right organisational conditions.</w:t>
      </w:r>
    </w:p>
    <w:p w14:paraId="23CEB9D7"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 xml:space="preserve">One essential condition is clear organisational objectives. Budgets are most useful when they are linked directly to strategy. If managers do not know what the business is trying to achieve, budgets may become mechanical exercises rather than meaningful planning tools. Kaplan and Norton (2004) argue that financial targets should be connected to wider strategic priorities, not treated separately. In the case of Silver Stitch Ltd, the objective is not only to remain profitable but also to eliminate the overdraft by the end of December. This means the budget must support both profitability and liquidity. </w:t>
      </w:r>
    </w:p>
    <w:p w14:paraId="4CBC3350" w14:textId="7305EFD0" w:rsidR="002F5C3B" w:rsidRPr="00A27436" w:rsidRDefault="002F5C3B" w:rsidP="00A27436">
      <w:pPr>
        <w:spacing w:line="276" w:lineRule="auto"/>
        <w:jc w:val="both"/>
        <w:rPr>
          <w:rFonts w:asciiTheme="minorBidi" w:hAnsiTheme="minorBidi"/>
        </w:rPr>
      </w:pPr>
    </w:p>
    <w:p w14:paraId="6B096578"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 second condition is strong management support. Senior managers must take budgeting seriously and use it actively in planning and control. If budgets are prepared only as a formality, staff may not view them as important. Drury (2021) notes that management commitment is vital because it influences the quality of information provided and the seriousness with which targets are monitored.</w:t>
      </w:r>
    </w:p>
    <w:p w14:paraId="62868B87"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 third condition is realistic target setting. Budgets should be challenging enough to motivate good performance, but not so unrealistic that employees lose confidence in them. This is particularly important because budgets can affect staff morale and behaviour. Unrealistic targets may create pressure, resistance or manipulation of figures rather than genuine performance improvement (</w:t>
      </w:r>
      <w:proofErr w:type="spellStart"/>
      <w:r w:rsidRPr="00A27436">
        <w:rPr>
          <w:rFonts w:asciiTheme="minorBidi" w:hAnsiTheme="minorBidi"/>
        </w:rPr>
        <w:t>Atrill</w:t>
      </w:r>
      <w:proofErr w:type="spellEnd"/>
      <w:r w:rsidRPr="00A27436">
        <w:rPr>
          <w:rFonts w:asciiTheme="minorBidi" w:hAnsiTheme="minorBidi"/>
        </w:rPr>
        <w:t xml:space="preserve"> and McLaney, 2021; Merchant and Van der Stede, 2017).</w:t>
      </w:r>
    </w:p>
    <w:p w14:paraId="48993380" w14:textId="54E77115" w:rsidR="00380814" w:rsidRPr="00A27436" w:rsidRDefault="00380814" w:rsidP="00A27436">
      <w:pPr>
        <w:spacing w:line="276" w:lineRule="auto"/>
        <w:jc w:val="both"/>
        <w:rPr>
          <w:rFonts w:asciiTheme="minorBidi" w:hAnsiTheme="minorBidi"/>
        </w:rPr>
      </w:pPr>
      <w:r w:rsidRPr="00A27436">
        <w:rPr>
          <w:rFonts w:asciiTheme="minorBidi" w:hAnsiTheme="minorBidi"/>
        </w:rPr>
        <w:t>Budgeting systems are often part of wider performance management frameworks that help organisations monitor objectives and evaluate managerial performance (Otley, 1999).</w:t>
      </w:r>
    </w:p>
    <w:p w14:paraId="5EA39946"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Communication is another key condition. Budgeting works best when departments share information openly. Sales staff, purchasing managers and finance teams all need to contribute accurate information so that the final budget reflects operational reality. Seal, Garrison and Noreen (2018) emphasise that budgets help coordinate departments, but only if the budgeting process itself involves effective communication and cooperation.</w:t>
      </w:r>
    </w:p>
    <w:p w14:paraId="453C0D76"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 xml:space="preserve">Budgetary control is the process of comparing actual performance with budgeted performance and then taking corrective action where necessary. This is important because a budget loses value if it is prepared and then ignored. Horner (2020) explains </w:t>
      </w:r>
      <w:r w:rsidRPr="00A27436">
        <w:rPr>
          <w:rFonts w:asciiTheme="minorBidi" w:hAnsiTheme="minorBidi"/>
        </w:rPr>
        <w:lastRenderedPageBreak/>
        <w:t>that variance analysis helps managers identify where performance differs from plan and decide whether action is needed. This means that budgeting is not a one-time exercise but an ongoing management process.</w:t>
      </w:r>
    </w:p>
    <w:p w14:paraId="2BDD4B73"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Critically, budgetary control is most effective when it is used to support learning rather than blame. If managers use variances only to criticise employees, staff may become defensive and less willing to provide honest information. In contrast, if variances are analysed constructively, they can help organisations improve forecasting, control spending and respond to change more effectively (Otley, 2016; Parker, 2012).</w:t>
      </w:r>
    </w:p>
    <w:p w14:paraId="63A43D9D"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Therefore, successful budgeting requires more than technical skill. It requires realistic planning, communication, management support and a culture that uses financial information intelligently.</w:t>
      </w:r>
    </w:p>
    <w:p w14:paraId="2EDC8AC6" w14:textId="0181EBE9" w:rsidR="002F5C3B" w:rsidRPr="00A27436" w:rsidRDefault="002F5C3B" w:rsidP="00A27436">
      <w:pPr>
        <w:spacing w:line="276" w:lineRule="auto"/>
        <w:jc w:val="both"/>
        <w:rPr>
          <w:rFonts w:asciiTheme="minorBidi" w:hAnsiTheme="minorBidi"/>
        </w:rPr>
      </w:pPr>
    </w:p>
    <w:p w14:paraId="6C024C56" w14:textId="6FA83F5D" w:rsidR="004F479D" w:rsidRPr="00A27436" w:rsidRDefault="0015210D" w:rsidP="00A27436">
      <w:pPr>
        <w:pStyle w:val="Heading9"/>
        <w:numPr>
          <w:ilvl w:val="1"/>
          <w:numId w:val="1"/>
        </w:numPr>
        <w:spacing w:line="276" w:lineRule="auto"/>
        <w:jc w:val="both"/>
        <w:rPr>
          <w:rFonts w:asciiTheme="minorBidi" w:hAnsiTheme="minorBidi" w:cstheme="minorBidi"/>
          <w:b/>
          <w:bCs/>
          <w:color w:val="auto"/>
        </w:rPr>
      </w:pPr>
      <w:r w:rsidRPr="00A27436">
        <w:rPr>
          <w:rFonts w:asciiTheme="minorBidi" w:hAnsiTheme="minorBidi" w:cstheme="minorBidi"/>
          <w:b/>
          <w:bCs/>
          <w:color w:val="auto"/>
        </w:rPr>
        <w:t xml:space="preserve"> </w:t>
      </w:r>
      <w:r w:rsidR="002F5C3B" w:rsidRPr="00A27436">
        <w:rPr>
          <w:rFonts w:asciiTheme="minorBidi" w:hAnsiTheme="minorBidi" w:cstheme="minorBidi"/>
          <w:b/>
          <w:bCs/>
          <w:color w:val="auto"/>
        </w:rPr>
        <w:t>Behavioural Issues in Budgeting</w:t>
      </w:r>
      <w:r w:rsidR="00AC3D43" w:rsidRPr="00A27436">
        <w:rPr>
          <w:rFonts w:asciiTheme="minorBidi" w:hAnsiTheme="minorBidi" w:cstheme="minorBidi"/>
          <w:b/>
          <w:bCs/>
          <w:color w:val="auto"/>
        </w:rPr>
        <w:t>:</w:t>
      </w:r>
    </w:p>
    <w:p w14:paraId="2CD915BE" w14:textId="77777777" w:rsidR="00242C63" w:rsidRPr="00A27436" w:rsidRDefault="00242C63" w:rsidP="00A27436">
      <w:pPr>
        <w:spacing w:line="276" w:lineRule="auto"/>
        <w:jc w:val="both"/>
        <w:rPr>
          <w:rFonts w:asciiTheme="minorBidi" w:hAnsiTheme="minorBidi"/>
        </w:rPr>
      </w:pPr>
    </w:p>
    <w:p w14:paraId="5C34246F"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Although budgeting offers many benefits, it also creates behavioural challenges. These issues are important because budgeting affects people’s responsibilities, targets and performance evaluation. If these human factors are ignored, even technically sound budgets may fail in practice (Drury, 2021; Merchant and Van der Stede, 2017).</w:t>
      </w:r>
    </w:p>
    <w:p w14:paraId="5766AF68"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One common problem is budgetary slack. This happens when managers deliberately underestimate revenues or overestimate costs so that budget targets become easier to achieve. While this may protect individual managers from criticism, it reduces the accuracy and usefulness of the budget as a planning tool (Drury, 2021). Budgetary slack shows that budgeting is not purely a numerical activity; it is also influenced by incentives, trust and organisational culture.</w:t>
      </w:r>
    </w:p>
    <w:p w14:paraId="19641701"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 second behavioural issue is resistance to budgeting. Some employees see budgets as restrictive or controlling, particularly if they feel that budgets are imposed from above without consultation. This can reduce commitment and lower the quality of information provided during the budgeting process (Seal, Garrison and Noreen, 2018). Involving managers and staff in budget preparation can reduce resistance because participation usually improves acceptance and ownership of targets (</w:t>
      </w:r>
      <w:proofErr w:type="spellStart"/>
      <w:r w:rsidRPr="00A27436">
        <w:rPr>
          <w:rFonts w:asciiTheme="minorBidi" w:hAnsiTheme="minorBidi"/>
        </w:rPr>
        <w:t>Atrill</w:t>
      </w:r>
      <w:proofErr w:type="spellEnd"/>
      <w:r w:rsidRPr="00A27436">
        <w:rPr>
          <w:rFonts w:asciiTheme="minorBidi" w:hAnsiTheme="minorBidi"/>
        </w:rPr>
        <w:t xml:space="preserve"> and McLaney, 2021).</w:t>
      </w:r>
    </w:p>
    <w:p w14:paraId="2FD33C42"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 third issue is the effect of unrealistic targets on motivation. If targets are too difficult, employees may feel that effort is pointless. If targets are too easy, performance may not improve. This means motivation depends not only on having targets, but on having credible and balanced targets. This reflects wider management control theory, which suggests that performance systems are more effective when they are perceived as fair and achievable (Merchant and Van der Stede, 2017; Kaplan and Atkinson, 2015).</w:t>
      </w:r>
    </w:p>
    <w:p w14:paraId="55BB80F9"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lastRenderedPageBreak/>
        <w:t>A fourth behavioural issue is short-termism. Budget-based performance measures may encourage managers to focus on short-term results at the expense of long-term value. For example, a manager may delay staff training, reduce marketing or postpone maintenance just to meet the current budget. While this may improve short-term results, it can damage future performance (Horner, 2020; Soin and Collier, 2013).</w:t>
      </w:r>
    </w:p>
    <w:p w14:paraId="154FB7DC"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For these reasons, organisations should design budgeting systems that balance control with flexibility. Participation, realistic targets and supportive performance review processes can help reduce dysfunctional behaviour and improve the quality of budgeting.</w:t>
      </w:r>
    </w:p>
    <w:p w14:paraId="2E4D3FE0" w14:textId="0DE0BB66" w:rsidR="002F5C3B" w:rsidRPr="00A27436" w:rsidRDefault="002F5C3B" w:rsidP="00A27436">
      <w:pPr>
        <w:spacing w:line="276" w:lineRule="auto"/>
        <w:jc w:val="both"/>
        <w:rPr>
          <w:rFonts w:asciiTheme="minorBidi" w:hAnsiTheme="minorBidi"/>
        </w:rPr>
      </w:pPr>
    </w:p>
    <w:p w14:paraId="64983CC1" w14:textId="0C2528C3" w:rsidR="002F5C3B" w:rsidRPr="00A27436" w:rsidRDefault="00B96EFA" w:rsidP="00A27436">
      <w:pPr>
        <w:pStyle w:val="Heading1"/>
        <w:spacing w:line="276" w:lineRule="auto"/>
        <w:jc w:val="both"/>
        <w:rPr>
          <w:rFonts w:asciiTheme="minorBidi" w:hAnsiTheme="minorBidi" w:cstheme="minorBidi"/>
          <w:b/>
          <w:bCs/>
          <w:color w:val="auto"/>
          <w:sz w:val="24"/>
          <w:szCs w:val="24"/>
        </w:rPr>
      </w:pPr>
      <w:r w:rsidRPr="00A27436">
        <w:rPr>
          <w:rFonts w:asciiTheme="minorBidi" w:hAnsiTheme="minorBidi" w:cstheme="minorBidi"/>
          <w:b/>
          <w:bCs/>
          <w:color w:val="auto"/>
          <w:sz w:val="24"/>
          <w:szCs w:val="24"/>
        </w:rPr>
        <w:t xml:space="preserve">  </w:t>
      </w:r>
      <w:r w:rsidR="00FA54C5" w:rsidRPr="00A27436">
        <w:rPr>
          <w:rFonts w:asciiTheme="minorBidi" w:hAnsiTheme="minorBidi" w:cstheme="minorBidi"/>
          <w:b/>
          <w:bCs/>
          <w:color w:val="auto"/>
          <w:sz w:val="24"/>
          <w:szCs w:val="24"/>
        </w:rPr>
        <w:t>3</w:t>
      </w:r>
      <w:r w:rsidR="005036EB" w:rsidRPr="00A27436">
        <w:rPr>
          <w:rFonts w:asciiTheme="minorBidi" w:hAnsiTheme="minorBidi" w:cstheme="minorBidi"/>
          <w:b/>
          <w:bCs/>
          <w:color w:val="auto"/>
          <w:sz w:val="24"/>
          <w:szCs w:val="24"/>
        </w:rPr>
        <w:t>.7</w:t>
      </w:r>
      <w:r w:rsidR="00FA54C5" w:rsidRPr="00A27436">
        <w:rPr>
          <w:rFonts w:asciiTheme="minorBidi" w:hAnsiTheme="minorBidi" w:cstheme="minorBidi"/>
          <w:b/>
          <w:bCs/>
          <w:color w:val="auto"/>
          <w:sz w:val="24"/>
          <w:szCs w:val="24"/>
        </w:rPr>
        <w:t xml:space="preserve"> </w:t>
      </w:r>
      <w:r w:rsidR="002F5C3B" w:rsidRPr="00A27436">
        <w:rPr>
          <w:rFonts w:asciiTheme="minorBidi" w:hAnsiTheme="minorBidi" w:cstheme="minorBidi"/>
          <w:b/>
          <w:bCs/>
          <w:color w:val="auto"/>
          <w:sz w:val="24"/>
          <w:szCs w:val="24"/>
        </w:rPr>
        <w:t>Critical Evaluation of Traditional Budgeting</w:t>
      </w:r>
      <w:r w:rsidR="00AC3D43" w:rsidRPr="00A27436">
        <w:rPr>
          <w:rFonts w:asciiTheme="minorBidi" w:hAnsiTheme="minorBidi" w:cstheme="minorBidi"/>
          <w:b/>
          <w:bCs/>
          <w:color w:val="auto"/>
          <w:sz w:val="24"/>
          <w:szCs w:val="24"/>
        </w:rPr>
        <w:t>:</w:t>
      </w:r>
      <w:r w:rsidRPr="00A27436">
        <w:rPr>
          <w:rFonts w:asciiTheme="minorBidi" w:hAnsiTheme="minorBidi" w:cstheme="minorBidi"/>
          <w:b/>
          <w:bCs/>
          <w:color w:val="auto"/>
          <w:sz w:val="24"/>
          <w:szCs w:val="24"/>
        </w:rPr>
        <w:t xml:space="preserve"> </w:t>
      </w:r>
    </w:p>
    <w:p w14:paraId="544BBAC6" w14:textId="77777777" w:rsidR="00B96EFA" w:rsidRPr="00A27436" w:rsidRDefault="00B96EFA" w:rsidP="00A27436">
      <w:pPr>
        <w:spacing w:line="276" w:lineRule="auto"/>
        <w:jc w:val="both"/>
        <w:rPr>
          <w:rFonts w:asciiTheme="minorBidi" w:hAnsiTheme="minorBidi"/>
        </w:rPr>
      </w:pPr>
    </w:p>
    <w:p w14:paraId="3F5FA3C9"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Traditional budgeting has been used for many years and remains common in many organisations. It usually involves preparing an annual budget based on historical data, expected future activity and agreed financial targets. This approach has several strengths. It provides structure, supports planning and offers a clear basis for control and accountability (Drury, 2021; Weetman, 2019). For businesses such as Silver Stitch Ltd, a traditional budget is useful because it helps quantify expected performance and highlight financial risks.</w:t>
      </w:r>
    </w:p>
    <w:p w14:paraId="531B3088"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However, traditional budgeting also has important weaknesses, especially in a fast-changing business environment. One major criticism is that it can be too time-consuming. Preparing detailed annual budgets often requires a large amount of managerial time and effort. Hansen, Otley and Van der Stede (2003) note that budgeting processes can become bureaucratic and consume resources without always improving decisions. This raises the question of whether the value of the budget always justifies the time spent preparing it.</w:t>
      </w:r>
    </w:p>
    <w:p w14:paraId="5521BB6E"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A second criticism is rigidity. Annual budgets are based on assumptions made in advance, but market conditions can change quickly. Retail businesses are especially affected by changing consumer preferences, competition and economic conditions. A fixed annual budget may therefore become outdated before the year ends (</w:t>
      </w:r>
      <w:proofErr w:type="spellStart"/>
      <w:r w:rsidRPr="00A27436">
        <w:rPr>
          <w:rFonts w:asciiTheme="minorBidi" w:hAnsiTheme="minorBidi"/>
        </w:rPr>
        <w:t>Atrill</w:t>
      </w:r>
      <w:proofErr w:type="spellEnd"/>
      <w:r w:rsidRPr="00A27436">
        <w:rPr>
          <w:rFonts w:asciiTheme="minorBidi" w:hAnsiTheme="minorBidi"/>
        </w:rPr>
        <w:t xml:space="preserve"> and McLaney, 2021; Horner, 2020). This is a serious limitation because managers may continue to follow targets that no longer reflect business reality.</w:t>
      </w:r>
    </w:p>
    <w:p w14:paraId="0A2045A1" w14:textId="458B3B5C" w:rsidR="002F5C3B" w:rsidRPr="00A27436" w:rsidRDefault="002F5C3B" w:rsidP="00A27436">
      <w:pPr>
        <w:spacing w:line="276" w:lineRule="auto"/>
        <w:jc w:val="both"/>
        <w:rPr>
          <w:rFonts w:asciiTheme="minorBidi" w:hAnsiTheme="minorBidi"/>
        </w:rPr>
      </w:pPr>
      <w:r w:rsidRPr="00A27436">
        <w:rPr>
          <w:rFonts w:asciiTheme="minorBidi" w:hAnsiTheme="minorBidi"/>
        </w:rPr>
        <w:t>A third criticism is that traditional budgets often rely heavily on historical data. While past performance can be useful, it does not always provide a strong basis for future decisions. This can encourage incremental thinking, where managers simply adjust last year’s figures rather than questioning whether spending patterns are still appropriate (Seal, Garrison and Noreen, 2018;</w:t>
      </w:r>
      <w:r w:rsidR="005F02E7" w:rsidRPr="00A27436">
        <w:rPr>
          <w:rFonts w:asciiTheme="minorBidi" w:hAnsiTheme="minorBidi"/>
        </w:rPr>
        <w:t xml:space="preserve"> </w:t>
      </w:r>
      <w:r w:rsidR="005F02E7" w:rsidRPr="00A27436">
        <w:rPr>
          <w:rFonts w:asciiTheme="minorBidi" w:hAnsiTheme="minorBidi"/>
        </w:rPr>
        <w:t>Bhimani et al., 2019</w:t>
      </w:r>
      <w:r w:rsidRPr="00A27436">
        <w:rPr>
          <w:rFonts w:asciiTheme="minorBidi" w:hAnsiTheme="minorBidi"/>
        </w:rPr>
        <w:t>). In dynamic markets, this may reduce innovation and slow strategic change.</w:t>
      </w:r>
    </w:p>
    <w:p w14:paraId="06A6C41E" w14:textId="2B0AB853" w:rsidR="000726E7" w:rsidRPr="00A27436" w:rsidRDefault="009C070F" w:rsidP="00A27436">
      <w:pPr>
        <w:spacing w:line="276" w:lineRule="auto"/>
        <w:jc w:val="both"/>
        <w:rPr>
          <w:rFonts w:asciiTheme="minorBidi" w:hAnsiTheme="minorBidi"/>
        </w:rPr>
      </w:pPr>
      <w:r w:rsidRPr="00A27436">
        <w:rPr>
          <w:rFonts w:asciiTheme="minorBidi" w:hAnsiTheme="minorBidi"/>
        </w:rPr>
        <w:lastRenderedPageBreak/>
        <w:t>Recent studies suggest that many organisations are reconsidering traditional budgeting systems and exploring more flexible approaches to financial planning and performance management (Libby and Lindsay, 2010).</w:t>
      </w:r>
    </w:p>
    <w:p w14:paraId="131BDCBA"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Traditional budgeting may also encourage dysfunctional behaviour. If performance evaluation is strongly linked to budget achievement, managers may focus on meeting targets rather than making the best long-term decisions for the business. This can lead to budgetary slack, short-termism and underinvestment in areas such as training, technology or customer development (Merchant and Van der Stede, 2017; Hope and Fraser, 2003).</w:t>
      </w:r>
    </w:p>
    <w:p w14:paraId="2EEF77A1"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Because of these weaknesses, many organisations have explored alternatives. One alternative is rolling forecasting, which updates forecasts regularly throughout the year rather than relying on a single annual plan. This can improve responsiveness because managers can revise expectations as conditions change (Shim and Siegel, 2018). Another approach is beyond budgeting, which argues for more adaptive and decentralised performance management systems. Hope and Fraser (2003) suggest that organisations should move away from rigid annual budget targets and towards more flexible forms of planning and control.</w:t>
      </w:r>
    </w:p>
    <w:p w14:paraId="5A192CE1" w14:textId="1CE68D19" w:rsidR="00571D6C" w:rsidRPr="00A27436" w:rsidRDefault="00571D6C" w:rsidP="00A27436">
      <w:pPr>
        <w:spacing w:line="276" w:lineRule="auto"/>
        <w:jc w:val="both"/>
        <w:rPr>
          <w:rFonts w:asciiTheme="minorBidi" w:hAnsiTheme="minorBidi"/>
        </w:rPr>
      </w:pPr>
      <w:r w:rsidRPr="00A27436">
        <w:rPr>
          <w:rFonts w:asciiTheme="minorBidi" w:hAnsiTheme="minorBidi"/>
        </w:rPr>
        <w:t>A further weakness is that traditional budgeting can reduce organisational agility. When managers are evaluated mainly on their ability to meet fixed budget targets, they may become reluctant to adapt quickly to new opportunities or changing market conditions. As a result, budgeting systems designed to improve control may unintentionally restrict strategic responsiveness (Hope and Fraser, 2003; Hansen, Otley and Van der Stede, 2003).</w:t>
      </w:r>
    </w:p>
    <w:p w14:paraId="33CD2DD6" w14:textId="77777777" w:rsidR="002F5C3B" w:rsidRPr="00A27436" w:rsidRDefault="002F5C3B" w:rsidP="00A27436">
      <w:pPr>
        <w:spacing w:line="276" w:lineRule="auto"/>
        <w:jc w:val="both"/>
        <w:rPr>
          <w:rFonts w:asciiTheme="minorBidi" w:hAnsiTheme="minorBidi"/>
        </w:rPr>
      </w:pPr>
      <w:r w:rsidRPr="00A27436">
        <w:rPr>
          <w:rFonts w:asciiTheme="minorBidi" w:hAnsiTheme="minorBidi"/>
        </w:rPr>
        <w:t>Even so, traditional budgeting should not be dismissed completely. It still offers useful discipline, structure and accountability. The real issue is not whether traditional budgeting is entirely good or bad, but whether it is sufficient on its own. In many cases, organisations may benefit from keeping the structure of budgeting while combining it with more flexible tools such as rolling forecasts, variance analysis and regular review meetings (Drury, 2021; CIMA, 2022).</w:t>
      </w:r>
    </w:p>
    <w:p w14:paraId="493C0790" w14:textId="6FAD7714" w:rsidR="00576F98" w:rsidRPr="00A27436" w:rsidRDefault="002F5C3B" w:rsidP="00A27436">
      <w:pPr>
        <w:spacing w:line="276" w:lineRule="auto"/>
        <w:jc w:val="both"/>
        <w:rPr>
          <w:rFonts w:asciiTheme="minorBidi" w:hAnsiTheme="minorBidi"/>
        </w:rPr>
      </w:pPr>
      <w:r w:rsidRPr="00A27436">
        <w:rPr>
          <w:rFonts w:asciiTheme="minorBidi" w:hAnsiTheme="minorBidi"/>
        </w:rPr>
        <w:t>In the case of Silver Stitch Ltd, traditional budgeting is useful because it clearly reveals the company’s expected profit, stock levels and cash pressures. However, given the small cash surpluses in some months and the pressure to eliminate the overdraft, the company would also benefit from more frequent review and updating of forecasts. This would make the budgeting system more responsive and more strategically useful.</w:t>
      </w:r>
    </w:p>
    <w:p w14:paraId="3726571D" w14:textId="77777777" w:rsidR="007E3A9B" w:rsidRPr="00A27436" w:rsidRDefault="007E3A9B" w:rsidP="00A27436">
      <w:pPr>
        <w:spacing w:line="276" w:lineRule="auto"/>
        <w:jc w:val="both"/>
        <w:rPr>
          <w:rFonts w:asciiTheme="minorBidi" w:hAnsiTheme="minorBidi"/>
        </w:rPr>
      </w:pPr>
    </w:p>
    <w:p w14:paraId="026F09CD" w14:textId="77777777" w:rsidR="007E3A9B" w:rsidRPr="00A27436" w:rsidRDefault="007E3A9B" w:rsidP="00A27436">
      <w:pPr>
        <w:spacing w:line="276" w:lineRule="auto"/>
        <w:jc w:val="both"/>
        <w:rPr>
          <w:rFonts w:asciiTheme="minorBidi" w:hAnsiTheme="minorBidi"/>
        </w:rPr>
      </w:pPr>
    </w:p>
    <w:p w14:paraId="04F1545D" w14:textId="77777777" w:rsidR="007E3A9B" w:rsidRPr="00A27436" w:rsidRDefault="007E3A9B" w:rsidP="00A27436">
      <w:pPr>
        <w:spacing w:line="276" w:lineRule="auto"/>
        <w:jc w:val="both"/>
        <w:rPr>
          <w:rFonts w:asciiTheme="minorBidi" w:hAnsiTheme="minorBidi"/>
        </w:rPr>
      </w:pPr>
    </w:p>
    <w:p w14:paraId="6F0C98DB" w14:textId="77777777" w:rsidR="004D6AF6" w:rsidRPr="00A27436" w:rsidRDefault="004D6AF6" w:rsidP="00A27436">
      <w:pPr>
        <w:spacing w:line="276" w:lineRule="auto"/>
        <w:jc w:val="both"/>
        <w:rPr>
          <w:rFonts w:asciiTheme="minorBidi" w:hAnsiTheme="minorBidi"/>
        </w:rPr>
      </w:pPr>
    </w:p>
    <w:p w14:paraId="2C01BA3F" w14:textId="77777777" w:rsidR="004D6AF6" w:rsidRPr="00A27436" w:rsidRDefault="004D6AF6" w:rsidP="00A27436">
      <w:pPr>
        <w:spacing w:line="276" w:lineRule="auto"/>
        <w:jc w:val="both"/>
        <w:rPr>
          <w:rFonts w:asciiTheme="minorBidi" w:hAnsiTheme="minorBidi"/>
        </w:rPr>
      </w:pPr>
    </w:p>
    <w:p w14:paraId="73689B29" w14:textId="77777777" w:rsidR="004D6AF6" w:rsidRPr="00A27436" w:rsidRDefault="004D6AF6" w:rsidP="00A27436">
      <w:pPr>
        <w:spacing w:line="276" w:lineRule="auto"/>
        <w:jc w:val="both"/>
        <w:rPr>
          <w:rFonts w:asciiTheme="minorBidi" w:hAnsiTheme="minorBidi"/>
        </w:rPr>
      </w:pPr>
    </w:p>
    <w:p w14:paraId="0BAE3E59" w14:textId="77777777" w:rsidR="00767BBC" w:rsidRPr="00A27436" w:rsidRDefault="00767BBC" w:rsidP="00A27436">
      <w:pPr>
        <w:spacing w:line="276" w:lineRule="auto"/>
        <w:jc w:val="both"/>
        <w:rPr>
          <w:rFonts w:asciiTheme="minorBidi" w:hAnsiTheme="minorBidi"/>
        </w:rPr>
      </w:pPr>
    </w:p>
    <w:p w14:paraId="71BA6C69" w14:textId="45CD2BE3" w:rsidR="00B03E9B" w:rsidRPr="00A27436" w:rsidRDefault="008475EF" w:rsidP="00A27436">
      <w:pPr>
        <w:pStyle w:val="Heading4"/>
        <w:numPr>
          <w:ilvl w:val="0"/>
          <w:numId w:val="1"/>
        </w:numPr>
        <w:spacing w:line="276" w:lineRule="auto"/>
        <w:jc w:val="both"/>
        <w:rPr>
          <w:rFonts w:asciiTheme="minorBidi" w:hAnsiTheme="minorBidi" w:cstheme="minorBidi"/>
          <w:b/>
          <w:bCs/>
          <w:i w:val="0"/>
          <w:iCs w:val="0"/>
          <w:color w:val="auto"/>
        </w:rPr>
      </w:pPr>
      <w:r w:rsidRPr="00A27436">
        <w:rPr>
          <w:rFonts w:asciiTheme="minorBidi" w:hAnsiTheme="minorBidi" w:cstheme="minorBidi"/>
          <w:b/>
          <w:bCs/>
          <w:i w:val="0"/>
          <w:iCs w:val="0"/>
          <w:color w:val="auto"/>
        </w:rPr>
        <w:t xml:space="preserve"> </w:t>
      </w:r>
      <w:r w:rsidR="00467910" w:rsidRPr="00A27436">
        <w:rPr>
          <w:rFonts w:asciiTheme="minorBidi" w:hAnsiTheme="minorBidi" w:cstheme="minorBidi"/>
          <w:b/>
          <w:bCs/>
          <w:i w:val="0"/>
          <w:iCs w:val="0"/>
          <w:color w:val="auto"/>
        </w:rPr>
        <w:t xml:space="preserve"> </w:t>
      </w:r>
      <w:r w:rsidR="002F5C3B" w:rsidRPr="00A27436">
        <w:rPr>
          <w:rFonts w:asciiTheme="minorBidi" w:hAnsiTheme="minorBidi" w:cstheme="minorBidi"/>
          <w:b/>
          <w:bCs/>
          <w:i w:val="0"/>
          <w:iCs w:val="0"/>
          <w:color w:val="auto"/>
        </w:rPr>
        <w:t>Conclusion</w:t>
      </w:r>
      <w:r w:rsidR="00283131" w:rsidRPr="00A27436">
        <w:rPr>
          <w:rFonts w:asciiTheme="minorBidi" w:hAnsiTheme="minorBidi" w:cstheme="minorBidi"/>
          <w:b/>
          <w:bCs/>
          <w:i w:val="0"/>
          <w:iCs w:val="0"/>
          <w:color w:val="auto"/>
        </w:rPr>
        <w:t>:</w:t>
      </w:r>
    </w:p>
    <w:p w14:paraId="76158C77" w14:textId="77777777" w:rsidR="004F479D" w:rsidRPr="00A27436" w:rsidRDefault="004F479D" w:rsidP="00A27436">
      <w:pPr>
        <w:spacing w:line="276" w:lineRule="auto"/>
        <w:jc w:val="both"/>
        <w:rPr>
          <w:rFonts w:asciiTheme="minorBidi" w:hAnsiTheme="minorBidi"/>
        </w:rPr>
      </w:pPr>
    </w:p>
    <w:p w14:paraId="05FBD8C5" w14:textId="77777777" w:rsidR="00AF259D" w:rsidRPr="00A27436" w:rsidRDefault="00AF259D" w:rsidP="00A27436">
      <w:pPr>
        <w:spacing w:line="276" w:lineRule="auto"/>
        <w:jc w:val="both"/>
        <w:rPr>
          <w:rFonts w:asciiTheme="minorBidi" w:hAnsiTheme="minorBidi"/>
        </w:rPr>
      </w:pPr>
      <w:r w:rsidRPr="00A27436">
        <w:rPr>
          <w:rFonts w:asciiTheme="minorBidi" w:hAnsiTheme="minorBidi"/>
        </w:rPr>
        <w:t>This report analysed the budgeting principles and financial planning of Silver Stitch Ltd for the six-month period ending 31 December. The stock budget, cash budget and budgeted profit and loss account provided important insights into the company’s expected financial performance. The results show that the company is expected to remain profitable, but profitability alone does not remove financial risk.</w:t>
      </w:r>
    </w:p>
    <w:p w14:paraId="29B7AA73" w14:textId="77777777" w:rsidR="00AF259D" w:rsidRPr="00A27436" w:rsidRDefault="00AF259D" w:rsidP="00A27436">
      <w:pPr>
        <w:spacing w:line="276" w:lineRule="auto"/>
        <w:jc w:val="both"/>
        <w:rPr>
          <w:rFonts w:asciiTheme="minorBidi" w:hAnsiTheme="minorBidi"/>
        </w:rPr>
      </w:pPr>
      <w:r w:rsidRPr="00A27436">
        <w:rPr>
          <w:rFonts w:asciiTheme="minorBidi" w:hAnsiTheme="minorBidi"/>
        </w:rPr>
        <w:t>The analysis identified several important challenges. These include limited liquidity, increasing stock levels, regular loan repayments and the short-term pressure created by refurbishment and taxation payments. These findings demonstrate that effective financial management requires not only profitability but also strong control over cash flow, working capital and expenditure.</w:t>
      </w:r>
    </w:p>
    <w:p w14:paraId="0612D00D" w14:textId="77777777" w:rsidR="00AF259D" w:rsidRPr="00A27436" w:rsidRDefault="00AF259D" w:rsidP="00A27436">
      <w:pPr>
        <w:spacing w:line="276" w:lineRule="auto"/>
        <w:jc w:val="both"/>
        <w:rPr>
          <w:rFonts w:asciiTheme="minorBidi" w:hAnsiTheme="minorBidi"/>
        </w:rPr>
      </w:pPr>
      <w:r w:rsidRPr="00A27436">
        <w:rPr>
          <w:rFonts w:asciiTheme="minorBidi" w:hAnsiTheme="minorBidi"/>
        </w:rPr>
        <w:t>The report also showed that budgeting and budgetary control are essential tools for planning and performance monitoring. However, successful budgeting depends on realistic targets, management support, good communication and constructive use of variance analysis. Behavioural issues such as budgetary slack, resistance and short-term decision-making must also be recognised because they can reduce the effectiveness of budgeting systems.</w:t>
      </w:r>
    </w:p>
    <w:p w14:paraId="1AC44723" w14:textId="77777777" w:rsidR="00AF259D" w:rsidRPr="00A27436" w:rsidRDefault="00AF259D" w:rsidP="00A27436">
      <w:pPr>
        <w:spacing w:line="276" w:lineRule="auto"/>
        <w:jc w:val="both"/>
        <w:rPr>
          <w:rFonts w:asciiTheme="minorBidi" w:hAnsiTheme="minorBidi"/>
        </w:rPr>
      </w:pPr>
      <w:r w:rsidRPr="00A27436">
        <w:rPr>
          <w:rFonts w:asciiTheme="minorBidi" w:hAnsiTheme="minorBidi"/>
        </w:rPr>
        <w:t>Furthermore, the evaluation of traditional budgeting highlights that although it provides structure and financial discipline, it may be too rigid in a fast-changing business environment. Organisations that rely solely on fixed annual budgets may struggle to respond quickly to changing market conditions.</w:t>
      </w:r>
    </w:p>
    <w:p w14:paraId="76E9B6F8" w14:textId="77777777" w:rsidR="00AF259D" w:rsidRPr="00A27436" w:rsidRDefault="00AF259D" w:rsidP="00A27436">
      <w:pPr>
        <w:spacing w:line="276" w:lineRule="auto"/>
        <w:jc w:val="both"/>
        <w:rPr>
          <w:rFonts w:asciiTheme="minorBidi" w:hAnsiTheme="minorBidi"/>
        </w:rPr>
      </w:pPr>
      <w:proofErr w:type="gramStart"/>
      <w:r w:rsidRPr="00A27436">
        <w:rPr>
          <w:rFonts w:asciiTheme="minorBidi" w:hAnsiTheme="minorBidi"/>
        </w:rPr>
        <w:t>In light of</w:t>
      </w:r>
      <w:proofErr w:type="gramEnd"/>
      <w:r w:rsidRPr="00A27436">
        <w:rPr>
          <w:rFonts w:asciiTheme="minorBidi" w:hAnsiTheme="minorBidi"/>
        </w:rPr>
        <w:t xml:space="preserve"> these findings, two key recommendations can be made for Silver Stitch Ltd. First, management should strengthen working capital management by reviewing stock purchasing policies and avoiding excessive growth in inventory levels, which would help reduce the amount of cash tied up in stock and improve liquidity. Second, the company should introduce more frequent financial monitoring, such as rolling cash flow forecasts and regular budget reviews, </w:t>
      </w:r>
      <w:proofErr w:type="gramStart"/>
      <w:r w:rsidRPr="00A27436">
        <w:rPr>
          <w:rFonts w:asciiTheme="minorBidi" w:hAnsiTheme="minorBidi"/>
        </w:rPr>
        <w:t>in order to</w:t>
      </w:r>
      <w:proofErr w:type="gramEnd"/>
      <w:r w:rsidRPr="00A27436">
        <w:rPr>
          <w:rFonts w:asciiTheme="minorBidi" w:hAnsiTheme="minorBidi"/>
        </w:rPr>
        <w:t xml:space="preserve"> respond quickly to financial changes and ensure that the overdraft can be eliminated by the end of December.</w:t>
      </w:r>
    </w:p>
    <w:p w14:paraId="7F1D3D34" w14:textId="77777777" w:rsidR="00AF259D" w:rsidRPr="00A27436" w:rsidRDefault="00AF259D" w:rsidP="00A27436">
      <w:pPr>
        <w:spacing w:line="276" w:lineRule="auto"/>
        <w:jc w:val="both"/>
        <w:rPr>
          <w:rFonts w:asciiTheme="minorBidi" w:hAnsiTheme="minorBidi"/>
        </w:rPr>
      </w:pPr>
      <w:r w:rsidRPr="00A27436">
        <w:rPr>
          <w:rFonts w:asciiTheme="minorBidi" w:hAnsiTheme="minorBidi"/>
        </w:rPr>
        <w:t>Overall, effective budgeting and financial planning remain essential for the financial stability and long-term success of Silver Stitch Ltd. By combining traditional budgeting with stronger financial monitoring and improved working capital control, the company will be better positioned to manage financial risk and support sustainable business growth.</w:t>
      </w:r>
    </w:p>
    <w:p w14:paraId="2B2BBD0C" w14:textId="77777777" w:rsidR="00015347" w:rsidRPr="00A27436" w:rsidRDefault="00015347" w:rsidP="00A27436">
      <w:pPr>
        <w:spacing w:line="276" w:lineRule="auto"/>
        <w:jc w:val="both"/>
        <w:rPr>
          <w:rFonts w:asciiTheme="minorBidi" w:hAnsiTheme="minorBidi"/>
        </w:rPr>
      </w:pPr>
    </w:p>
    <w:p w14:paraId="09C13965" w14:textId="25F7D09C" w:rsidR="000D26B5" w:rsidRPr="00A27436" w:rsidRDefault="000D26B5" w:rsidP="00A27436">
      <w:pPr>
        <w:pStyle w:val="TOCHeading"/>
        <w:spacing w:line="276" w:lineRule="auto"/>
        <w:jc w:val="both"/>
        <w:rPr>
          <w:rFonts w:asciiTheme="minorBidi" w:hAnsiTheme="minorBidi" w:cstheme="minorBidi"/>
          <w:sz w:val="24"/>
          <w:szCs w:val="24"/>
        </w:rPr>
      </w:pPr>
    </w:p>
    <w:p w14:paraId="4B3E21AD" w14:textId="4FB1F0BC" w:rsidR="002F5C3B" w:rsidRPr="00A27436" w:rsidRDefault="00D64470" w:rsidP="00A27436">
      <w:pPr>
        <w:pStyle w:val="Heading5"/>
        <w:numPr>
          <w:ilvl w:val="0"/>
          <w:numId w:val="1"/>
        </w:numPr>
        <w:spacing w:line="276" w:lineRule="auto"/>
        <w:jc w:val="both"/>
        <w:rPr>
          <w:rFonts w:asciiTheme="minorBidi" w:hAnsiTheme="minorBidi" w:cstheme="minorBidi"/>
          <w:b/>
          <w:bCs/>
          <w:color w:val="auto"/>
        </w:rPr>
      </w:pPr>
      <w:r w:rsidRPr="00A27436">
        <w:rPr>
          <w:rFonts w:asciiTheme="minorBidi" w:hAnsiTheme="minorBidi" w:cstheme="minorBidi"/>
          <w:b/>
          <w:bCs/>
          <w:color w:val="auto"/>
        </w:rPr>
        <w:t xml:space="preserve">References </w:t>
      </w:r>
      <w:r w:rsidR="006123A7" w:rsidRPr="00A27436">
        <w:rPr>
          <w:rFonts w:asciiTheme="minorBidi" w:hAnsiTheme="minorBidi" w:cstheme="minorBidi"/>
          <w:b/>
          <w:bCs/>
          <w:color w:val="auto"/>
        </w:rPr>
        <w:t>list:</w:t>
      </w:r>
    </w:p>
    <w:p w14:paraId="18C61A1D" w14:textId="77777777" w:rsidR="003B3DF2" w:rsidRPr="005E1DD7" w:rsidRDefault="003B3DF2" w:rsidP="003B3DF2">
      <w:pPr>
        <w:spacing w:line="276" w:lineRule="auto"/>
        <w:rPr>
          <w:rFonts w:asciiTheme="minorBidi" w:hAnsiTheme="minorBidi"/>
        </w:rPr>
      </w:pPr>
    </w:p>
    <w:p w14:paraId="02E48AE7" w14:textId="77777777" w:rsidR="003B3DF2" w:rsidRPr="003B3DF2" w:rsidRDefault="003B3DF2" w:rsidP="003B3DF2">
      <w:pPr>
        <w:spacing w:line="276" w:lineRule="auto"/>
        <w:rPr>
          <w:rFonts w:asciiTheme="minorBidi" w:hAnsiTheme="minorBidi"/>
        </w:rPr>
      </w:pPr>
      <w:proofErr w:type="spellStart"/>
      <w:r w:rsidRPr="003B3DF2">
        <w:rPr>
          <w:rFonts w:asciiTheme="minorBidi" w:hAnsiTheme="minorBidi"/>
        </w:rPr>
        <w:t>Atrill</w:t>
      </w:r>
      <w:proofErr w:type="spellEnd"/>
      <w:r w:rsidRPr="003B3DF2">
        <w:rPr>
          <w:rFonts w:asciiTheme="minorBidi" w:hAnsiTheme="minorBidi"/>
        </w:rPr>
        <w:t xml:space="preserve">, P. and McLaney, E. (2018) </w:t>
      </w:r>
      <w:r w:rsidRPr="003B3DF2">
        <w:rPr>
          <w:rFonts w:asciiTheme="minorBidi" w:hAnsiTheme="minorBidi"/>
          <w:i/>
          <w:iCs/>
        </w:rPr>
        <w:t>Accounting and finance for non-specialists</w:t>
      </w:r>
      <w:r w:rsidRPr="003B3DF2">
        <w:rPr>
          <w:rFonts w:asciiTheme="minorBidi" w:hAnsiTheme="minorBidi"/>
        </w:rPr>
        <w:t xml:space="preserve">. 11th </w:t>
      </w:r>
      <w:proofErr w:type="spellStart"/>
      <w:r w:rsidRPr="003B3DF2">
        <w:rPr>
          <w:rFonts w:asciiTheme="minorBidi" w:hAnsiTheme="minorBidi"/>
        </w:rPr>
        <w:t>edn</w:t>
      </w:r>
      <w:proofErr w:type="spellEnd"/>
      <w:r w:rsidRPr="003B3DF2">
        <w:rPr>
          <w:rFonts w:asciiTheme="minorBidi" w:hAnsiTheme="minorBidi"/>
        </w:rPr>
        <w:t>. Harlow: Pearson.</w:t>
      </w:r>
    </w:p>
    <w:p w14:paraId="14B17485" w14:textId="77777777" w:rsidR="003B3DF2" w:rsidRPr="003B3DF2" w:rsidRDefault="003B3DF2" w:rsidP="003B3DF2">
      <w:pPr>
        <w:spacing w:line="276" w:lineRule="auto"/>
        <w:rPr>
          <w:rFonts w:asciiTheme="minorBidi" w:hAnsiTheme="minorBidi"/>
        </w:rPr>
      </w:pPr>
      <w:proofErr w:type="spellStart"/>
      <w:r w:rsidRPr="003B3DF2">
        <w:rPr>
          <w:rFonts w:asciiTheme="minorBidi" w:hAnsiTheme="minorBidi"/>
        </w:rPr>
        <w:t>Atrill</w:t>
      </w:r>
      <w:proofErr w:type="spellEnd"/>
      <w:r w:rsidRPr="003B3DF2">
        <w:rPr>
          <w:rFonts w:asciiTheme="minorBidi" w:hAnsiTheme="minorBidi"/>
        </w:rPr>
        <w:t xml:space="preserve">, P. and McLaney, E. (2021) </w:t>
      </w:r>
      <w:r w:rsidRPr="003B3DF2">
        <w:rPr>
          <w:rFonts w:asciiTheme="minorBidi" w:hAnsiTheme="minorBidi"/>
          <w:i/>
          <w:iCs/>
        </w:rPr>
        <w:t>Management accounting for decision makers</w:t>
      </w:r>
      <w:r w:rsidRPr="003B3DF2">
        <w:rPr>
          <w:rFonts w:asciiTheme="minorBidi" w:hAnsiTheme="minorBidi"/>
        </w:rPr>
        <w:t xml:space="preserve">. 10th </w:t>
      </w:r>
      <w:proofErr w:type="spellStart"/>
      <w:r w:rsidRPr="003B3DF2">
        <w:rPr>
          <w:rFonts w:asciiTheme="minorBidi" w:hAnsiTheme="minorBidi"/>
        </w:rPr>
        <w:t>edn</w:t>
      </w:r>
      <w:proofErr w:type="spellEnd"/>
      <w:r w:rsidRPr="003B3DF2">
        <w:rPr>
          <w:rFonts w:asciiTheme="minorBidi" w:hAnsiTheme="minorBidi"/>
        </w:rPr>
        <w:t>. Harlow: Pearson.</w:t>
      </w:r>
    </w:p>
    <w:p w14:paraId="76CFD96C"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Bhimani, A., Horngren, C., Datar, S. and Rajan, M. (2019) </w:t>
      </w:r>
      <w:r w:rsidRPr="003B3DF2">
        <w:rPr>
          <w:rFonts w:asciiTheme="minorBidi" w:hAnsiTheme="minorBidi"/>
          <w:i/>
          <w:iCs/>
        </w:rPr>
        <w:t>Management and cost accounting</w:t>
      </w:r>
      <w:r w:rsidRPr="003B3DF2">
        <w:rPr>
          <w:rFonts w:asciiTheme="minorBidi" w:hAnsiTheme="minorBidi"/>
        </w:rPr>
        <w:t>. Harlow: Pearson.</w:t>
      </w:r>
    </w:p>
    <w:p w14:paraId="1ED5038A"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Brealey, R., Myers, S. and Allen, F. (2020) </w:t>
      </w:r>
      <w:r w:rsidRPr="003B3DF2">
        <w:rPr>
          <w:rFonts w:asciiTheme="minorBidi" w:hAnsiTheme="minorBidi"/>
          <w:i/>
          <w:iCs/>
        </w:rPr>
        <w:t>Principles of corporate finance</w:t>
      </w:r>
      <w:r w:rsidRPr="003B3DF2">
        <w:rPr>
          <w:rFonts w:asciiTheme="minorBidi" w:hAnsiTheme="minorBidi"/>
        </w:rPr>
        <w:t xml:space="preserve">. 13th </w:t>
      </w:r>
      <w:proofErr w:type="spellStart"/>
      <w:r w:rsidRPr="003B3DF2">
        <w:rPr>
          <w:rFonts w:asciiTheme="minorBidi" w:hAnsiTheme="minorBidi"/>
        </w:rPr>
        <w:t>edn</w:t>
      </w:r>
      <w:proofErr w:type="spellEnd"/>
      <w:r w:rsidRPr="003B3DF2">
        <w:rPr>
          <w:rFonts w:asciiTheme="minorBidi" w:hAnsiTheme="minorBidi"/>
        </w:rPr>
        <w:t>. New York: McGraw-Hill.</w:t>
      </w:r>
    </w:p>
    <w:p w14:paraId="6CF58FFC"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Chartered Institute of Management Accountants (2022) </w:t>
      </w:r>
      <w:r w:rsidRPr="003B3DF2">
        <w:rPr>
          <w:rFonts w:asciiTheme="minorBidi" w:hAnsiTheme="minorBidi"/>
          <w:i/>
          <w:iCs/>
        </w:rPr>
        <w:t>Budgeting and financial planning practices</w:t>
      </w:r>
      <w:r w:rsidRPr="003B3DF2">
        <w:rPr>
          <w:rFonts w:asciiTheme="minorBidi" w:hAnsiTheme="minorBidi"/>
        </w:rPr>
        <w:t>. London: CIMA.</w:t>
      </w:r>
    </w:p>
    <w:p w14:paraId="23A1A1FF"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Collier, P. (2015) </w:t>
      </w:r>
      <w:r w:rsidRPr="003B3DF2">
        <w:rPr>
          <w:rFonts w:asciiTheme="minorBidi" w:hAnsiTheme="minorBidi"/>
          <w:i/>
          <w:iCs/>
        </w:rPr>
        <w:t>Accounting for managers</w:t>
      </w:r>
      <w:r w:rsidRPr="003B3DF2">
        <w:rPr>
          <w:rFonts w:asciiTheme="minorBidi" w:hAnsiTheme="minorBidi"/>
        </w:rPr>
        <w:t xml:space="preserve">. 4th </w:t>
      </w:r>
      <w:proofErr w:type="spellStart"/>
      <w:r w:rsidRPr="003B3DF2">
        <w:rPr>
          <w:rFonts w:asciiTheme="minorBidi" w:hAnsiTheme="minorBidi"/>
        </w:rPr>
        <w:t>edn</w:t>
      </w:r>
      <w:proofErr w:type="spellEnd"/>
      <w:r w:rsidRPr="003B3DF2">
        <w:rPr>
          <w:rFonts w:asciiTheme="minorBidi" w:hAnsiTheme="minorBidi"/>
        </w:rPr>
        <w:t>. Chichester: Wiley.</w:t>
      </w:r>
    </w:p>
    <w:p w14:paraId="0AD07966"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Datar, S. and Rajan, M. (2017) </w:t>
      </w:r>
      <w:r w:rsidRPr="003B3DF2">
        <w:rPr>
          <w:rFonts w:asciiTheme="minorBidi" w:hAnsiTheme="minorBidi"/>
          <w:i/>
          <w:iCs/>
        </w:rPr>
        <w:t>Cost accounting: a managerial emphasis</w:t>
      </w:r>
      <w:r w:rsidRPr="003B3DF2">
        <w:rPr>
          <w:rFonts w:asciiTheme="minorBidi" w:hAnsiTheme="minorBidi"/>
        </w:rPr>
        <w:t>. London: Pearson.</w:t>
      </w:r>
    </w:p>
    <w:p w14:paraId="7ACDF5A6"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Drury, C. (2021) </w:t>
      </w:r>
      <w:r w:rsidRPr="003B3DF2">
        <w:rPr>
          <w:rFonts w:asciiTheme="minorBidi" w:hAnsiTheme="minorBidi"/>
          <w:i/>
          <w:iCs/>
        </w:rPr>
        <w:t>Management and cost accounting</w:t>
      </w:r>
      <w:r w:rsidRPr="003B3DF2">
        <w:rPr>
          <w:rFonts w:asciiTheme="minorBidi" w:hAnsiTheme="minorBidi"/>
        </w:rPr>
        <w:t xml:space="preserve">. 11th </w:t>
      </w:r>
      <w:proofErr w:type="spellStart"/>
      <w:r w:rsidRPr="003B3DF2">
        <w:rPr>
          <w:rFonts w:asciiTheme="minorBidi" w:hAnsiTheme="minorBidi"/>
        </w:rPr>
        <w:t>edn</w:t>
      </w:r>
      <w:proofErr w:type="spellEnd"/>
      <w:r w:rsidRPr="003B3DF2">
        <w:rPr>
          <w:rFonts w:asciiTheme="minorBidi" w:hAnsiTheme="minorBidi"/>
        </w:rPr>
        <w:t>. London: Cengage Learning.</w:t>
      </w:r>
    </w:p>
    <w:p w14:paraId="4A55D8F7"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Dyson, J. (2020) </w:t>
      </w:r>
      <w:r w:rsidRPr="003B3DF2">
        <w:rPr>
          <w:rFonts w:asciiTheme="minorBidi" w:hAnsiTheme="minorBidi"/>
          <w:i/>
          <w:iCs/>
        </w:rPr>
        <w:t>Accounting for non-accounting students</w:t>
      </w:r>
      <w:r w:rsidRPr="003B3DF2">
        <w:rPr>
          <w:rFonts w:asciiTheme="minorBidi" w:hAnsiTheme="minorBidi"/>
        </w:rPr>
        <w:t xml:space="preserve">. 10th </w:t>
      </w:r>
      <w:proofErr w:type="spellStart"/>
      <w:r w:rsidRPr="003B3DF2">
        <w:rPr>
          <w:rFonts w:asciiTheme="minorBidi" w:hAnsiTheme="minorBidi"/>
        </w:rPr>
        <w:t>edn</w:t>
      </w:r>
      <w:proofErr w:type="spellEnd"/>
      <w:r w:rsidRPr="003B3DF2">
        <w:rPr>
          <w:rFonts w:asciiTheme="minorBidi" w:hAnsiTheme="minorBidi"/>
        </w:rPr>
        <w:t>. Harlow: Pearson.</w:t>
      </w:r>
    </w:p>
    <w:p w14:paraId="5A7158B7" w14:textId="77777777" w:rsidR="003B3DF2" w:rsidRPr="003B3DF2" w:rsidRDefault="003B3DF2" w:rsidP="003B3DF2">
      <w:pPr>
        <w:spacing w:line="276" w:lineRule="auto"/>
        <w:rPr>
          <w:rFonts w:asciiTheme="minorBidi" w:hAnsiTheme="minorBidi"/>
        </w:rPr>
      </w:pPr>
      <w:proofErr w:type="spellStart"/>
      <w:r w:rsidRPr="003B3DF2">
        <w:rPr>
          <w:rFonts w:asciiTheme="minorBidi" w:hAnsiTheme="minorBidi"/>
        </w:rPr>
        <w:t>Friedlob</w:t>
      </w:r>
      <w:proofErr w:type="spellEnd"/>
      <w:r w:rsidRPr="003B3DF2">
        <w:rPr>
          <w:rFonts w:asciiTheme="minorBidi" w:hAnsiTheme="minorBidi"/>
        </w:rPr>
        <w:t xml:space="preserve">, G. and Plewa, F. (2018) </w:t>
      </w:r>
      <w:r w:rsidRPr="003B3DF2">
        <w:rPr>
          <w:rFonts w:asciiTheme="minorBidi" w:hAnsiTheme="minorBidi"/>
          <w:i/>
          <w:iCs/>
        </w:rPr>
        <w:t>Understanding financial statements</w:t>
      </w:r>
      <w:r w:rsidRPr="003B3DF2">
        <w:rPr>
          <w:rFonts w:asciiTheme="minorBidi" w:hAnsiTheme="minorBidi"/>
        </w:rPr>
        <w:t>. Hoboken: Wiley.</w:t>
      </w:r>
    </w:p>
    <w:p w14:paraId="49654E47"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Garrison, R., Noreen, E. and Brewer, P. (2021) </w:t>
      </w:r>
      <w:r w:rsidRPr="003B3DF2">
        <w:rPr>
          <w:rFonts w:asciiTheme="minorBidi" w:hAnsiTheme="minorBidi"/>
          <w:i/>
          <w:iCs/>
        </w:rPr>
        <w:t>Managerial accounting</w:t>
      </w:r>
      <w:r w:rsidRPr="003B3DF2">
        <w:rPr>
          <w:rFonts w:asciiTheme="minorBidi" w:hAnsiTheme="minorBidi"/>
        </w:rPr>
        <w:t xml:space="preserve">. 17th </w:t>
      </w:r>
      <w:proofErr w:type="spellStart"/>
      <w:r w:rsidRPr="003B3DF2">
        <w:rPr>
          <w:rFonts w:asciiTheme="minorBidi" w:hAnsiTheme="minorBidi"/>
        </w:rPr>
        <w:t>edn</w:t>
      </w:r>
      <w:proofErr w:type="spellEnd"/>
      <w:r w:rsidRPr="003B3DF2">
        <w:rPr>
          <w:rFonts w:asciiTheme="minorBidi" w:hAnsiTheme="minorBidi"/>
        </w:rPr>
        <w:t>. New York: McGraw-Hill.</w:t>
      </w:r>
    </w:p>
    <w:p w14:paraId="4E78E5EA"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Hansen, D., Mowen, M. and Heitger, D. (2019) </w:t>
      </w:r>
      <w:r w:rsidRPr="003B3DF2">
        <w:rPr>
          <w:rFonts w:asciiTheme="minorBidi" w:hAnsiTheme="minorBidi"/>
          <w:i/>
          <w:iCs/>
        </w:rPr>
        <w:t>Cost management: accounting and control</w:t>
      </w:r>
      <w:r w:rsidRPr="003B3DF2">
        <w:rPr>
          <w:rFonts w:asciiTheme="minorBidi" w:hAnsiTheme="minorBidi"/>
        </w:rPr>
        <w:t>. Boston: Cengage.</w:t>
      </w:r>
    </w:p>
    <w:p w14:paraId="0F191FF9"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Hansen, S., Otley, D. and Van der Stede, W. (2003) ‘Practice developments in budgeting: an overview and research perspective’, </w:t>
      </w:r>
      <w:r w:rsidRPr="003B3DF2">
        <w:rPr>
          <w:rFonts w:asciiTheme="minorBidi" w:hAnsiTheme="minorBidi"/>
          <w:i/>
          <w:iCs/>
        </w:rPr>
        <w:t>Management Accounting Research</w:t>
      </w:r>
      <w:r w:rsidRPr="003B3DF2">
        <w:rPr>
          <w:rFonts w:asciiTheme="minorBidi" w:hAnsiTheme="minorBidi"/>
        </w:rPr>
        <w:t>, 14(1), pp. 95–116.</w:t>
      </w:r>
    </w:p>
    <w:p w14:paraId="51EC3E64"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Hope, J. and Fraser, R. (2003) </w:t>
      </w:r>
      <w:r w:rsidRPr="003B3DF2">
        <w:rPr>
          <w:rFonts w:asciiTheme="minorBidi" w:hAnsiTheme="minorBidi"/>
          <w:i/>
          <w:iCs/>
        </w:rPr>
        <w:t>Beyond budgeting: how managers can break free from the annual performance trap</w:t>
      </w:r>
      <w:r w:rsidRPr="003B3DF2">
        <w:rPr>
          <w:rFonts w:asciiTheme="minorBidi" w:hAnsiTheme="minorBidi"/>
        </w:rPr>
        <w:t>. Boston: Harvard Business School Press.</w:t>
      </w:r>
    </w:p>
    <w:p w14:paraId="6F225F3D"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Horner, D. (2020) </w:t>
      </w:r>
      <w:r w:rsidRPr="003B3DF2">
        <w:rPr>
          <w:rFonts w:asciiTheme="minorBidi" w:hAnsiTheme="minorBidi"/>
          <w:i/>
          <w:iCs/>
        </w:rPr>
        <w:t>Accounting for non-accountants</w:t>
      </w:r>
      <w:r w:rsidRPr="003B3DF2">
        <w:rPr>
          <w:rFonts w:asciiTheme="minorBidi" w:hAnsiTheme="minorBidi"/>
        </w:rPr>
        <w:t xml:space="preserve">. 12th </w:t>
      </w:r>
      <w:proofErr w:type="spellStart"/>
      <w:r w:rsidRPr="003B3DF2">
        <w:rPr>
          <w:rFonts w:asciiTheme="minorBidi" w:hAnsiTheme="minorBidi"/>
        </w:rPr>
        <w:t>edn</w:t>
      </w:r>
      <w:proofErr w:type="spellEnd"/>
      <w:r w:rsidRPr="003B3DF2">
        <w:rPr>
          <w:rFonts w:asciiTheme="minorBidi" w:hAnsiTheme="minorBidi"/>
        </w:rPr>
        <w:t>. London: Kogan Page.</w:t>
      </w:r>
    </w:p>
    <w:p w14:paraId="14AC89FE"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Kaplan, R. and Atkinson, A. (2015) </w:t>
      </w:r>
      <w:r w:rsidRPr="003B3DF2">
        <w:rPr>
          <w:rFonts w:asciiTheme="minorBidi" w:hAnsiTheme="minorBidi"/>
          <w:i/>
          <w:iCs/>
        </w:rPr>
        <w:t>Advanced management accounting</w:t>
      </w:r>
      <w:r w:rsidRPr="003B3DF2">
        <w:rPr>
          <w:rFonts w:asciiTheme="minorBidi" w:hAnsiTheme="minorBidi"/>
        </w:rPr>
        <w:t xml:space="preserve">. 3rd </w:t>
      </w:r>
      <w:proofErr w:type="spellStart"/>
      <w:r w:rsidRPr="003B3DF2">
        <w:rPr>
          <w:rFonts w:asciiTheme="minorBidi" w:hAnsiTheme="minorBidi"/>
        </w:rPr>
        <w:t>edn</w:t>
      </w:r>
      <w:proofErr w:type="spellEnd"/>
      <w:r w:rsidRPr="003B3DF2">
        <w:rPr>
          <w:rFonts w:asciiTheme="minorBidi" w:hAnsiTheme="minorBidi"/>
        </w:rPr>
        <w:t>. Harlow: Pearson.</w:t>
      </w:r>
    </w:p>
    <w:p w14:paraId="3A369F3A" w14:textId="77777777" w:rsidR="003B3DF2" w:rsidRPr="003B3DF2" w:rsidRDefault="003B3DF2" w:rsidP="003B3DF2">
      <w:pPr>
        <w:spacing w:line="276" w:lineRule="auto"/>
        <w:rPr>
          <w:rFonts w:asciiTheme="minorBidi" w:hAnsiTheme="minorBidi"/>
        </w:rPr>
      </w:pPr>
      <w:r w:rsidRPr="003B3DF2">
        <w:rPr>
          <w:rFonts w:asciiTheme="minorBidi" w:hAnsiTheme="minorBidi"/>
        </w:rPr>
        <w:lastRenderedPageBreak/>
        <w:t xml:space="preserve">Kaplan, R. and Norton, D. (2004) </w:t>
      </w:r>
      <w:r w:rsidRPr="003B3DF2">
        <w:rPr>
          <w:rFonts w:asciiTheme="minorBidi" w:hAnsiTheme="minorBidi"/>
          <w:i/>
          <w:iCs/>
        </w:rPr>
        <w:t>Strategy maps</w:t>
      </w:r>
      <w:r w:rsidRPr="003B3DF2">
        <w:rPr>
          <w:rFonts w:asciiTheme="minorBidi" w:hAnsiTheme="minorBidi"/>
        </w:rPr>
        <w:t>. Boston: Harvard Business School Press.</w:t>
      </w:r>
    </w:p>
    <w:p w14:paraId="5C87589F" w14:textId="77777777" w:rsidR="003B3DF2" w:rsidRPr="003B3DF2" w:rsidRDefault="003B3DF2" w:rsidP="003B3DF2">
      <w:pPr>
        <w:spacing w:line="276" w:lineRule="auto"/>
        <w:rPr>
          <w:rFonts w:asciiTheme="minorBidi" w:hAnsiTheme="minorBidi"/>
        </w:rPr>
      </w:pPr>
      <w:proofErr w:type="spellStart"/>
      <w:r w:rsidRPr="003B3DF2">
        <w:rPr>
          <w:rFonts w:asciiTheme="minorBidi" w:hAnsiTheme="minorBidi"/>
        </w:rPr>
        <w:t>Kolitz</w:t>
      </w:r>
      <w:proofErr w:type="spellEnd"/>
      <w:r w:rsidRPr="003B3DF2">
        <w:rPr>
          <w:rFonts w:asciiTheme="minorBidi" w:hAnsiTheme="minorBidi"/>
        </w:rPr>
        <w:t xml:space="preserve">, D. (2017) </w:t>
      </w:r>
      <w:r w:rsidRPr="003B3DF2">
        <w:rPr>
          <w:rFonts w:asciiTheme="minorBidi" w:hAnsiTheme="minorBidi"/>
          <w:i/>
          <w:iCs/>
        </w:rPr>
        <w:t>Financial accounting: a concepts-based introduction</w:t>
      </w:r>
      <w:r w:rsidRPr="003B3DF2">
        <w:rPr>
          <w:rFonts w:asciiTheme="minorBidi" w:hAnsiTheme="minorBidi"/>
        </w:rPr>
        <w:t>. Oxon: Routledge.</w:t>
      </w:r>
    </w:p>
    <w:p w14:paraId="4F5FC2D2"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Libby, R., Libby, P. and Hodge, F. (2020) </w:t>
      </w:r>
      <w:r w:rsidRPr="003B3DF2">
        <w:rPr>
          <w:rFonts w:asciiTheme="minorBidi" w:hAnsiTheme="minorBidi"/>
          <w:i/>
          <w:iCs/>
        </w:rPr>
        <w:t>Financial accounting</w:t>
      </w:r>
      <w:r w:rsidRPr="003B3DF2">
        <w:rPr>
          <w:rFonts w:asciiTheme="minorBidi" w:hAnsiTheme="minorBidi"/>
        </w:rPr>
        <w:t xml:space="preserve">. 10th </w:t>
      </w:r>
      <w:proofErr w:type="spellStart"/>
      <w:r w:rsidRPr="003B3DF2">
        <w:rPr>
          <w:rFonts w:asciiTheme="minorBidi" w:hAnsiTheme="minorBidi"/>
        </w:rPr>
        <w:t>edn</w:t>
      </w:r>
      <w:proofErr w:type="spellEnd"/>
      <w:r w:rsidRPr="003B3DF2">
        <w:rPr>
          <w:rFonts w:asciiTheme="minorBidi" w:hAnsiTheme="minorBidi"/>
        </w:rPr>
        <w:t>. New York: McGraw-Hill.</w:t>
      </w:r>
    </w:p>
    <w:p w14:paraId="27C1E42F"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Libby, T. and Lindsay, R. (2010) ‘Beyond budgeting or budgeting reconsidered? A survey of </w:t>
      </w:r>
      <w:proofErr w:type="gramStart"/>
      <w:r w:rsidRPr="003B3DF2">
        <w:rPr>
          <w:rFonts w:asciiTheme="minorBidi" w:hAnsiTheme="minorBidi"/>
        </w:rPr>
        <w:t>North-American</w:t>
      </w:r>
      <w:proofErr w:type="gramEnd"/>
      <w:r w:rsidRPr="003B3DF2">
        <w:rPr>
          <w:rFonts w:asciiTheme="minorBidi" w:hAnsiTheme="minorBidi"/>
        </w:rPr>
        <w:t xml:space="preserve"> budgeting practice’, </w:t>
      </w:r>
      <w:r w:rsidRPr="003B3DF2">
        <w:rPr>
          <w:rFonts w:asciiTheme="minorBidi" w:hAnsiTheme="minorBidi"/>
          <w:i/>
          <w:iCs/>
        </w:rPr>
        <w:t>Management Accounting Research</w:t>
      </w:r>
      <w:r w:rsidRPr="003B3DF2">
        <w:rPr>
          <w:rFonts w:asciiTheme="minorBidi" w:hAnsiTheme="minorBidi"/>
        </w:rPr>
        <w:t>, 21(1), pp. 56–75.</w:t>
      </w:r>
    </w:p>
    <w:p w14:paraId="545B9625"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Merchant, K. and Van der Stede, W. (2017) </w:t>
      </w:r>
      <w:r w:rsidRPr="003B3DF2">
        <w:rPr>
          <w:rFonts w:asciiTheme="minorBidi" w:hAnsiTheme="minorBidi"/>
          <w:i/>
          <w:iCs/>
        </w:rPr>
        <w:t>Management control systems</w:t>
      </w:r>
      <w:r w:rsidRPr="003B3DF2">
        <w:rPr>
          <w:rFonts w:asciiTheme="minorBidi" w:hAnsiTheme="minorBidi"/>
        </w:rPr>
        <w:t xml:space="preserve">. 4th </w:t>
      </w:r>
      <w:proofErr w:type="spellStart"/>
      <w:r w:rsidRPr="003B3DF2">
        <w:rPr>
          <w:rFonts w:asciiTheme="minorBidi" w:hAnsiTheme="minorBidi"/>
        </w:rPr>
        <w:t>edn</w:t>
      </w:r>
      <w:proofErr w:type="spellEnd"/>
      <w:r w:rsidRPr="003B3DF2">
        <w:rPr>
          <w:rFonts w:asciiTheme="minorBidi" w:hAnsiTheme="minorBidi"/>
        </w:rPr>
        <w:t>. Harlow: Pearson.</w:t>
      </w:r>
    </w:p>
    <w:p w14:paraId="589BF6B0"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Needles, B., Powers, M. and Crosson, S. (2014) </w:t>
      </w:r>
      <w:r w:rsidRPr="003B3DF2">
        <w:rPr>
          <w:rFonts w:asciiTheme="minorBidi" w:hAnsiTheme="minorBidi"/>
          <w:i/>
          <w:iCs/>
        </w:rPr>
        <w:t>Financial and managerial accounting</w:t>
      </w:r>
      <w:r w:rsidRPr="003B3DF2">
        <w:rPr>
          <w:rFonts w:asciiTheme="minorBidi" w:hAnsiTheme="minorBidi"/>
        </w:rPr>
        <w:t>. Boston: Cengage.</w:t>
      </w:r>
    </w:p>
    <w:p w14:paraId="72539154"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Otley, D. (1999) ‘Performance management: a framework for management control systems research’, </w:t>
      </w:r>
      <w:r w:rsidRPr="003B3DF2">
        <w:rPr>
          <w:rFonts w:asciiTheme="minorBidi" w:hAnsiTheme="minorBidi"/>
          <w:i/>
          <w:iCs/>
        </w:rPr>
        <w:t>Management Accounting Research</w:t>
      </w:r>
      <w:r w:rsidRPr="003B3DF2">
        <w:rPr>
          <w:rFonts w:asciiTheme="minorBidi" w:hAnsiTheme="minorBidi"/>
        </w:rPr>
        <w:t>, 10(4), pp. 363–382.</w:t>
      </w:r>
    </w:p>
    <w:p w14:paraId="0AFB4A17"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Otley, D. (2016) ‘The contingency theory of management accounting and control: 1980–2014’, </w:t>
      </w:r>
      <w:r w:rsidRPr="003B3DF2">
        <w:rPr>
          <w:rFonts w:asciiTheme="minorBidi" w:hAnsiTheme="minorBidi"/>
          <w:i/>
          <w:iCs/>
        </w:rPr>
        <w:t>Management Accounting Research</w:t>
      </w:r>
      <w:r w:rsidRPr="003B3DF2">
        <w:rPr>
          <w:rFonts w:asciiTheme="minorBidi" w:hAnsiTheme="minorBidi"/>
        </w:rPr>
        <w:t>, 31, pp. 45–62.</w:t>
      </w:r>
    </w:p>
    <w:p w14:paraId="65561085"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Parker, L. (2012) ‘Qualitative management accounting research: assessing deliverables and relevance’, </w:t>
      </w:r>
      <w:r w:rsidRPr="003B3DF2">
        <w:rPr>
          <w:rFonts w:asciiTheme="minorBidi" w:hAnsiTheme="minorBidi"/>
          <w:i/>
          <w:iCs/>
        </w:rPr>
        <w:t>Accounting, Auditing &amp; Accountability Journal</w:t>
      </w:r>
      <w:r w:rsidRPr="003B3DF2">
        <w:rPr>
          <w:rFonts w:asciiTheme="minorBidi" w:hAnsiTheme="minorBidi"/>
        </w:rPr>
        <w:t>, 25(1), pp. 54–87.</w:t>
      </w:r>
    </w:p>
    <w:p w14:paraId="31C4B90D"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Ryan, B. (2016) </w:t>
      </w:r>
      <w:r w:rsidRPr="003B3DF2">
        <w:rPr>
          <w:rFonts w:asciiTheme="minorBidi" w:hAnsiTheme="minorBidi"/>
          <w:i/>
          <w:iCs/>
        </w:rPr>
        <w:t>Finance and accounting for business</w:t>
      </w:r>
      <w:r w:rsidRPr="003B3DF2">
        <w:rPr>
          <w:rFonts w:asciiTheme="minorBidi" w:hAnsiTheme="minorBidi"/>
        </w:rPr>
        <w:t>. London: Cengage Learning.</w:t>
      </w:r>
    </w:p>
    <w:p w14:paraId="62FBEF6D"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Seal, W., Garrison, R. and Noreen, E. (2018) </w:t>
      </w:r>
      <w:r w:rsidRPr="003B3DF2">
        <w:rPr>
          <w:rFonts w:asciiTheme="minorBidi" w:hAnsiTheme="minorBidi"/>
          <w:i/>
          <w:iCs/>
        </w:rPr>
        <w:t>Management accounting</w:t>
      </w:r>
      <w:r w:rsidRPr="003B3DF2">
        <w:rPr>
          <w:rFonts w:asciiTheme="minorBidi" w:hAnsiTheme="minorBidi"/>
        </w:rPr>
        <w:t xml:space="preserve">. 6th </w:t>
      </w:r>
      <w:proofErr w:type="spellStart"/>
      <w:r w:rsidRPr="003B3DF2">
        <w:rPr>
          <w:rFonts w:asciiTheme="minorBidi" w:hAnsiTheme="minorBidi"/>
        </w:rPr>
        <w:t>edn</w:t>
      </w:r>
      <w:proofErr w:type="spellEnd"/>
      <w:r w:rsidRPr="003B3DF2">
        <w:rPr>
          <w:rFonts w:asciiTheme="minorBidi" w:hAnsiTheme="minorBidi"/>
        </w:rPr>
        <w:t>. London: McGraw-Hill.</w:t>
      </w:r>
    </w:p>
    <w:p w14:paraId="761D2247"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Shim, J. and Siegel, J. (2018) </w:t>
      </w:r>
      <w:r w:rsidRPr="003B3DF2">
        <w:rPr>
          <w:rFonts w:asciiTheme="minorBidi" w:hAnsiTheme="minorBidi"/>
          <w:i/>
          <w:iCs/>
        </w:rPr>
        <w:t>Budgeting basics and beyond</w:t>
      </w:r>
      <w:r w:rsidRPr="003B3DF2">
        <w:rPr>
          <w:rFonts w:asciiTheme="minorBidi" w:hAnsiTheme="minorBidi"/>
        </w:rPr>
        <w:t xml:space="preserve">. 5th </w:t>
      </w:r>
      <w:proofErr w:type="spellStart"/>
      <w:r w:rsidRPr="003B3DF2">
        <w:rPr>
          <w:rFonts w:asciiTheme="minorBidi" w:hAnsiTheme="minorBidi"/>
        </w:rPr>
        <w:t>edn</w:t>
      </w:r>
      <w:proofErr w:type="spellEnd"/>
      <w:r w:rsidRPr="003B3DF2">
        <w:rPr>
          <w:rFonts w:asciiTheme="minorBidi" w:hAnsiTheme="minorBidi"/>
        </w:rPr>
        <w:t>. Hoboken: Wiley.</w:t>
      </w:r>
    </w:p>
    <w:p w14:paraId="56B8FD65"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Soin, K. and Collier, P. (2013) ‘Risk and management accounting’, </w:t>
      </w:r>
      <w:r w:rsidRPr="003B3DF2">
        <w:rPr>
          <w:rFonts w:asciiTheme="minorBidi" w:hAnsiTheme="minorBidi"/>
          <w:i/>
          <w:iCs/>
        </w:rPr>
        <w:t>Management Accounting Research</w:t>
      </w:r>
      <w:r w:rsidRPr="003B3DF2">
        <w:rPr>
          <w:rFonts w:asciiTheme="minorBidi" w:hAnsiTheme="minorBidi"/>
        </w:rPr>
        <w:t>, 24(2), pp. 82–87.</w:t>
      </w:r>
    </w:p>
    <w:p w14:paraId="11DDF26C"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Walsh, C. (2008) </w:t>
      </w:r>
      <w:r w:rsidRPr="003B3DF2">
        <w:rPr>
          <w:rFonts w:asciiTheme="minorBidi" w:hAnsiTheme="minorBidi"/>
          <w:i/>
          <w:iCs/>
        </w:rPr>
        <w:t>Key management ratios</w:t>
      </w:r>
      <w:r w:rsidRPr="003B3DF2">
        <w:rPr>
          <w:rFonts w:asciiTheme="minorBidi" w:hAnsiTheme="minorBidi"/>
        </w:rPr>
        <w:t xml:space="preserve">. 4th </w:t>
      </w:r>
      <w:proofErr w:type="spellStart"/>
      <w:r w:rsidRPr="003B3DF2">
        <w:rPr>
          <w:rFonts w:asciiTheme="minorBidi" w:hAnsiTheme="minorBidi"/>
        </w:rPr>
        <w:t>edn</w:t>
      </w:r>
      <w:proofErr w:type="spellEnd"/>
      <w:r w:rsidRPr="003B3DF2">
        <w:rPr>
          <w:rFonts w:asciiTheme="minorBidi" w:hAnsiTheme="minorBidi"/>
        </w:rPr>
        <w:t>. Harlow: Pearson.</w:t>
      </w:r>
    </w:p>
    <w:p w14:paraId="0AA9CDD6"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Weetman, P. (2019) </w:t>
      </w:r>
      <w:r w:rsidRPr="003B3DF2">
        <w:rPr>
          <w:rFonts w:asciiTheme="minorBidi" w:hAnsiTheme="minorBidi"/>
          <w:i/>
          <w:iCs/>
        </w:rPr>
        <w:t>Financial and management accounting</w:t>
      </w:r>
      <w:r w:rsidRPr="003B3DF2">
        <w:rPr>
          <w:rFonts w:asciiTheme="minorBidi" w:hAnsiTheme="minorBidi"/>
        </w:rPr>
        <w:t xml:space="preserve">. 8th </w:t>
      </w:r>
      <w:proofErr w:type="spellStart"/>
      <w:r w:rsidRPr="003B3DF2">
        <w:rPr>
          <w:rFonts w:asciiTheme="minorBidi" w:hAnsiTheme="minorBidi"/>
        </w:rPr>
        <w:t>edn</w:t>
      </w:r>
      <w:proofErr w:type="spellEnd"/>
      <w:r w:rsidRPr="003B3DF2">
        <w:rPr>
          <w:rFonts w:asciiTheme="minorBidi" w:hAnsiTheme="minorBidi"/>
        </w:rPr>
        <w:t>. Harlow: Pearson.</w:t>
      </w:r>
    </w:p>
    <w:p w14:paraId="2F4A51DA" w14:textId="77777777" w:rsidR="003B3DF2" w:rsidRPr="003B3DF2" w:rsidRDefault="003B3DF2" w:rsidP="003B3DF2">
      <w:pPr>
        <w:spacing w:line="276" w:lineRule="auto"/>
        <w:rPr>
          <w:rFonts w:asciiTheme="minorBidi" w:hAnsiTheme="minorBidi"/>
        </w:rPr>
      </w:pPr>
      <w:r w:rsidRPr="003B3DF2">
        <w:rPr>
          <w:rFonts w:asciiTheme="minorBidi" w:hAnsiTheme="minorBidi"/>
        </w:rPr>
        <w:t xml:space="preserve">Wild, J. (2019) </w:t>
      </w:r>
      <w:r w:rsidRPr="003B3DF2">
        <w:rPr>
          <w:rFonts w:asciiTheme="minorBidi" w:hAnsiTheme="minorBidi"/>
          <w:i/>
          <w:iCs/>
        </w:rPr>
        <w:t>Financial accounting: information for decisions</w:t>
      </w:r>
      <w:r w:rsidRPr="003B3DF2">
        <w:rPr>
          <w:rFonts w:asciiTheme="minorBidi" w:hAnsiTheme="minorBidi"/>
        </w:rPr>
        <w:t>. New York: McGraw-Hill.</w:t>
      </w:r>
    </w:p>
    <w:sectPr w:rsidR="003B3DF2" w:rsidRPr="003B3DF2" w:rsidSect="00B3223F">
      <w:footerReference w:type="default" r:id="rId10"/>
      <w:pgSz w:w="11906" w:h="16838"/>
      <w:pgMar w:top="1440" w:right="1440" w:bottom="1440" w:left="1440" w:header="708" w:footer="708" w:gutter="0"/>
      <w:pgBorders w:display="firstPage" w:offsetFrom="page">
        <w:top w:val="dotted" w:sz="8" w:space="24" w:color="auto"/>
        <w:left w:val="dotted" w:sz="8" w:space="24" w:color="auto"/>
        <w:bottom w:val="dotted" w:sz="8" w:space="24" w:color="auto"/>
        <w:right w:val="dotted"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E58AC" w14:textId="77777777" w:rsidR="00CC1D29" w:rsidRDefault="00CC1D29" w:rsidP="00487E7A">
      <w:pPr>
        <w:spacing w:after="0" w:line="240" w:lineRule="auto"/>
      </w:pPr>
      <w:r>
        <w:separator/>
      </w:r>
    </w:p>
  </w:endnote>
  <w:endnote w:type="continuationSeparator" w:id="0">
    <w:p w14:paraId="0B81A23C" w14:textId="77777777" w:rsidR="00CC1D29" w:rsidRDefault="00CC1D29" w:rsidP="00487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17358"/>
      <w:docPartObj>
        <w:docPartGallery w:val="Page Numbers (Bottom of Page)"/>
        <w:docPartUnique/>
      </w:docPartObj>
    </w:sdtPr>
    <w:sdtContent>
      <w:p w14:paraId="3504F866" w14:textId="757AD479" w:rsidR="00487E7A" w:rsidRDefault="00487E7A">
        <w:pPr>
          <w:pStyle w:val="Footer"/>
          <w:jc w:val="center"/>
        </w:pPr>
        <w:r>
          <w:fldChar w:fldCharType="begin"/>
        </w:r>
        <w:r>
          <w:instrText>PAGE   \* MERGEFORMAT</w:instrText>
        </w:r>
        <w:r>
          <w:fldChar w:fldCharType="separate"/>
        </w:r>
        <w:r>
          <w:t>2</w:t>
        </w:r>
        <w:r>
          <w:fldChar w:fldCharType="end"/>
        </w:r>
      </w:p>
    </w:sdtContent>
  </w:sdt>
  <w:p w14:paraId="5C9AEA5F" w14:textId="77777777" w:rsidR="00487E7A" w:rsidRDefault="00487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B78B0" w14:textId="77777777" w:rsidR="00CC1D29" w:rsidRDefault="00CC1D29" w:rsidP="00487E7A">
      <w:pPr>
        <w:spacing w:after="0" w:line="240" w:lineRule="auto"/>
      </w:pPr>
      <w:r>
        <w:separator/>
      </w:r>
    </w:p>
  </w:footnote>
  <w:footnote w:type="continuationSeparator" w:id="0">
    <w:p w14:paraId="6B091EFC" w14:textId="77777777" w:rsidR="00CC1D29" w:rsidRDefault="00CC1D29" w:rsidP="00487E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060A7"/>
    <w:multiLevelType w:val="multilevel"/>
    <w:tmpl w:val="B06A7EF8"/>
    <w:lvl w:ilvl="0">
      <w:start w:val="1"/>
      <w:numFmt w:val="decimal"/>
      <w:lvlText w:val="%1."/>
      <w:lvlJc w:val="left"/>
      <w:pPr>
        <w:ind w:left="720" w:hanging="360"/>
      </w:pPr>
      <w:rPr>
        <w:rFonts w:hint="default"/>
      </w:rPr>
    </w:lvl>
    <w:lvl w:ilvl="1">
      <w:start w:val="6"/>
      <w:numFmt w:val="decimal"/>
      <w:isLgl/>
      <w:lvlText w:val="%1.%2"/>
      <w:lvlJc w:val="left"/>
      <w:pPr>
        <w:ind w:left="538"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401097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68B"/>
    <w:rsid w:val="00001DBA"/>
    <w:rsid w:val="00002F56"/>
    <w:rsid w:val="0000450F"/>
    <w:rsid w:val="00015347"/>
    <w:rsid w:val="000230BD"/>
    <w:rsid w:val="000359EE"/>
    <w:rsid w:val="00050F2C"/>
    <w:rsid w:val="00064010"/>
    <w:rsid w:val="000726E7"/>
    <w:rsid w:val="00073163"/>
    <w:rsid w:val="0008732B"/>
    <w:rsid w:val="00093E11"/>
    <w:rsid w:val="00095B06"/>
    <w:rsid w:val="000D26B5"/>
    <w:rsid w:val="001140C9"/>
    <w:rsid w:val="001244EC"/>
    <w:rsid w:val="0015210D"/>
    <w:rsid w:val="00171C74"/>
    <w:rsid w:val="00194F37"/>
    <w:rsid w:val="001C082B"/>
    <w:rsid w:val="001E46A5"/>
    <w:rsid w:val="00203BA1"/>
    <w:rsid w:val="00242C63"/>
    <w:rsid w:val="002436C7"/>
    <w:rsid w:val="002505FC"/>
    <w:rsid w:val="00283131"/>
    <w:rsid w:val="002C3E35"/>
    <w:rsid w:val="002C5099"/>
    <w:rsid w:val="002F5C3B"/>
    <w:rsid w:val="002F7600"/>
    <w:rsid w:val="00305F2D"/>
    <w:rsid w:val="00327CFE"/>
    <w:rsid w:val="00343EF9"/>
    <w:rsid w:val="00345D8C"/>
    <w:rsid w:val="00361C13"/>
    <w:rsid w:val="00380814"/>
    <w:rsid w:val="003950F1"/>
    <w:rsid w:val="003A15FA"/>
    <w:rsid w:val="003B3DF2"/>
    <w:rsid w:val="003B73D4"/>
    <w:rsid w:val="003E645E"/>
    <w:rsid w:val="003F0573"/>
    <w:rsid w:val="00434FEE"/>
    <w:rsid w:val="00444B69"/>
    <w:rsid w:val="00467910"/>
    <w:rsid w:val="004742A6"/>
    <w:rsid w:val="00487E7A"/>
    <w:rsid w:val="004A0931"/>
    <w:rsid w:val="004A370D"/>
    <w:rsid w:val="004A7C9A"/>
    <w:rsid w:val="004B02EE"/>
    <w:rsid w:val="004D6AF6"/>
    <w:rsid w:val="004F33DB"/>
    <w:rsid w:val="004F479D"/>
    <w:rsid w:val="005036EB"/>
    <w:rsid w:val="00504C20"/>
    <w:rsid w:val="00521949"/>
    <w:rsid w:val="005412C5"/>
    <w:rsid w:val="0055323A"/>
    <w:rsid w:val="00554F81"/>
    <w:rsid w:val="00571D6C"/>
    <w:rsid w:val="00573817"/>
    <w:rsid w:val="00576F98"/>
    <w:rsid w:val="0059198D"/>
    <w:rsid w:val="005976D7"/>
    <w:rsid w:val="005C3E3A"/>
    <w:rsid w:val="005C5871"/>
    <w:rsid w:val="005D0921"/>
    <w:rsid w:val="005E1DD7"/>
    <w:rsid w:val="005E20FB"/>
    <w:rsid w:val="005F02E7"/>
    <w:rsid w:val="005F3840"/>
    <w:rsid w:val="00604394"/>
    <w:rsid w:val="006123A7"/>
    <w:rsid w:val="0061602F"/>
    <w:rsid w:val="006252DB"/>
    <w:rsid w:val="00627C4C"/>
    <w:rsid w:val="00654E48"/>
    <w:rsid w:val="00672828"/>
    <w:rsid w:val="006B26A9"/>
    <w:rsid w:val="006C5FFB"/>
    <w:rsid w:val="006D397D"/>
    <w:rsid w:val="006F0D4C"/>
    <w:rsid w:val="00741024"/>
    <w:rsid w:val="00767BBC"/>
    <w:rsid w:val="007C3000"/>
    <w:rsid w:val="007E3A9B"/>
    <w:rsid w:val="00807725"/>
    <w:rsid w:val="00835D05"/>
    <w:rsid w:val="00837F23"/>
    <w:rsid w:val="008475EF"/>
    <w:rsid w:val="00853C7D"/>
    <w:rsid w:val="00893FA0"/>
    <w:rsid w:val="008C1C27"/>
    <w:rsid w:val="008F4B46"/>
    <w:rsid w:val="008F6D11"/>
    <w:rsid w:val="009024B9"/>
    <w:rsid w:val="009157D9"/>
    <w:rsid w:val="0092118C"/>
    <w:rsid w:val="00935242"/>
    <w:rsid w:val="00990BD8"/>
    <w:rsid w:val="009A7ABF"/>
    <w:rsid w:val="009B0BAE"/>
    <w:rsid w:val="009C070F"/>
    <w:rsid w:val="009D550E"/>
    <w:rsid w:val="00A23E64"/>
    <w:rsid w:val="00A27436"/>
    <w:rsid w:val="00A350BD"/>
    <w:rsid w:val="00A52EFF"/>
    <w:rsid w:val="00A6769C"/>
    <w:rsid w:val="00A73D09"/>
    <w:rsid w:val="00A74F66"/>
    <w:rsid w:val="00AA3E5D"/>
    <w:rsid w:val="00AB7D32"/>
    <w:rsid w:val="00AC2B77"/>
    <w:rsid w:val="00AC3D43"/>
    <w:rsid w:val="00AE2D82"/>
    <w:rsid w:val="00AF18CF"/>
    <w:rsid w:val="00AF259D"/>
    <w:rsid w:val="00AF2968"/>
    <w:rsid w:val="00B02E0C"/>
    <w:rsid w:val="00B03E9B"/>
    <w:rsid w:val="00B231E8"/>
    <w:rsid w:val="00B3223F"/>
    <w:rsid w:val="00B4626B"/>
    <w:rsid w:val="00B55E59"/>
    <w:rsid w:val="00B743EC"/>
    <w:rsid w:val="00B96EFA"/>
    <w:rsid w:val="00BE1049"/>
    <w:rsid w:val="00C55D64"/>
    <w:rsid w:val="00CB0495"/>
    <w:rsid w:val="00CC1D29"/>
    <w:rsid w:val="00D057A7"/>
    <w:rsid w:val="00D114BF"/>
    <w:rsid w:val="00D1736A"/>
    <w:rsid w:val="00D50744"/>
    <w:rsid w:val="00D60AE8"/>
    <w:rsid w:val="00D613C5"/>
    <w:rsid w:val="00D64470"/>
    <w:rsid w:val="00D67247"/>
    <w:rsid w:val="00DF34CA"/>
    <w:rsid w:val="00DF437E"/>
    <w:rsid w:val="00DF6C0A"/>
    <w:rsid w:val="00E0481A"/>
    <w:rsid w:val="00E23607"/>
    <w:rsid w:val="00E4049F"/>
    <w:rsid w:val="00E404B8"/>
    <w:rsid w:val="00E54330"/>
    <w:rsid w:val="00EA0FD7"/>
    <w:rsid w:val="00EA6B03"/>
    <w:rsid w:val="00EB368B"/>
    <w:rsid w:val="00EF275A"/>
    <w:rsid w:val="00F079BA"/>
    <w:rsid w:val="00F2745F"/>
    <w:rsid w:val="00F405AB"/>
    <w:rsid w:val="00F75732"/>
    <w:rsid w:val="00F77B08"/>
    <w:rsid w:val="00F85839"/>
    <w:rsid w:val="00FA54C5"/>
    <w:rsid w:val="00FD3A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96C3F"/>
  <w15:chartTrackingRefBased/>
  <w15:docId w15:val="{C9DF9F99-C9B0-4CDF-9BEC-D736140B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49F"/>
  </w:style>
  <w:style w:type="paragraph" w:styleId="Heading1">
    <w:name w:val="heading 1"/>
    <w:basedOn w:val="Normal"/>
    <w:next w:val="Normal"/>
    <w:link w:val="Heading1Char"/>
    <w:uiPriority w:val="9"/>
    <w:qFormat/>
    <w:rsid w:val="00EB36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36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36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B36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B36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B36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B36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B36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B36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6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36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36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B36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B368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B36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B368B"/>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B36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B368B"/>
    <w:rPr>
      <w:rFonts w:eastAsiaTheme="majorEastAsia" w:cstheme="majorBidi"/>
      <w:color w:val="272727" w:themeColor="text1" w:themeTint="D8"/>
    </w:rPr>
  </w:style>
  <w:style w:type="paragraph" w:styleId="Title">
    <w:name w:val="Title"/>
    <w:basedOn w:val="Normal"/>
    <w:next w:val="Normal"/>
    <w:link w:val="TitleChar"/>
    <w:uiPriority w:val="10"/>
    <w:qFormat/>
    <w:rsid w:val="00EB36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6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6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6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68B"/>
    <w:pPr>
      <w:spacing w:before="160"/>
      <w:jc w:val="center"/>
    </w:pPr>
    <w:rPr>
      <w:i/>
      <w:iCs/>
      <w:color w:val="404040" w:themeColor="text1" w:themeTint="BF"/>
    </w:rPr>
  </w:style>
  <w:style w:type="character" w:customStyle="1" w:styleId="QuoteChar">
    <w:name w:val="Quote Char"/>
    <w:basedOn w:val="DefaultParagraphFont"/>
    <w:link w:val="Quote"/>
    <w:uiPriority w:val="29"/>
    <w:rsid w:val="00EB368B"/>
    <w:rPr>
      <w:i/>
      <w:iCs/>
      <w:color w:val="404040" w:themeColor="text1" w:themeTint="BF"/>
    </w:rPr>
  </w:style>
  <w:style w:type="paragraph" w:styleId="ListParagraph">
    <w:name w:val="List Paragraph"/>
    <w:basedOn w:val="Normal"/>
    <w:uiPriority w:val="34"/>
    <w:qFormat/>
    <w:rsid w:val="00EB368B"/>
    <w:pPr>
      <w:ind w:left="720"/>
      <w:contextualSpacing/>
    </w:pPr>
  </w:style>
  <w:style w:type="character" w:styleId="IntenseEmphasis">
    <w:name w:val="Intense Emphasis"/>
    <w:basedOn w:val="DefaultParagraphFont"/>
    <w:uiPriority w:val="21"/>
    <w:qFormat/>
    <w:rsid w:val="00EB368B"/>
    <w:rPr>
      <w:i/>
      <w:iCs/>
      <w:color w:val="0F4761" w:themeColor="accent1" w:themeShade="BF"/>
    </w:rPr>
  </w:style>
  <w:style w:type="paragraph" w:styleId="IntenseQuote">
    <w:name w:val="Intense Quote"/>
    <w:basedOn w:val="Normal"/>
    <w:next w:val="Normal"/>
    <w:link w:val="IntenseQuoteChar"/>
    <w:uiPriority w:val="30"/>
    <w:qFormat/>
    <w:rsid w:val="00EB36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68B"/>
    <w:rPr>
      <w:i/>
      <w:iCs/>
      <w:color w:val="0F4761" w:themeColor="accent1" w:themeShade="BF"/>
    </w:rPr>
  </w:style>
  <w:style w:type="character" w:styleId="IntenseReference">
    <w:name w:val="Intense Reference"/>
    <w:basedOn w:val="DefaultParagraphFont"/>
    <w:uiPriority w:val="32"/>
    <w:qFormat/>
    <w:rsid w:val="00EB368B"/>
    <w:rPr>
      <w:b/>
      <w:bCs/>
      <w:smallCaps/>
      <w:color w:val="0F4761" w:themeColor="accent1" w:themeShade="BF"/>
      <w:spacing w:val="5"/>
    </w:rPr>
  </w:style>
  <w:style w:type="paragraph" w:styleId="TOCHeading">
    <w:name w:val="TOC Heading"/>
    <w:basedOn w:val="Heading1"/>
    <w:next w:val="Normal"/>
    <w:uiPriority w:val="39"/>
    <w:unhideWhenUsed/>
    <w:qFormat/>
    <w:rsid w:val="00AC2B77"/>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487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E7A"/>
  </w:style>
  <w:style w:type="paragraph" w:styleId="Footer">
    <w:name w:val="footer"/>
    <w:basedOn w:val="Normal"/>
    <w:link w:val="FooterChar"/>
    <w:uiPriority w:val="99"/>
    <w:unhideWhenUsed/>
    <w:rsid w:val="00487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E7A"/>
  </w:style>
  <w:style w:type="paragraph" w:styleId="TOC1">
    <w:name w:val="toc 1"/>
    <w:basedOn w:val="Normal"/>
    <w:next w:val="Normal"/>
    <w:autoRedefine/>
    <w:uiPriority w:val="39"/>
    <w:unhideWhenUsed/>
    <w:rsid w:val="000D26B5"/>
    <w:pPr>
      <w:spacing w:after="100"/>
    </w:pPr>
  </w:style>
  <w:style w:type="paragraph" w:styleId="TOC2">
    <w:name w:val="toc 2"/>
    <w:basedOn w:val="Normal"/>
    <w:next w:val="Normal"/>
    <w:autoRedefine/>
    <w:uiPriority w:val="39"/>
    <w:unhideWhenUsed/>
    <w:rsid w:val="000D26B5"/>
    <w:pPr>
      <w:spacing w:after="100"/>
      <w:ind w:left="240"/>
    </w:pPr>
  </w:style>
  <w:style w:type="paragraph" w:styleId="TOC3">
    <w:name w:val="toc 3"/>
    <w:basedOn w:val="Normal"/>
    <w:next w:val="Normal"/>
    <w:autoRedefine/>
    <w:uiPriority w:val="39"/>
    <w:unhideWhenUsed/>
    <w:rsid w:val="000D26B5"/>
    <w:pPr>
      <w:spacing w:after="100"/>
      <w:ind w:left="480"/>
    </w:pPr>
  </w:style>
  <w:style w:type="character" w:styleId="Hyperlink">
    <w:name w:val="Hyperlink"/>
    <w:basedOn w:val="DefaultParagraphFont"/>
    <w:uiPriority w:val="99"/>
    <w:unhideWhenUsed/>
    <w:rsid w:val="000D26B5"/>
    <w:rPr>
      <w:color w:val="467886" w:themeColor="hyperlink"/>
      <w:u w:val="single"/>
    </w:rPr>
  </w:style>
  <w:style w:type="character" w:customStyle="1" w:styleId="NoSpacingChar">
    <w:name w:val="No Spacing Char"/>
    <w:basedOn w:val="DefaultParagraphFont"/>
    <w:link w:val="NoSpacing"/>
    <w:uiPriority w:val="1"/>
    <w:locked/>
    <w:rsid w:val="00E23607"/>
    <w:rPr>
      <w:rFonts w:ascii="SimSun" w:eastAsiaTheme="minorEastAsia" w:hAnsi="SimSun"/>
      <w:lang w:val="en-US"/>
    </w:rPr>
  </w:style>
  <w:style w:type="paragraph" w:styleId="NoSpacing">
    <w:name w:val="No Spacing"/>
    <w:link w:val="NoSpacingChar"/>
    <w:uiPriority w:val="1"/>
    <w:qFormat/>
    <w:rsid w:val="00E23607"/>
    <w:pPr>
      <w:spacing w:after="0" w:line="240" w:lineRule="auto"/>
    </w:pPr>
    <w:rPr>
      <w:rFonts w:ascii="SimSun" w:eastAsiaTheme="minorEastAsia" w:hAnsi="SimSu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2.jpg@01CE9E6C.1FCD7C2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8B032825D6C4FA99C24F92BD7EEE4AD"/>
        <w:category>
          <w:name w:val="General"/>
          <w:gallery w:val="placeholder"/>
        </w:category>
        <w:types>
          <w:type w:val="bbPlcHdr"/>
        </w:types>
        <w:behaviors>
          <w:behavior w:val="content"/>
        </w:behaviors>
        <w:guid w:val="{235A509C-68D0-4A50-A9B5-38FF307A7135}"/>
      </w:docPartPr>
      <w:docPartBody>
        <w:p w:rsidR="0098687D" w:rsidRDefault="00BA7880" w:rsidP="00BA7880">
          <w:pPr>
            <w:pStyle w:val="F8B032825D6C4FA99C24F92BD7EEE4AD"/>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880"/>
    <w:rsid w:val="00444B69"/>
    <w:rsid w:val="00561962"/>
    <w:rsid w:val="0098687D"/>
    <w:rsid w:val="00AA017F"/>
    <w:rsid w:val="00BA788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B032825D6C4FA99C24F92BD7EEE4AD">
    <w:name w:val="F8B032825D6C4FA99C24F92BD7EEE4AD"/>
    <w:rsid w:val="00BA78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17</Pages>
  <Words>5094</Words>
  <Characters>29041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Concepts of Finance – BMSW5012</dc:title>
  <dc:subject>Budgeting Principles and Approaches (Financial Analysis of Silver Stitch)</dc:subject>
  <dc:creator>Salma Farache</dc:creator>
  <cp:keywords/>
  <dc:description/>
  <cp:lastModifiedBy>Salma Farache</cp:lastModifiedBy>
  <cp:revision>76</cp:revision>
  <dcterms:created xsi:type="dcterms:W3CDTF">2026-03-12T01:16:00Z</dcterms:created>
  <dcterms:modified xsi:type="dcterms:W3CDTF">2026-03-13T01:43:00Z</dcterms:modified>
</cp:coreProperties>
</file>