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799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799"/>
      </w:tblGrid>
      <w:tr w:rsidR="00F927A1" w:rsidRPr="005D3F07" w14:paraId="68CAA39D" w14:textId="77777777" w:rsidTr="00BD6457">
        <w:tc>
          <w:tcPr>
            <w:tcW w:w="10799" w:type="dxa"/>
            <w:shd w:val="clear" w:color="auto" w:fill="auto"/>
          </w:tcPr>
          <w:p w14:paraId="11B523A9" w14:textId="77777777" w:rsidR="00BD6457" w:rsidRPr="00BD6457" w:rsidRDefault="00BD6457" w:rsidP="00BD645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BD645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 Zoe Draper</w:t>
            </w:r>
          </w:p>
          <w:p w14:paraId="6D25CE94" w14:textId="77777777" w:rsidR="00BD6457" w:rsidRPr="00BD6457" w:rsidRDefault="00BD6457" w:rsidP="00BD645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E72E8D8" w14:textId="77777777" w:rsidR="00BD6457" w:rsidRPr="00BD6457" w:rsidRDefault="00BD6457" w:rsidP="00BD645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BD6457"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 2116578@student.uwtsd.ac.uk</w:t>
            </w:r>
          </w:p>
          <w:p w14:paraId="795B81A7" w14:textId="77777777" w:rsidR="00BD6457" w:rsidRPr="00BD6457" w:rsidRDefault="00BD6457" w:rsidP="00BD645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4689E60B" w14:textId="77777777" w:rsidR="00BD6457" w:rsidRPr="00BD6457" w:rsidRDefault="00BD6457" w:rsidP="00BD645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BD645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 Number: 2116578</w:t>
            </w:r>
          </w:p>
          <w:p w14:paraId="334B0FEF" w14:textId="77777777" w:rsidR="00BD6457" w:rsidRPr="00BD6457" w:rsidRDefault="00BD6457" w:rsidP="00BD645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1AF18CB" w:rsidR="0085230E" w:rsidRPr="005D3F07" w:rsidRDefault="00BD6457" w:rsidP="00BD645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BD6457">
              <w:rPr>
                <w:rFonts w:ascii="Times New Roman" w:hAnsi="Times New Roman" w:cs="Times New Roman"/>
                <w:b/>
                <w:color w:val="auto"/>
                <w:sz w:val="48"/>
              </w:rPr>
              <w:t>Cohort: 18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656E9326" w14:textId="77777777" w:rsidR="00151DA6" w:rsidRDefault="00151DA6" w:rsidP="002A1A44">
      <w:pPr>
        <w:keepNext/>
        <w:spacing w:before="240" w:after="60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Reference List</w:t>
      </w:r>
    </w:p>
    <w:p w14:paraId="5E10188F" w14:textId="77777777" w:rsidR="002A1A44" w:rsidRPr="008B28E7" w:rsidRDefault="002A1A44" w:rsidP="002A1A44">
      <w:pPr>
        <w:keepNext/>
        <w:spacing w:before="240" w:after="60"/>
        <w:jc w:val="both"/>
        <w:rPr>
          <w:sz w:val="24"/>
          <w:szCs w:val="24"/>
        </w:rPr>
      </w:pPr>
      <w:r w:rsidRPr="008B28E7">
        <w:rPr>
          <w:sz w:val="24"/>
          <w:szCs w:val="24"/>
        </w:rPr>
        <w:t>Information about referencing in written assignments and how to avoid plagiarism can be found on Moodle</w:t>
      </w:r>
      <w:r>
        <w:rPr>
          <w:sz w:val="24"/>
          <w:szCs w:val="24"/>
        </w:rPr>
        <w:t xml:space="preserve">. It is important that you are aware of the importance of ensuring that the work submitted is your original work. </w:t>
      </w:r>
      <w:r w:rsidRPr="008B28E7">
        <w:rPr>
          <w:sz w:val="24"/>
          <w:szCs w:val="24"/>
        </w:rPr>
        <w:t xml:space="preserve">     </w:t>
      </w:r>
    </w:p>
    <w:p w14:paraId="2A8B0B2E" w14:textId="77777777" w:rsidR="00EB695F" w:rsidRDefault="00EB695F" w:rsidP="00FF7EBB">
      <w:pPr>
        <w:jc w:val="both"/>
        <w:rPr>
          <w:sz w:val="24"/>
          <w:szCs w:val="24"/>
        </w:rPr>
      </w:pPr>
    </w:p>
    <w:p w14:paraId="3338A666" w14:textId="77777777" w:rsidR="00EB695F" w:rsidRDefault="00EB695F" w:rsidP="00FF7EBB">
      <w:pPr>
        <w:jc w:val="both"/>
        <w:rPr>
          <w:sz w:val="24"/>
          <w:szCs w:val="24"/>
        </w:rPr>
      </w:pPr>
    </w:p>
    <w:p w14:paraId="1F5463DC" w14:textId="77777777" w:rsidR="00EB695F" w:rsidRDefault="00EB695F" w:rsidP="00FF7EBB">
      <w:pPr>
        <w:jc w:val="both"/>
        <w:rPr>
          <w:sz w:val="24"/>
          <w:szCs w:val="24"/>
        </w:rPr>
      </w:pPr>
    </w:p>
    <w:p w14:paraId="3AF79242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Adams, R., Dominelli, L., &amp; Payne, M. (2009). </w:t>
      </w:r>
      <w:r w:rsidRPr="009C7B09">
        <w:rPr>
          <w:i/>
          <w:color w:val="auto"/>
          <w:sz w:val="24"/>
          <w:szCs w:val="24"/>
        </w:rPr>
        <w:t>Critical Practice in Social Work</w:t>
      </w:r>
      <w:r w:rsidRPr="009C7B09">
        <w:rPr>
          <w:color w:val="auto"/>
          <w:sz w:val="24"/>
          <w:szCs w:val="24"/>
        </w:rPr>
        <w:t>. 2nd ed. Basingstoke: Palgrave.</w:t>
      </w:r>
    </w:p>
    <w:p w14:paraId="46B2AF64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FFF58C2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Banks, S. (2012). </w:t>
      </w:r>
      <w:r w:rsidRPr="009C7B09">
        <w:rPr>
          <w:i/>
          <w:color w:val="auto"/>
          <w:sz w:val="24"/>
          <w:szCs w:val="24"/>
        </w:rPr>
        <w:t>Practical Social Work: Ethics and Values in social work</w:t>
      </w:r>
      <w:r w:rsidRPr="009C7B09">
        <w:rPr>
          <w:color w:val="auto"/>
          <w:sz w:val="24"/>
          <w:szCs w:val="24"/>
        </w:rPr>
        <w:t>. 4th ed. Hampshire: Palgrave Macmillan.</w:t>
      </w:r>
    </w:p>
    <w:p w14:paraId="11FCE49E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DDB4895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British Association of Social Workers (BASWA) (2011). </w:t>
      </w:r>
      <w:r w:rsidRPr="009C7B09">
        <w:rPr>
          <w:i/>
          <w:color w:val="auto"/>
          <w:sz w:val="24"/>
          <w:szCs w:val="24"/>
        </w:rPr>
        <w:t>The Supervision Policy</w:t>
      </w:r>
      <w:r w:rsidRPr="009C7B09">
        <w:rPr>
          <w:color w:val="auto"/>
          <w:sz w:val="24"/>
          <w:szCs w:val="24"/>
        </w:rPr>
        <w:t>. [Online]. BASWA. Available at: http://cdn.basw.co.uk/upload/basw_73346-6.pdf. [Accessed 4th May 2022]</w:t>
      </w:r>
    </w:p>
    <w:p w14:paraId="507C450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A7139FE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Beckett, C. (2006). </w:t>
      </w:r>
      <w:r w:rsidRPr="009C7B09">
        <w:rPr>
          <w:i/>
          <w:color w:val="auto"/>
          <w:sz w:val="24"/>
          <w:szCs w:val="24"/>
        </w:rPr>
        <w:t>Essential theory for Social Work Practice</w:t>
      </w:r>
      <w:r w:rsidRPr="009C7B09">
        <w:rPr>
          <w:color w:val="auto"/>
          <w:sz w:val="24"/>
          <w:szCs w:val="24"/>
        </w:rPr>
        <w:t>. 1st ed. London: Sage</w:t>
      </w:r>
    </w:p>
    <w:p w14:paraId="74CAA94D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Boyle, D and Harries, M. (2009). </w:t>
      </w:r>
      <w:r w:rsidRPr="009C7B09">
        <w:rPr>
          <w:i/>
          <w:color w:val="auto"/>
          <w:sz w:val="24"/>
          <w:szCs w:val="24"/>
        </w:rPr>
        <w:t>The challenge of co-production.</w:t>
      </w:r>
      <w:r w:rsidRPr="009C7B09">
        <w:rPr>
          <w:color w:val="auto"/>
          <w:sz w:val="24"/>
          <w:szCs w:val="24"/>
        </w:rPr>
        <w:t xml:space="preserve"> [Online]. Camdencen. Available at: </w:t>
      </w:r>
      <w:hyperlink r:id="rId11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http://www.camdencen.org.uk/Resources/Public%20se</w:t>
        </w:r>
      </w:hyperlink>
      <w:r w:rsidRPr="009C7B09">
        <w:rPr>
          <w:color w:val="auto"/>
          <w:sz w:val="24"/>
          <w:szCs w:val="24"/>
        </w:rPr>
        <w:t xml:space="preserve"> [Accessed 2nd April 2022] </w:t>
      </w:r>
    </w:p>
    <w:p w14:paraId="1DCDDB9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7D6F24E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Brammer, A. (2015). </w:t>
      </w:r>
      <w:r w:rsidRPr="009C7B09">
        <w:rPr>
          <w:i/>
          <w:color w:val="auto"/>
          <w:sz w:val="24"/>
          <w:szCs w:val="24"/>
        </w:rPr>
        <w:t>Social Work Law.</w:t>
      </w:r>
      <w:r w:rsidRPr="009C7B09">
        <w:rPr>
          <w:color w:val="auto"/>
          <w:sz w:val="24"/>
          <w:szCs w:val="24"/>
        </w:rPr>
        <w:t xml:space="preserve"> Edinburgh: Pearson.</w:t>
      </w:r>
    </w:p>
    <w:p w14:paraId="2BE85A7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0BE41E7E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Brayne, H., Carr, H., &amp; Goosey, D. (2015). </w:t>
      </w:r>
      <w:r w:rsidRPr="009C7B09">
        <w:rPr>
          <w:i/>
          <w:color w:val="auto"/>
          <w:sz w:val="24"/>
          <w:szCs w:val="24"/>
        </w:rPr>
        <w:t>Law for Social Workers</w:t>
      </w:r>
      <w:r w:rsidRPr="009C7B09">
        <w:rPr>
          <w:color w:val="auto"/>
          <w:sz w:val="24"/>
          <w:szCs w:val="24"/>
        </w:rPr>
        <w:t>. Oxford: Oxford University Press.</w:t>
      </w:r>
    </w:p>
    <w:p w14:paraId="49727A4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7C9B99A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Brown, K. and Rutter, L. (2015). </w:t>
      </w:r>
      <w:r w:rsidRPr="009C7B09">
        <w:rPr>
          <w:i/>
          <w:color w:val="auto"/>
          <w:sz w:val="24"/>
          <w:szCs w:val="24"/>
        </w:rPr>
        <w:t>Critical Thinking and Professional Judgement for Social Work.</w:t>
      </w:r>
      <w:r w:rsidRPr="009C7B09">
        <w:rPr>
          <w:color w:val="auto"/>
          <w:sz w:val="24"/>
          <w:szCs w:val="24"/>
        </w:rPr>
        <w:t xml:space="preserve"> (4th edition). London: Sage.</w:t>
      </w:r>
    </w:p>
    <w:p w14:paraId="20E2318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0939137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Buckley H., Horwath J., Whelan S. (2006) </w:t>
      </w:r>
      <w:r w:rsidRPr="009C7B09">
        <w:rPr>
          <w:i/>
          <w:color w:val="auto"/>
          <w:sz w:val="24"/>
          <w:szCs w:val="24"/>
        </w:rPr>
        <w:t>Framework for the Assessment of Vulnerable Children &amp; their Families: Assessment Tool and Practice Guidance.</w:t>
      </w:r>
      <w:r w:rsidRPr="009C7B09">
        <w:rPr>
          <w:color w:val="auto"/>
          <w:sz w:val="24"/>
          <w:szCs w:val="24"/>
        </w:rPr>
        <w:t xml:space="preserve"> Dublin: Children's Research Centre.</w:t>
      </w:r>
    </w:p>
    <w:p w14:paraId="5836BE2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729A97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Butler, G. (2013). Reflecting on Emotion in Social Work. In, C. Knott and T, Scragg. </w:t>
      </w:r>
      <w:r w:rsidRPr="009C7B09">
        <w:rPr>
          <w:i/>
          <w:color w:val="auto"/>
          <w:sz w:val="24"/>
          <w:szCs w:val="24"/>
        </w:rPr>
        <w:t xml:space="preserve">Reflective Practice in Social Work </w:t>
      </w:r>
      <w:r w:rsidRPr="009C7B09">
        <w:rPr>
          <w:color w:val="auto"/>
          <w:sz w:val="24"/>
          <w:szCs w:val="24"/>
        </w:rPr>
        <w:t>(3rd edition, pp. 34-51). London: Sage</w:t>
      </w:r>
    </w:p>
    <w:p w14:paraId="24574F7D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49141A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Carr, H., &amp; Goosey, D. (2017). </w:t>
      </w:r>
      <w:r w:rsidRPr="009C7B09">
        <w:rPr>
          <w:i/>
          <w:color w:val="auto"/>
          <w:sz w:val="24"/>
          <w:szCs w:val="24"/>
        </w:rPr>
        <w:t xml:space="preserve">Law for Social Workers </w:t>
      </w:r>
      <w:r w:rsidRPr="009C7B09">
        <w:rPr>
          <w:color w:val="auto"/>
          <w:sz w:val="24"/>
          <w:szCs w:val="24"/>
        </w:rPr>
        <w:t>(14th ed.). Oxford: Oxford University Press.</w:t>
      </w:r>
    </w:p>
    <w:p w14:paraId="13909C4E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DC920B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CAMHS (2022). </w:t>
      </w:r>
      <w:r w:rsidRPr="009C7B09">
        <w:rPr>
          <w:i/>
          <w:color w:val="auto"/>
          <w:sz w:val="24"/>
          <w:szCs w:val="24"/>
        </w:rPr>
        <w:t>Trauma (post-traumatic stress disorder</w:t>
      </w:r>
      <w:r w:rsidRPr="009C7B09">
        <w:rPr>
          <w:color w:val="auto"/>
          <w:sz w:val="24"/>
          <w:szCs w:val="24"/>
        </w:rPr>
        <w:t>). [Online] CAMHS. Available at:  www.hampshirecamhs.nhs.uk [Accessed 8th September 2022]</w:t>
      </w:r>
    </w:p>
    <w:p w14:paraId="17FA1302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6FB8027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Clements, L. (2017). </w:t>
      </w:r>
      <w:r w:rsidRPr="009C7B09">
        <w:rPr>
          <w:i/>
          <w:color w:val="auto"/>
          <w:sz w:val="24"/>
          <w:szCs w:val="24"/>
        </w:rPr>
        <w:t>Social Services and Wellbeing (Wales) Act 2014: a critical overview</w:t>
      </w:r>
      <w:r w:rsidRPr="009C7B09">
        <w:rPr>
          <w:color w:val="auto"/>
          <w:sz w:val="24"/>
          <w:szCs w:val="24"/>
        </w:rPr>
        <w:t>. [Online]. Luke Clements. Available at: http://www.lukeclements.co.uk/wp-content/uploads/2017/06/2017-03-BASSW-Keynote.pdf [Accessed 14th November 2022]</w:t>
      </w:r>
    </w:p>
    <w:p w14:paraId="0143D87E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2D5090E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lastRenderedPageBreak/>
        <w:t xml:space="preserve">Clements, L. (2019). </w:t>
      </w:r>
      <w:r w:rsidRPr="009C7B09">
        <w:rPr>
          <w:i/>
          <w:color w:val="auto"/>
          <w:sz w:val="24"/>
          <w:szCs w:val="24"/>
        </w:rPr>
        <w:t>Safeguarding.</w:t>
      </w:r>
      <w:r w:rsidRPr="009C7B09">
        <w:rPr>
          <w:color w:val="auto"/>
          <w:sz w:val="24"/>
          <w:szCs w:val="24"/>
        </w:rPr>
        <w:t xml:space="preserve"> [Online] Luke Clements. Available at:  http://www.lukeclements.co.uk/rhydian-social-welfare-law-in-wales/safeguarding/ [Accessed 8th August 2022] </w:t>
      </w:r>
    </w:p>
    <w:p w14:paraId="61C9292A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7D3D15B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Clouder, L. (2000). </w:t>
      </w:r>
      <w:r w:rsidRPr="009C7B09">
        <w:rPr>
          <w:i/>
          <w:color w:val="auto"/>
          <w:sz w:val="24"/>
          <w:szCs w:val="24"/>
        </w:rPr>
        <w:t>Reflective practice, realising its potential.</w:t>
      </w:r>
      <w:r w:rsidRPr="009C7B09">
        <w:rPr>
          <w:color w:val="auto"/>
          <w:sz w:val="24"/>
          <w:szCs w:val="24"/>
        </w:rPr>
        <w:t xml:space="preserve"> Policy Press: Physiotherapy. 86(10). Pp517-521. Policy press. </w:t>
      </w:r>
    </w:p>
    <w:p w14:paraId="2B782EA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3CA3B170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Dominelli, L. (2004). </w:t>
      </w:r>
      <w:r w:rsidRPr="009C7B09">
        <w:rPr>
          <w:i/>
          <w:color w:val="auto"/>
          <w:sz w:val="24"/>
          <w:szCs w:val="24"/>
        </w:rPr>
        <w:t>Social Work theory and practice, a changing profession</w:t>
      </w:r>
      <w:r w:rsidRPr="009C7B09">
        <w:rPr>
          <w:color w:val="auto"/>
          <w:sz w:val="24"/>
          <w:szCs w:val="24"/>
        </w:rPr>
        <w:t>. London: Policy Press.</w:t>
      </w:r>
    </w:p>
    <w:p w14:paraId="6EDAE290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5E32961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Gibbs, G. (1988). </w:t>
      </w:r>
      <w:r w:rsidRPr="009C7B09">
        <w:rPr>
          <w:i/>
          <w:color w:val="auto"/>
          <w:sz w:val="24"/>
          <w:szCs w:val="24"/>
        </w:rPr>
        <w:t>Learning by doing: A guide to teaching and learning methods</w:t>
      </w:r>
      <w:r w:rsidRPr="009C7B09">
        <w:rPr>
          <w:color w:val="auto"/>
          <w:sz w:val="24"/>
          <w:szCs w:val="24"/>
        </w:rPr>
        <w:t>.  London: Further Education Unit.</w:t>
      </w:r>
    </w:p>
    <w:p w14:paraId="55B4B9D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114B0E0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Gray, M and Gibbsons, J. (2007). </w:t>
      </w:r>
      <w:r w:rsidRPr="009C7B09">
        <w:rPr>
          <w:i/>
          <w:color w:val="auto"/>
          <w:sz w:val="24"/>
          <w:szCs w:val="24"/>
        </w:rPr>
        <w:t>There are no answers, only choices</w:t>
      </w:r>
      <w:r w:rsidRPr="009C7B09">
        <w:rPr>
          <w:color w:val="auto"/>
          <w:sz w:val="24"/>
          <w:szCs w:val="24"/>
        </w:rPr>
        <w:t xml:space="preserve">. Teaching ethical decision making in social work. </w:t>
      </w:r>
      <w:r w:rsidRPr="009C7B09">
        <w:rPr>
          <w:i/>
          <w:color w:val="auto"/>
          <w:sz w:val="24"/>
          <w:szCs w:val="24"/>
        </w:rPr>
        <w:t>Austrailian social work</w:t>
      </w:r>
      <w:r w:rsidRPr="009C7B09">
        <w:rPr>
          <w:color w:val="auto"/>
          <w:sz w:val="24"/>
          <w:szCs w:val="24"/>
        </w:rPr>
        <w:t>. 60(3), pp.222-38</w:t>
      </w:r>
    </w:p>
    <w:p w14:paraId="07660BF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70E5F25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Gray, M. and Webb, SA. (2010). Introduction: Ethics and Value Perspectives in Social Work. In M. Gray and SA. Webb. (Eds), </w:t>
      </w:r>
      <w:r w:rsidRPr="009C7B09">
        <w:rPr>
          <w:i/>
          <w:color w:val="auto"/>
          <w:sz w:val="24"/>
          <w:szCs w:val="24"/>
        </w:rPr>
        <w:t>Ethics and Values Perspectives in Social Work.</w:t>
      </w:r>
      <w:r w:rsidRPr="009C7B09">
        <w:rPr>
          <w:color w:val="auto"/>
          <w:sz w:val="24"/>
          <w:szCs w:val="24"/>
        </w:rPr>
        <w:t xml:space="preserve"> (pp. 1 - 18). Hampshire: Palgrave.  </w:t>
      </w:r>
    </w:p>
    <w:p w14:paraId="40901914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731EE3C3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Kennedy, J. (2019). </w:t>
      </w:r>
      <w:r w:rsidRPr="009C7B09">
        <w:rPr>
          <w:i/>
          <w:color w:val="auto"/>
          <w:sz w:val="24"/>
          <w:szCs w:val="24"/>
        </w:rPr>
        <w:t>The Importance of Relationships in Social Work Care knowledge</w:t>
      </w:r>
      <w:r w:rsidRPr="009C7B09">
        <w:rPr>
          <w:color w:val="auto"/>
          <w:sz w:val="24"/>
          <w:szCs w:val="24"/>
        </w:rPr>
        <w:t xml:space="preserve">. London: Pavilion Publishing and Media Ltd HM Government. (1989). </w:t>
      </w:r>
    </w:p>
    <w:p w14:paraId="0314A555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A175A2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Johns, R. (2017). </w:t>
      </w:r>
      <w:r w:rsidRPr="009C7B09">
        <w:rPr>
          <w:i/>
          <w:color w:val="auto"/>
          <w:sz w:val="24"/>
          <w:szCs w:val="24"/>
        </w:rPr>
        <w:t>Using the Social Work Law</w:t>
      </w:r>
      <w:r w:rsidRPr="009C7B09">
        <w:rPr>
          <w:color w:val="auto"/>
          <w:sz w:val="24"/>
          <w:szCs w:val="24"/>
        </w:rPr>
        <w:t>. London: Sage Publications.</w:t>
      </w:r>
    </w:p>
    <w:p w14:paraId="7CEABE25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548D8DD2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Landreth G. L. (2005) </w:t>
      </w:r>
      <w:r w:rsidRPr="009C7B09">
        <w:rPr>
          <w:i/>
          <w:color w:val="auto"/>
          <w:sz w:val="24"/>
          <w:szCs w:val="24"/>
        </w:rPr>
        <w:t>Play Therapy: The Art of the Relationship.</w:t>
      </w:r>
      <w:r w:rsidRPr="009C7B09">
        <w:rPr>
          <w:color w:val="auto"/>
          <w:sz w:val="24"/>
          <w:szCs w:val="24"/>
        </w:rPr>
        <w:t xml:space="preserve"> (2nd ed). New York: Brunner-Routledge.</w:t>
      </w:r>
    </w:p>
    <w:p w14:paraId="55869F35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896A001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Laming, L. (2003). </w:t>
      </w:r>
      <w:r w:rsidRPr="009C7B09">
        <w:rPr>
          <w:i/>
          <w:color w:val="auto"/>
          <w:sz w:val="24"/>
          <w:szCs w:val="24"/>
        </w:rPr>
        <w:t>The Victoria Climbié Inquiry: Report of an Inquiry</w:t>
      </w:r>
      <w:r w:rsidRPr="009C7B09">
        <w:rPr>
          <w:color w:val="auto"/>
          <w:sz w:val="24"/>
          <w:szCs w:val="24"/>
        </w:rPr>
        <w:t xml:space="preserve">. London: Her Majesty's Stationery Office. </w:t>
      </w:r>
    </w:p>
    <w:p w14:paraId="3585017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A96B19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>Kemshall, H and Pritchard, J (1997).</w:t>
      </w:r>
      <w:r w:rsidRPr="009C7B09">
        <w:rPr>
          <w:i/>
          <w:color w:val="auto"/>
          <w:sz w:val="24"/>
          <w:szCs w:val="24"/>
        </w:rPr>
        <w:t xml:space="preserve"> Good Practice in Risk Assessment and Risk Management</w:t>
      </w:r>
      <w:r w:rsidRPr="009C7B09">
        <w:rPr>
          <w:color w:val="auto"/>
          <w:sz w:val="24"/>
          <w:szCs w:val="24"/>
        </w:rPr>
        <w:t>. London: Jessica Kingsley Publishers.</w:t>
      </w:r>
    </w:p>
    <w:p w14:paraId="1227A28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1593097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Koprowska, J., (2012). </w:t>
      </w:r>
      <w:r w:rsidRPr="009C7B09">
        <w:rPr>
          <w:i/>
          <w:color w:val="auto"/>
          <w:sz w:val="24"/>
          <w:szCs w:val="24"/>
        </w:rPr>
        <w:t>Curriculum guide – Communication skills</w:t>
      </w:r>
      <w:r w:rsidRPr="009C7B09">
        <w:rPr>
          <w:color w:val="auto"/>
          <w:sz w:val="24"/>
          <w:szCs w:val="24"/>
        </w:rPr>
        <w:t>. (1st Ed.) [Online] British Association of Social Workers. Available at: https://www.basw.co.uk/system/files/resources/basw_101013-5_0.pdf [Accessed 31 August 2022].</w:t>
      </w:r>
    </w:p>
    <w:p w14:paraId="44DF97DD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50D1CD81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Kirk, G and Duschinsky, R. (2016). On the margins of the child protection system: creating space for relational social work practice. </w:t>
      </w:r>
      <w:r w:rsidRPr="009C7B09">
        <w:rPr>
          <w:i/>
          <w:color w:val="auto"/>
          <w:sz w:val="24"/>
          <w:szCs w:val="24"/>
        </w:rPr>
        <w:t>Child and family social work.</w:t>
      </w:r>
      <w:r w:rsidRPr="009C7B09">
        <w:rPr>
          <w:color w:val="auto"/>
          <w:sz w:val="24"/>
          <w:szCs w:val="24"/>
        </w:rPr>
        <w:t xml:space="preserve"> 22(2), pp.963-971.</w:t>
      </w:r>
    </w:p>
    <w:p w14:paraId="1BC5AE00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09B0EB34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Knaffler, S. (2016). </w:t>
      </w:r>
      <w:r w:rsidRPr="009C7B09">
        <w:rPr>
          <w:i/>
          <w:color w:val="auto"/>
          <w:sz w:val="24"/>
          <w:szCs w:val="24"/>
        </w:rPr>
        <w:t>Adult social care Law</w:t>
      </w:r>
      <w:r w:rsidRPr="009C7B09">
        <w:rPr>
          <w:color w:val="auto"/>
          <w:sz w:val="24"/>
          <w:szCs w:val="24"/>
        </w:rPr>
        <w:t xml:space="preserve">. London: Legal Action Group. </w:t>
      </w:r>
    </w:p>
    <w:p w14:paraId="633BDC04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0A747327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Lefevre, M. (2018). </w:t>
      </w:r>
      <w:r w:rsidRPr="009C7B09">
        <w:rPr>
          <w:i/>
          <w:color w:val="auto"/>
          <w:sz w:val="24"/>
          <w:szCs w:val="24"/>
        </w:rPr>
        <w:t>Communication and engaging with children and young people. Making a difference</w:t>
      </w:r>
      <w:r w:rsidRPr="009C7B09">
        <w:rPr>
          <w:color w:val="auto"/>
          <w:sz w:val="24"/>
          <w:szCs w:val="24"/>
        </w:rPr>
        <w:t xml:space="preserve">. Policy Press: Salford </w:t>
      </w:r>
    </w:p>
    <w:p w14:paraId="30724FA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C665ACA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Lishman, J. (2020). </w:t>
      </w:r>
      <w:r w:rsidRPr="009C7B09">
        <w:rPr>
          <w:i/>
          <w:color w:val="auto"/>
          <w:sz w:val="24"/>
          <w:szCs w:val="24"/>
        </w:rPr>
        <w:t>Communication in social work</w:t>
      </w:r>
      <w:r w:rsidRPr="009C7B09">
        <w:rPr>
          <w:color w:val="auto"/>
          <w:sz w:val="24"/>
          <w:szCs w:val="24"/>
        </w:rPr>
        <w:t xml:space="preserve">. (2nd ed). Bloomsbury publishing: London </w:t>
      </w:r>
    </w:p>
    <w:p w14:paraId="6DB5B5C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6F0C38B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McLeod, S.A. (2017). </w:t>
      </w:r>
      <w:r w:rsidRPr="009C7B09">
        <w:rPr>
          <w:i/>
          <w:color w:val="auto"/>
          <w:sz w:val="24"/>
          <w:szCs w:val="24"/>
        </w:rPr>
        <w:t>Kolb-learning styles and experimental learning cycle</w:t>
      </w:r>
      <w:r w:rsidRPr="009C7B09">
        <w:rPr>
          <w:color w:val="auto"/>
          <w:sz w:val="24"/>
          <w:szCs w:val="24"/>
        </w:rPr>
        <w:t>. [online] Simply psychology. Available at: www.simplypsychology.org/learning-kolb.html. [Accessed on: 2</w:t>
      </w:r>
      <w:r w:rsidRPr="009C7B09">
        <w:rPr>
          <w:color w:val="auto"/>
          <w:sz w:val="24"/>
          <w:szCs w:val="24"/>
          <w:vertAlign w:val="superscript"/>
        </w:rPr>
        <w:t>nd</w:t>
      </w:r>
      <w:r w:rsidRPr="009C7B09">
        <w:rPr>
          <w:color w:val="auto"/>
          <w:sz w:val="24"/>
          <w:szCs w:val="24"/>
        </w:rPr>
        <w:t xml:space="preserve"> April 2022]</w:t>
      </w:r>
    </w:p>
    <w:p w14:paraId="42E883A5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6D0F2F93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Moon, J. (2005). </w:t>
      </w:r>
      <w:r w:rsidRPr="009C7B09">
        <w:rPr>
          <w:i/>
          <w:color w:val="auto"/>
          <w:sz w:val="24"/>
          <w:szCs w:val="24"/>
        </w:rPr>
        <w:t>Critical Thinking.</w:t>
      </w:r>
      <w:r w:rsidRPr="009C7B09">
        <w:rPr>
          <w:color w:val="auto"/>
          <w:sz w:val="24"/>
          <w:szCs w:val="24"/>
        </w:rPr>
        <w:t xml:space="preserve"> Bristol: Escalate.</w:t>
      </w:r>
    </w:p>
    <w:p w14:paraId="7AA1040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0E254510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Murphy, D; Duggan, M and Joseph, S. (2012). Relationship-Based Social Work and Its Compatibility with the Person-Centred Approach: Principled versus Instrumental. </w:t>
      </w:r>
      <w:r w:rsidRPr="009C7B09">
        <w:rPr>
          <w:i/>
          <w:color w:val="auto"/>
          <w:sz w:val="24"/>
          <w:szCs w:val="24"/>
        </w:rPr>
        <w:t>The British Journal of Social Work</w:t>
      </w:r>
      <w:r w:rsidRPr="009C7B09">
        <w:rPr>
          <w:color w:val="auto"/>
          <w:sz w:val="24"/>
          <w:szCs w:val="24"/>
        </w:rPr>
        <w:t>. 43(4), pp.703-719. [Online]. Available at: Doi 10.108https://doi.org/10.1093/bjsw/bcs003 0/13575270903369319 [Accessed 12th August 2022]</w:t>
      </w:r>
    </w:p>
    <w:p w14:paraId="46D71E4D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5B23F3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>Monds-Watson, A; Manktelow, R and McColgan, M. (2010). Social Work with children when paretns have mental health difficulties: Acknowledging Vulnerability and maintain ‘the rights of</w:t>
      </w:r>
    </w:p>
    <w:p w14:paraId="6231347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the child. </w:t>
      </w:r>
      <w:r w:rsidRPr="009C7B09">
        <w:rPr>
          <w:i/>
          <w:color w:val="auto"/>
          <w:sz w:val="24"/>
          <w:szCs w:val="24"/>
        </w:rPr>
        <w:t>Child care in Practice</w:t>
      </w:r>
      <w:r w:rsidRPr="009C7B09">
        <w:rPr>
          <w:color w:val="auto"/>
          <w:sz w:val="24"/>
          <w:szCs w:val="24"/>
        </w:rPr>
        <w:t>. 16(1) pp.35-55 [Online]. Available at: Doi 10.1080/13575270903369319 [Accessed 11 July 2022].</w:t>
      </w:r>
    </w:p>
    <w:p w14:paraId="14B6BE9B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41BB0013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Munro, E. (2011). </w:t>
      </w:r>
      <w:r w:rsidRPr="009C7B09">
        <w:rPr>
          <w:i/>
          <w:color w:val="auto"/>
          <w:sz w:val="24"/>
          <w:szCs w:val="24"/>
        </w:rPr>
        <w:t>Munro review of child protection</w:t>
      </w:r>
      <w:r w:rsidRPr="009C7B09">
        <w:rPr>
          <w:color w:val="auto"/>
          <w:sz w:val="24"/>
          <w:szCs w:val="24"/>
        </w:rPr>
        <w:t xml:space="preserve">. [Online] Government UK. Available at  </w:t>
      </w:r>
      <w:hyperlink r:id="rId12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https://www.gov.uk/government/publications/munro-review-of-child-protection-final-report-a-child-centred-system</w:t>
        </w:r>
      </w:hyperlink>
      <w:r w:rsidRPr="009C7B09">
        <w:rPr>
          <w:color w:val="auto"/>
          <w:sz w:val="24"/>
          <w:szCs w:val="24"/>
        </w:rPr>
        <w:t xml:space="preserve"> [Accessed on: 5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June 2022]. </w:t>
      </w:r>
    </w:p>
    <w:p w14:paraId="3DFEA27B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 </w:t>
      </w:r>
    </w:p>
    <w:p w14:paraId="6CAC30C2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Navqi, S. (2014). </w:t>
      </w:r>
      <w:r w:rsidRPr="009C7B09">
        <w:rPr>
          <w:i/>
          <w:color w:val="auto"/>
          <w:sz w:val="24"/>
          <w:szCs w:val="24"/>
        </w:rPr>
        <w:t>Mind your language</w:t>
      </w:r>
      <w:r w:rsidRPr="009C7B09">
        <w:rPr>
          <w:color w:val="auto"/>
          <w:sz w:val="24"/>
          <w:szCs w:val="24"/>
        </w:rPr>
        <w:t xml:space="preserve">. [Online] BASWA. Available at: </w:t>
      </w:r>
      <w:hyperlink r:id="rId13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https://www.basw.co.uk/system/files/resources/basw_40437-1_0.pdf</w:t>
        </w:r>
      </w:hyperlink>
      <w:r w:rsidRPr="009C7B09">
        <w:rPr>
          <w:color w:val="auto"/>
          <w:sz w:val="24"/>
          <w:szCs w:val="24"/>
        </w:rPr>
        <w:t xml:space="preserve"> [Accessed on: 7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July 2022]. </w:t>
      </w:r>
    </w:p>
    <w:p w14:paraId="24D767C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76B52D4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NSPCC (2022). </w:t>
      </w:r>
      <w:r w:rsidRPr="009C7B09">
        <w:rPr>
          <w:i/>
          <w:color w:val="auto"/>
          <w:sz w:val="24"/>
          <w:szCs w:val="24"/>
        </w:rPr>
        <w:t>Children and the Law</w:t>
      </w:r>
      <w:r w:rsidRPr="009C7B09">
        <w:rPr>
          <w:color w:val="auto"/>
          <w:sz w:val="24"/>
          <w:szCs w:val="24"/>
        </w:rPr>
        <w:t>. [Online] NSPCC. Available at:  https://learning.nspcc.org.uk/child-protection-system/children-the-law [Accessed on: 16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August 2022]. </w:t>
      </w:r>
    </w:p>
    <w:p w14:paraId="1F981EB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9E0405B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NSPCC (2022). </w:t>
      </w:r>
      <w:r w:rsidRPr="009C7B09">
        <w:rPr>
          <w:i/>
          <w:color w:val="auto"/>
          <w:sz w:val="24"/>
          <w:szCs w:val="24"/>
        </w:rPr>
        <w:t>Gillick competency and Fraser guidelines.</w:t>
      </w:r>
      <w:r w:rsidRPr="009C7B09">
        <w:rPr>
          <w:color w:val="auto"/>
          <w:sz w:val="24"/>
          <w:szCs w:val="24"/>
        </w:rPr>
        <w:t xml:space="preserve"> [Online] NSPCC. Available at:  </w:t>
      </w:r>
      <w:hyperlink r:id="rId14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https://learning.nspcc.org.uk/child-protection-system/gillick-competence-fraser-guidelines</w:t>
        </w:r>
      </w:hyperlink>
      <w:r w:rsidRPr="009C7B09">
        <w:rPr>
          <w:color w:val="auto"/>
          <w:sz w:val="24"/>
          <w:szCs w:val="24"/>
        </w:rPr>
        <w:t>. Accessed on: 16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August 2022. </w:t>
      </w:r>
    </w:p>
    <w:p w14:paraId="1B11BB07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1240B87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Payne, M. (2014). </w:t>
      </w:r>
      <w:r w:rsidRPr="009C7B09">
        <w:rPr>
          <w:i/>
          <w:color w:val="auto"/>
          <w:sz w:val="24"/>
          <w:szCs w:val="24"/>
        </w:rPr>
        <w:t>Modern Social Work Theory</w:t>
      </w:r>
      <w:r w:rsidRPr="009C7B09">
        <w:rPr>
          <w:color w:val="auto"/>
          <w:sz w:val="24"/>
          <w:szCs w:val="24"/>
        </w:rPr>
        <w:t>. (4th ed). London: Palgrave Macmillan.</w:t>
      </w:r>
    </w:p>
    <w:p w14:paraId="57F15431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6037C70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Rodat, S. (2020). Empathy and active listening in the humanistic social work. In: Voinea, A. and Strungă, A. (Ed). </w:t>
      </w:r>
      <w:r w:rsidRPr="009C7B09">
        <w:rPr>
          <w:i/>
          <w:color w:val="auto"/>
          <w:sz w:val="24"/>
          <w:szCs w:val="24"/>
        </w:rPr>
        <w:t>Research Terminals in the Social.</w:t>
      </w:r>
      <w:r w:rsidRPr="009C7B09">
        <w:rPr>
          <w:color w:val="auto"/>
          <w:sz w:val="24"/>
          <w:szCs w:val="24"/>
        </w:rPr>
        <w:t xml:space="preserve"> Craiova: Sitech Publishing House. pp.9-25.</w:t>
      </w:r>
    </w:p>
    <w:p w14:paraId="56DB083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BD8354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Reamer, F.G. (2013). </w:t>
      </w:r>
      <w:r w:rsidRPr="009C7B09">
        <w:rPr>
          <w:i/>
          <w:color w:val="auto"/>
          <w:sz w:val="24"/>
          <w:szCs w:val="24"/>
        </w:rPr>
        <w:t>Social work values and ethics</w:t>
      </w:r>
      <w:r w:rsidRPr="009C7B09">
        <w:rPr>
          <w:color w:val="auto"/>
          <w:sz w:val="24"/>
          <w:szCs w:val="24"/>
        </w:rPr>
        <w:t>. (4th Ed). Chinchester: Colombia University press.</w:t>
      </w:r>
    </w:p>
    <w:p w14:paraId="208096D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0027C333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lastRenderedPageBreak/>
        <w:t xml:space="preserve">UNICEF (1989). </w:t>
      </w:r>
      <w:r w:rsidRPr="009C7B09">
        <w:rPr>
          <w:i/>
          <w:color w:val="auto"/>
          <w:sz w:val="24"/>
          <w:szCs w:val="24"/>
        </w:rPr>
        <w:t>The United Nationals Convention on the rights of the child.</w:t>
      </w:r>
      <w:r w:rsidRPr="009C7B09">
        <w:rPr>
          <w:color w:val="auto"/>
          <w:sz w:val="24"/>
          <w:szCs w:val="24"/>
        </w:rPr>
        <w:t xml:space="preserve"> [Online] UNICEF. Available at: </w:t>
      </w:r>
      <w:hyperlink r:id="rId15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https://www.unicef.org.uk/what-we-do/un-convention-child-rights/</w:t>
        </w:r>
      </w:hyperlink>
      <w:r w:rsidRPr="009C7B09">
        <w:rPr>
          <w:color w:val="auto"/>
          <w:sz w:val="24"/>
          <w:szCs w:val="24"/>
        </w:rPr>
        <w:t>. [Accessed on: 1</w:t>
      </w:r>
      <w:r w:rsidRPr="009C7B09">
        <w:rPr>
          <w:color w:val="auto"/>
          <w:sz w:val="24"/>
          <w:szCs w:val="24"/>
          <w:vertAlign w:val="superscript"/>
        </w:rPr>
        <w:t>st</w:t>
      </w:r>
      <w:r w:rsidRPr="009C7B09">
        <w:rPr>
          <w:color w:val="auto"/>
          <w:sz w:val="24"/>
          <w:szCs w:val="24"/>
        </w:rPr>
        <w:t xml:space="preserve"> August 2022] </w:t>
      </w:r>
    </w:p>
    <w:p w14:paraId="10783021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6DDB291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Social Care Wales. (2017). </w:t>
      </w:r>
      <w:r w:rsidRPr="009C7B09">
        <w:rPr>
          <w:i/>
          <w:color w:val="auto"/>
          <w:sz w:val="24"/>
          <w:szCs w:val="24"/>
        </w:rPr>
        <w:t>National Occupational Standards for Social Work</w:t>
      </w:r>
      <w:r w:rsidRPr="009C7B09">
        <w:rPr>
          <w:color w:val="auto"/>
          <w:sz w:val="24"/>
          <w:szCs w:val="24"/>
        </w:rPr>
        <w:t xml:space="preserve">. [Online] Social Care Wales. Available at: </w:t>
      </w:r>
      <w:hyperlink r:id="rId16" w:history="1">
        <w:r w:rsidRPr="009C7B09">
          <w:rPr>
            <w:rStyle w:val="Hyperlink"/>
            <w:color w:val="auto"/>
            <w:sz w:val="24"/>
            <w:szCs w:val="24"/>
            <w:u w:val="none"/>
          </w:rPr>
          <w:t>www.socialcarewales.co.uk</w:t>
        </w:r>
      </w:hyperlink>
      <w:r w:rsidRPr="009C7B09">
        <w:rPr>
          <w:color w:val="auto"/>
          <w:sz w:val="24"/>
          <w:szCs w:val="24"/>
        </w:rPr>
        <w:t xml:space="preserve"> [Accessed on: 1</w:t>
      </w:r>
      <w:r w:rsidRPr="009C7B09">
        <w:rPr>
          <w:color w:val="auto"/>
          <w:sz w:val="24"/>
          <w:szCs w:val="24"/>
          <w:vertAlign w:val="superscript"/>
        </w:rPr>
        <w:t>st</w:t>
      </w:r>
      <w:r w:rsidRPr="009C7B09">
        <w:rPr>
          <w:color w:val="auto"/>
          <w:sz w:val="24"/>
          <w:szCs w:val="24"/>
        </w:rPr>
        <w:t xml:space="preserve"> March 2022]. </w:t>
      </w:r>
    </w:p>
    <w:p w14:paraId="0BC47464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0AB1D0F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>Social Care Wales. (2017)</w:t>
      </w:r>
      <w:r w:rsidRPr="009C7B09">
        <w:rPr>
          <w:i/>
          <w:color w:val="auto"/>
          <w:sz w:val="24"/>
          <w:szCs w:val="24"/>
        </w:rPr>
        <w:t xml:space="preserve"> Code of Professional Practice for Social Care</w:t>
      </w:r>
      <w:r w:rsidRPr="009C7B09">
        <w:rPr>
          <w:color w:val="auto"/>
          <w:sz w:val="24"/>
          <w:szCs w:val="24"/>
        </w:rPr>
        <w:t>. Cardiff: Social Care</w:t>
      </w:r>
    </w:p>
    <w:p w14:paraId="62AA1C6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>Wales.</w:t>
      </w:r>
    </w:p>
    <w:p w14:paraId="331137C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369566EB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</w:rPr>
      </w:pPr>
      <w:r w:rsidRPr="009C7B09">
        <w:rPr>
          <w:color w:val="auto"/>
          <w:sz w:val="24"/>
          <w:szCs w:val="24"/>
        </w:rPr>
        <w:t xml:space="preserve">Social Care Wales. (2020). </w:t>
      </w:r>
      <w:r w:rsidRPr="009C7B09">
        <w:rPr>
          <w:i/>
          <w:color w:val="auto"/>
          <w:sz w:val="24"/>
          <w:szCs w:val="24"/>
        </w:rPr>
        <w:t>Wales Safeguarding procedures. [</w:t>
      </w:r>
      <w:r w:rsidRPr="009C7B09">
        <w:rPr>
          <w:color w:val="auto"/>
          <w:sz w:val="24"/>
          <w:szCs w:val="24"/>
        </w:rPr>
        <w:t>Online] Social Care Wales. Available at:</w:t>
      </w:r>
      <w:r w:rsidRPr="009C7B09">
        <w:rPr>
          <w:color w:val="auto"/>
        </w:rPr>
        <w:t xml:space="preserve"> </w:t>
      </w:r>
      <w:r w:rsidRPr="009C7B09">
        <w:rPr>
          <w:color w:val="auto"/>
          <w:sz w:val="24"/>
          <w:szCs w:val="24"/>
        </w:rPr>
        <w:t xml:space="preserve">https://safeguarding.wales. [Accessed on: 20 Apr 2022]. </w:t>
      </w:r>
    </w:p>
    <w:p w14:paraId="1C9A23D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Social Care Wales (2022). </w:t>
      </w:r>
      <w:r w:rsidRPr="009C7B09">
        <w:rPr>
          <w:i/>
          <w:color w:val="auto"/>
          <w:sz w:val="24"/>
          <w:szCs w:val="24"/>
        </w:rPr>
        <w:t>Co-production: Co-production expert class presentation</w:t>
      </w:r>
      <w:r w:rsidRPr="009C7B09">
        <w:rPr>
          <w:color w:val="auto"/>
          <w:sz w:val="24"/>
          <w:szCs w:val="24"/>
        </w:rPr>
        <w:t xml:space="preserve">. [Online] Social Care Wales. Available at: </w:t>
      </w:r>
      <w:hyperlink r:id="rId17" w:history="1">
        <w:r w:rsidRPr="009C7B09">
          <w:rPr>
            <w:rStyle w:val="Hyperlink"/>
            <w:color w:val="auto"/>
            <w:sz w:val="24"/>
            <w:szCs w:val="24"/>
            <w:u w:val="none"/>
          </w:rPr>
          <w:t>www.socialcarewales/rescouces.com</w:t>
        </w:r>
      </w:hyperlink>
      <w:r w:rsidRPr="009C7B09">
        <w:rPr>
          <w:color w:val="auto"/>
          <w:sz w:val="24"/>
          <w:szCs w:val="24"/>
        </w:rPr>
        <w:t>. [Accessed on: 8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May 2022] </w:t>
      </w:r>
    </w:p>
    <w:p w14:paraId="605E6445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039917F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Social Care Institute of Excellence. (2020). </w:t>
      </w:r>
      <w:r w:rsidRPr="009C7B09">
        <w:rPr>
          <w:i/>
          <w:color w:val="auto"/>
          <w:sz w:val="24"/>
          <w:szCs w:val="24"/>
        </w:rPr>
        <w:t xml:space="preserve">Mental capacity act. </w:t>
      </w:r>
      <w:r w:rsidRPr="009C7B09">
        <w:rPr>
          <w:color w:val="auto"/>
          <w:sz w:val="24"/>
          <w:szCs w:val="24"/>
        </w:rPr>
        <w:t xml:space="preserve">[Online] Social Care institute of Excellence. Available at: </w:t>
      </w:r>
      <w:hyperlink r:id="rId18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https://www.scie.org.uk/mca/introduction/mental-capacity-act-2005-at-a-glance</w:t>
        </w:r>
      </w:hyperlink>
      <w:r w:rsidRPr="009C7B09">
        <w:rPr>
          <w:color w:val="auto"/>
          <w:sz w:val="24"/>
          <w:szCs w:val="24"/>
        </w:rPr>
        <w:t>. [Accessed on: 7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July 2022]</w:t>
      </w:r>
    </w:p>
    <w:p w14:paraId="5B8F743A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96AACAA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Turnell, A. and Edwards, S. (1999) </w:t>
      </w:r>
      <w:r w:rsidRPr="009C7B09">
        <w:rPr>
          <w:i/>
          <w:color w:val="auto"/>
          <w:sz w:val="24"/>
          <w:szCs w:val="24"/>
        </w:rPr>
        <w:t>Signs of Safety: A safety and solution-orientated approach to child protection casework</w:t>
      </w:r>
      <w:r w:rsidRPr="009C7B09">
        <w:rPr>
          <w:color w:val="auto"/>
          <w:sz w:val="24"/>
          <w:szCs w:val="24"/>
        </w:rPr>
        <w:t>. New York: WW Norton</w:t>
      </w:r>
    </w:p>
    <w:p w14:paraId="7C6EB631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3E507E1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Teater, B. (2014). </w:t>
      </w:r>
      <w:r w:rsidRPr="009C7B09">
        <w:rPr>
          <w:i/>
          <w:color w:val="auto"/>
          <w:sz w:val="24"/>
          <w:szCs w:val="24"/>
        </w:rPr>
        <w:t>An introduction to applying social wok theories and models</w:t>
      </w:r>
      <w:r w:rsidRPr="009C7B09">
        <w:rPr>
          <w:color w:val="auto"/>
          <w:sz w:val="24"/>
          <w:szCs w:val="24"/>
        </w:rPr>
        <w:t xml:space="preserve">. (2nd ed). London: Open university press. </w:t>
      </w:r>
    </w:p>
    <w:p w14:paraId="31024825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3F967CB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>Teater, B. (2014).</w:t>
      </w:r>
      <w:r w:rsidRPr="009C7B09">
        <w:rPr>
          <w:i/>
          <w:color w:val="auto"/>
          <w:sz w:val="24"/>
          <w:szCs w:val="24"/>
        </w:rPr>
        <w:t xml:space="preserve"> Contemporary social work practice. A handbook for students</w:t>
      </w:r>
      <w:r w:rsidRPr="009C7B09">
        <w:rPr>
          <w:color w:val="auto"/>
          <w:sz w:val="24"/>
          <w:szCs w:val="24"/>
        </w:rPr>
        <w:t xml:space="preserve">. London: Open university press. </w:t>
      </w:r>
    </w:p>
    <w:p w14:paraId="0B3B916A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07463893" w14:textId="5E901C54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Thacker, H; Anka, A and Penhale, B. (2020). The importance of professional curiosity in safeguarding adults. [Online] Research in practice. Available at: </w:t>
      </w:r>
      <w:r w:rsidRPr="009661D5">
        <w:rPr>
          <w:color w:val="auto"/>
          <w:sz w:val="24"/>
          <w:szCs w:val="24"/>
        </w:rPr>
        <w:t>https://www.researchinpractice.org.uk/adults/news-views/2020/december/the-importance-of-professional-curiosity-in-safeguarding-adults/</w:t>
      </w:r>
      <w:r>
        <w:rPr>
          <w:color w:val="auto"/>
          <w:sz w:val="24"/>
          <w:szCs w:val="24"/>
        </w:rPr>
        <w:t xml:space="preserve">. </w:t>
      </w:r>
      <w:r w:rsidRPr="009C7B09">
        <w:rPr>
          <w:color w:val="auto"/>
          <w:sz w:val="24"/>
          <w:szCs w:val="24"/>
        </w:rPr>
        <w:t>[Accessed on: 2</w:t>
      </w:r>
      <w:r w:rsidRPr="009C7B09">
        <w:rPr>
          <w:color w:val="auto"/>
          <w:sz w:val="24"/>
          <w:szCs w:val="24"/>
          <w:vertAlign w:val="superscript"/>
        </w:rPr>
        <w:t>nd</w:t>
      </w:r>
      <w:r w:rsidRPr="009C7B09">
        <w:rPr>
          <w:color w:val="auto"/>
          <w:sz w:val="24"/>
          <w:szCs w:val="24"/>
        </w:rPr>
        <w:t xml:space="preserve"> September 2022] </w:t>
      </w:r>
    </w:p>
    <w:p w14:paraId="2BF50132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713BB1EE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Trivedi, S. (2019). The harm of child protection removal. </w:t>
      </w:r>
      <w:r w:rsidRPr="009C7B09">
        <w:rPr>
          <w:i/>
          <w:color w:val="auto"/>
          <w:sz w:val="24"/>
          <w:szCs w:val="24"/>
        </w:rPr>
        <w:t>New York University Review of Law &amp; Social Change</w:t>
      </w:r>
      <w:r w:rsidRPr="009C7B09">
        <w:rPr>
          <w:color w:val="auto"/>
          <w:sz w:val="24"/>
          <w:szCs w:val="24"/>
        </w:rPr>
        <w:t>. 43(523), pp.525-579. [Online]. Available at: https://scholarworks.law.ubalt.edu/all_fac/1085 [Accessed 11 September 2022].</w:t>
      </w:r>
    </w:p>
    <w:p w14:paraId="1A25DE57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39CF723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Williams, 7. (2017). Adult Safeguarding in Wales: one step in the right direction. </w:t>
      </w:r>
      <w:r w:rsidRPr="009C7B09">
        <w:rPr>
          <w:i/>
          <w:color w:val="auto"/>
          <w:sz w:val="24"/>
          <w:szCs w:val="24"/>
        </w:rPr>
        <w:t>The Journal of Adult protection.</w:t>
      </w:r>
      <w:r w:rsidRPr="009C7B09">
        <w:rPr>
          <w:color w:val="auto"/>
          <w:sz w:val="24"/>
          <w:szCs w:val="24"/>
        </w:rPr>
        <w:t xml:space="preserve"> 19(4), pp. 175-86 [Online] Available at: </w:t>
      </w:r>
      <w:hyperlink r:id="rId19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https://doi.org.10.1108/JAP-05-2017-0021</w:t>
        </w:r>
      </w:hyperlink>
      <w:r w:rsidRPr="009C7B09">
        <w:rPr>
          <w:color w:val="auto"/>
          <w:sz w:val="24"/>
          <w:szCs w:val="24"/>
        </w:rPr>
        <w:t xml:space="preserve"> [Accessed on 7th September 2022] </w:t>
      </w:r>
    </w:p>
    <w:p w14:paraId="665D942D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F0A6747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Weld, N. (2008). The three houses tool: building safety and positive change. In Calder, M (Ed). </w:t>
      </w:r>
      <w:r w:rsidRPr="009C7B09">
        <w:rPr>
          <w:i/>
          <w:color w:val="auto"/>
          <w:sz w:val="24"/>
          <w:szCs w:val="24"/>
        </w:rPr>
        <w:t>Contemporary risk assessment in safeguarding children</w:t>
      </w:r>
      <w:r w:rsidRPr="009C7B09">
        <w:rPr>
          <w:color w:val="auto"/>
          <w:sz w:val="24"/>
          <w:szCs w:val="24"/>
        </w:rPr>
        <w:t xml:space="preserve">. New Zealand: Russell House Publishing. </w:t>
      </w:r>
    </w:p>
    <w:p w14:paraId="3D28DBF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638B9661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lastRenderedPageBreak/>
        <w:t xml:space="preserve">Welsh Government (2014). </w:t>
      </w:r>
      <w:r w:rsidRPr="009C7B09">
        <w:rPr>
          <w:i/>
          <w:color w:val="auto"/>
          <w:sz w:val="24"/>
          <w:szCs w:val="24"/>
        </w:rPr>
        <w:t>The social service and wellbeing act, 2014. Part 2: Codes of practice</w:t>
      </w:r>
      <w:r w:rsidRPr="009C7B09">
        <w:rPr>
          <w:color w:val="auto"/>
          <w:sz w:val="24"/>
          <w:szCs w:val="24"/>
        </w:rPr>
        <w:t xml:space="preserve">. [Online] Welsh Government Available at: </w:t>
      </w:r>
      <w:hyperlink r:id="rId20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https://gov.wales/sites/default/files/publications/2019-05/part-2-code-of-practice-general-functions.pdf</w:t>
        </w:r>
      </w:hyperlink>
      <w:r w:rsidRPr="009C7B09">
        <w:rPr>
          <w:color w:val="auto"/>
          <w:sz w:val="24"/>
          <w:szCs w:val="24"/>
        </w:rPr>
        <w:t>. [Accessed on: 2</w:t>
      </w:r>
      <w:r w:rsidRPr="009C7B09">
        <w:rPr>
          <w:color w:val="auto"/>
          <w:sz w:val="24"/>
          <w:szCs w:val="24"/>
          <w:vertAlign w:val="superscript"/>
        </w:rPr>
        <w:t>nd</w:t>
      </w:r>
      <w:r w:rsidRPr="009C7B09">
        <w:rPr>
          <w:color w:val="auto"/>
          <w:sz w:val="24"/>
          <w:szCs w:val="24"/>
        </w:rPr>
        <w:t xml:space="preserve"> March 2022]. </w:t>
      </w:r>
    </w:p>
    <w:p w14:paraId="7D14E68B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25DD6480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Welsh Government (2014). </w:t>
      </w:r>
      <w:r w:rsidRPr="009C7B09">
        <w:rPr>
          <w:i/>
          <w:color w:val="auto"/>
          <w:sz w:val="24"/>
          <w:szCs w:val="24"/>
        </w:rPr>
        <w:t>Working Together to Safeguard People Volume 4 – Adult Protection and Support Orders.</w:t>
      </w:r>
      <w:r w:rsidRPr="009C7B09">
        <w:rPr>
          <w:color w:val="auto"/>
          <w:sz w:val="24"/>
          <w:szCs w:val="24"/>
        </w:rPr>
        <w:t xml:space="preserve"> [Online] Welsh Government. Available at:  </w:t>
      </w:r>
      <w:hyperlink r:id="rId21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https://gov.wales/sites/default/files/publications/2019-05/working-together-to-safeguard-people-volume-4-adult-protection-and-support-orders.pdf</w:t>
        </w:r>
      </w:hyperlink>
      <w:r w:rsidRPr="009C7B09">
        <w:rPr>
          <w:color w:val="auto"/>
          <w:sz w:val="24"/>
          <w:szCs w:val="24"/>
        </w:rPr>
        <w:t>. [Accessed on: 7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September 2022.]</w:t>
      </w:r>
    </w:p>
    <w:p w14:paraId="39653BAC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7BAEFFA9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Welsh Government (2015). </w:t>
      </w:r>
      <w:r w:rsidRPr="009C7B09">
        <w:rPr>
          <w:i/>
          <w:color w:val="auto"/>
          <w:sz w:val="24"/>
          <w:szCs w:val="24"/>
        </w:rPr>
        <w:t>More than just words. Delivering the active offer information pack. Social services and social care</w:t>
      </w:r>
      <w:r w:rsidRPr="009C7B09">
        <w:rPr>
          <w:color w:val="auto"/>
          <w:sz w:val="24"/>
          <w:szCs w:val="24"/>
        </w:rPr>
        <w:t xml:space="preserve">. [Online] Welsh Government. Available at: </w:t>
      </w:r>
      <w:hyperlink r:id="rId22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https://gov.wales/sites/default/files/publications/2019-04/delivering-the-active-offer-information-pack-social-services-and-social-care.pdf</w:t>
        </w:r>
      </w:hyperlink>
      <w:r w:rsidRPr="009C7B09">
        <w:rPr>
          <w:color w:val="auto"/>
          <w:sz w:val="24"/>
          <w:szCs w:val="24"/>
        </w:rPr>
        <w:t>. [Accessed on: 1</w:t>
      </w:r>
      <w:r w:rsidRPr="009C7B09">
        <w:rPr>
          <w:color w:val="auto"/>
          <w:sz w:val="24"/>
          <w:szCs w:val="24"/>
          <w:vertAlign w:val="superscript"/>
        </w:rPr>
        <w:t>st</w:t>
      </w:r>
      <w:r w:rsidRPr="009C7B09">
        <w:rPr>
          <w:color w:val="auto"/>
          <w:sz w:val="24"/>
          <w:szCs w:val="24"/>
        </w:rPr>
        <w:t xml:space="preserve"> February 2022.]</w:t>
      </w:r>
    </w:p>
    <w:p w14:paraId="0392EFDB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370868F8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Welsh Government. (2016). </w:t>
      </w:r>
      <w:r w:rsidRPr="009C7B09">
        <w:rPr>
          <w:i/>
          <w:color w:val="auto"/>
          <w:sz w:val="24"/>
          <w:szCs w:val="24"/>
        </w:rPr>
        <w:t xml:space="preserve">Working Together to Safeguard People. </w:t>
      </w:r>
      <w:r w:rsidRPr="009C7B09">
        <w:rPr>
          <w:color w:val="auto"/>
          <w:sz w:val="24"/>
          <w:szCs w:val="24"/>
        </w:rPr>
        <w:t xml:space="preserve">[Online] Welsh Government. Available at </w:t>
      </w:r>
      <w:hyperlink r:id="rId23" w:history="1">
        <w:r w:rsidRPr="009C7B09">
          <w:rPr>
            <w:rStyle w:val="Hyperlink"/>
            <w:color w:val="auto"/>
            <w:sz w:val="24"/>
            <w:szCs w:val="24"/>
            <w:u w:val="none"/>
          </w:rPr>
          <w:t>https://gov.wales/sites/default/files/publications/2019-05/working-together-to-safeguard-peoplevolume-i-introduction-and-overview.pdf</w:t>
        </w:r>
      </w:hyperlink>
      <w:r w:rsidRPr="009C7B09">
        <w:rPr>
          <w:color w:val="auto"/>
          <w:sz w:val="24"/>
          <w:szCs w:val="24"/>
        </w:rPr>
        <w:t>. [Accessed on: 7</w:t>
      </w:r>
      <w:r w:rsidRPr="009C7B09">
        <w:rPr>
          <w:color w:val="auto"/>
          <w:sz w:val="24"/>
          <w:szCs w:val="24"/>
          <w:vertAlign w:val="superscript"/>
        </w:rPr>
        <w:t>th</w:t>
      </w:r>
      <w:r w:rsidRPr="009C7B09">
        <w:rPr>
          <w:color w:val="auto"/>
          <w:sz w:val="24"/>
          <w:szCs w:val="24"/>
        </w:rPr>
        <w:t xml:space="preserve"> September]. </w:t>
      </w:r>
    </w:p>
    <w:p w14:paraId="58AFC5B6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</w:p>
    <w:p w14:paraId="6A40CC3A" w14:textId="77777777" w:rsidR="009661D5" w:rsidRPr="009C7B09" w:rsidRDefault="009661D5" w:rsidP="009661D5">
      <w:pPr>
        <w:spacing w:before="240" w:after="60"/>
        <w:contextualSpacing/>
        <w:jc w:val="both"/>
        <w:rPr>
          <w:color w:val="auto"/>
          <w:sz w:val="24"/>
          <w:szCs w:val="24"/>
        </w:rPr>
      </w:pPr>
      <w:r w:rsidRPr="009C7B09">
        <w:rPr>
          <w:color w:val="auto"/>
          <w:sz w:val="24"/>
          <w:szCs w:val="24"/>
        </w:rPr>
        <w:t xml:space="preserve">XXXX. (2022) Regional Policies and Procedures. [Online] XXXX. Available at XXXX. [Accessed on 19th September 2022}.  </w:t>
      </w:r>
    </w:p>
    <w:p w14:paraId="0387A95F" w14:textId="77777777" w:rsidR="00EB695F" w:rsidRDefault="00EB695F" w:rsidP="00FF7EBB">
      <w:pPr>
        <w:jc w:val="both"/>
        <w:rPr>
          <w:sz w:val="24"/>
          <w:szCs w:val="24"/>
        </w:rPr>
      </w:pPr>
    </w:p>
    <w:p w14:paraId="067948B4" w14:textId="77777777" w:rsidR="00EB695F" w:rsidRDefault="00EB695F" w:rsidP="00FF7EBB">
      <w:pPr>
        <w:jc w:val="both"/>
        <w:rPr>
          <w:sz w:val="24"/>
          <w:szCs w:val="24"/>
        </w:rPr>
      </w:pPr>
    </w:p>
    <w:p w14:paraId="75E6D4CA" w14:textId="77777777" w:rsidR="00EB695F" w:rsidRDefault="00EB695F" w:rsidP="00FF7EBB">
      <w:pPr>
        <w:jc w:val="both"/>
        <w:rPr>
          <w:sz w:val="24"/>
          <w:szCs w:val="24"/>
        </w:rPr>
      </w:pPr>
    </w:p>
    <w:p w14:paraId="337E3A73" w14:textId="77777777" w:rsidR="00EB695F" w:rsidRDefault="00EB695F" w:rsidP="00FF7EBB">
      <w:pPr>
        <w:jc w:val="both"/>
        <w:rPr>
          <w:sz w:val="24"/>
          <w:szCs w:val="24"/>
        </w:rPr>
      </w:pPr>
    </w:p>
    <w:p w14:paraId="0C952B5E" w14:textId="77777777" w:rsidR="00EB695F" w:rsidRDefault="00EB695F" w:rsidP="00FF7EBB">
      <w:pPr>
        <w:jc w:val="both"/>
        <w:rPr>
          <w:sz w:val="24"/>
          <w:szCs w:val="24"/>
        </w:rPr>
      </w:pPr>
    </w:p>
    <w:p w14:paraId="51AD639A" w14:textId="77777777" w:rsidR="00EB695F" w:rsidRDefault="00EB695F" w:rsidP="00FF7EBB">
      <w:pPr>
        <w:jc w:val="both"/>
        <w:rPr>
          <w:sz w:val="24"/>
          <w:szCs w:val="24"/>
        </w:rPr>
      </w:pPr>
    </w:p>
    <w:p w14:paraId="03D2FC77" w14:textId="77777777" w:rsidR="00EB695F" w:rsidRDefault="00EB695F" w:rsidP="00FF7EBB">
      <w:pPr>
        <w:jc w:val="both"/>
        <w:rPr>
          <w:sz w:val="24"/>
          <w:szCs w:val="24"/>
        </w:rPr>
      </w:pPr>
    </w:p>
    <w:p w14:paraId="502C1BD3" w14:textId="77777777" w:rsidR="00EB695F" w:rsidRDefault="00EB695F" w:rsidP="00FF7EBB">
      <w:pPr>
        <w:jc w:val="both"/>
        <w:rPr>
          <w:sz w:val="24"/>
          <w:szCs w:val="24"/>
        </w:rPr>
      </w:pPr>
    </w:p>
    <w:p w14:paraId="47344924" w14:textId="77777777" w:rsidR="00EB695F" w:rsidRDefault="00EB695F" w:rsidP="00FF7EBB">
      <w:pPr>
        <w:jc w:val="both"/>
        <w:rPr>
          <w:sz w:val="24"/>
          <w:szCs w:val="24"/>
        </w:rPr>
      </w:pPr>
    </w:p>
    <w:p w14:paraId="3BE6BB9A" w14:textId="77777777" w:rsidR="00EB695F" w:rsidRDefault="00EB695F" w:rsidP="00FF7EBB">
      <w:pPr>
        <w:jc w:val="both"/>
        <w:rPr>
          <w:sz w:val="24"/>
          <w:szCs w:val="24"/>
        </w:rPr>
      </w:pPr>
    </w:p>
    <w:p w14:paraId="1DB7CE67" w14:textId="77777777" w:rsidR="00EB695F" w:rsidRDefault="00EB695F" w:rsidP="00FF7EBB">
      <w:pPr>
        <w:jc w:val="both"/>
        <w:rPr>
          <w:sz w:val="24"/>
          <w:szCs w:val="24"/>
        </w:rPr>
      </w:pPr>
    </w:p>
    <w:p w14:paraId="2F75F586" w14:textId="77777777" w:rsidR="00EB695F" w:rsidRDefault="00EB695F" w:rsidP="00FF7EBB">
      <w:pPr>
        <w:jc w:val="both"/>
        <w:rPr>
          <w:sz w:val="24"/>
          <w:szCs w:val="24"/>
        </w:rPr>
      </w:pPr>
    </w:p>
    <w:p w14:paraId="5B58E0AE" w14:textId="77777777" w:rsidR="00EB695F" w:rsidRDefault="00EB695F" w:rsidP="00FF7EBB">
      <w:pPr>
        <w:jc w:val="both"/>
        <w:rPr>
          <w:sz w:val="24"/>
          <w:szCs w:val="24"/>
        </w:rPr>
      </w:pPr>
    </w:p>
    <w:p w14:paraId="7BB06C97" w14:textId="77777777" w:rsidR="00EB695F" w:rsidRDefault="00EB695F" w:rsidP="00FF7EBB">
      <w:pPr>
        <w:jc w:val="both"/>
        <w:rPr>
          <w:sz w:val="24"/>
          <w:szCs w:val="24"/>
        </w:rPr>
      </w:pPr>
    </w:p>
    <w:p w14:paraId="3A42E6F3" w14:textId="77777777" w:rsidR="00EB695F" w:rsidRDefault="00EB695F" w:rsidP="00FF7EBB">
      <w:pPr>
        <w:jc w:val="both"/>
        <w:rPr>
          <w:sz w:val="24"/>
          <w:szCs w:val="24"/>
        </w:rPr>
      </w:pPr>
    </w:p>
    <w:p w14:paraId="33A2C920" w14:textId="77777777" w:rsidR="00EB695F" w:rsidRPr="008B28E7" w:rsidRDefault="00EB695F" w:rsidP="00FF7EBB">
      <w:pPr>
        <w:jc w:val="both"/>
        <w:rPr>
          <w:sz w:val="24"/>
          <w:szCs w:val="24"/>
        </w:rPr>
      </w:pPr>
    </w:p>
    <w:p w14:paraId="070AAA18" w14:textId="77777777" w:rsidR="00FC0334" w:rsidRDefault="00FC0334" w:rsidP="00E559CE">
      <w:pPr>
        <w:jc w:val="both"/>
        <w:rPr>
          <w:sz w:val="24"/>
          <w:szCs w:val="24"/>
        </w:rPr>
      </w:pPr>
    </w:p>
    <w:p w14:paraId="3F2C098D" w14:textId="77777777" w:rsidR="00FC0334" w:rsidRDefault="00FC0334" w:rsidP="00E559CE">
      <w:pPr>
        <w:jc w:val="both"/>
        <w:rPr>
          <w:sz w:val="24"/>
          <w:szCs w:val="24"/>
        </w:rPr>
      </w:pPr>
    </w:p>
    <w:p w14:paraId="17772DDB" w14:textId="77777777" w:rsidR="00FC0334" w:rsidRDefault="00FC0334" w:rsidP="00E559CE">
      <w:pPr>
        <w:jc w:val="both"/>
        <w:rPr>
          <w:sz w:val="24"/>
          <w:szCs w:val="24"/>
        </w:rPr>
      </w:pPr>
    </w:p>
    <w:p w14:paraId="5226F6E9" w14:textId="77777777" w:rsidR="00FC0334" w:rsidRDefault="00FC0334" w:rsidP="00E559CE">
      <w:pPr>
        <w:jc w:val="both"/>
        <w:rPr>
          <w:sz w:val="24"/>
          <w:szCs w:val="24"/>
        </w:rPr>
      </w:pPr>
    </w:p>
    <w:p w14:paraId="3BDB2601" w14:textId="77777777" w:rsidR="00FC0334" w:rsidRDefault="00FC0334" w:rsidP="00E559CE">
      <w:pPr>
        <w:jc w:val="both"/>
        <w:rPr>
          <w:sz w:val="24"/>
          <w:szCs w:val="24"/>
        </w:rPr>
      </w:pPr>
    </w:p>
    <w:p w14:paraId="614DDAA4" w14:textId="77777777" w:rsidR="00FC0334" w:rsidRDefault="00FC0334" w:rsidP="00E559CE">
      <w:pPr>
        <w:jc w:val="both"/>
        <w:rPr>
          <w:sz w:val="24"/>
          <w:szCs w:val="24"/>
        </w:rPr>
      </w:pPr>
    </w:p>
    <w:p w14:paraId="02C99D19" w14:textId="77777777" w:rsidR="00FC0334" w:rsidRDefault="00FC0334" w:rsidP="00E559CE">
      <w:pPr>
        <w:jc w:val="both"/>
        <w:rPr>
          <w:sz w:val="24"/>
          <w:szCs w:val="24"/>
        </w:rPr>
      </w:pPr>
    </w:p>
    <w:p w14:paraId="754B7115" w14:textId="7A3525B3" w:rsidR="002A1A44" w:rsidRDefault="002A1A44" w:rsidP="00E559CE">
      <w:pPr>
        <w:jc w:val="both"/>
        <w:rPr>
          <w:sz w:val="24"/>
          <w:szCs w:val="24"/>
        </w:rPr>
      </w:pPr>
    </w:p>
    <w:p w14:paraId="6A3E3A19" w14:textId="77777777" w:rsidR="002A1A44" w:rsidRDefault="002A1A44" w:rsidP="00E559CE">
      <w:pPr>
        <w:jc w:val="both"/>
        <w:rPr>
          <w:sz w:val="24"/>
          <w:szCs w:val="24"/>
        </w:rPr>
      </w:pPr>
      <w:bookmarkStart w:id="0" w:name="_GoBack"/>
      <w:bookmarkEnd w:id="0"/>
    </w:p>
    <w:sectPr w:rsidR="002A1A44" w:rsidSect="00F15354">
      <w:headerReference w:type="default" r:id="rId24"/>
      <w:footerReference w:type="default" r:id="rId25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99C654C" w14:textId="77777777" w:rsidR="00152E92" w:rsidRDefault="00152E92">
      <w:r>
        <w:separator/>
      </w:r>
    </w:p>
  </w:endnote>
  <w:endnote w:type="continuationSeparator" w:id="0">
    <w:p w14:paraId="179337C2" w14:textId="77777777" w:rsidR="00152E92" w:rsidRDefault="00152E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A3DEAF" w14:textId="09786484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C81631">
      <w:rPr>
        <w:noProof/>
      </w:rPr>
      <w:t>6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2DDC9D7" w14:textId="77777777" w:rsidR="00152E92" w:rsidRDefault="00152E92">
      <w:r>
        <w:separator/>
      </w:r>
    </w:p>
  </w:footnote>
  <w:footnote w:type="continuationSeparator" w:id="0">
    <w:p w14:paraId="7FFFCF2F" w14:textId="77777777" w:rsidR="00152E92" w:rsidRDefault="00152E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701"/>
    <w:rsid w:val="0000138E"/>
    <w:rsid w:val="00002C7A"/>
    <w:rsid w:val="000045B8"/>
    <w:rsid w:val="00011F6E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5E34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2E92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41E5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61D5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D6457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1631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FollowedHyperlink">
    <w:name w:val="FollowedHyperlink"/>
    <w:basedOn w:val="DefaultParagraphFont"/>
    <w:uiPriority w:val="99"/>
    <w:semiHidden/>
    <w:unhideWhenUsed/>
    <w:rsid w:val="009661D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asw.co.uk/system/files/resources/basw_40437-1_0.pdf" TargetMode="External"/><Relationship Id="rId18" Type="http://schemas.openxmlformats.org/officeDocument/2006/relationships/hyperlink" Target="https://www.scie.org.uk/mca/introduction/mental-capacity-act-2005-at-a-glance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gov.wales/sites/default/files/publications/2019-05/working-together-to-safeguard-people-volume-4-adult-protection-and-support-orders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munro-review-of-child-protection-final-report-a-child-centred-system" TargetMode="External"/><Relationship Id="rId17" Type="http://schemas.openxmlformats.org/officeDocument/2006/relationships/hyperlink" Target="http://www.socialcarewales/rescouces.com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://www.socialcarewales.co.uk" TargetMode="External"/><Relationship Id="rId20" Type="http://schemas.openxmlformats.org/officeDocument/2006/relationships/hyperlink" Target="https://gov.wales/sites/default/files/publications/2019-05/part-2-code-of-practice-general-functions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camdencen.org.uk/Resources/Public%20se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www.unicef.org.uk/what-we-do/un-convention-child-rights/" TargetMode="External"/><Relationship Id="rId23" Type="http://schemas.openxmlformats.org/officeDocument/2006/relationships/hyperlink" Target="https://gov.wales/sites/default/files/publications/2019-05/working-together-to-safeguard-peoplevolume-i-introduction-and-overview.pdf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doi.org.10.1108/JAP-05-2017-002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learning.nspcc.org.uk/child-protection-system/gillick-competence-fraser-guidelines" TargetMode="External"/><Relationship Id="rId22" Type="http://schemas.openxmlformats.org/officeDocument/2006/relationships/hyperlink" Target="https://gov.wales/sites/default/files/publications/2019-04/delivering-the-active-offer-information-pack-social-services-and-social-care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8854238-CAFA-4D29-9D0C-5F426A051C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1744</Words>
  <Characters>9946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Draper, Zoe</cp:lastModifiedBy>
  <cp:revision>2</cp:revision>
  <cp:lastPrinted>2020-02-11T19:20:00Z</cp:lastPrinted>
  <dcterms:created xsi:type="dcterms:W3CDTF">2023-02-22T11:35:00Z</dcterms:created>
  <dcterms:modified xsi:type="dcterms:W3CDTF">2023-02-22T11:35:00Z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