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A97BD" w14:textId="77777777" w:rsidR="00C52758" w:rsidRDefault="00C52758" w:rsidP="00C52758">
      <w:pPr>
        <w:pStyle w:val="NormalWeb"/>
        <w:rPr>
          <w:color w:val="000000"/>
          <w:sz w:val="28"/>
          <w:szCs w:val="28"/>
        </w:rPr>
      </w:pPr>
      <w:r>
        <w:rPr>
          <w:color w:val="000000"/>
          <w:sz w:val="28"/>
          <w:szCs w:val="28"/>
        </w:rPr>
        <w:t>With at least three countries in mind, compare and contrast the decision-making process in 1939-1941 that chose conflict over peace. Your choice of countries should include examples from the liberal-democracies and the dictatorships.</w:t>
      </w:r>
    </w:p>
    <w:p w14:paraId="09F9957F" w14:textId="427D31A5" w:rsidR="00B80B37" w:rsidRDefault="007E07EC">
      <w:r>
        <w:t xml:space="preserve">The decisions made by certain countries in the months leading up to and during the early portion of the Second World War, between 1939 and 1941, to continue or to choose conflict over peace, though they do have the same outcome, are reflective of the circumstances within that country. Using countries such </w:t>
      </w:r>
      <w:r w:rsidR="00DA58F2">
        <w:t>as</w:t>
      </w:r>
      <w:r>
        <w:t xml:space="preserve"> Italy, Germany, </w:t>
      </w:r>
      <w:r w:rsidR="00DA58F2">
        <w:t>Britain,</w:t>
      </w:r>
      <w:r>
        <w:t xml:space="preserve"> and America; for example, comparisons and contradictions can </w:t>
      </w:r>
      <w:proofErr w:type="gramStart"/>
      <w:r>
        <w:t>be made</w:t>
      </w:r>
      <w:proofErr w:type="gramEnd"/>
      <w:r>
        <w:t xml:space="preserve"> between the decisions with which an understanding can be drawn as to why the result was the extent of the Second World War.</w:t>
      </w:r>
    </w:p>
    <w:p w14:paraId="27778F12" w14:textId="2E32F85C" w:rsidR="00FB2417" w:rsidRDefault="00FB2417">
      <w:r>
        <w:t xml:space="preserve">The choices made by the British politicians between 1939 and 1940 were not without criticism. </w:t>
      </w:r>
      <w:r w:rsidR="00B64B0B">
        <w:t xml:space="preserve">This criticism came from many directions both within the British government itself as well as both the allied and enemy forces. </w:t>
      </w:r>
    </w:p>
    <w:p w14:paraId="6A09CF0B" w14:textId="2688D696" w:rsidR="00FB2417" w:rsidRDefault="00FB2417">
      <w:r>
        <w:t>One aspect of British decision making during this period is the relationship with America. While Britain declared war upon Germany in 1939 with Chamberlain stating that “unless we heard from them by 11 o'clock that they were prepared at once to withdraw their troops from Poland, a state of war would exist between us.”</w:t>
      </w:r>
      <w:sdt>
        <w:sdtPr>
          <w:id w:val="1171917453"/>
          <w:citation/>
        </w:sdtPr>
        <w:sdtEndPr/>
        <w:sdtContent>
          <w:r>
            <w:fldChar w:fldCharType="begin"/>
          </w:r>
          <w:r>
            <w:instrText xml:space="preserve">CITATION Cha39 \n  \l 2057 </w:instrText>
          </w:r>
          <w:r>
            <w:fldChar w:fldCharType="separate"/>
          </w:r>
          <w:r w:rsidR="001063E1">
            <w:rPr>
              <w:noProof/>
            </w:rPr>
            <w:t xml:space="preserve"> </w:t>
          </w:r>
          <w:r w:rsidR="001063E1" w:rsidRPr="001063E1">
            <w:rPr>
              <w:noProof/>
            </w:rPr>
            <w:t>(1939)</w:t>
          </w:r>
          <w:r>
            <w:fldChar w:fldCharType="end"/>
          </w:r>
        </w:sdtContent>
      </w:sdt>
      <w:r>
        <w:t xml:space="preserve"> America continued to maintain an isolationist approach towards the activity within Europe until the Japanese interactions with events such as Pearl Harbour in 1941 as Roosevelt discusses in his address to Congress</w:t>
      </w:r>
      <w:sdt>
        <w:sdtPr>
          <w:id w:val="-1896042709"/>
          <w:citation/>
        </w:sdtPr>
        <w:sdtEndPr/>
        <w:sdtContent>
          <w:r>
            <w:fldChar w:fldCharType="begin"/>
          </w:r>
          <w:r>
            <w:instrText xml:space="preserve"> CITATION Roo41 \l 2057 </w:instrText>
          </w:r>
          <w:r>
            <w:fldChar w:fldCharType="separate"/>
          </w:r>
          <w:r w:rsidR="001063E1">
            <w:rPr>
              <w:noProof/>
            </w:rPr>
            <w:t xml:space="preserve"> </w:t>
          </w:r>
          <w:r w:rsidR="001063E1" w:rsidRPr="001063E1">
            <w:rPr>
              <w:noProof/>
            </w:rPr>
            <w:t>(Roosevlet, 1941)</w:t>
          </w:r>
          <w:r>
            <w:fldChar w:fldCharType="end"/>
          </w:r>
        </w:sdtContent>
      </w:sdt>
      <w:r>
        <w:t xml:space="preserve">. </w:t>
      </w:r>
      <w:r w:rsidR="001E4318">
        <w:t>A direct contrast that can be made between these two as Britain declared war on Germany for its invasion of Poland and America declared war on Japan as a result of the attacks during December of 1941, “</w:t>
      </w:r>
      <w:r w:rsidR="001E4318" w:rsidRPr="001E4318">
        <w:t>since the unprovoked and dastardly attack by Japan on Sunday, December 7, 1941, a state of war has existed between the United States and the Japanese Empire.</w:t>
      </w:r>
      <w:r w:rsidR="001E4318">
        <w:t>”</w:t>
      </w:r>
      <w:sdt>
        <w:sdtPr>
          <w:id w:val="-1916085985"/>
          <w:citation/>
        </w:sdtPr>
        <w:sdtEndPr/>
        <w:sdtContent>
          <w:r w:rsidR="001E4318">
            <w:fldChar w:fldCharType="begin"/>
          </w:r>
          <w:r w:rsidR="001E4318">
            <w:instrText xml:space="preserve"> CITATION Roo41 \l 2057 </w:instrText>
          </w:r>
          <w:r w:rsidR="001E4318">
            <w:fldChar w:fldCharType="separate"/>
          </w:r>
          <w:r w:rsidR="001063E1">
            <w:rPr>
              <w:noProof/>
            </w:rPr>
            <w:t xml:space="preserve"> </w:t>
          </w:r>
          <w:r w:rsidR="001063E1" w:rsidRPr="001063E1">
            <w:rPr>
              <w:noProof/>
            </w:rPr>
            <w:t>(Roosevlet, 1941)</w:t>
          </w:r>
          <w:r w:rsidR="001E4318">
            <w:fldChar w:fldCharType="end"/>
          </w:r>
        </w:sdtContent>
      </w:sdt>
      <w:r w:rsidR="00EF4237">
        <w:t xml:space="preserve"> Although one of the differing aspects between these declarations is that the declaration put forth by Roosevelt is as a direct result of Japanese attacks on American naval and Military in Hawaii </w:t>
      </w:r>
      <w:sdt>
        <w:sdtPr>
          <w:id w:val="-5988303"/>
          <w:citation/>
        </w:sdtPr>
        <w:sdtEndPr/>
        <w:sdtContent>
          <w:r w:rsidR="00EF4237">
            <w:fldChar w:fldCharType="begin"/>
          </w:r>
          <w:r w:rsidR="00EF4237">
            <w:instrText xml:space="preserve"> CITATION Roo41 \l 2057 </w:instrText>
          </w:r>
          <w:r w:rsidR="00EF4237">
            <w:fldChar w:fldCharType="separate"/>
          </w:r>
          <w:r w:rsidR="001063E1" w:rsidRPr="001063E1">
            <w:rPr>
              <w:noProof/>
            </w:rPr>
            <w:t>(Roosevlet, 1941)</w:t>
          </w:r>
          <w:r w:rsidR="00EF4237">
            <w:fldChar w:fldCharType="end"/>
          </w:r>
        </w:sdtContent>
      </w:sdt>
      <w:r w:rsidR="00EF4237">
        <w:t xml:space="preserve"> while the British declaration made by Chamberlain was as a result of the German advancement into Poland as apposed to a direct infringement on British military or land</w:t>
      </w:r>
      <w:r w:rsidR="00545FB0">
        <w:t>, “a German broadcast on Thursday night, Hitler did not wait to hear comments on them, but ordered his troops to cross the Polish frontier</w:t>
      </w:r>
      <w:r w:rsidR="00EF4237">
        <w:t>.</w:t>
      </w:r>
      <w:r w:rsidR="00545FB0">
        <w:t>”</w:t>
      </w:r>
      <w:sdt>
        <w:sdtPr>
          <w:id w:val="-1413161344"/>
          <w:citation/>
        </w:sdtPr>
        <w:sdtEndPr/>
        <w:sdtContent>
          <w:r w:rsidR="00545FB0">
            <w:fldChar w:fldCharType="begin"/>
          </w:r>
          <w:r w:rsidR="00545FB0">
            <w:instrText xml:space="preserve"> CITATION Cha39 \l 2057 </w:instrText>
          </w:r>
          <w:r w:rsidR="00545FB0">
            <w:fldChar w:fldCharType="separate"/>
          </w:r>
          <w:r w:rsidR="001063E1">
            <w:rPr>
              <w:noProof/>
            </w:rPr>
            <w:t xml:space="preserve"> </w:t>
          </w:r>
          <w:r w:rsidR="001063E1" w:rsidRPr="001063E1">
            <w:rPr>
              <w:noProof/>
            </w:rPr>
            <w:t>(Chamberlain, 1939)</w:t>
          </w:r>
          <w:r w:rsidR="00545FB0">
            <w:fldChar w:fldCharType="end"/>
          </w:r>
        </w:sdtContent>
      </w:sdt>
      <w:r w:rsidR="00D26322">
        <w:t xml:space="preserve"> That is not to say that America had nothing to say about the German invasion of Poland, “He urged both to settle the differences between their countries through direct negotiation, through impartial arbitration, or through the procedure of conciliation.”</w:t>
      </w:r>
      <w:sdt>
        <w:sdtPr>
          <w:id w:val="-1829897877"/>
          <w:citation/>
        </w:sdtPr>
        <w:sdtEndPr/>
        <w:sdtContent>
          <w:r w:rsidR="00D26322">
            <w:fldChar w:fldCharType="begin"/>
          </w:r>
          <w:r w:rsidR="00D26322">
            <w:instrText xml:space="preserve">CITATION Jon84 \p 239 \l 2057 </w:instrText>
          </w:r>
          <w:r w:rsidR="00D26322">
            <w:fldChar w:fldCharType="separate"/>
          </w:r>
          <w:r w:rsidR="001063E1">
            <w:rPr>
              <w:noProof/>
            </w:rPr>
            <w:t xml:space="preserve"> </w:t>
          </w:r>
          <w:r w:rsidR="001063E1" w:rsidRPr="001063E1">
            <w:rPr>
              <w:noProof/>
            </w:rPr>
            <w:t>(Jonas, 1984, p. 239)</w:t>
          </w:r>
          <w:r w:rsidR="00D26322">
            <w:fldChar w:fldCharType="end"/>
          </w:r>
        </w:sdtContent>
      </w:sdt>
      <w:r w:rsidR="00786B8C">
        <w:t xml:space="preserve"> This plea was acceptable to the Polish government and as such they chose to use Roosevelt as a third party for said negotiations, “When the Polish government accepted direct negotiations or conciliation ‘through a third party as disinterested and impartial as Your Excellency’ Roosevelt forwarded this acceptance to Hitler with a new plea”</w:t>
      </w:r>
      <w:sdt>
        <w:sdtPr>
          <w:id w:val="752554707"/>
          <w:citation/>
        </w:sdtPr>
        <w:sdtEndPr/>
        <w:sdtContent>
          <w:r w:rsidR="00786B8C">
            <w:fldChar w:fldCharType="begin"/>
          </w:r>
          <w:r w:rsidR="00786B8C">
            <w:instrText xml:space="preserve">CITATION Jon84 \p 239 \l 2057 </w:instrText>
          </w:r>
          <w:r w:rsidR="00786B8C">
            <w:fldChar w:fldCharType="separate"/>
          </w:r>
          <w:r w:rsidR="001063E1">
            <w:rPr>
              <w:noProof/>
            </w:rPr>
            <w:t xml:space="preserve"> </w:t>
          </w:r>
          <w:r w:rsidR="001063E1" w:rsidRPr="001063E1">
            <w:rPr>
              <w:noProof/>
            </w:rPr>
            <w:t>(Jonas, 1984, p. 239)</w:t>
          </w:r>
          <w:r w:rsidR="00786B8C">
            <w:fldChar w:fldCharType="end"/>
          </w:r>
        </w:sdtContent>
      </w:sdt>
      <w:r w:rsidR="00786B8C">
        <w:t xml:space="preserve">. </w:t>
      </w:r>
    </w:p>
    <w:p w14:paraId="5BBDBA1C" w14:textId="4471536A" w:rsidR="005025FF" w:rsidRDefault="00D26322">
      <w:r>
        <w:t>Similarly,</w:t>
      </w:r>
      <w:r w:rsidR="005025FF">
        <w:t xml:space="preserve"> to America, Italy did not join the war until after France and Britain had already been involved in the conflict with Germany. Although this delay was not what Mussolini had intended, as “he wrongly believed that Italy could negotiate between Germany and the Allies after France and Britain had predictably rejected Hitler’s not very serios off of peace negotiations.”</w:t>
      </w:r>
      <w:sdt>
        <w:sdtPr>
          <w:id w:val="-1020238875"/>
          <w:citation/>
        </w:sdtPr>
        <w:sdtEndPr/>
        <w:sdtContent>
          <w:r w:rsidR="005025FF">
            <w:fldChar w:fldCharType="begin"/>
          </w:r>
          <w:r w:rsidR="009C1567">
            <w:instrText xml:space="preserve">CITATION Goe18 \p 165 \l 2057 </w:instrText>
          </w:r>
          <w:r w:rsidR="005025FF">
            <w:fldChar w:fldCharType="separate"/>
          </w:r>
          <w:r w:rsidR="001063E1">
            <w:rPr>
              <w:noProof/>
            </w:rPr>
            <w:t xml:space="preserve"> </w:t>
          </w:r>
          <w:r w:rsidR="001063E1" w:rsidRPr="001063E1">
            <w:rPr>
              <w:noProof/>
            </w:rPr>
            <w:t>(Goeschel, 2018, p. 165)</w:t>
          </w:r>
          <w:r w:rsidR="005025FF">
            <w:fldChar w:fldCharType="end"/>
          </w:r>
        </w:sdtContent>
      </w:sdt>
      <w:r w:rsidR="009C1567">
        <w:t xml:space="preserve"> this is not to say that this was the only reason for Italy to be hesitant to enter the war similar to America, “the king, and a number of Fascist and military leaders too were reluctant, as they thought that Italy was simply not ready to engage in major conflict.”</w:t>
      </w:r>
      <w:sdt>
        <w:sdtPr>
          <w:id w:val="884608548"/>
          <w:citation/>
        </w:sdtPr>
        <w:sdtEndPr/>
        <w:sdtContent>
          <w:r w:rsidR="009C1567">
            <w:fldChar w:fldCharType="begin"/>
          </w:r>
          <w:r w:rsidR="009C1567">
            <w:instrText xml:space="preserve">CITATION Goe18 \p 166 \l 2057 </w:instrText>
          </w:r>
          <w:r w:rsidR="009C1567">
            <w:fldChar w:fldCharType="separate"/>
          </w:r>
          <w:r w:rsidR="001063E1">
            <w:rPr>
              <w:noProof/>
            </w:rPr>
            <w:t xml:space="preserve"> </w:t>
          </w:r>
          <w:r w:rsidR="001063E1" w:rsidRPr="001063E1">
            <w:rPr>
              <w:noProof/>
            </w:rPr>
            <w:t>(Goeschel, 2018, p. 166)</w:t>
          </w:r>
          <w:r w:rsidR="009C1567">
            <w:fldChar w:fldCharType="end"/>
          </w:r>
        </w:sdtContent>
      </w:sdt>
      <w:r w:rsidR="00702361">
        <w:t xml:space="preserve"> Though a main factor to America’s reluctance to interfere was due to the Neutrality Act of 1939 which meant that “American citizens, ships, and aircraft were forbidden to enter the zone, and all goods shipped into a combat zone from the United States had to be on non-American vessels and had to be owned (paid for) by a foreign government or person”</w:t>
      </w:r>
      <w:sdt>
        <w:sdtPr>
          <w:id w:val="-1341004362"/>
          <w:citation/>
        </w:sdtPr>
        <w:sdtEndPr/>
        <w:sdtContent>
          <w:r w:rsidR="00702361">
            <w:fldChar w:fldCharType="begin"/>
          </w:r>
          <w:r w:rsidR="00702361">
            <w:instrText xml:space="preserve">CITATION Kim84 \p 32 \l 2057 </w:instrText>
          </w:r>
          <w:r w:rsidR="00702361">
            <w:fldChar w:fldCharType="separate"/>
          </w:r>
          <w:r w:rsidR="001063E1">
            <w:rPr>
              <w:noProof/>
            </w:rPr>
            <w:t xml:space="preserve"> </w:t>
          </w:r>
          <w:r w:rsidR="001063E1" w:rsidRPr="001063E1">
            <w:rPr>
              <w:noProof/>
            </w:rPr>
            <w:t>(Kimball, 1984, p. 32)</w:t>
          </w:r>
          <w:r w:rsidR="00702361">
            <w:fldChar w:fldCharType="end"/>
          </w:r>
        </w:sdtContent>
      </w:sdt>
      <w:r w:rsidR="00702361">
        <w:t xml:space="preserve">. As part of this </w:t>
      </w:r>
      <w:r w:rsidR="00702361">
        <w:lastRenderedPageBreak/>
        <w:t xml:space="preserve">‘neutrality’ America was not forthcoming in responding to Churchill’s requests for aid before the events of 1941 with the Japanese. </w:t>
      </w:r>
      <w:r w:rsidR="003474A2">
        <w:t>However, this did not prevent there being a continuous communication between Britain and America although there were times when it was not a responsible action when America would not provide aid, “forcing the British, and Churchill, to concentrate on the immediate problem of stopping the Germans instead of the longer-term questions of American aid and participation in the war.”</w:t>
      </w:r>
      <w:sdt>
        <w:sdtPr>
          <w:id w:val="-2135559465"/>
          <w:citation/>
        </w:sdtPr>
        <w:sdtEndPr/>
        <w:sdtContent>
          <w:r w:rsidR="003474A2">
            <w:fldChar w:fldCharType="begin"/>
          </w:r>
          <w:r w:rsidR="003474A2">
            <w:instrText xml:space="preserve">CITATION Kim84 \p 36 \l 2057 </w:instrText>
          </w:r>
          <w:r w:rsidR="003474A2">
            <w:fldChar w:fldCharType="separate"/>
          </w:r>
          <w:r w:rsidR="001063E1">
            <w:rPr>
              <w:noProof/>
            </w:rPr>
            <w:t xml:space="preserve"> </w:t>
          </w:r>
          <w:r w:rsidR="001063E1" w:rsidRPr="001063E1">
            <w:rPr>
              <w:noProof/>
            </w:rPr>
            <w:t>(Kimball, 1984, p. 36)</w:t>
          </w:r>
          <w:r w:rsidR="003474A2">
            <w:fldChar w:fldCharType="end"/>
          </w:r>
        </w:sdtContent>
      </w:sdt>
      <w:r w:rsidR="0067707F">
        <w:t xml:space="preserve"> </w:t>
      </w:r>
    </w:p>
    <w:p w14:paraId="46B44D41" w14:textId="143CE542" w:rsidR="0067707F" w:rsidRDefault="0067707F">
      <w:r>
        <w:t xml:space="preserve">The alliance formed between Italy and Germany, which </w:t>
      </w:r>
      <w:proofErr w:type="gramStart"/>
      <w:r>
        <w:t>was mirrored</w:t>
      </w:r>
      <w:proofErr w:type="gramEnd"/>
      <w:r>
        <w:t xml:space="preserve"> by both Britain and France then following the fall of France, Britain and America was a point of fear among the allies. “The outright military alliance, the ‘Pact of Steel,’ which Hitler and Mussolini signed on May 22, and the ever greater demands made by Germany on Poland increase the fear that the two dictatorships, together with Japan sought world domination”</w:t>
      </w:r>
      <w:sdt>
        <w:sdtPr>
          <w:id w:val="-1864733557"/>
          <w:citation/>
        </w:sdtPr>
        <w:sdtEndPr/>
        <w:sdtContent>
          <w:r>
            <w:fldChar w:fldCharType="begin"/>
          </w:r>
          <w:r>
            <w:instrText xml:space="preserve">CITATION Jon84 \p 236-237 \l 2057 </w:instrText>
          </w:r>
          <w:r>
            <w:fldChar w:fldCharType="separate"/>
          </w:r>
          <w:r w:rsidR="001063E1">
            <w:rPr>
              <w:noProof/>
            </w:rPr>
            <w:t xml:space="preserve"> </w:t>
          </w:r>
          <w:r w:rsidR="001063E1" w:rsidRPr="001063E1">
            <w:rPr>
              <w:noProof/>
            </w:rPr>
            <w:t>(Jonas, 1984, pp. 236-237)</w:t>
          </w:r>
          <w:r>
            <w:fldChar w:fldCharType="end"/>
          </w:r>
        </w:sdtContent>
      </w:sdt>
      <w:r>
        <w:t xml:space="preserve">. </w:t>
      </w:r>
      <w:r w:rsidR="009F2C51">
        <w:t xml:space="preserve">It is the partnership between Hitler and Mussolini that can be mirrored in the partnership between Churchill and Roosevelt who as demonstrated by Kimball </w:t>
      </w:r>
      <w:sdt>
        <w:sdtPr>
          <w:id w:val="-193541707"/>
          <w:citation/>
        </w:sdtPr>
        <w:sdtEndPr/>
        <w:sdtContent>
          <w:r w:rsidR="009F2C51">
            <w:fldChar w:fldCharType="begin"/>
          </w:r>
          <w:r w:rsidR="009F2C51">
            <w:instrText xml:space="preserve">CITATION Kim84 \n  \l 2057 </w:instrText>
          </w:r>
          <w:r w:rsidR="009F2C51">
            <w:fldChar w:fldCharType="separate"/>
          </w:r>
          <w:r w:rsidR="001063E1" w:rsidRPr="001063E1">
            <w:rPr>
              <w:noProof/>
            </w:rPr>
            <w:t>(1984)</w:t>
          </w:r>
          <w:r w:rsidR="009F2C51">
            <w:fldChar w:fldCharType="end"/>
          </w:r>
        </w:sdtContent>
      </w:sdt>
      <w:r w:rsidR="009F2C51">
        <w:t>were consistently in contact with one another and often confided plans and intentions with each other, though Churchill’s requests for aid were unanswered. “Direct or indirect, the answers remained the same, and Churchill intensified the urgency of his pleas, although he hesitated before sending this strongly worded message.”</w:t>
      </w:r>
      <w:sdt>
        <w:sdtPr>
          <w:id w:val="261190339"/>
          <w:citation/>
        </w:sdtPr>
        <w:sdtEndPr/>
        <w:sdtContent>
          <w:r w:rsidR="009F2C51">
            <w:fldChar w:fldCharType="begin"/>
          </w:r>
          <w:r w:rsidR="009F2C51">
            <w:instrText xml:space="preserve">CITATION Kim84 \p 39-40 \l 2057 </w:instrText>
          </w:r>
          <w:r w:rsidR="009F2C51">
            <w:fldChar w:fldCharType="separate"/>
          </w:r>
          <w:r w:rsidR="001063E1">
            <w:rPr>
              <w:noProof/>
            </w:rPr>
            <w:t xml:space="preserve"> </w:t>
          </w:r>
          <w:r w:rsidR="001063E1" w:rsidRPr="001063E1">
            <w:rPr>
              <w:noProof/>
            </w:rPr>
            <w:t>(Kimball, 1984, pp. 39-40)</w:t>
          </w:r>
          <w:r w:rsidR="009F2C51">
            <w:fldChar w:fldCharType="end"/>
          </w:r>
        </w:sdtContent>
      </w:sdt>
      <w:r w:rsidR="009F2C51">
        <w:t xml:space="preserve"> This inequality in partnerships can be seen with both Hitler and Mussolini, and Churchill and Roosevelt. </w:t>
      </w:r>
    </w:p>
    <w:p w14:paraId="339395DD" w14:textId="38C67FF7" w:rsidR="00802B6E" w:rsidRDefault="00802B6E">
      <w:r>
        <w:t>While there was eventually a partnership brokered between Italy and Germany in 1940, it was not one that was without criticism. It was clear to the German government that while Mussolini wished to join forces with Germany it was not a particularly powerful partnership that would occur, “German officials were not slow in commenting on Italy’s weakness.”</w:t>
      </w:r>
      <w:sdt>
        <w:sdtPr>
          <w:id w:val="4724644"/>
          <w:citation/>
        </w:sdtPr>
        <w:sdtEndPr/>
        <w:sdtContent>
          <w:r>
            <w:fldChar w:fldCharType="begin"/>
          </w:r>
          <w:r>
            <w:instrText xml:space="preserve">CITATION Goe18 \p 166 \l 2057 </w:instrText>
          </w:r>
          <w:r>
            <w:fldChar w:fldCharType="separate"/>
          </w:r>
          <w:r w:rsidR="001063E1">
            <w:rPr>
              <w:noProof/>
            </w:rPr>
            <w:t xml:space="preserve"> </w:t>
          </w:r>
          <w:r w:rsidR="001063E1" w:rsidRPr="001063E1">
            <w:rPr>
              <w:noProof/>
            </w:rPr>
            <w:t>(Goeschel, 2018, p. 166)</w:t>
          </w:r>
          <w:r>
            <w:fldChar w:fldCharType="end"/>
          </w:r>
        </w:sdtContent>
      </w:sdt>
      <w:r>
        <w:t xml:space="preserve"> </w:t>
      </w:r>
      <w:r w:rsidR="00474067">
        <w:t xml:space="preserve">It was this weakness that would benefit the German expansion into Greece following the Italian invasion and their inability to maintain control against German forces. Unlike the British and American partnership, there </w:t>
      </w:r>
      <w:proofErr w:type="gramStart"/>
      <w:r w:rsidR="00474067">
        <w:t>was established</w:t>
      </w:r>
      <w:proofErr w:type="gramEnd"/>
      <w:r w:rsidR="00474067">
        <w:t xml:space="preserve"> mistrust between Hitler and Mussolini due to an early declaration on Italy’s part that delayed their entrance to the war due to ill preparedness. “Mussolini was in a defensive position and felt that he had to justify </w:t>
      </w:r>
      <w:r w:rsidR="00474067">
        <w:rPr>
          <w:i/>
          <w:iCs/>
        </w:rPr>
        <w:t xml:space="preserve">non belligerenza </w:t>
      </w:r>
      <w:r w:rsidR="00474067">
        <w:t>to the Nazi leader, maintaining that, after a ‘waiting period’, Italy would join the war.”</w:t>
      </w:r>
      <w:sdt>
        <w:sdtPr>
          <w:id w:val="570388226"/>
          <w:citation/>
        </w:sdtPr>
        <w:sdtEndPr/>
        <w:sdtContent>
          <w:r w:rsidR="00474067">
            <w:fldChar w:fldCharType="begin"/>
          </w:r>
          <w:r w:rsidR="00474067">
            <w:instrText xml:space="preserve">CITATION Goe18 \p 167 \l 2057 </w:instrText>
          </w:r>
          <w:r w:rsidR="00474067">
            <w:fldChar w:fldCharType="separate"/>
          </w:r>
          <w:r w:rsidR="001063E1">
            <w:rPr>
              <w:noProof/>
            </w:rPr>
            <w:t xml:space="preserve"> </w:t>
          </w:r>
          <w:r w:rsidR="001063E1" w:rsidRPr="001063E1">
            <w:rPr>
              <w:noProof/>
            </w:rPr>
            <w:t>(Goeschel, 2018, p. 167)</w:t>
          </w:r>
          <w:r w:rsidR="00474067">
            <w:fldChar w:fldCharType="end"/>
          </w:r>
        </w:sdtContent>
      </w:sdt>
      <w:r w:rsidR="00474067">
        <w:t xml:space="preserve"> It was this decision by Italy in 1939 that made reluctant to join forces with Mussolini in 1940, resulting in the need for Mussolini to become desperate in his attempts to gain Hitler’s favour. </w:t>
      </w:r>
    </w:p>
    <w:p w14:paraId="6E19C8AB" w14:textId="61E1431C" w:rsidR="00AE4B65" w:rsidRDefault="00AE4B65" w:rsidP="00AE4B65">
      <w:r>
        <w:t>Italy made other choices in 1939 that made their entrance into the war difficult. The German decision to sign a non-aggression pact with the Soviet Union, however this caused issues for Italy as “Italian volunteers were supporting the Finns against the Soviets, who had attacked Finland in late November 1939.”</w:t>
      </w:r>
      <w:sdt>
        <w:sdtPr>
          <w:id w:val="-910234039"/>
          <w:citation/>
        </w:sdtPr>
        <w:sdtEndPr/>
        <w:sdtContent>
          <w:r>
            <w:fldChar w:fldCharType="begin"/>
          </w:r>
          <w:r>
            <w:instrText xml:space="preserve">CITATION Goe18 \p 168 \l 2057 </w:instrText>
          </w:r>
          <w:r>
            <w:fldChar w:fldCharType="separate"/>
          </w:r>
          <w:r w:rsidR="001063E1">
            <w:rPr>
              <w:noProof/>
            </w:rPr>
            <w:t xml:space="preserve"> </w:t>
          </w:r>
          <w:r w:rsidR="001063E1" w:rsidRPr="001063E1">
            <w:rPr>
              <w:noProof/>
            </w:rPr>
            <w:t>(Goeschel, 2018, p. 168)</w:t>
          </w:r>
          <w:r>
            <w:fldChar w:fldCharType="end"/>
          </w:r>
        </w:sdtContent>
      </w:sdt>
      <w:r>
        <w:t xml:space="preserve">  Italy ended this form of alliance with Finland in favour of joining the German advancement, “Ultimately, however, Italy had no realistic alternative to pursuing the alliance with the Third Reich which, demonstrating its superiority over Italy, blocked the sending of Italian aircraft to the Finns.”</w:t>
      </w:r>
      <w:sdt>
        <w:sdtPr>
          <w:id w:val="1964538065"/>
          <w:citation/>
        </w:sdtPr>
        <w:sdtEndPr/>
        <w:sdtContent>
          <w:r>
            <w:fldChar w:fldCharType="begin"/>
          </w:r>
          <w:r>
            <w:instrText xml:space="preserve">CITATION Goe18 \p 168 \l 2057 </w:instrText>
          </w:r>
          <w:r>
            <w:fldChar w:fldCharType="separate"/>
          </w:r>
          <w:r w:rsidR="001063E1">
            <w:rPr>
              <w:noProof/>
            </w:rPr>
            <w:t xml:space="preserve"> </w:t>
          </w:r>
          <w:r w:rsidR="001063E1" w:rsidRPr="001063E1">
            <w:rPr>
              <w:noProof/>
            </w:rPr>
            <w:t>(Goeschel, 2018, p. 168)</w:t>
          </w:r>
          <w:r>
            <w:fldChar w:fldCharType="end"/>
          </w:r>
        </w:sdtContent>
      </w:sdt>
      <w:r>
        <w:t xml:space="preserve"> Despite essentially making the decision for Italy by removing their ability to provide aid to the Finns, Hitler was not then immediately responding to Italy’s request for communication</w:t>
      </w:r>
      <w:sdt>
        <w:sdtPr>
          <w:id w:val="-305554891"/>
          <w:citation/>
        </w:sdtPr>
        <w:sdtEndPr/>
        <w:sdtContent>
          <w:r>
            <w:fldChar w:fldCharType="begin"/>
          </w:r>
          <w:r>
            <w:instrText xml:space="preserve"> CITATION Goe18 \l 2057 </w:instrText>
          </w:r>
          <w:r>
            <w:fldChar w:fldCharType="separate"/>
          </w:r>
          <w:r w:rsidR="001063E1">
            <w:rPr>
              <w:noProof/>
            </w:rPr>
            <w:t xml:space="preserve"> </w:t>
          </w:r>
          <w:r w:rsidR="001063E1" w:rsidRPr="001063E1">
            <w:rPr>
              <w:noProof/>
            </w:rPr>
            <w:t>(Goeschel, 2018)</w:t>
          </w:r>
          <w:r>
            <w:fldChar w:fldCharType="end"/>
          </w:r>
        </w:sdtContent>
      </w:sdt>
      <w:r>
        <w:t>. Once Hitler did decide to attend a meeting between the two countries he stated “’The result of the war also determines Italy’s Future.’ Unless Italy was content with being ‘a modest European stat’, it should go to war soon.”</w:t>
      </w:r>
      <w:sdt>
        <w:sdtPr>
          <w:id w:val="1857611555"/>
          <w:citation/>
        </w:sdtPr>
        <w:sdtEndPr/>
        <w:sdtContent>
          <w:r>
            <w:fldChar w:fldCharType="begin"/>
          </w:r>
          <w:r>
            <w:instrText xml:space="preserve">CITATION Goe18 \p 170 \l 2057 </w:instrText>
          </w:r>
          <w:r>
            <w:fldChar w:fldCharType="separate"/>
          </w:r>
          <w:r w:rsidR="001063E1">
            <w:rPr>
              <w:noProof/>
            </w:rPr>
            <w:t xml:space="preserve"> </w:t>
          </w:r>
          <w:r w:rsidR="001063E1" w:rsidRPr="001063E1">
            <w:rPr>
              <w:noProof/>
            </w:rPr>
            <w:t>(Goeschel, 2018, p. 170)</w:t>
          </w:r>
          <w:r>
            <w:fldChar w:fldCharType="end"/>
          </w:r>
        </w:sdtContent>
      </w:sdt>
      <w:r>
        <w:t xml:space="preserve"> This threatening behaviour is a direct contrast to the type of communication that was unfolding between Britain and America, where while the communications between Churchill and Roosevelt may not have been all in favour of America joining the war effort, each country was still on relatively equal footing in terms of power balance within the communication</w:t>
      </w:r>
      <w:sdt>
        <w:sdtPr>
          <w:id w:val="1511104389"/>
          <w:citation/>
        </w:sdtPr>
        <w:sdtEndPr/>
        <w:sdtContent>
          <w:r w:rsidR="00F61F7F">
            <w:fldChar w:fldCharType="begin"/>
          </w:r>
          <w:r w:rsidR="00F61F7F">
            <w:instrText xml:space="preserve"> CITATION Kim84 \l 2057 </w:instrText>
          </w:r>
          <w:r w:rsidR="00F61F7F">
            <w:fldChar w:fldCharType="separate"/>
          </w:r>
          <w:r w:rsidR="001063E1">
            <w:rPr>
              <w:noProof/>
            </w:rPr>
            <w:t xml:space="preserve"> </w:t>
          </w:r>
          <w:r w:rsidR="001063E1" w:rsidRPr="001063E1">
            <w:rPr>
              <w:noProof/>
            </w:rPr>
            <w:t>(Kimball, 1984)</w:t>
          </w:r>
          <w:r w:rsidR="00F61F7F">
            <w:fldChar w:fldCharType="end"/>
          </w:r>
        </w:sdtContent>
      </w:sdt>
      <w:r>
        <w:t xml:space="preserve">. </w:t>
      </w:r>
      <w:r w:rsidR="00BB2D3F">
        <w:t xml:space="preserve">As a response to the communications between the allied forces and America Hitler was keen to ensure </w:t>
      </w:r>
      <w:r w:rsidR="00BB2D3F">
        <w:lastRenderedPageBreak/>
        <w:t>that America remained away from the conflict, “The Germans, for their part, attempted to keep America formally out of the war by encouraging antiwar elements and avoiding direct provocation, as well as by cooperating more closely with Japan, who was expected to balance oof and neutralize the American factor in Germany’s war.”</w:t>
      </w:r>
      <w:sdt>
        <w:sdtPr>
          <w:id w:val="-915943852"/>
          <w:citation/>
        </w:sdtPr>
        <w:sdtEndPr/>
        <w:sdtContent>
          <w:r w:rsidR="00BB2D3F">
            <w:fldChar w:fldCharType="begin"/>
          </w:r>
          <w:r w:rsidR="00BB2D3F">
            <w:instrText xml:space="preserve">CITATION Jon84 \p 241 \l 2057 </w:instrText>
          </w:r>
          <w:r w:rsidR="00BB2D3F">
            <w:fldChar w:fldCharType="separate"/>
          </w:r>
          <w:r w:rsidR="001063E1">
            <w:rPr>
              <w:noProof/>
            </w:rPr>
            <w:t xml:space="preserve"> </w:t>
          </w:r>
          <w:r w:rsidR="001063E1" w:rsidRPr="001063E1">
            <w:rPr>
              <w:noProof/>
            </w:rPr>
            <w:t>(Jonas, 1984, p. 241)</w:t>
          </w:r>
          <w:r w:rsidR="00BB2D3F">
            <w:fldChar w:fldCharType="end"/>
          </w:r>
        </w:sdtContent>
      </w:sdt>
      <w:r w:rsidR="00BB2D3F">
        <w:t xml:space="preserve"> </w:t>
      </w:r>
      <w:r w:rsidR="001E3EB3">
        <w:t xml:space="preserve">This contradicts Hitler’s behaviour in Europe where he was joining forces with weaker states such as Italy and creating pacts of non-aggression with the Soviet Union to remain in control, where as in context of America Hitler’s aim was to prevent them from becoming involved before they had the ability alongside Japan to ensure Americas defeat. </w:t>
      </w:r>
      <w:r w:rsidR="00ED7015">
        <w:t>It was not a goal to prevent conflict but rather</w:t>
      </w:r>
      <w:r w:rsidR="005A1987">
        <w:t>,</w:t>
      </w:r>
      <w:r w:rsidR="00ED7015">
        <w:t xml:space="preserve"> delay it until success </w:t>
      </w:r>
      <w:proofErr w:type="gramStart"/>
      <w:r w:rsidR="00ED7015">
        <w:t>was assured</w:t>
      </w:r>
      <w:proofErr w:type="gramEnd"/>
      <w:r w:rsidR="00ED7015">
        <w:t xml:space="preserve"> for Germany. Italy was also not the only country that responded to the Soviet attacks on Finland, “Roosevelt, who on October 11 had already appealed to Soviet President Mikhail Kalinin on behalf of the Finns, expressed hiss horror and anger at ‘this dreadful rape of Finland’ and his concern about ‘the next Russian plan’.”</w:t>
      </w:r>
      <w:sdt>
        <w:sdtPr>
          <w:id w:val="-1117823499"/>
          <w:citation/>
        </w:sdtPr>
        <w:sdtEndPr/>
        <w:sdtContent>
          <w:r w:rsidR="00ED7015">
            <w:fldChar w:fldCharType="begin"/>
          </w:r>
          <w:r w:rsidR="00ED7015">
            <w:instrText xml:space="preserve">CITATION Jon84 \p 243 \l 2057 </w:instrText>
          </w:r>
          <w:r w:rsidR="00ED7015">
            <w:fldChar w:fldCharType="separate"/>
          </w:r>
          <w:r w:rsidR="001063E1">
            <w:rPr>
              <w:noProof/>
            </w:rPr>
            <w:t xml:space="preserve"> </w:t>
          </w:r>
          <w:r w:rsidR="001063E1" w:rsidRPr="001063E1">
            <w:rPr>
              <w:noProof/>
            </w:rPr>
            <w:t>(Jonas, 1984, p. 243)</w:t>
          </w:r>
          <w:r w:rsidR="00ED7015">
            <w:fldChar w:fldCharType="end"/>
          </w:r>
        </w:sdtContent>
      </w:sdt>
      <w:r w:rsidR="00ED7015">
        <w:t xml:space="preserve"> Although the contrast must be made that Italy provided volunteer troops, where America only provided diplomatic help or to attempt to deliver diplomatic aid. However, as mentioned the aid from Italy to Finland </w:t>
      </w:r>
      <w:proofErr w:type="gramStart"/>
      <w:r w:rsidR="00ED7015">
        <w:t>was disrupted</w:t>
      </w:r>
      <w:proofErr w:type="gramEnd"/>
      <w:r w:rsidR="00ED7015">
        <w:t xml:space="preserve"> by German intention and so it was not powerful diplomatic move on Italy’s part. The aid that </w:t>
      </w:r>
      <w:proofErr w:type="gramStart"/>
      <w:r w:rsidR="00ED7015">
        <w:t>was provided</w:t>
      </w:r>
      <w:proofErr w:type="gramEnd"/>
      <w:r w:rsidR="00ED7015">
        <w:t xml:space="preserve"> by America was in the form of the “authorized use of $10 million for agricultural products that could be traded by Finland to Sweden for war supplies.” </w:t>
      </w:r>
      <w:sdt>
        <w:sdtPr>
          <w:id w:val="-968054651"/>
          <w:citation/>
        </w:sdtPr>
        <w:sdtEndPr/>
        <w:sdtContent>
          <w:r w:rsidR="00ED7015">
            <w:fldChar w:fldCharType="begin"/>
          </w:r>
          <w:r w:rsidR="00ED7015">
            <w:instrText xml:space="preserve">CITATION Jon84 \p 243 \l 2057 </w:instrText>
          </w:r>
          <w:r w:rsidR="00ED7015">
            <w:fldChar w:fldCharType="separate"/>
          </w:r>
          <w:r w:rsidR="001063E1" w:rsidRPr="001063E1">
            <w:rPr>
              <w:noProof/>
            </w:rPr>
            <w:t>(Jonas, 1984, p. 243)</w:t>
          </w:r>
          <w:r w:rsidR="00ED7015">
            <w:fldChar w:fldCharType="end"/>
          </w:r>
        </w:sdtContent>
      </w:sdt>
    </w:p>
    <w:p w14:paraId="0978D142" w14:textId="02ADD56C" w:rsidR="002669DC" w:rsidRDefault="00ED7015" w:rsidP="00AE4B65">
      <w:r>
        <w:t>The decision made by America in 1939 to make changes to the Neutrality act, with Congress choosing to allow “arms sales on a cash-and-carry basis”</w:t>
      </w:r>
      <w:sdt>
        <w:sdtPr>
          <w:id w:val="-960040621"/>
          <w:citation/>
        </w:sdtPr>
        <w:sdtEndPr/>
        <w:sdtContent>
          <w:r>
            <w:fldChar w:fldCharType="begin"/>
          </w:r>
          <w:r>
            <w:instrText xml:space="preserve">CITATION Jon84 \p 243 \l 2057 </w:instrText>
          </w:r>
          <w:r>
            <w:fldChar w:fldCharType="separate"/>
          </w:r>
          <w:r w:rsidR="001063E1">
            <w:rPr>
              <w:noProof/>
            </w:rPr>
            <w:t xml:space="preserve"> </w:t>
          </w:r>
          <w:r w:rsidR="001063E1" w:rsidRPr="001063E1">
            <w:rPr>
              <w:noProof/>
            </w:rPr>
            <w:t>(Jonas, 1984, p. 243)</w:t>
          </w:r>
          <w:r>
            <w:fldChar w:fldCharType="end"/>
          </w:r>
        </w:sdtContent>
      </w:sdt>
      <w:r>
        <w:t>, that would pave the way for Roosevelts Lend-Lease Act in 1941</w:t>
      </w:r>
      <w:sdt>
        <w:sdtPr>
          <w:id w:val="-1612976258"/>
          <w:citation/>
        </w:sdtPr>
        <w:sdtEndPr/>
        <w:sdtContent>
          <w:r>
            <w:fldChar w:fldCharType="begin"/>
          </w:r>
          <w:r>
            <w:instrText xml:space="preserve"> CITATION Arc22 \l 2057 </w:instrText>
          </w:r>
          <w:r>
            <w:fldChar w:fldCharType="separate"/>
          </w:r>
          <w:r w:rsidR="001063E1">
            <w:rPr>
              <w:noProof/>
            </w:rPr>
            <w:t xml:space="preserve"> </w:t>
          </w:r>
          <w:r w:rsidR="001063E1" w:rsidRPr="001063E1">
            <w:rPr>
              <w:noProof/>
            </w:rPr>
            <w:t>(Archives, 2022)</w:t>
          </w:r>
          <w:r>
            <w:fldChar w:fldCharType="end"/>
          </w:r>
        </w:sdtContent>
      </w:sdt>
      <w:r>
        <w:t>. This was the first step toward America joining the war against Germany, though it was only the supply of arms and not a promise of direct involvement. These changes were likely a result of Germanys behaviour in Poland and the rest of Europe, “The stunning speed of the German victory over Poland, while not eliminating America’s desire to remain at peace, thus clearly heightened the perception of a threat to American interests and strengthened the administration’s conviction that the danger had to be met.”</w:t>
      </w:r>
      <w:sdt>
        <w:sdtPr>
          <w:id w:val="1368643063"/>
          <w:citation/>
        </w:sdtPr>
        <w:sdtEndPr/>
        <w:sdtContent>
          <w:r>
            <w:fldChar w:fldCharType="begin"/>
          </w:r>
          <w:r>
            <w:instrText xml:space="preserve">CITATION Jon84 \p 243 \l 2057 </w:instrText>
          </w:r>
          <w:r>
            <w:fldChar w:fldCharType="separate"/>
          </w:r>
          <w:r w:rsidR="001063E1">
            <w:rPr>
              <w:noProof/>
            </w:rPr>
            <w:t xml:space="preserve"> </w:t>
          </w:r>
          <w:r w:rsidR="001063E1" w:rsidRPr="001063E1">
            <w:rPr>
              <w:noProof/>
            </w:rPr>
            <w:t>(Jonas, 1984, p. 243)</w:t>
          </w:r>
          <w:r>
            <w:fldChar w:fldCharType="end"/>
          </w:r>
        </w:sdtContent>
      </w:sdt>
      <w:r>
        <w:t xml:space="preserve"> Again this is a direct contradiction of the behaviour of the allies, Britain and France, although a comparison can be made in that although America did not intervene straight away, much like the allies America did not agree with the behaviour of Germany. However, as discussed America chose to aid in peace negotiations, or at least try to, compared to Britain and France who declared war in 1939</w:t>
      </w:r>
      <w:r w:rsidR="005A1987">
        <w:t xml:space="preserve">. </w:t>
      </w:r>
      <w:r w:rsidR="002669DC">
        <w:t xml:space="preserve">The neutrality that America maintained until 1941, can also </w:t>
      </w:r>
      <w:proofErr w:type="gramStart"/>
      <w:r w:rsidR="002669DC">
        <w:t>be compared</w:t>
      </w:r>
      <w:proofErr w:type="gramEnd"/>
      <w:r w:rsidR="002669DC">
        <w:t xml:space="preserve"> to the initial neutrality of Italy as mentioned in previous discussions. As mentioned, Mussolini and other governing officials in Italy were reluctant to bring Italy into the war alongside Germany, “Ciano, the king, and a number of Fascist and military leaders too were reluctant as they thought Italy was simply not ready to engage in major conflict.”</w:t>
      </w:r>
      <w:sdt>
        <w:sdtPr>
          <w:id w:val="1193885110"/>
          <w:citation/>
        </w:sdtPr>
        <w:sdtEndPr/>
        <w:sdtContent>
          <w:r w:rsidR="002669DC">
            <w:fldChar w:fldCharType="begin"/>
          </w:r>
          <w:r w:rsidR="002669DC">
            <w:instrText xml:space="preserve">CITATION Goe18 \p 166 \l 2057 </w:instrText>
          </w:r>
          <w:r w:rsidR="002669DC">
            <w:fldChar w:fldCharType="separate"/>
          </w:r>
          <w:r w:rsidR="001063E1">
            <w:rPr>
              <w:noProof/>
            </w:rPr>
            <w:t xml:space="preserve"> </w:t>
          </w:r>
          <w:r w:rsidR="001063E1" w:rsidRPr="001063E1">
            <w:rPr>
              <w:noProof/>
            </w:rPr>
            <w:t>(Goeschel, 2018, p. 166)</w:t>
          </w:r>
          <w:r w:rsidR="002669DC">
            <w:fldChar w:fldCharType="end"/>
          </w:r>
        </w:sdtContent>
      </w:sdt>
      <w:r w:rsidR="002669DC">
        <w:t xml:space="preserve"> Although, as this quote suggests, Italy was reluctant to enter the war due to lack of preparation, this was not the case for America and their neutrality. That is not to say that America did not seek to be prepared for an eventuality that they would have to enter the war. As Jonas discusses, there was a “widely held belief that Britain and France would be able to defeat Italy and Germany, if war came, without direct military assistance from the United States. Still, Congress refused to change the neutrality legislation even by summer, though it did approve sharply higher appropriations for the army and navy.”</w:t>
      </w:r>
      <w:sdt>
        <w:sdtPr>
          <w:id w:val="-56250179"/>
          <w:citation/>
        </w:sdtPr>
        <w:sdtEndPr/>
        <w:sdtContent>
          <w:r w:rsidR="002669DC">
            <w:fldChar w:fldCharType="begin"/>
          </w:r>
          <w:r w:rsidR="002669DC">
            <w:instrText xml:space="preserve">CITATION Jon84 \p 236 \n  \l 2057 </w:instrText>
          </w:r>
          <w:r w:rsidR="002669DC">
            <w:fldChar w:fldCharType="separate"/>
          </w:r>
          <w:r w:rsidR="001063E1">
            <w:rPr>
              <w:noProof/>
            </w:rPr>
            <w:t xml:space="preserve"> </w:t>
          </w:r>
          <w:r w:rsidR="001063E1" w:rsidRPr="001063E1">
            <w:rPr>
              <w:noProof/>
            </w:rPr>
            <w:t>(1984, p. 236)</w:t>
          </w:r>
          <w:r w:rsidR="002669DC">
            <w:fldChar w:fldCharType="end"/>
          </w:r>
        </w:sdtContent>
      </w:sdt>
      <w:r w:rsidR="002669DC">
        <w:t xml:space="preserve"> In contrast to Italy, this statement discusses how America believed that the allies would be defeated without them, whereas if Mussolini was to decide not to bring Italy into the war it would have cost Italy more, “under even more pressure to fulfil his promise to enter the war, lest he risk losing what was left of the regime’s credibility, at home and abroad.”</w:t>
      </w:r>
      <w:sdt>
        <w:sdtPr>
          <w:id w:val="-1685815457"/>
          <w:citation/>
        </w:sdtPr>
        <w:sdtEndPr/>
        <w:sdtContent>
          <w:r w:rsidR="002669DC">
            <w:fldChar w:fldCharType="begin"/>
          </w:r>
          <w:r w:rsidR="002669DC">
            <w:instrText xml:space="preserve">CITATION Goe18 \p 171 \l 2057 </w:instrText>
          </w:r>
          <w:r w:rsidR="002669DC">
            <w:fldChar w:fldCharType="separate"/>
          </w:r>
          <w:r w:rsidR="001063E1">
            <w:rPr>
              <w:noProof/>
            </w:rPr>
            <w:t xml:space="preserve"> </w:t>
          </w:r>
          <w:r w:rsidR="001063E1" w:rsidRPr="001063E1">
            <w:rPr>
              <w:noProof/>
            </w:rPr>
            <w:t>(Goeschel, 2018, p. 171)</w:t>
          </w:r>
          <w:r w:rsidR="002669DC">
            <w:fldChar w:fldCharType="end"/>
          </w:r>
        </w:sdtContent>
      </w:sdt>
      <w:r w:rsidR="002669DC">
        <w:t xml:space="preserve"> While America was, before the Japanese attacks, at little risk from the European war as of yet, Italy on the other hand was already in a delicate balance with Hitler. </w:t>
      </w:r>
    </w:p>
    <w:p w14:paraId="6E2C7D2F" w14:textId="77777777" w:rsidR="00ED7015" w:rsidRDefault="00ED7015" w:rsidP="00AE4B65"/>
    <w:p w14:paraId="7ED7F1CF" w14:textId="77777777" w:rsidR="00ED7015" w:rsidRDefault="00ED7015" w:rsidP="00AE4B65"/>
    <w:p w14:paraId="6D20B28D" w14:textId="55781B21" w:rsidR="00AE4B65" w:rsidRDefault="00965F0A">
      <w:r>
        <w:t xml:space="preserve">Decisions made on either side of the war, allied or enemy, between 1939 and 1941 ultimately all had the same outcome of conflict. Using these </w:t>
      </w:r>
      <w:r w:rsidR="002669DC">
        <w:t>decisions,</w:t>
      </w:r>
      <w:r>
        <w:t xml:space="preserve"> the previous comparisons </w:t>
      </w:r>
      <w:proofErr w:type="gramStart"/>
      <w:r>
        <w:t>were made</w:t>
      </w:r>
      <w:proofErr w:type="gramEnd"/>
      <w:r>
        <w:t xml:space="preserve">, identifying how even though the situations for each were different the decisions made often had similarities. For example, the decisions regarding partnerships between the leaders of specific countries, Churchill and Roosevelt, Hitler and Mussolini. </w:t>
      </w:r>
      <w:r w:rsidR="002669DC">
        <w:t xml:space="preserve">The examples given in this discussion of how the choices </w:t>
      </w:r>
      <w:r w:rsidR="005A1987">
        <w:t>made</w:t>
      </w:r>
      <w:r w:rsidR="002669DC">
        <w:t xml:space="preserve"> by Italy, Germany, Britain and America may be compared to one another, particularly comparing one side to another, for example comparing the neutrality of America with the reluctance to enter the war of Italy and the catalyst for joining the war effort of Britain and America, the invasion of Poland</w:t>
      </w:r>
      <w:sdt>
        <w:sdtPr>
          <w:id w:val="-1453014694"/>
          <w:citation/>
        </w:sdtPr>
        <w:sdtEndPr/>
        <w:sdtContent>
          <w:r w:rsidR="002669DC">
            <w:fldChar w:fldCharType="begin"/>
          </w:r>
          <w:r w:rsidR="002669DC">
            <w:instrText xml:space="preserve"> CITATION Cha39 \l 2057 </w:instrText>
          </w:r>
          <w:r w:rsidR="002669DC">
            <w:fldChar w:fldCharType="separate"/>
          </w:r>
          <w:r w:rsidR="001063E1">
            <w:rPr>
              <w:noProof/>
            </w:rPr>
            <w:t xml:space="preserve"> </w:t>
          </w:r>
          <w:r w:rsidR="001063E1" w:rsidRPr="001063E1">
            <w:rPr>
              <w:noProof/>
            </w:rPr>
            <w:t>(Chamberlain, 1939)</w:t>
          </w:r>
          <w:r w:rsidR="002669DC">
            <w:fldChar w:fldCharType="end"/>
          </w:r>
        </w:sdtContent>
      </w:sdt>
      <w:r w:rsidR="002669DC">
        <w:t xml:space="preserve"> and the attacks by the Japanese on places such as Pearl Harbour </w:t>
      </w:r>
      <w:sdt>
        <w:sdtPr>
          <w:id w:val="1936239750"/>
          <w:citation/>
        </w:sdtPr>
        <w:sdtEndPr/>
        <w:sdtContent>
          <w:r w:rsidR="002669DC">
            <w:fldChar w:fldCharType="begin"/>
          </w:r>
          <w:r w:rsidR="002669DC">
            <w:instrText xml:space="preserve"> CITATION Roo41 \l 2057 </w:instrText>
          </w:r>
          <w:r w:rsidR="002669DC">
            <w:fldChar w:fldCharType="separate"/>
          </w:r>
          <w:r w:rsidR="001063E1" w:rsidRPr="001063E1">
            <w:rPr>
              <w:noProof/>
            </w:rPr>
            <w:t>(Roosevlet, 1941)</w:t>
          </w:r>
          <w:r w:rsidR="002669DC">
            <w:fldChar w:fldCharType="end"/>
          </w:r>
        </w:sdtContent>
      </w:sdt>
      <w:r w:rsidR="002669DC">
        <w:t xml:space="preserve"> and further contrast within these declarations of war between the countries that Britain and America declare war upon. </w:t>
      </w:r>
    </w:p>
    <w:p w14:paraId="0A9E2A75" w14:textId="70CF756F" w:rsidR="007C4589" w:rsidRDefault="007C4589"/>
    <w:sdt>
      <w:sdtPr>
        <w:rPr>
          <w:rFonts w:asciiTheme="minorHAnsi" w:eastAsiaTheme="minorHAnsi" w:hAnsiTheme="minorHAnsi" w:cstheme="minorBidi"/>
          <w:color w:val="auto"/>
          <w:sz w:val="22"/>
          <w:szCs w:val="22"/>
          <w:lang w:val="en-GB"/>
        </w:rPr>
        <w:id w:val="-429123900"/>
        <w:docPartObj>
          <w:docPartGallery w:val="Bibliographies"/>
          <w:docPartUnique/>
        </w:docPartObj>
      </w:sdtPr>
      <w:sdtEndPr/>
      <w:sdtContent>
        <w:p w14:paraId="38F4FA8B" w14:textId="540C3412" w:rsidR="007C4589" w:rsidRDefault="007C4589">
          <w:pPr>
            <w:pStyle w:val="Heading1"/>
          </w:pPr>
          <w:r>
            <w:t>Bibliography</w:t>
          </w:r>
        </w:p>
        <w:sdt>
          <w:sdtPr>
            <w:id w:val="111145805"/>
            <w:bibliography/>
          </w:sdtPr>
          <w:sdtEndPr/>
          <w:sdtContent>
            <w:p w14:paraId="00545051" w14:textId="77777777" w:rsidR="001063E1" w:rsidRDefault="007C4589" w:rsidP="001063E1">
              <w:pPr>
                <w:pStyle w:val="Bibliography"/>
                <w:rPr>
                  <w:noProof/>
                  <w:sz w:val="24"/>
                  <w:szCs w:val="24"/>
                  <w:lang w:val="en-US"/>
                </w:rPr>
              </w:pPr>
              <w:r>
                <w:fldChar w:fldCharType="begin"/>
              </w:r>
              <w:r>
                <w:instrText xml:space="preserve"> BIBLIOGRAPHY </w:instrText>
              </w:r>
              <w:r>
                <w:fldChar w:fldCharType="separate"/>
              </w:r>
              <w:r w:rsidR="001063E1">
                <w:rPr>
                  <w:noProof/>
                  <w:lang w:val="en-US"/>
                </w:rPr>
                <w:t xml:space="preserve">Archives, N., 2022. </w:t>
              </w:r>
              <w:r w:rsidR="001063E1">
                <w:rPr>
                  <w:i/>
                  <w:iCs/>
                  <w:noProof/>
                  <w:lang w:val="en-US"/>
                </w:rPr>
                <w:t xml:space="preserve">Lend-Lease Act (1941). </w:t>
              </w:r>
              <w:r w:rsidR="001063E1">
                <w:rPr>
                  <w:noProof/>
                  <w:lang w:val="en-US"/>
                </w:rPr>
                <w:t xml:space="preserve">[Online] </w:t>
              </w:r>
              <w:r w:rsidR="001063E1">
                <w:rPr>
                  <w:noProof/>
                  <w:lang w:val="en-US"/>
                </w:rPr>
                <w:br/>
                <w:t xml:space="preserve">Available at: </w:t>
              </w:r>
              <w:r w:rsidR="001063E1">
                <w:rPr>
                  <w:noProof/>
                  <w:u w:val="single"/>
                  <w:lang w:val="en-US"/>
                </w:rPr>
                <w:t>https://www.archives.gov/milestone-documents/lend-lease-act</w:t>
              </w:r>
              <w:r w:rsidR="001063E1">
                <w:rPr>
                  <w:noProof/>
                  <w:lang w:val="en-US"/>
                </w:rPr>
                <w:br/>
                <w:t>[Accessed 31 May 2022].</w:t>
              </w:r>
            </w:p>
            <w:p w14:paraId="3D99F42A" w14:textId="77777777" w:rsidR="001063E1" w:rsidRDefault="001063E1" w:rsidP="001063E1">
              <w:pPr>
                <w:pStyle w:val="Bibliography"/>
                <w:rPr>
                  <w:noProof/>
                  <w:lang w:val="en-US"/>
                </w:rPr>
              </w:pPr>
              <w:r>
                <w:rPr>
                  <w:noProof/>
                  <w:lang w:val="en-US"/>
                </w:rPr>
                <w:t xml:space="preserve">Chamberlain, N., 1939. </w:t>
              </w:r>
              <w:r>
                <w:rPr>
                  <w:i/>
                  <w:iCs/>
                  <w:noProof/>
                  <w:lang w:val="en-US"/>
                </w:rPr>
                <w:t xml:space="preserve">The Transcript of Neville Chamberlain's Declaration of war. </w:t>
              </w:r>
              <w:r>
                <w:rPr>
                  <w:noProof/>
                  <w:lang w:val="en-US"/>
                </w:rPr>
                <w:t xml:space="preserve">[Online] </w:t>
              </w:r>
              <w:r>
                <w:rPr>
                  <w:noProof/>
                  <w:lang w:val="en-US"/>
                </w:rPr>
                <w:br/>
                <w:t xml:space="preserve">Available at: </w:t>
              </w:r>
              <w:r>
                <w:rPr>
                  <w:noProof/>
                  <w:u w:val="single"/>
                  <w:lang w:val="en-US"/>
                </w:rPr>
                <w:t>http://romanohistory.pbworks.com/w/file/fetch/73728956/British%20Declare%20War%20on%20Germany.pdf</w:t>
              </w:r>
              <w:r>
                <w:rPr>
                  <w:noProof/>
                  <w:lang w:val="en-US"/>
                </w:rPr>
                <w:br/>
                <w:t>[Accessed 30 May 2022].</w:t>
              </w:r>
            </w:p>
            <w:p w14:paraId="5638C6B3" w14:textId="77777777" w:rsidR="001063E1" w:rsidRDefault="001063E1" w:rsidP="001063E1">
              <w:pPr>
                <w:pStyle w:val="Bibliography"/>
                <w:rPr>
                  <w:noProof/>
                  <w:lang w:val="en-US"/>
                </w:rPr>
              </w:pPr>
              <w:r>
                <w:rPr>
                  <w:noProof/>
                  <w:lang w:val="en-US"/>
                </w:rPr>
                <w:t xml:space="preserve">Crowler, M. J. &amp; Dawson, S. T., 2017. </w:t>
              </w:r>
              <w:r>
                <w:rPr>
                  <w:i/>
                  <w:iCs/>
                  <w:noProof/>
                  <w:lang w:val="en-US"/>
                </w:rPr>
                <w:t xml:space="preserve">Home Fronts - Britain and the Empire at War, 1939-45. </w:t>
              </w:r>
              <w:r>
                <w:rPr>
                  <w:noProof/>
                  <w:lang w:val="en-US"/>
                </w:rPr>
                <w:t>Woodbridge: Boydell &amp; Brewer; Boydell Press.</w:t>
              </w:r>
            </w:p>
            <w:p w14:paraId="5B2BA847" w14:textId="77777777" w:rsidR="001063E1" w:rsidRDefault="001063E1" w:rsidP="001063E1">
              <w:pPr>
                <w:pStyle w:val="Bibliography"/>
                <w:rPr>
                  <w:noProof/>
                  <w:lang w:val="en-US"/>
                </w:rPr>
              </w:pPr>
              <w:r>
                <w:rPr>
                  <w:noProof/>
                  <w:lang w:val="en-US"/>
                </w:rPr>
                <w:t xml:space="preserve">Goeschel, C., 2018. </w:t>
              </w:r>
              <w:r>
                <w:rPr>
                  <w:i/>
                  <w:iCs/>
                  <w:noProof/>
                  <w:lang w:val="en-US"/>
                </w:rPr>
                <w:t xml:space="preserve">Mussolini and Hitler: The Forging of the Fascist Alliance. </w:t>
              </w:r>
              <w:r>
                <w:rPr>
                  <w:noProof/>
                  <w:lang w:val="en-US"/>
                </w:rPr>
                <w:t>New Haven, London: Yale University Press.</w:t>
              </w:r>
            </w:p>
            <w:p w14:paraId="34E3912C" w14:textId="77777777" w:rsidR="001063E1" w:rsidRDefault="001063E1" w:rsidP="001063E1">
              <w:pPr>
                <w:pStyle w:val="Bibliography"/>
                <w:rPr>
                  <w:noProof/>
                  <w:lang w:val="en-US"/>
                </w:rPr>
              </w:pPr>
              <w:r>
                <w:rPr>
                  <w:noProof/>
                  <w:lang w:val="en-US"/>
                </w:rPr>
                <w:t xml:space="preserve">Jonas, M., 1984. </w:t>
              </w:r>
              <w:r>
                <w:rPr>
                  <w:i/>
                  <w:iCs/>
                  <w:noProof/>
                  <w:lang w:val="en-US"/>
                </w:rPr>
                <w:t xml:space="preserve">The United States and Germany: A Diplomatic History. </w:t>
              </w:r>
              <w:r>
                <w:rPr>
                  <w:noProof/>
                  <w:lang w:val="en-US"/>
                </w:rPr>
                <w:t>s.l.:Cornell University Press.</w:t>
              </w:r>
            </w:p>
            <w:p w14:paraId="1945159C" w14:textId="77777777" w:rsidR="001063E1" w:rsidRDefault="001063E1" w:rsidP="001063E1">
              <w:pPr>
                <w:pStyle w:val="Bibliography"/>
                <w:rPr>
                  <w:noProof/>
                  <w:lang w:val="en-US"/>
                </w:rPr>
              </w:pPr>
              <w:r>
                <w:rPr>
                  <w:noProof/>
                  <w:lang w:val="en-US"/>
                </w:rPr>
                <w:t xml:space="preserve">Kimball, W. F., 1984. </w:t>
              </w:r>
              <w:r>
                <w:rPr>
                  <w:i/>
                  <w:iCs/>
                  <w:noProof/>
                  <w:lang w:val="en-US"/>
                </w:rPr>
                <w:t xml:space="preserve">Churchill and Roosevelt, Volume 1: The Complete Correspondence - Three Volumes. </w:t>
              </w:r>
              <w:r>
                <w:rPr>
                  <w:noProof/>
                  <w:lang w:val="en-US"/>
                </w:rPr>
                <w:t>Princeton: Princeton University Press.</w:t>
              </w:r>
            </w:p>
            <w:p w14:paraId="0A5AC63C" w14:textId="77777777" w:rsidR="001063E1" w:rsidRDefault="001063E1" w:rsidP="001063E1">
              <w:pPr>
                <w:pStyle w:val="Bibliography"/>
                <w:rPr>
                  <w:noProof/>
                  <w:lang w:val="en-US"/>
                </w:rPr>
              </w:pPr>
              <w:r>
                <w:rPr>
                  <w:noProof/>
                  <w:lang w:val="en-US"/>
                </w:rPr>
                <w:t xml:space="preserve">Roosevlet, F. D., 1941. </w:t>
              </w:r>
              <w:r>
                <w:rPr>
                  <w:i/>
                  <w:iCs/>
                  <w:noProof/>
                  <w:lang w:val="en-US"/>
                </w:rPr>
                <w:t xml:space="preserve">Joint Address to Congress Leading to a Declaration of War Against Japan (1941). </w:t>
              </w:r>
              <w:r>
                <w:rPr>
                  <w:noProof/>
                  <w:lang w:val="en-US"/>
                </w:rPr>
                <w:t xml:space="preserve">[Online] </w:t>
              </w:r>
              <w:r>
                <w:rPr>
                  <w:noProof/>
                  <w:lang w:val="en-US"/>
                </w:rPr>
                <w:br/>
                <w:t xml:space="preserve">Available at: </w:t>
              </w:r>
              <w:r>
                <w:rPr>
                  <w:noProof/>
                  <w:u w:val="single"/>
                  <w:lang w:val="en-US"/>
                </w:rPr>
                <w:t>https://www.archives.gov/milestone-documents/joint-address-to-congress-declaration-of-war-against-japan#:~:text=On%20December%208%2C%201941%2C%20the,States%20entered%20World%20War%20II.</w:t>
              </w:r>
              <w:r>
                <w:rPr>
                  <w:noProof/>
                  <w:lang w:val="en-US"/>
                </w:rPr>
                <w:br/>
                <w:t>[Accessed 30 May 2022].</w:t>
              </w:r>
            </w:p>
            <w:p w14:paraId="5773A6FD" w14:textId="77777777" w:rsidR="001063E1" w:rsidRDefault="001063E1" w:rsidP="001063E1">
              <w:pPr>
                <w:pStyle w:val="Bibliography"/>
                <w:rPr>
                  <w:noProof/>
                  <w:lang w:val="en-US"/>
                </w:rPr>
              </w:pPr>
              <w:r>
                <w:rPr>
                  <w:noProof/>
                  <w:lang w:val="en-US"/>
                </w:rPr>
                <w:t xml:space="preserve">Weinberg, G. L., 1994. </w:t>
              </w:r>
              <w:r>
                <w:rPr>
                  <w:i/>
                  <w:iCs/>
                  <w:noProof/>
                  <w:lang w:val="en-US"/>
                </w:rPr>
                <w:t xml:space="preserve">A World At Arms: A Global History of World War II. </w:t>
              </w:r>
              <w:r>
                <w:rPr>
                  <w:noProof/>
                  <w:lang w:val="en-US"/>
                </w:rPr>
                <w:t>Cambridge: Carmbridge University Press.</w:t>
              </w:r>
            </w:p>
            <w:p w14:paraId="293C6CDB" w14:textId="789A5718" w:rsidR="007C4589" w:rsidRDefault="007C4589" w:rsidP="001063E1">
              <w:r>
                <w:rPr>
                  <w:b/>
                  <w:bCs/>
                  <w:noProof/>
                </w:rPr>
                <w:fldChar w:fldCharType="end"/>
              </w:r>
            </w:p>
          </w:sdtContent>
        </w:sdt>
      </w:sdtContent>
    </w:sdt>
    <w:p w14:paraId="61D92699" w14:textId="77777777" w:rsidR="007C4589" w:rsidRPr="00474067" w:rsidRDefault="007C4589"/>
    <w:sectPr w:rsidR="007C4589" w:rsidRPr="004740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072025"/>
    <w:multiLevelType w:val="hybridMultilevel"/>
    <w:tmpl w:val="3DD479E8"/>
    <w:lvl w:ilvl="0" w:tplc="CE9A969C">
      <w:start w:val="1"/>
      <w:numFmt w:val="decimal"/>
      <w:lvlText w:val="%1."/>
      <w:lvlJc w:val="left"/>
      <w:pPr>
        <w:ind w:left="360" w:hanging="360"/>
      </w:pPr>
      <w:rPr>
        <w:b w:val="0"/>
        <w:bCs/>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5229794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758"/>
    <w:rsid w:val="001063E1"/>
    <w:rsid w:val="001E3EB3"/>
    <w:rsid w:val="001E4318"/>
    <w:rsid w:val="002669DC"/>
    <w:rsid w:val="003474A2"/>
    <w:rsid w:val="00474067"/>
    <w:rsid w:val="005025FF"/>
    <w:rsid w:val="00545FB0"/>
    <w:rsid w:val="005A1987"/>
    <w:rsid w:val="0067707F"/>
    <w:rsid w:val="00702361"/>
    <w:rsid w:val="00786B8C"/>
    <w:rsid w:val="007C4589"/>
    <w:rsid w:val="007E07EC"/>
    <w:rsid w:val="00802B6E"/>
    <w:rsid w:val="00965F0A"/>
    <w:rsid w:val="009C1567"/>
    <w:rsid w:val="009F2C51"/>
    <w:rsid w:val="00AE4B65"/>
    <w:rsid w:val="00B64B0B"/>
    <w:rsid w:val="00B80B37"/>
    <w:rsid w:val="00BB2D3F"/>
    <w:rsid w:val="00C52758"/>
    <w:rsid w:val="00D26322"/>
    <w:rsid w:val="00DA58F2"/>
    <w:rsid w:val="00ED7015"/>
    <w:rsid w:val="00EF4237"/>
    <w:rsid w:val="00F61F7F"/>
    <w:rsid w:val="00FB2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90BB0"/>
  <w15:chartTrackingRefBased/>
  <w15:docId w15:val="{5FFB8B47-6557-4816-A0A6-4A488A3D7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58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527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C458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C4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5237">
      <w:bodyDiv w:val="1"/>
      <w:marLeft w:val="0"/>
      <w:marRight w:val="0"/>
      <w:marTop w:val="0"/>
      <w:marBottom w:val="0"/>
      <w:divBdr>
        <w:top w:val="none" w:sz="0" w:space="0" w:color="auto"/>
        <w:left w:val="none" w:sz="0" w:space="0" w:color="auto"/>
        <w:bottom w:val="none" w:sz="0" w:space="0" w:color="auto"/>
        <w:right w:val="none" w:sz="0" w:space="0" w:color="auto"/>
      </w:divBdr>
    </w:div>
    <w:div w:id="26032714">
      <w:bodyDiv w:val="1"/>
      <w:marLeft w:val="0"/>
      <w:marRight w:val="0"/>
      <w:marTop w:val="0"/>
      <w:marBottom w:val="0"/>
      <w:divBdr>
        <w:top w:val="none" w:sz="0" w:space="0" w:color="auto"/>
        <w:left w:val="none" w:sz="0" w:space="0" w:color="auto"/>
        <w:bottom w:val="none" w:sz="0" w:space="0" w:color="auto"/>
        <w:right w:val="none" w:sz="0" w:space="0" w:color="auto"/>
      </w:divBdr>
    </w:div>
    <w:div w:id="66923502">
      <w:bodyDiv w:val="1"/>
      <w:marLeft w:val="0"/>
      <w:marRight w:val="0"/>
      <w:marTop w:val="0"/>
      <w:marBottom w:val="0"/>
      <w:divBdr>
        <w:top w:val="none" w:sz="0" w:space="0" w:color="auto"/>
        <w:left w:val="none" w:sz="0" w:space="0" w:color="auto"/>
        <w:bottom w:val="none" w:sz="0" w:space="0" w:color="auto"/>
        <w:right w:val="none" w:sz="0" w:space="0" w:color="auto"/>
      </w:divBdr>
    </w:div>
    <w:div w:id="77941793">
      <w:bodyDiv w:val="1"/>
      <w:marLeft w:val="0"/>
      <w:marRight w:val="0"/>
      <w:marTop w:val="0"/>
      <w:marBottom w:val="0"/>
      <w:divBdr>
        <w:top w:val="none" w:sz="0" w:space="0" w:color="auto"/>
        <w:left w:val="none" w:sz="0" w:space="0" w:color="auto"/>
        <w:bottom w:val="none" w:sz="0" w:space="0" w:color="auto"/>
        <w:right w:val="none" w:sz="0" w:space="0" w:color="auto"/>
      </w:divBdr>
    </w:div>
    <w:div w:id="85612016">
      <w:bodyDiv w:val="1"/>
      <w:marLeft w:val="0"/>
      <w:marRight w:val="0"/>
      <w:marTop w:val="0"/>
      <w:marBottom w:val="0"/>
      <w:divBdr>
        <w:top w:val="none" w:sz="0" w:space="0" w:color="auto"/>
        <w:left w:val="none" w:sz="0" w:space="0" w:color="auto"/>
        <w:bottom w:val="none" w:sz="0" w:space="0" w:color="auto"/>
        <w:right w:val="none" w:sz="0" w:space="0" w:color="auto"/>
      </w:divBdr>
    </w:div>
    <w:div w:id="102851078">
      <w:bodyDiv w:val="1"/>
      <w:marLeft w:val="0"/>
      <w:marRight w:val="0"/>
      <w:marTop w:val="0"/>
      <w:marBottom w:val="0"/>
      <w:divBdr>
        <w:top w:val="none" w:sz="0" w:space="0" w:color="auto"/>
        <w:left w:val="none" w:sz="0" w:space="0" w:color="auto"/>
        <w:bottom w:val="none" w:sz="0" w:space="0" w:color="auto"/>
        <w:right w:val="none" w:sz="0" w:space="0" w:color="auto"/>
      </w:divBdr>
    </w:div>
    <w:div w:id="139343851">
      <w:bodyDiv w:val="1"/>
      <w:marLeft w:val="0"/>
      <w:marRight w:val="0"/>
      <w:marTop w:val="0"/>
      <w:marBottom w:val="0"/>
      <w:divBdr>
        <w:top w:val="none" w:sz="0" w:space="0" w:color="auto"/>
        <w:left w:val="none" w:sz="0" w:space="0" w:color="auto"/>
        <w:bottom w:val="none" w:sz="0" w:space="0" w:color="auto"/>
        <w:right w:val="none" w:sz="0" w:space="0" w:color="auto"/>
      </w:divBdr>
    </w:div>
    <w:div w:id="165633468">
      <w:bodyDiv w:val="1"/>
      <w:marLeft w:val="0"/>
      <w:marRight w:val="0"/>
      <w:marTop w:val="0"/>
      <w:marBottom w:val="0"/>
      <w:divBdr>
        <w:top w:val="none" w:sz="0" w:space="0" w:color="auto"/>
        <w:left w:val="none" w:sz="0" w:space="0" w:color="auto"/>
        <w:bottom w:val="none" w:sz="0" w:space="0" w:color="auto"/>
        <w:right w:val="none" w:sz="0" w:space="0" w:color="auto"/>
      </w:divBdr>
    </w:div>
    <w:div w:id="200483468">
      <w:bodyDiv w:val="1"/>
      <w:marLeft w:val="0"/>
      <w:marRight w:val="0"/>
      <w:marTop w:val="0"/>
      <w:marBottom w:val="0"/>
      <w:divBdr>
        <w:top w:val="none" w:sz="0" w:space="0" w:color="auto"/>
        <w:left w:val="none" w:sz="0" w:space="0" w:color="auto"/>
        <w:bottom w:val="none" w:sz="0" w:space="0" w:color="auto"/>
        <w:right w:val="none" w:sz="0" w:space="0" w:color="auto"/>
      </w:divBdr>
    </w:div>
    <w:div w:id="238828127">
      <w:bodyDiv w:val="1"/>
      <w:marLeft w:val="0"/>
      <w:marRight w:val="0"/>
      <w:marTop w:val="0"/>
      <w:marBottom w:val="0"/>
      <w:divBdr>
        <w:top w:val="none" w:sz="0" w:space="0" w:color="auto"/>
        <w:left w:val="none" w:sz="0" w:space="0" w:color="auto"/>
        <w:bottom w:val="none" w:sz="0" w:space="0" w:color="auto"/>
        <w:right w:val="none" w:sz="0" w:space="0" w:color="auto"/>
      </w:divBdr>
    </w:div>
    <w:div w:id="273558281">
      <w:bodyDiv w:val="1"/>
      <w:marLeft w:val="0"/>
      <w:marRight w:val="0"/>
      <w:marTop w:val="0"/>
      <w:marBottom w:val="0"/>
      <w:divBdr>
        <w:top w:val="none" w:sz="0" w:space="0" w:color="auto"/>
        <w:left w:val="none" w:sz="0" w:space="0" w:color="auto"/>
        <w:bottom w:val="none" w:sz="0" w:space="0" w:color="auto"/>
        <w:right w:val="none" w:sz="0" w:space="0" w:color="auto"/>
      </w:divBdr>
    </w:div>
    <w:div w:id="298344560">
      <w:bodyDiv w:val="1"/>
      <w:marLeft w:val="0"/>
      <w:marRight w:val="0"/>
      <w:marTop w:val="0"/>
      <w:marBottom w:val="0"/>
      <w:divBdr>
        <w:top w:val="none" w:sz="0" w:space="0" w:color="auto"/>
        <w:left w:val="none" w:sz="0" w:space="0" w:color="auto"/>
        <w:bottom w:val="none" w:sz="0" w:space="0" w:color="auto"/>
        <w:right w:val="none" w:sz="0" w:space="0" w:color="auto"/>
      </w:divBdr>
    </w:div>
    <w:div w:id="341662134">
      <w:bodyDiv w:val="1"/>
      <w:marLeft w:val="0"/>
      <w:marRight w:val="0"/>
      <w:marTop w:val="0"/>
      <w:marBottom w:val="0"/>
      <w:divBdr>
        <w:top w:val="none" w:sz="0" w:space="0" w:color="auto"/>
        <w:left w:val="none" w:sz="0" w:space="0" w:color="auto"/>
        <w:bottom w:val="none" w:sz="0" w:space="0" w:color="auto"/>
        <w:right w:val="none" w:sz="0" w:space="0" w:color="auto"/>
      </w:divBdr>
    </w:div>
    <w:div w:id="362751760">
      <w:bodyDiv w:val="1"/>
      <w:marLeft w:val="0"/>
      <w:marRight w:val="0"/>
      <w:marTop w:val="0"/>
      <w:marBottom w:val="0"/>
      <w:divBdr>
        <w:top w:val="none" w:sz="0" w:space="0" w:color="auto"/>
        <w:left w:val="none" w:sz="0" w:space="0" w:color="auto"/>
        <w:bottom w:val="none" w:sz="0" w:space="0" w:color="auto"/>
        <w:right w:val="none" w:sz="0" w:space="0" w:color="auto"/>
      </w:divBdr>
    </w:div>
    <w:div w:id="381246703">
      <w:bodyDiv w:val="1"/>
      <w:marLeft w:val="0"/>
      <w:marRight w:val="0"/>
      <w:marTop w:val="0"/>
      <w:marBottom w:val="0"/>
      <w:divBdr>
        <w:top w:val="none" w:sz="0" w:space="0" w:color="auto"/>
        <w:left w:val="none" w:sz="0" w:space="0" w:color="auto"/>
        <w:bottom w:val="none" w:sz="0" w:space="0" w:color="auto"/>
        <w:right w:val="none" w:sz="0" w:space="0" w:color="auto"/>
      </w:divBdr>
    </w:div>
    <w:div w:id="419258644">
      <w:bodyDiv w:val="1"/>
      <w:marLeft w:val="0"/>
      <w:marRight w:val="0"/>
      <w:marTop w:val="0"/>
      <w:marBottom w:val="0"/>
      <w:divBdr>
        <w:top w:val="none" w:sz="0" w:space="0" w:color="auto"/>
        <w:left w:val="none" w:sz="0" w:space="0" w:color="auto"/>
        <w:bottom w:val="none" w:sz="0" w:space="0" w:color="auto"/>
        <w:right w:val="none" w:sz="0" w:space="0" w:color="auto"/>
      </w:divBdr>
    </w:div>
    <w:div w:id="464470599">
      <w:bodyDiv w:val="1"/>
      <w:marLeft w:val="0"/>
      <w:marRight w:val="0"/>
      <w:marTop w:val="0"/>
      <w:marBottom w:val="0"/>
      <w:divBdr>
        <w:top w:val="none" w:sz="0" w:space="0" w:color="auto"/>
        <w:left w:val="none" w:sz="0" w:space="0" w:color="auto"/>
        <w:bottom w:val="none" w:sz="0" w:space="0" w:color="auto"/>
        <w:right w:val="none" w:sz="0" w:space="0" w:color="auto"/>
      </w:divBdr>
    </w:div>
    <w:div w:id="498271208">
      <w:bodyDiv w:val="1"/>
      <w:marLeft w:val="0"/>
      <w:marRight w:val="0"/>
      <w:marTop w:val="0"/>
      <w:marBottom w:val="0"/>
      <w:divBdr>
        <w:top w:val="none" w:sz="0" w:space="0" w:color="auto"/>
        <w:left w:val="none" w:sz="0" w:space="0" w:color="auto"/>
        <w:bottom w:val="none" w:sz="0" w:space="0" w:color="auto"/>
        <w:right w:val="none" w:sz="0" w:space="0" w:color="auto"/>
      </w:divBdr>
    </w:div>
    <w:div w:id="533350585">
      <w:bodyDiv w:val="1"/>
      <w:marLeft w:val="0"/>
      <w:marRight w:val="0"/>
      <w:marTop w:val="0"/>
      <w:marBottom w:val="0"/>
      <w:divBdr>
        <w:top w:val="none" w:sz="0" w:space="0" w:color="auto"/>
        <w:left w:val="none" w:sz="0" w:space="0" w:color="auto"/>
        <w:bottom w:val="none" w:sz="0" w:space="0" w:color="auto"/>
        <w:right w:val="none" w:sz="0" w:space="0" w:color="auto"/>
      </w:divBdr>
    </w:div>
    <w:div w:id="538127379">
      <w:bodyDiv w:val="1"/>
      <w:marLeft w:val="0"/>
      <w:marRight w:val="0"/>
      <w:marTop w:val="0"/>
      <w:marBottom w:val="0"/>
      <w:divBdr>
        <w:top w:val="none" w:sz="0" w:space="0" w:color="auto"/>
        <w:left w:val="none" w:sz="0" w:space="0" w:color="auto"/>
        <w:bottom w:val="none" w:sz="0" w:space="0" w:color="auto"/>
        <w:right w:val="none" w:sz="0" w:space="0" w:color="auto"/>
      </w:divBdr>
    </w:div>
    <w:div w:id="545290050">
      <w:bodyDiv w:val="1"/>
      <w:marLeft w:val="0"/>
      <w:marRight w:val="0"/>
      <w:marTop w:val="0"/>
      <w:marBottom w:val="0"/>
      <w:divBdr>
        <w:top w:val="none" w:sz="0" w:space="0" w:color="auto"/>
        <w:left w:val="none" w:sz="0" w:space="0" w:color="auto"/>
        <w:bottom w:val="none" w:sz="0" w:space="0" w:color="auto"/>
        <w:right w:val="none" w:sz="0" w:space="0" w:color="auto"/>
      </w:divBdr>
    </w:div>
    <w:div w:id="551500432">
      <w:bodyDiv w:val="1"/>
      <w:marLeft w:val="0"/>
      <w:marRight w:val="0"/>
      <w:marTop w:val="0"/>
      <w:marBottom w:val="0"/>
      <w:divBdr>
        <w:top w:val="none" w:sz="0" w:space="0" w:color="auto"/>
        <w:left w:val="none" w:sz="0" w:space="0" w:color="auto"/>
        <w:bottom w:val="none" w:sz="0" w:space="0" w:color="auto"/>
        <w:right w:val="none" w:sz="0" w:space="0" w:color="auto"/>
      </w:divBdr>
    </w:div>
    <w:div w:id="627862648">
      <w:bodyDiv w:val="1"/>
      <w:marLeft w:val="0"/>
      <w:marRight w:val="0"/>
      <w:marTop w:val="0"/>
      <w:marBottom w:val="0"/>
      <w:divBdr>
        <w:top w:val="none" w:sz="0" w:space="0" w:color="auto"/>
        <w:left w:val="none" w:sz="0" w:space="0" w:color="auto"/>
        <w:bottom w:val="none" w:sz="0" w:space="0" w:color="auto"/>
        <w:right w:val="none" w:sz="0" w:space="0" w:color="auto"/>
      </w:divBdr>
    </w:div>
    <w:div w:id="633490319">
      <w:bodyDiv w:val="1"/>
      <w:marLeft w:val="0"/>
      <w:marRight w:val="0"/>
      <w:marTop w:val="0"/>
      <w:marBottom w:val="0"/>
      <w:divBdr>
        <w:top w:val="none" w:sz="0" w:space="0" w:color="auto"/>
        <w:left w:val="none" w:sz="0" w:space="0" w:color="auto"/>
        <w:bottom w:val="none" w:sz="0" w:space="0" w:color="auto"/>
        <w:right w:val="none" w:sz="0" w:space="0" w:color="auto"/>
      </w:divBdr>
    </w:div>
    <w:div w:id="635379375">
      <w:bodyDiv w:val="1"/>
      <w:marLeft w:val="0"/>
      <w:marRight w:val="0"/>
      <w:marTop w:val="0"/>
      <w:marBottom w:val="0"/>
      <w:divBdr>
        <w:top w:val="none" w:sz="0" w:space="0" w:color="auto"/>
        <w:left w:val="none" w:sz="0" w:space="0" w:color="auto"/>
        <w:bottom w:val="none" w:sz="0" w:space="0" w:color="auto"/>
        <w:right w:val="none" w:sz="0" w:space="0" w:color="auto"/>
      </w:divBdr>
    </w:div>
    <w:div w:id="657612968">
      <w:bodyDiv w:val="1"/>
      <w:marLeft w:val="0"/>
      <w:marRight w:val="0"/>
      <w:marTop w:val="0"/>
      <w:marBottom w:val="0"/>
      <w:divBdr>
        <w:top w:val="none" w:sz="0" w:space="0" w:color="auto"/>
        <w:left w:val="none" w:sz="0" w:space="0" w:color="auto"/>
        <w:bottom w:val="none" w:sz="0" w:space="0" w:color="auto"/>
        <w:right w:val="none" w:sz="0" w:space="0" w:color="auto"/>
      </w:divBdr>
    </w:div>
    <w:div w:id="695935100">
      <w:bodyDiv w:val="1"/>
      <w:marLeft w:val="0"/>
      <w:marRight w:val="0"/>
      <w:marTop w:val="0"/>
      <w:marBottom w:val="0"/>
      <w:divBdr>
        <w:top w:val="none" w:sz="0" w:space="0" w:color="auto"/>
        <w:left w:val="none" w:sz="0" w:space="0" w:color="auto"/>
        <w:bottom w:val="none" w:sz="0" w:space="0" w:color="auto"/>
        <w:right w:val="none" w:sz="0" w:space="0" w:color="auto"/>
      </w:divBdr>
    </w:div>
    <w:div w:id="722290587">
      <w:bodyDiv w:val="1"/>
      <w:marLeft w:val="0"/>
      <w:marRight w:val="0"/>
      <w:marTop w:val="0"/>
      <w:marBottom w:val="0"/>
      <w:divBdr>
        <w:top w:val="none" w:sz="0" w:space="0" w:color="auto"/>
        <w:left w:val="none" w:sz="0" w:space="0" w:color="auto"/>
        <w:bottom w:val="none" w:sz="0" w:space="0" w:color="auto"/>
        <w:right w:val="none" w:sz="0" w:space="0" w:color="auto"/>
      </w:divBdr>
    </w:div>
    <w:div w:id="742263569">
      <w:bodyDiv w:val="1"/>
      <w:marLeft w:val="0"/>
      <w:marRight w:val="0"/>
      <w:marTop w:val="0"/>
      <w:marBottom w:val="0"/>
      <w:divBdr>
        <w:top w:val="none" w:sz="0" w:space="0" w:color="auto"/>
        <w:left w:val="none" w:sz="0" w:space="0" w:color="auto"/>
        <w:bottom w:val="none" w:sz="0" w:space="0" w:color="auto"/>
        <w:right w:val="none" w:sz="0" w:space="0" w:color="auto"/>
      </w:divBdr>
    </w:div>
    <w:div w:id="754520406">
      <w:bodyDiv w:val="1"/>
      <w:marLeft w:val="0"/>
      <w:marRight w:val="0"/>
      <w:marTop w:val="0"/>
      <w:marBottom w:val="0"/>
      <w:divBdr>
        <w:top w:val="none" w:sz="0" w:space="0" w:color="auto"/>
        <w:left w:val="none" w:sz="0" w:space="0" w:color="auto"/>
        <w:bottom w:val="none" w:sz="0" w:space="0" w:color="auto"/>
        <w:right w:val="none" w:sz="0" w:space="0" w:color="auto"/>
      </w:divBdr>
    </w:div>
    <w:div w:id="757874211">
      <w:bodyDiv w:val="1"/>
      <w:marLeft w:val="0"/>
      <w:marRight w:val="0"/>
      <w:marTop w:val="0"/>
      <w:marBottom w:val="0"/>
      <w:divBdr>
        <w:top w:val="none" w:sz="0" w:space="0" w:color="auto"/>
        <w:left w:val="none" w:sz="0" w:space="0" w:color="auto"/>
        <w:bottom w:val="none" w:sz="0" w:space="0" w:color="auto"/>
        <w:right w:val="none" w:sz="0" w:space="0" w:color="auto"/>
      </w:divBdr>
    </w:div>
    <w:div w:id="805202848">
      <w:bodyDiv w:val="1"/>
      <w:marLeft w:val="0"/>
      <w:marRight w:val="0"/>
      <w:marTop w:val="0"/>
      <w:marBottom w:val="0"/>
      <w:divBdr>
        <w:top w:val="none" w:sz="0" w:space="0" w:color="auto"/>
        <w:left w:val="none" w:sz="0" w:space="0" w:color="auto"/>
        <w:bottom w:val="none" w:sz="0" w:space="0" w:color="auto"/>
        <w:right w:val="none" w:sz="0" w:space="0" w:color="auto"/>
      </w:divBdr>
    </w:div>
    <w:div w:id="816147594">
      <w:bodyDiv w:val="1"/>
      <w:marLeft w:val="0"/>
      <w:marRight w:val="0"/>
      <w:marTop w:val="0"/>
      <w:marBottom w:val="0"/>
      <w:divBdr>
        <w:top w:val="none" w:sz="0" w:space="0" w:color="auto"/>
        <w:left w:val="none" w:sz="0" w:space="0" w:color="auto"/>
        <w:bottom w:val="none" w:sz="0" w:space="0" w:color="auto"/>
        <w:right w:val="none" w:sz="0" w:space="0" w:color="auto"/>
      </w:divBdr>
    </w:div>
    <w:div w:id="827746872">
      <w:bodyDiv w:val="1"/>
      <w:marLeft w:val="0"/>
      <w:marRight w:val="0"/>
      <w:marTop w:val="0"/>
      <w:marBottom w:val="0"/>
      <w:divBdr>
        <w:top w:val="none" w:sz="0" w:space="0" w:color="auto"/>
        <w:left w:val="none" w:sz="0" w:space="0" w:color="auto"/>
        <w:bottom w:val="none" w:sz="0" w:space="0" w:color="auto"/>
        <w:right w:val="none" w:sz="0" w:space="0" w:color="auto"/>
      </w:divBdr>
    </w:div>
    <w:div w:id="848521647">
      <w:bodyDiv w:val="1"/>
      <w:marLeft w:val="0"/>
      <w:marRight w:val="0"/>
      <w:marTop w:val="0"/>
      <w:marBottom w:val="0"/>
      <w:divBdr>
        <w:top w:val="none" w:sz="0" w:space="0" w:color="auto"/>
        <w:left w:val="none" w:sz="0" w:space="0" w:color="auto"/>
        <w:bottom w:val="none" w:sz="0" w:space="0" w:color="auto"/>
        <w:right w:val="none" w:sz="0" w:space="0" w:color="auto"/>
      </w:divBdr>
    </w:div>
    <w:div w:id="861211272">
      <w:bodyDiv w:val="1"/>
      <w:marLeft w:val="0"/>
      <w:marRight w:val="0"/>
      <w:marTop w:val="0"/>
      <w:marBottom w:val="0"/>
      <w:divBdr>
        <w:top w:val="none" w:sz="0" w:space="0" w:color="auto"/>
        <w:left w:val="none" w:sz="0" w:space="0" w:color="auto"/>
        <w:bottom w:val="none" w:sz="0" w:space="0" w:color="auto"/>
        <w:right w:val="none" w:sz="0" w:space="0" w:color="auto"/>
      </w:divBdr>
    </w:div>
    <w:div w:id="874535790">
      <w:bodyDiv w:val="1"/>
      <w:marLeft w:val="0"/>
      <w:marRight w:val="0"/>
      <w:marTop w:val="0"/>
      <w:marBottom w:val="0"/>
      <w:divBdr>
        <w:top w:val="none" w:sz="0" w:space="0" w:color="auto"/>
        <w:left w:val="none" w:sz="0" w:space="0" w:color="auto"/>
        <w:bottom w:val="none" w:sz="0" w:space="0" w:color="auto"/>
        <w:right w:val="none" w:sz="0" w:space="0" w:color="auto"/>
      </w:divBdr>
    </w:div>
    <w:div w:id="884292983">
      <w:bodyDiv w:val="1"/>
      <w:marLeft w:val="0"/>
      <w:marRight w:val="0"/>
      <w:marTop w:val="0"/>
      <w:marBottom w:val="0"/>
      <w:divBdr>
        <w:top w:val="none" w:sz="0" w:space="0" w:color="auto"/>
        <w:left w:val="none" w:sz="0" w:space="0" w:color="auto"/>
        <w:bottom w:val="none" w:sz="0" w:space="0" w:color="auto"/>
        <w:right w:val="none" w:sz="0" w:space="0" w:color="auto"/>
      </w:divBdr>
    </w:div>
    <w:div w:id="888150954">
      <w:bodyDiv w:val="1"/>
      <w:marLeft w:val="0"/>
      <w:marRight w:val="0"/>
      <w:marTop w:val="0"/>
      <w:marBottom w:val="0"/>
      <w:divBdr>
        <w:top w:val="none" w:sz="0" w:space="0" w:color="auto"/>
        <w:left w:val="none" w:sz="0" w:space="0" w:color="auto"/>
        <w:bottom w:val="none" w:sz="0" w:space="0" w:color="auto"/>
        <w:right w:val="none" w:sz="0" w:space="0" w:color="auto"/>
      </w:divBdr>
    </w:div>
    <w:div w:id="894698311">
      <w:bodyDiv w:val="1"/>
      <w:marLeft w:val="0"/>
      <w:marRight w:val="0"/>
      <w:marTop w:val="0"/>
      <w:marBottom w:val="0"/>
      <w:divBdr>
        <w:top w:val="none" w:sz="0" w:space="0" w:color="auto"/>
        <w:left w:val="none" w:sz="0" w:space="0" w:color="auto"/>
        <w:bottom w:val="none" w:sz="0" w:space="0" w:color="auto"/>
        <w:right w:val="none" w:sz="0" w:space="0" w:color="auto"/>
      </w:divBdr>
    </w:div>
    <w:div w:id="911887814">
      <w:bodyDiv w:val="1"/>
      <w:marLeft w:val="0"/>
      <w:marRight w:val="0"/>
      <w:marTop w:val="0"/>
      <w:marBottom w:val="0"/>
      <w:divBdr>
        <w:top w:val="none" w:sz="0" w:space="0" w:color="auto"/>
        <w:left w:val="none" w:sz="0" w:space="0" w:color="auto"/>
        <w:bottom w:val="none" w:sz="0" w:space="0" w:color="auto"/>
        <w:right w:val="none" w:sz="0" w:space="0" w:color="auto"/>
      </w:divBdr>
    </w:div>
    <w:div w:id="929267388">
      <w:bodyDiv w:val="1"/>
      <w:marLeft w:val="0"/>
      <w:marRight w:val="0"/>
      <w:marTop w:val="0"/>
      <w:marBottom w:val="0"/>
      <w:divBdr>
        <w:top w:val="none" w:sz="0" w:space="0" w:color="auto"/>
        <w:left w:val="none" w:sz="0" w:space="0" w:color="auto"/>
        <w:bottom w:val="none" w:sz="0" w:space="0" w:color="auto"/>
        <w:right w:val="none" w:sz="0" w:space="0" w:color="auto"/>
      </w:divBdr>
    </w:div>
    <w:div w:id="938761012">
      <w:bodyDiv w:val="1"/>
      <w:marLeft w:val="0"/>
      <w:marRight w:val="0"/>
      <w:marTop w:val="0"/>
      <w:marBottom w:val="0"/>
      <w:divBdr>
        <w:top w:val="none" w:sz="0" w:space="0" w:color="auto"/>
        <w:left w:val="none" w:sz="0" w:space="0" w:color="auto"/>
        <w:bottom w:val="none" w:sz="0" w:space="0" w:color="auto"/>
        <w:right w:val="none" w:sz="0" w:space="0" w:color="auto"/>
      </w:divBdr>
    </w:div>
    <w:div w:id="940139989">
      <w:bodyDiv w:val="1"/>
      <w:marLeft w:val="0"/>
      <w:marRight w:val="0"/>
      <w:marTop w:val="0"/>
      <w:marBottom w:val="0"/>
      <w:divBdr>
        <w:top w:val="none" w:sz="0" w:space="0" w:color="auto"/>
        <w:left w:val="none" w:sz="0" w:space="0" w:color="auto"/>
        <w:bottom w:val="none" w:sz="0" w:space="0" w:color="auto"/>
        <w:right w:val="none" w:sz="0" w:space="0" w:color="auto"/>
      </w:divBdr>
    </w:div>
    <w:div w:id="960499912">
      <w:bodyDiv w:val="1"/>
      <w:marLeft w:val="0"/>
      <w:marRight w:val="0"/>
      <w:marTop w:val="0"/>
      <w:marBottom w:val="0"/>
      <w:divBdr>
        <w:top w:val="none" w:sz="0" w:space="0" w:color="auto"/>
        <w:left w:val="none" w:sz="0" w:space="0" w:color="auto"/>
        <w:bottom w:val="none" w:sz="0" w:space="0" w:color="auto"/>
        <w:right w:val="none" w:sz="0" w:space="0" w:color="auto"/>
      </w:divBdr>
    </w:div>
    <w:div w:id="989555060">
      <w:bodyDiv w:val="1"/>
      <w:marLeft w:val="0"/>
      <w:marRight w:val="0"/>
      <w:marTop w:val="0"/>
      <w:marBottom w:val="0"/>
      <w:divBdr>
        <w:top w:val="none" w:sz="0" w:space="0" w:color="auto"/>
        <w:left w:val="none" w:sz="0" w:space="0" w:color="auto"/>
        <w:bottom w:val="none" w:sz="0" w:space="0" w:color="auto"/>
        <w:right w:val="none" w:sz="0" w:space="0" w:color="auto"/>
      </w:divBdr>
    </w:div>
    <w:div w:id="1023357244">
      <w:bodyDiv w:val="1"/>
      <w:marLeft w:val="0"/>
      <w:marRight w:val="0"/>
      <w:marTop w:val="0"/>
      <w:marBottom w:val="0"/>
      <w:divBdr>
        <w:top w:val="none" w:sz="0" w:space="0" w:color="auto"/>
        <w:left w:val="none" w:sz="0" w:space="0" w:color="auto"/>
        <w:bottom w:val="none" w:sz="0" w:space="0" w:color="auto"/>
        <w:right w:val="none" w:sz="0" w:space="0" w:color="auto"/>
      </w:divBdr>
    </w:div>
    <w:div w:id="1048265498">
      <w:bodyDiv w:val="1"/>
      <w:marLeft w:val="0"/>
      <w:marRight w:val="0"/>
      <w:marTop w:val="0"/>
      <w:marBottom w:val="0"/>
      <w:divBdr>
        <w:top w:val="none" w:sz="0" w:space="0" w:color="auto"/>
        <w:left w:val="none" w:sz="0" w:space="0" w:color="auto"/>
        <w:bottom w:val="none" w:sz="0" w:space="0" w:color="auto"/>
        <w:right w:val="none" w:sz="0" w:space="0" w:color="auto"/>
      </w:divBdr>
    </w:div>
    <w:div w:id="1064454908">
      <w:bodyDiv w:val="1"/>
      <w:marLeft w:val="0"/>
      <w:marRight w:val="0"/>
      <w:marTop w:val="0"/>
      <w:marBottom w:val="0"/>
      <w:divBdr>
        <w:top w:val="none" w:sz="0" w:space="0" w:color="auto"/>
        <w:left w:val="none" w:sz="0" w:space="0" w:color="auto"/>
        <w:bottom w:val="none" w:sz="0" w:space="0" w:color="auto"/>
        <w:right w:val="none" w:sz="0" w:space="0" w:color="auto"/>
      </w:divBdr>
    </w:div>
    <w:div w:id="1077090603">
      <w:bodyDiv w:val="1"/>
      <w:marLeft w:val="0"/>
      <w:marRight w:val="0"/>
      <w:marTop w:val="0"/>
      <w:marBottom w:val="0"/>
      <w:divBdr>
        <w:top w:val="none" w:sz="0" w:space="0" w:color="auto"/>
        <w:left w:val="none" w:sz="0" w:space="0" w:color="auto"/>
        <w:bottom w:val="none" w:sz="0" w:space="0" w:color="auto"/>
        <w:right w:val="none" w:sz="0" w:space="0" w:color="auto"/>
      </w:divBdr>
    </w:div>
    <w:div w:id="1101218958">
      <w:bodyDiv w:val="1"/>
      <w:marLeft w:val="0"/>
      <w:marRight w:val="0"/>
      <w:marTop w:val="0"/>
      <w:marBottom w:val="0"/>
      <w:divBdr>
        <w:top w:val="none" w:sz="0" w:space="0" w:color="auto"/>
        <w:left w:val="none" w:sz="0" w:space="0" w:color="auto"/>
        <w:bottom w:val="none" w:sz="0" w:space="0" w:color="auto"/>
        <w:right w:val="none" w:sz="0" w:space="0" w:color="auto"/>
      </w:divBdr>
    </w:div>
    <w:div w:id="1104107879">
      <w:bodyDiv w:val="1"/>
      <w:marLeft w:val="0"/>
      <w:marRight w:val="0"/>
      <w:marTop w:val="0"/>
      <w:marBottom w:val="0"/>
      <w:divBdr>
        <w:top w:val="none" w:sz="0" w:space="0" w:color="auto"/>
        <w:left w:val="none" w:sz="0" w:space="0" w:color="auto"/>
        <w:bottom w:val="none" w:sz="0" w:space="0" w:color="auto"/>
        <w:right w:val="none" w:sz="0" w:space="0" w:color="auto"/>
      </w:divBdr>
    </w:div>
    <w:div w:id="1125274606">
      <w:bodyDiv w:val="1"/>
      <w:marLeft w:val="0"/>
      <w:marRight w:val="0"/>
      <w:marTop w:val="0"/>
      <w:marBottom w:val="0"/>
      <w:divBdr>
        <w:top w:val="none" w:sz="0" w:space="0" w:color="auto"/>
        <w:left w:val="none" w:sz="0" w:space="0" w:color="auto"/>
        <w:bottom w:val="none" w:sz="0" w:space="0" w:color="auto"/>
        <w:right w:val="none" w:sz="0" w:space="0" w:color="auto"/>
      </w:divBdr>
    </w:div>
    <w:div w:id="1131168271">
      <w:bodyDiv w:val="1"/>
      <w:marLeft w:val="0"/>
      <w:marRight w:val="0"/>
      <w:marTop w:val="0"/>
      <w:marBottom w:val="0"/>
      <w:divBdr>
        <w:top w:val="none" w:sz="0" w:space="0" w:color="auto"/>
        <w:left w:val="none" w:sz="0" w:space="0" w:color="auto"/>
        <w:bottom w:val="none" w:sz="0" w:space="0" w:color="auto"/>
        <w:right w:val="none" w:sz="0" w:space="0" w:color="auto"/>
      </w:divBdr>
    </w:div>
    <w:div w:id="1227063243">
      <w:bodyDiv w:val="1"/>
      <w:marLeft w:val="0"/>
      <w:marRight w:val="0"/>
      <w:marTop w:val="0"/>
      <w:marBottom w:val="0"/>
      <w:divBdr>
        <w:top w:val="none" w:sz="0" w:space="0" w:color="auto"/>
        <w:left w:val="none" w:sz="0" w:space="0" w:color="auto"/>
        <w:bottom w:val="none" w:sz="0" w:space="0" w:color="auto"/>
        <w:right w:val="none" w:sz="0" w:space="0" w:color="auto"/>
      </w:divBdr>
    </w:div>
    <w:div w:id="1242135916">
      <w:bodyDiv w:val="1"/>
      <w:marLeft w:val="0"/>
      <w:marRight w:val="0"/>
      <w:marTop w:val="0"/>
      <w:marBottom w:val="0"/>
      <w:divBdr>
        <w:top w:val="none" w:sz="0" w:space="0" w:color="auto"/>
        <w:left w:val="none" w:sz="0" w:space="0" w:color="auto"/>
        <w:bottom w:val="none" w:sz="0" w:space="0" w:color="auto"/>
        <w:right w:val="none" w:sz="0" w:space="0" w:color="auto"/>
      </w:divBdr>
    </w:div>
    <w:div w:id="1269579997">
      <w:bodyDiv w:val="1"/>
      <w:marLeft w:val="0"/>
      <w:marRight w:val="0"/>
      <w:marTop w:val="0"/>
      <w:marBottom w:val="0"/>
      <w:divBdr>
        <w:top w:val="none" w:sz="0" w:space="0" w:color="auto"/>
        <w:left w:val="none" w:sz="0" w:space="0" w:color="auto"/>
        <w:bottom w:val="none" w:sz="0" w:space="0" w:color="auto"/>
        <w:right w:val="none" w:sz="0" w:space="0" w:color="auto"/>
      </w:divBdr>
    </w:div>
    <w:div w:id="1313019927">
      <w:bodyDiv w:val="1"/>
      <w:marLeft w:val="0"/>
      <w:marRight w:val="0"/>
      <w:marTop w:val="0"/>
      <w:marBottom w:val="0"/>
      <w:divBdr>
        <w:top w:val="none" w:sz="0" w:space="0" w:color="auto"/>
        <w:left w:val="none" w:sz="0" w:space="0" w:color="auto"/>
        <w:bottom w:val="none" w:sz="0" w:space="0" w:color="auto"/>
        <w:right w:val="none" w:sz="0" w:space="0" w:color="auto"/>
      </w:divBdr>
    </w:div>
    <w:div w:id="1352031886">
      <w:bodyDiv w:val="1"/>
      <w:marLeft w:val="0"/>
      <w:marRight w:val="0"/>
      <w:marTop w:val="0"/>
      <w:marBottom w:val="0"/>
      <w:divBdr>
        <w:top w:val="none" w:sz="0" w:space="0" w:color="auto"/>
        <w:left w:val="none" w:sz="0" w:space="0" w:color="auto"/>
        <w:bottom w:val="none" w:sz="0" w:space="0" w:color="auto"/>
        <w:right w:val="none" w:sz="0" w:space="0" w:color="auto"/>
      </w:divBdr>
    </w:div>
    <w:div w:id="1352492526">
      <w:bodyDiv w:val="1"/>
      <w:marLeft w:val="0"/>
      <w:marRight w:val="0"/>
      <w:marTop w:val="0"/>
      <w:marBottom w:val="0"/>
      <w:divBdr>
        <w:top w:val="none" w:sz="0" w:space="0" w:color="auto"/>
        <w:left w:val="none" w:sz="0" w:space="0" w:color="auto"/>
        <w:bottom w:val="none" w:sz="0" w:space="0" w:color="auto"/>
        <w:right w:val="none" w:sz="0" w:space="0" w:color="auto"/>
      </w:divBdr>
    </w:div>
    <w:div w:id="1379935685">
      <w:bodyDiv w:val="1"/>
      <w:marLeft w:val="0"/>
      <w:marRight w:val="0"/>
      <w:marTop w:val="0"/>
      <w:marBottom w:val="0"/>
      <w:divBdr>
        <w:top w:val="none" w:sz="0" w:space="0" w:color="auto"/>
        <w:left w:val="none" w:sz="0" w:space="0" w:color="auto"/>
        <w:bottom w:val="none" w:sz="0" w:space="0" w:color="auto"/>
        <w:right w:val="none" w:sz="0" w:space="0" w:color="auto"/>
      </w:divBdr>
    </w:div>
    <w:div w:id="1395814708">
      <w:bodyDiv w:val="1"/>
      <w:marLeft w:val="0"/>
      <w:marRight w:val="0"/>
      <w:marTop w:val="0"/>
      <w:marBottom w:val="0"/>
      <w:divBdr>
        <w:top w:val="none" w:sz="0" w:space="0" w:color="auto"/>
        <w:left w:val="none" w:sz="0" w:space="0" w:color="auto"/>
        <w:bottom w:val="none" w:sz="0" w:space="0" w:color="auto"/>
        <w:right w:val="none" w:sz="0" w:space="0" w:color="auto"/>
      </w:divBdr>
    </w:div>
    <w:div w:id="1450855983">
      <w:bodyDiv w:val="1"/>
      <w:marLeft w:val="0"/>
      <w:marRight w:val="0"/>
      <w:marTop w:val="0"/>
      <w:marBottom w:val="0"/>
      <w:divBdr>
        <w:top w:val="none" w:sz="0" w:space="0" w:color="auto"/>
        <w:left w:val="none" w:sz="0" w:space="0" w:color="auto"/>
        <w:bottom w:val="none" w:sz="0" w:space="0" w:color="auto"/>
        <w:right w:val="none" w:sz="0" w:space="0" w:color="auto"/>
      </w:divBdr>
    </w:div>
    <w:div w:id="1453744803">
      <w:bodyDiv w:val="1"/>
      <w:marLeft w:val="0"/>
      <w:marRight w:val="0"/>
      <w:marTop w:val="0"/>
      <w:marBottom w:val="0"/>
      <w:divBdr>
        <w:top w:val="none" w:sz="0" w:space="0" w:color="auto"/>
        <w:left w:val="none" w:sz="0" w:space="0" w:color="auto"/>
        <w:bottom w:val="none" w:sz="0" w:space="0" w:color="auto"/>
        <w:right w:val="none" w:sz="0" w:space="0" w:color="auto"/>
      </w:divBdr>
    </w:div>
    <w:div w:id="1461532296">
      <w:bodyDiv w:val="1"/>
      <w:marLeft w:val="0"/>
      <w:marRight w:val="0"/>
      <w:marTop w:val="0"/>
      <w:marBottom w:val="0"/>
      <w:divBdr>
        <w:top w:val="none" w:sz="0" w:space="0" w:color="auto"/>
        <w:left w:val="none" w:sz="0" w:space="0" w:color="auto"/>
        <w:bottom w:val="none" w:sz="0" w:space="0" w:color="auto"/>
        <w:right w:val="none" w:sz="0" w:space="0" w:color="auto"/>
      </w:divBdr>
    </w:div>
    <w:div w:id="1489009051">
      <w:bodyDiv w:val="1"/>
      <w:marLeft w:val="0"/>
      <w:marRight w:val="0"/>
      <w:marTop w:val="0"/>
      <w:marBottom w:val="0"/>
      <w:divBdr>
        <w:top w:val="none" w:sz="0" w:space="0" w:color="auto"/>
        <w:left w:val="none" w:sz="0" w:space="0" w:color="auto"/>
        <w:bottom w:val="none" w:sz="0" w:space="0" w:color="auto"/>
        <w:right w:val="none" w:sz="0" w:space="0" w:color="auto"/>
      </w:divBdr>
    </w:div>
    <w:div w:id="1507789124">
      <w:bodyDiv w:val="1"/>
      <w:marLeft w:val="0"/>
      <w:marRight w:val="0"/>
      <w:marTop w:val="0"/>
      <w:marBottom w:val="0"/>
      <w:divBdr>
        <w:top w:val="none" w:sz="0" w:space="0" w:color="auto"/>
        <w:left w:val="none" w:sz="0" w:space="0" w:color="auto"/>
        <w:bottom w:val="none" w:sz="0" w:space="0" w:color="auto"/>
        <w:right w:val="none" w:sz="0" w:space="0" w:color="auto"/>
      </w:divBdr>
    </w:div>
    <w:div w:id="1576938689">
      <w:bodyDiv w:val="1"/>
      <w:marLeft w:val="0"/>
      <w:marRight w:val="0"/>
      <w:marTop w:val="0"/>
      <w:marBottom w:val="0"/>
      <w:divBdr>
        <w:top w:val="none" w:sz="0" w:space="0" w:color="auto"/>
        <w:left w:val="none" w:sz="0" w:space="0" w:color="auto"/>
        <w:bottom w:val="none" w:sz="0" w:space="0" w:color="auto"/>
        <w:right w:val="none" w:sz="0" w:space="0" w:color="auto"/>
      </w:divBdr>
    </w:div>
    <w:div w:id="1577129187">
      <w:bodyDiv w:val="1"/>
      <w:marLeft w:val="0"/>
      <w:marRight w:val="0"/>
      <w:marTop w:val="0"/>
      <w:marBottom w:val="0"/>
      <w:divBdr>
        <w:top w:val="none" w:sz="0" w:space="0" w:color="auto"/>
        <w:left w:val="none" w:sz="0" w:space="0" w:color="auto"/>
        <w:bottom w:val="none" w:sz="0" w:space="0" w:color="auto"/>
        <w:right w:val="none" w:sz="0" w:space="0" w:color="auto"/>
      </w:divBdr>
    </w:div>
    <w:div w:id="1581986375">
      <w:bodyDiv w:val="1"/>
      <w:marLeft w:val="0"/>
      <w:marRight w:val="0"/>
      <w:marTop w:val="0"/>
      <w:marBottom w:val="0"/>
      <w:divBdr>
        <w:top w:val="none" w:sz="0" w:space="0" w:color="auto"/>
        <w:left w:val="none" w:sz="0" w:space="0" w:color="auto"/>
        <w:bottom w:val="none" w:sz="0" w:space="0" w:color="auto"/>
        <w:right w:val="none" w:sz="0" w:space="0" w:color="auto"/>
      </w:divBdr>
    </w:div>
    <w:div w:id="1633515161">
      <w:bodyDiv w:val="1"/>
      <w:marLeft w:val="0"/>
      <w:marRight w:val="0"/>
      <w:marTop w:val="0"/>
      <w:marBottom w:val="0"/>
      <w:divBdr>
        <w:top w:val="none" w:sz="0" w:space="0" w:color="auto"/>
        <w:left w:val="none" w:sz="0" w:space="0" w:color="auto"/>
        <w:bottom w:val="none" w:sz="0" w:space="0" w:color="auto"/>
        <w:right w:val="none" w:sz="0" w:space="0" w:color="auto"/>
      </w:divBdr>
    </w:div>
    <w:div w:id="1672293140">
      <w:bodyDiv w:val="1"/>
      <w:marLeft w:val="0"/>
      <w:marRight w:val="0"/>
      <w:marTop w:val="0"/>
      <w:marBottom w:val="0"/>
      <w:divBdr>
        <w:top w:val="none" w:sz="0" w:space="0" w:color="auto"/>
        <w:left w:val="none" w:sz="0" w:space="0" w:color="auto"/>
        <w:bottom w:val="none" w:sz="0" w:space="0" w:color="auto"/>
        <w:right w:val="none" w:sz="0" w:space="0" w:color="auto"/>
      </w:divBdr>
    </w:div>
    <w:div w:id="1678343206">
      <w:bodyDiv w:val="1"/>
      <w:marLeft w:val="0"/>
      <w:marRight w:val="0"/>
      <w:marTop w:val="0"/>
      <w:marBottom w:val="0"/>
      <w:divBdr>
        <w:top w:val="none" w:sz="0" w:space="0" w:color="auto"/>
        <w:left w:val="none" w:sz="0" w:space="0" w:color="auto"/>
        <w:bottom w:val="none" w:sz="0" w:space="0" w:color="auto"/>
        <w:right w:val="none" w:sz="0" w:space="0" w:color="auto"/>
      </w:divBdr>
    </w:div>
    <w:div w:id="1681589535">
      <w:bodyDiv w:val="1"/>
      <w:marLeft w:val="0"/>
      <w:marRight w:val="0"/>
      <w:marTop w:val="0"/>
      <w:marBottom w:val="0"/>
      <w:divBdr>
        <w:top w:val="none" w:sz="0" w:space="0" w:color="auto"/>
        <w:left w:val="none" w:sz="0" w:space="0" w:color="auto"/>
        <w:bottom w:val="none" w:sz="0" w:space="0" w:color="auto"/>
        <w:right w:val="none" w:sz="0" w:space="0" w:color="auto"/>
      </w:divBdr>
    </w:div>
    <w:div w:id="1685207513">
      <w:bodyDiv w:val="1"/>
      <w:marLeft w:val="0"/>
      <w:marRight w:val="0"/>
      <w:marTop w:val="0"/>
      <w:marBottom w:val="0"/>
      <w:divBdr>
        <w:top w:val="none" w:sz="0" w:space="0" w:color="auto"/>
        <w:left w:val="none" w:sz="0" w:space="0" w:color="auto"/>
        <w:bottom w:val="none" w:sz="0" w:space="0" w:color="auto"/>
        <w:right w:val="none" w:sz="0" w:space="0" w:color="auto"/>
      </w:divBdr>
    </w:div>
    <w:div w:id="1704359709">
      <w:bodyDiv w:val="1"/>
      <w:marLeft w:val="0"/>
      <w:marRight w:val="0"/>
      <w:marTop w:val="0"/>
      <w:marBottom w:val="0"/>
      <w:divBdr>
        <w:top w:val="none" w:sz="0" w:space="0" w:color="auto"/>
        <w:left w:val="none" w:sz="0" w:space="0" w:color="auto"/>
        <w:bottom w:val="none" w:sz="0" w:space="0" w:color="auto"/>
        <w:right w:val="none" w:sz="0" w:space="0" w:color="auto"/>
      </w:divBdr>
    </w:div>
    <w:div w:id="1710955355">
      <w:bodyDiv w:val="1"/>
      <w:marLeft w:val="0"/>
      <w:marRight w:val="0"/>
      <w:marTop w:val="0"/>
      <w:marBottom w:val="0"/>
      <w:divBdr>
        <w:top w:val="none" w:sz="0" w:space="0" w:color="auto"/>
        <w:left w:val="none" w:sz="0" w:space="0" w:color="auto"/>
        <w:bottom w:val="none" w:sz="0" w:space="0" w:color="auto"/>
        <w:right w:val="none" w:sz="0" w:space="0" w:color="auto"/>
      </w:divBdr>
    </w:div>
    <w:div w:id="1737195364">
      <w:bodyDiv w:val="1"/>
      <w:marLeft w:val="0"/>
      <w:marRight w:val="0"/>
      <w:marTop w:val="0"/>
      <w:marBottom w:val="0"/>
      <w:divBdr>
        <w:top w:val="none" w:sz="0" w:space="0" w:color="auto"/>
        <w:left w:val="none" w:sz="0" w:space="0" w:color="auto"/>
        <w:bottom w:val="none" w:sz="0" w:space="0" w:color="auto"/>
        <w:right w:val="none" w:sz="0" w:space="0" w:color="auto"/>
      </w:divBdr>
    </w:div>
    <w:div w:id="1760255046">
      <w:bodyDiv w:val="1"/>
      <w:marLeft w:val="0"/>
      <w:marRight w:val="0"/>
      <w:marTop w:val="0"/>
      <w:marBottom w:val="0"/>
      <w:divBdr>
        <w:top w:val="none" w:sz="0" w:space="0" w:color="auto"/>
        <w:left w:val="none" w:sz="0" w:space="0" w:color="auto"/>
        <w:bottom w:val="none" w:sz="0" w:space="0" w:color="auto"/>
        <w:right w:val="none" w:sz="0" w:space="0" w:color="auto"/>
      </w:divBdr>
    </w:div>
    <w:div w:id="1762214623">
      <w:bodyDiv w:val="1"/>
      <w:marLeft w:val="0"/>
      <w:marRight w:val="0"/>
      <w:marTop w:val="0"/>
      <w:marBottom w:val="0"/>
      <w:divBdr>
        <w:top w:val="none" w:sz="0" w:space="0" w:color="auto"/>
        <w:left w:val="none" w:sz="0" w:space="0" w:color="auto"/>
        <w:bottom w:val="none" w:sz="0" w:space="0" w:color="auto"/>
        <w:right w:val="none" w:sz="0" w:space="0" w:color="auto"/>
      </w:divBdr>
    </w:div>
    <w:div w:id="1786534065">
      <w:bodyDiv w:val="1"/>
      <w:marLeft w:val="0"/>
      <w:marRight w:val="0"/>
      <w:marTop w:val="0"/>
      <w:marBottom w:val="0"/>
      <w:divBdr>
        <w:top w:val="none" w:sz="0" w:space="0" w:color="auto"/>
        <w:left w:val="none" w:sz="0" w:space="0" w:color="auto"/>
        <w:bottom w:val="none" w:sz="0" w:space="0" w:color="auto"/>
        <w:right w:val="none" w:sz="0" w:space="0" w:color="auto"/>
      </w:divBdr>
    </w:div>
    <w:div w:id="1789623098">
      <w:bodyDiv w:val="1"/>
      <w:marLeft w:val="0"/>
      <w:marRight w:val="0"/>
      <w:marTop w:val="0"/>
      <w:marBottom w:val="0"/>
      <w:divBdr>
        <w:top w:val="none" w:sz="0" w:space="0" w:color="auto"/>
        <w:left w:val="none" w:sz="0" w:space="0" w:color="auto"/>
        <w:bottom w:val="none" w:sz="0" w:space="0" w:color="auto"/>
        <w:right w:val="none" w:sz="0" w:space="0" w:color="auto"/>
      </w:divBdr>
    </w:div>
    <w:div w:id="1798261166">
      <w:bodyDiv w:val="1"/>
      <w:marLeft w:val="0"/>
      <w:marRight w:val="0"/>
      <w:marTop w:val="0"/>
      <w:marBottom w:val="0"/>
      <w:divBdr>
        <w:top w:val="none" w:sz="0" w:space="0" w:color="auto"/>
        <w:left w:val="none" w:sz="0" w:space="0" w:color="auto"/>
        <w:bottom w:val="none" w:sz="0" w:space="0" w:color="auto"/>
        <w:right w:val="none" w:sz="0" w:space="0" w:color="auto"/>
      </w:divBdr>
    </w:div>
    <w:div w:id="1832016346">
      <w:bodyDiv w:val="1"/>
      <w:marLeft w:val="0"/>
      <w:marRight w:val="0"/>
      <w:marTop w:val="0"/>
      <w:marBottom w:val="0"/>
      <w:divBdr>
        <w:top w:val="none" w:sz="0" w:space="0" w:color="auto"/>
        <w:left w:val="none" w:sz="0" w:space="0" w:color="auto"/>
        <w:bottom w:val="none" w:sz="0" w:space="0" w:color="auto"/>
        <w:right w:val="none" w:sz="0" w:space="0" w:color="auto"/>
      </w:divBdr>
    </w:div>
    <w:div w:id="1833331407">
      <w:bodyDiv w:val="1"/>
      <w:marLeft w:val="0"/>
      <w:marRight w:val="0"/>
      <w:marTop w:val="0"/>
      <w:marBottom w:val="0"/>
      <w:divBdr>
        <w:top w:val="none" w:sz="0" w:space="0" w:color="auto"/>
        <w:left w:val="none" w:sz="0" w:space="0" w:color="auto"/>
        <w:bottom w:val="none" w:sz="0" w:space="0" w:color="auto"/>
        <w:right w:val="none" w:sz="0" w:space="0" w:color="auto"/>
      </w:divBdr>
    </w:div>
    <w:div w:id="1908615275">
      <w:bodyDiv w:val="1"/>
      <w:marLeft w:val="0"/>
      <w:marRight w:val="0"/>
      <w:marTop w:val="0"/>
      <w:marBottom w:val="0"/>
      <w:divBdr>
        <w:top w:val="none" w:sz="0" w:space="0" w:color="auto"/>
        <w:left w:val="none" w:sz="0" w:space="0" w:color="auto"/>
        <w:bottom w:val="none" w:sz="0" w:space="0" w:color="auto"/>
        <w:right w:val="none" w:sz="0" w:space="0" w:color="auto"/>
      </w:divBdr>
    </w:div>
    <w:div w:id="1915436548">
      <w:bodyDiv w:val="1"/>
      <w:marLeft w:val="0"/>
      <w:marRight w:val="0"/>
      <w:marTop w:val="0"/>
      <w:marBottom w:val="0"/>
      <w:divBdr>
        <w:top w:val="none" w:sz="0" w:space="0" w:color="auto"/>
        <w:left w:val="none" w:sz="0" w:space="0" w:color="auto"/>
        <w:bottom w:val="none" w:sz="0" w:space="0" w:color="auto"/>
        <w:right w:val="none" w:sz="0" w:space="0" w:color="auto"/>
      </w:divBdr>
    </w:div>
    <w:div w:id="2002921914">
      <w:bodyDiv w:val="1"/>
      <w:marLeft w:val="0"/>
      <w:marRight w:val="0"/>
      <w:marTop w:val="0"/>
      <w:marBottom w:val="0"/>
      <w:divBdr>
        <w:top w:val="none" w:sz="0" w:space="0" w:color="auto"/>
        <w:left w:val="none" w:sz="0" w:space="0" w:color="auto"/>
        <w:bottom w:val="none" w:sz="0" w:space="0" w:color="auto"/>
        <w:right w:val="none" w:sz="0" w:space="0" w:color="auto"/>
      </w:divBdr>
    </w:div>
    <w:div w:id="2015717396">
      <w:bodyDiv w:val="1"/>
      <w:marLeft w:val="0"/>
      <w:marRight w:val="0"/>
      <w:marTop w:val="0"/>
      <w:marBottom w:val="0"/>
      <w:divBdr>
        <w:top w:val="none" w:sz="0" w:space="0" w:color="auto"/>
        <w:left w:val="none" w:sz="0" w:space="0" w:color="auto"/>
        <w:bottom w:val="none" w:sz="0" w:space="0" w:color="auto"/>
        <w:right w:val="none" w:sz="0" w:space="0" w:color="auto"/>
      </w:divBdr>
    </w:div>
    <w:div w:id="2041005474">
      <w:bodyDiv w:val="1"/>
      <w:marLeft w:val="0"/>
      <w:marRight w:val="0"/>
      <w:marTop w:val="0"/>
      <w:marBottom w:val="0"/>
      <w:divBdr>
        <w:top w:val="none" w:sz="0" w:space="0" w:color="auto"/>
        <w:left w:val="none" w:sz="0" w:space="0" w:color="auto"/>
        <w:bottom w:val="none" w:sz="0" w:space="0" w:color="auto"/>
        <w:right w:val="none" w:sz="0" w:space="0" w:color="auto"/>
      </w:divBdr>
    </w:div>
    <w:div w:id="205711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Cha39</b:Tag>
    <b:SourceType>DocumentFromInternetSite</b:SourceType>
    <b:Guid>{07D36D03-16E4-479A-97E6-A6AD0EF1D3F2}</b:Guid>
    <b:Author>
      <b:Author>
        <b:NameList>
          <b:Person>
            <b:Last>Chamberlain</b:Last>
            <b:First>Neville</b:First>
          </b:Person>
        </b:NameList>
      </b:Author>
    </b:Author>
    <b:Title>The Transcript of Neville Chamberlain's Declaration of war</b:Title>
    <b:Year>1939</b:Year>
    <b:Month>September</b:Month>
    <b:Day>3</b:Day>
    <b:YearAccessed>2022</b:YearAccessed>
    <b:MonthAccessed>May</b:MonthAccessed>
    <b:DayAccessed>30</b:DayAccessed>
    <b:URL>http://romanohistory.pbworks.com/w/file/fetch/73728956/British%20Declare%20War%20on%20Germany.pdf</b:URL>
    <b:RefOrder>1</b:RefOrder>
  </b:Source>
  <b:Source>
    <b:Tag>Roo41</b:Tag>
    <b:SourceType>DocumentFromInternetSite</b:SourceType>
    <b:Guid>{D49D7EAC-3B10-40CC-8CE6-15C905296B09}</b:Guid>
    <b:Author>
      <b:Author>
        <b:NameList>
          <b:Person>
            <b:Last>Roosevlet</b:Last>
            <b:First>Franklin</b:First>
            <b:Middle>D</b:Middle>
          </b:Person>
        </b:NameList>
      </b:Author>
    </b:Author>
    <b:Title>Joint Address to Congress Leading to a Declaration of War Against Japan (1941)</b:Title>
    <b:Year>1941</b:Year>
    <b:Month>December</b:Month>
    <b:Day>8</b:Day>
    <b:YearAccessed>2022</b:YearAccessed>
    <b:MonthAccessed>May</b:MonthAccessed>
    <b:DayAccessed>30</b:DayAccessed>
    <b:URL>https://www.archives.gov/milestone-documents/joint-address-to-congress-declaration-of-war-against-japan#:~:text=On%20December%208%2C%201941%2C%20the,States%20entered%20World%20War%20II.</b:URL>
    <b:RefOrder>2</b:RefOrder>
  </b:Source>
  <b:Source>
    <b:Tag>Goe18</b:Tag>
    <b:SourceType>Book</b:SourceType>
    <b:Guid>{FF9DBD2F-F211-4D10-99FF-FC15AADD649D}</b:Guid>
    <b:Title>Mussolini and Hitler: The Forging of the Fascist Alliance</b:Title>
    <b:Year>2018</b:Year>
    <b:Author>
      <b:Author>
        <b:NameList>
          <b:Person>
            <b:Last>Goeschel</b:Last>
            <b:First>Christian</b:First>
          </b:Person>
        </b:NameList>
      </b:Author>
    </b:Author>
    <b:City>New Haven, London</b:City>
    <b:Publisher>Yale University Press</b:Publisher>
    <b:RefOrder>4</b:RefOrder>
  </b:Source>
  <b:Source>
    <b:Tag>Kim84</b:Tag>
    <b:SourceType>Book</b:SourceType>
    <b:Guid>{F3A88A69-0EBB-45AB-9076-5D627B58E10E}</b:Guid>
    <b:Title>Churchill and Roosevelt, Volume 1: The Complete Correspondence - Three Volumes</b:Title>
    <b:Year>1984</b:Year>
    <b:City>Princeton</b:City>
    <b:Publisher>Princeton University Press</b:Publisher>
    <b:Author>
      <b:Author>
        <b:NameList>
          <b:Person>
            <b:Last>Kimball</b:Last>
            <b:First>Warren</b:First>
            <b:Middle>F</b:Middle>
          </b:Person>
        </b:NameList>
      </b:Author>
    </b:Author>
    <b:RefOrder>5</b:RefOrder>
  </b:Source>
  <b:Source>
    <b:Tag>Jon84</b:Tag>
    <b:SourceType>Book</b:SourceType>
    <b:Guid>{F9AB4A11-89DF-4C70-BB09-ACEBFFED2F6F}</b:Guid>
    <b:Author>
      <b:Author>
        <b:NameList>
          <b:Person>
            <b:Last>Jonas</b:Last>
            <b:First>Manfred</b:First>
          </b:Person>
        </b:NameList>
      </b:Author>
    </b:Author>
    <b:Title>The United States and Germany: A Diplomatic History</b:Title>
    <b:Year>1984</b:Year>
    <b:Publisher>Cornell University Press</b:Publisher>
    <b:RefOrder>3</b:RefOrder>
  </b:Source>
  <b:Source>
    <b:Tag>Arc22</b:Tag>
    <b:SourceType>InternetSite</b:SourceType>
    <b:Guid>{0C851AD6-D925-48FA-A944-7AE5D944D1B3}</b:Guid>
    <b:Title>Lend-Lease Act (1941)</b:Title>
    <b:Year>2022</b:Year>
    <b:Author>
      <b:Author>
        <b:NameList>
          <b:Person>
            <b:Last>Archives</b:Last>
            <b:First>National</b:First>
          </b:Person>
        </b:NameList>
      </b:Author>
    </b:Author>
    <b:YearAccessed>2022</b:YearAccessed>
    <b:MonthAccessed>May</b:MonthAccessed>
    <b:DayAccessed>31</b:DayAccessed>
    <b:URL>https://www.archives.gov/milestone-documents/lend-lease-act</b:URL>
    <b:RefOrder>6</b:RefOrder>
  </b:Source>
  <b:Source>
    <b:Tag>Wei94</b:Tag>
    <b:SourceType>Book</b:SourceType>
    <b:Guid>{3027CFFE-AE19-41C5-8F3E-51A71105EB38}</b:Guid>
    <b:Title>A World At Arms: A Global History of World War II</b:Title>
    <b:Year>1994</b:Year>
    <b:Author>
      <b:Author>
        <b:NameList>
          <b:Person>
            <b:Last>Weinberg</b:Last>
            <b:First>Gerhard</b:First>
            <b:Middle>L</b:Middle>
          </b:Person>
        </b:NameList>
      </b:Author>
    </b:Author>
    <b:City>Cambridge</b:City>
    <b:Publisher>Carmbridge University Press</b:Publisher>
    <b:RefOrder>7</b:RefOrder>
  </b:Source>
  <b:Source>
    <b:Tag>Cro17</b:Tag>
    <b:SourceType>Book</b:SourceType>
    <b:Guid>{B817B8B6-B0B7-48E1-AF7D-151918932A4D}</b:Guid>
    <b:Author>
      <b:Author>
        <b:NameList>
          <b:Person>
            <b:Last>Crowler</b:Last>
            <b:First>Mark</b:First>
            <b:Middle>J</b:Middle>
          </b:Person>
          <b:Person>
            <b:Last>Dawson</b:Last>
            <b:First>Sandra</b:First>
            <b:Middle>Trudgen</b:Middle>
          </b:Person>
        </b:NameList>
      </b:Author>
    </b:Author>
    <b:Title>Home Fronts - Britain and the Empire at War, 1939-45</b:Title>
    <b:Year>2017</b:Year>
    <b:City>Woodbridge</b:City>
    <b:Publisher>Boydell &amp; Brewer; Boydell Press</b:Publisher>
    <b:RefOrder>8</b:RefOrder>
  </b:Source>
</b:Sources>
</file>

<file path=customXml/itemProps1.xml><?xml version="1.0" encoding="utf-8"?>
<ds:datastoreItem xmlns:ds="http://schemas.openxmlformats.org/officeDocument/2006/customXml" ds:itemID="{BEE4D109-81E7-4FBD-A8E0-7B7C2CE79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7110</TotalTime>
  <Pages>4</Pages>
  <Words>2457</Words>
  <Characters>14010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Naome Wrightson (1907790)</dc:creator>
  <cp:keywords/>
  <dc:description/>
  <cp:lastModifiedBy>Naome Wrightson (1907790)</cp:lastModifiedBy>
  <cp:revision>28</cp:revision>
  <dcterms:created xsi:type="dcterms:W3CDTF">2022-05-27T12:07:00Z</dcterms:created>
  <dcterms:modified xsi:type="dcterms:W3CDTF">2022-06-01T13:38:00Z</dcterms:modified>
</cp:coreProperties>
</file>