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537FD" w14:textId="77777777" w:rsidR="00834FC7" w:rsidRPr="00150EFD" w:rsidRDefault="00834FC7" w:rsidP="00834FC7">
      <w:pPr>
        <w:spacing w:line="360" w:lineRule="auto"/>
        <w:jc w:val="center"/>
        <w:rPr>
          <w:b/>
          <w:bCs/>
          <w:sz w:val="32"/>
          <w:szCs w:val="32"/>
        </w:rPr>
      </w:pPr>
    </w:p>
    <w:p w14:paraId="08F19551" w14:textId="77777777" w:rsidR="00834FC7" w:rsidRPr="00150EFD" w:rsidRDefault="00834FC7" w:rsidP="00834FC7">
      <w:pPr>
        <w:spacing w:line="360" w:lineRule="auto"/>
        <w:jc w:val="center"/>
        <w:rPr>
          <w:b/>
          <w:bCs/>
          <w:sz w:val="28"/>
          <w:szCs w:val="28"/>
        </w:rPr>
      </w:pPr>
    </w:p>
    <w:p w14:paraId="36FA04F1" w14:textId="77777777" w:rsidR="00834FC7" w:rsidRPr="003B2BCD" w:rsidRDefault="00834FC7" w:rsidP="00834FC7">
      <w:pPr>
        <w:spacing w:line="360" w:lineRule="auto"/>
        <w:jc w:val="center"/>
        <w:rPr>
          <w:b/>
          <w:bCs/>
          <w:sz w:val="28"/>
          <w:szCs w:val="28"/>
        </w:rPr>
      </w:pPr>
      <w:r w:rsidRPr="003B2BCD">
        <w:rPr>
          <w:b/>
          <w:bCs/>
          <w:sz w:val="28"/>
          <w:szCs w:val="28"/>
        </w:rPr>
        <w:t>Component 2: Written Assignment (Report)</w:t>
      </w:r>
    </w:p>
    <w:p w14:paraId="309C5F97" w14:textId="77777777" w:rsidR="00834FC7" w:rsidRPr="003B2BCD" w:rsidRDefault="00834FC7" w:rsidP="00834FC7">
      <w:pPr>
        <w:spacing w:line="360" w:lineRule="auto"/>
        <w:jc w:val="center"/>
        <w:rPr>
          <w:b/>
          <w:bCs/>
          <w:sz w:val="28"/>
          <w:szCs w:val="28"/>
        </w:rPr>
      </w:pPr>
    </w:p>
    <w:p w14:paraId="7A0BF154" w14:textId="77777777" w:rsidR="00834FC7" w:rsidRPr="003B2BCD" w:rsidRDefault="00834FC7" w:rsidP="00834FC7">
      <w:pPr>
        <w:spacing w:line="360" w:lineRule="auto"/>
        <w:jc w:val="center"/>
        <w:rPr>
          <w:b/>
          <w:bCs/>
          <w:sz w:val="28"/>
          <w:szCs w:val="28"/>
        </w:rPr>
      </w:pPr>
      <w:r w:rsidRPr="003B2BCD">
        <w:rPr>
          <w:b/>
          <w:bCs/>
          <w:sz w:val="28"/>
          <w:szCs w:val="28"/>
        </w:rPr>
        <w:t>A Critical Analysis of Global, National and Local Policies Supporting SDG 3 (Good Health and Wellbeing) and SDG 4 (Quality Education)</w:t>
      </w:r>
    </w:p>
    <w:p w14:paraId="37361CAD" w14:textId="77777777" w:rsidR="00834FC7" w:rsidRPr="003B2BCD" w:rsidRDefault="00834FC7" w:rsidP="00834FC7">
      <w:pPr>
        <w:jc w:val="center"/>
        <w:rPr>
          <w:b/>
          <w:bCs/>
          <w:sz w:val="28"/>
          <w:szCs w:val="28"/>
        </w:rPr>
      </w:pPr>
    </w:p>
    <w:p w14:paraId="0B8925EE" w14:textId="77777777" w:rsidR="006C3805" w:rsidRPr="00305983" w:rsidRDefault="00834FC7" w:rsidP="006C3805">
      <w:pPr>
        <w:jc w:val="center"/>
        <w:rPr>
          <w:b/>
          <w:bCs/>
          <w:sz w:val="28"/>
          <w:szCs w:val="28"/>
          <w:lang w:val="nl-NL"/>
        </w:rPr>
      </w:pPr>
      <w:r w:rsidRPr="00305983">
        <w:rPr>
          <w:b/>
          <w:bCs/>
          <w:sz w:val="28"/>
          <w:szCs w:val="28"/>
          <w:lang w:val="nl-NL"/>
        </w:rPr>
        <w:t>Student Name: Salma Bibi</w:t>
      </w:r>
    </w:p>
    <w:p w14:paraId="68256E7D" w14:textId="1BC26428" w:rsidR="00834FC7" w:rsidRPr="00305983" w:rsidRDefault="00834FC7" w:rsidP="006C3805">
      <w:pPr>
        <w:jc w:val="center"/>
        <w:rPr>
          <w:b/>
          <w:bCs/>
          <w:sz w:val="28"/>
          <w:szCs w:val="28"/>
          <w:lang w:val="nl-NL"/>
        </w:rPr>
      </w:pPr>
      <w:r w:rsidRPr="00305983">
        <w:rPr>
          <w:b/>
          <w:bCs/>
          <w:sz w:val="28"/>
          <w:szCs w:val="28"/>
          <w:lang w:val="nl-NL"/>
        </w:rPr>
        <w:t>Student ID: 2315819</w:t>
      </w:r>
    </w:p>
    <w:p w14:paraId="252F6005" w14:textId="77777777" w:rsidR="006C3805" w:rsidRPr="003B2BCD" w:rsidRDefault="00834FC7" w:rsidP="006C3805">
      <w:pPr>
        <w:spacing w:line="360" w:lineRule="auto"/>
        <w:jc w:val="center"/>
        <w:rPr>
          <w:b/>
          <w:bCs/>
          <w:sz w:val="28"/>
          <w:szCs w:val="28"/>
        </w:rPr>
      </w:pPr>
      <w:r w:rsidRPr="003B2BCD">
        <w:rPr>
          <w:b/>
          <w:bCs/>
          <w:sz w:val="28"/>
          <w:szCs w:val="28"/>
        </w:rPr>
        <w:t>BMHP6030 - Health, Wellbeing and Sustainable Development</w:t>
      </w:r>
    </w:p>
    <w:p w14:paraId="0DAC6B31" w14:textId="1483F3DF" w:rsidR="00833E2E" w:rsidRPr="003B2BCD" w:rsidRDefault="008816C9" w:rsidP="006C3805">
      <w:pPr>
        <w:spacing w:line="360" w:lineRule="auto"/>
        <w:jc w:val="center"/>
        <w:rPr>
          <w:b/>
          <w:bCs/>
          <w:sz w:val="28"/>
          <w:szCs w:val="28"/>
        </w:rPr>
      </w:pPr>
      <w:r w:rsidRPr="003B2BCD">
        <w:rPr>
          <w:b/>
          <w:bCs/>
          <w:sz w:val="28"/>
          <w:szCs w:val="28"/>
        </w:rPr>
        <w:t>lecturer name: Philip Jones</w:t>
      </w:r>
    </w:p>
    <w:p w14:paraId="00AFFC47" w14:textId="77777777" w:rsidR="004B58E7" w:rsidRPr="003B2BCD" w:rsidRDefault="004B58E7" w:rsidP="00331887">
      <w:pPr>
        <w:spacing w:line="360" w:lineRule="auto"/>
        <w:rPr>
          <w:b/>
          <w:bCs/>
          <w:szCs w:val="22"/>
        </w:rPr>
      </w:pPr>
    </w:p>
    <w:p w14:paraId="61E04054" w14:textId="77777777" w:rsidR="004B58E7" w:rsidRPr="003B2BCD" w:rsidRDefault="004B58E7" w:rsidP="00331887">
      <w:pPr>
        <w:spacing w:line="360" w:lineRule="auto"/>
        <w:rPr>
          <w:b/>
          <w:bCs/>
          <w:szCs w:val="22"/>
        </w:rPr>
      </w:pPr>
    </w:p>
    <w:p w14:paraId="645B4CEF" w14:textId="77777777" w:rsidR="004B58E7" w:rsidRPr="003B2BCD" w:rsidRDefault="004B58E7" w:rsidP="00331887">
      <w:pPr>
        <w:spacing w:line="360" w:lineRule="auto"/>
        <w:rPr>
          <w:b/>
          <w:bCs/>
          <w:szCs w:val="22"/>
        </w:rPr>
      </w:pPr>
    </w:p>
    <w:p w14:paraId="1D282A6E" w14:textId="77777777" w:rsidR="004B58E7" w:rsidRPr="003B2BCD" w:rsidRDefault="004B58E7" w:rsidP="00331887">
      <w:pPr>
        <w:spacing w:line="360" w:lineRule="auto"/>
        <w:rPr>
          <w:b/>
          <w:bCs/>
          <w:szCs w:val="22"/>
        </w:rPr>
      </w:pPr>
    </w:p>
    <w:p w14:paraId="2E44C471" w14:textId="77777777" w:rsidR="004B58E7" w:rsidRPr="003B2BCD" w:rsidRDefault="004B58E7" w:rsidP="00331887">
      <w:pPr>
        <w:spacing w:line="360" w:lineRule="auto"/>
        <w:rPr>
          <w:b/>
          <w:bCs/>
          <w:szCs w:val="22"/>
        </w:rPr>
      </w:pPr>
    </w:p>
    <w:p w14:paraId="354B8989" w14:textId="77777777" w:rsidR="004B58E7" w:rsidRPr="003B2BCD" w:rsidRDefault="004B58E7" w:rsidP="00331887">
      <w:pPr>
        <w:spacing w:line="360" w:lineRule="auto"/>
        <w:rPr>
          <w:b/>
          <w:bCs/>
          <w:szCs w:val="22"/>
        </w:rPr>
      </w:pPr>
    </w:p>
    <w:p w14:paraId="3D3DCA6E" w14:textId="77777777" w:rsidR="004B58E7" w:rsidRPr="003B2BCD" w:rsidRDefault="004B58E7" w:rsidP="00331887">
      <w:pPr>
        <w:spacing w:line="360" w:lineRule="auto"/>
        <w:rPr>
          <w:b/>
          <w:bCs/>
          <w:szCs w:val="22"/>
        </w:rPr>
      </w:pPr>
    </w:p>
    <w:p w14:paraId="3B336CD5" w14:textId="77777777" w:rsidR="004B58E7" w:rsidRPr="003B2BCD" w:rsidRDefault="004B58E7" w:rsidP="00331887">
      <w:pPr>
        <w:spacing w:line="360" w:lineRule="auto"/>
        <w:rPr>
          <w:b/>
          <w:bCs/>
          <w:szCs w:val="22"/>
        </w:rPr>
      </w:pPr>
    </w:p>
    <w:p w14:paraId="2481E0BA" w14:textId="77777777" w:rsidR="004B58E7" w:rsidRPr="003B2BCD" w:rsidRDefault="004B58E7" w:rsidP="00331887">
      <w:pPr>
        <w:spacing w:line="360" w:lineRule="auto"/>
        <w:rPr>
          <w:b/>
          <w:bCs/>
          <w:szCs w:val="22"/>
        </w:rPr>
      </w:pPr>
    </w:p>
    <w:p w14:paraId="1FAA1514" w14:textId="77777777" w:rsidR="004B58E7" w:rsidRPr="003B2BCD" w:rsidRDefault="004B58E7" w:rsidP="00331887">
      <w:pPr>
        <w:spacing w:line="360" w:lineRule="auto"/>
        <w:rPr>
          <w:b/>
          <w:bCs/>
          <w:szCs w:val="22"/>
        </w:rPr>
      </w:pPr>
    </w:p>
    <w:sdt>
      <w:sdtPr>
        <w:rPr>
          <w:rFonts w:asciiTheme="minorBidi" w:eastAsiaTheme="minorHAnsi" w:hAnsiTheme="minorBidi" w:cstheme="minorBidi"/>
          <w:color w:val="auto"/>
          <w:sz w:val="22"/>
          <w:szCs w:val="22"/>
          <w:lang w:val="en-GB"/>
          <w14:ligatures w14:val="standardContextual"/>
        </w:rPr>
        <w:id w:val="1363860499"/>
        <w:docPartObj>
          <w:docPartGallery w:val="Table of Contents"/>
          <w:docPartUnique/>
        </w:docPartObj>
      </w:sdtPr>
      <w:sdtEndPr>
        <w:rPr>
          <w:b/>
          <w:bCs/>
          <w:noProof/>
        </w:rPr>
      </w:sdtEndPr>
      <w:sdtContent>
        <w:p w14:paraId="207779F2" w14:textId="469DA3E5" w:rsidR="004B58E7" w:rsidRPr="003B2BCD" w:rsidRDefault="004B58E7" w:rsidP="00DD48DA">
          <w:pPr>
            <w:pStyle w:val="TOCHeading"/>
            <w:spacing w:line="360" w:lineRule="auto"/>
            <w:jc w:val="center"/>
            <w:rPr>
              <w:rFonts w:asciiTheme="minorBidi" w:hAnsiTheme="minorBidi" w:cstheme="minorBidi"/>
              <w:b/>
              <w:bCs/>
              <w:color w:val="auto"/>
              <w:sz w:val="22"/>
              <w:szCs w:val="22"/>
              <w:lang w:val="en-GB"/>
            </w:rPr>
          </w:pPr>
          <w:r w:rsidRPr="003B2BCD">
            <w:rPr>
              <w:rFonts w:asciiTheme="minorBidi" w:hAnsiTheme="minorBidi" w:cstheme="minorBidi"/>
              <w:b/>
              <w:bCs/>
              <w:color w:val="auto"/>
              <w:sz w:val="22"/>
              <w:szCs w:val="22"/>
              <w:lang w:val="en-GB"/>
            </w:rPr>
            <w:t>Contents</w:t>
          </w:r>
        </w:p>
        <w:p w14:paraId="12267332" w14:textId="7C5A2A75" w:rsidR="004B58E7" w:rsidRPr="003B2BCD" w:rsidRDefault="004B58E7" w:rsidP="00331887">
          <w:pPr>
            <w:pStyle w:val="TOC1"/>
            <w:tabs>
              <w:tab w:val="left" w:pos="480"/>
              <w:tab w:val="right" w:leader="dot" w:pos="9350"/>
            </w:tabs>
            <w:spacing w:line="360" w:lineRule="auto"/>
            <w:rPr>
              <w:b/>
              <w:bCs/>
              <w:noProof/>
              <w:szCs w:val="22"/>
            </w:rPr>
          </w:pPr>
          <w:r w:rsidRPr="003B2BCD">
            <w:rPr>
              <w:b/>
              <w:bCs/>
              <w:szCs w:val="22"/>
            </w:rPr>
            <w:fldChar w:fldCharType="begin"/>
          </w:r>
          <w:r w:rsidRPr="003B2BCD">
            <w:rPr>
              <w:b/>
              <w:bCs/>
              <w:szCs w:val="22"/>
            </w:rPr>
            <w:instrText xml:space="preserve"> TOC \o "1-3" \h \z \u </w:instrText>
          </w:r>
          <w:r w:rsidRPr="003B2BCD">
            <w:rPr>
              <w:b/>
              <w:bCs/>
              <w:szCs w:val="22"/>
            </w:rPr>
            <w:fldChar w:fldCharType="separate"/>
          </w:r>
          <w:hyperlink w:anchor="_Toc233937831" w:history="1">
            <w:r w:rsidRPr="003B2BCD">
              <w:rPr>
                <w:rStyle w:val="Hyperlink"/>
                <w:b/>
                <w:bCs/>
                <w:noProof/>
                <w:szCs w:val="22"/>
              </w:rPr>
              <w:t>1.</w:t>
            </w:r>
            <w:r w:rsidRPr="003B2BCD">
              <w:rPr>
                <w:b/>
                <w:bCs/>
                <w:noProof/>
                <w:szCs w:val="22"/>
              </w:rPr>
              <w:tab/>
            </w:r>
            <w:r w:rsidRPr="003B2BCD">
              <w:rPr>
                <w:rStyle w:val="Hyperlink"/>
                <w:b/>
                <w:bCs/>
                <w:noProof/>
                <w:szCs w:val="22"/>
              </w:rPr>
              <w:t>Introduction</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_Toc233937831 \h </w:instrText>
            </w:r>
            <w:r w:rsidRPr="003B2BCD">
              <w:rPr>
                <w:b/>
                <w:bCs/>
                <w:noProof/>
                <w:webHidden/>
                <w:szCs w:val="22"/>
              </w:rPr>
            </w:r>
            <w:r w:rsidRPr="003B2BCD">
              <w:rPr>
                <w:b/>
                <w:bCs/>
                <w:noProof/>
                <w:webHidden/>
                <w:szCs w:val="22"/>
              </w:rPr>
              <w:fldChar w:fldCharType="separate"/>
            </w:r>
            <w:r w:rsidR="0004253E">
              <w:rPr>
                <w:b/>
                <w:bCs/>
                <w:noProof/>
                <w:webHidden/>
                <w:szCs w:val="22"/>
              </w:rPr>
              <w:t>3</w:t>
            </w:r>
            <w:r w:rsidRPr="003B2BCD">
              <w:rPr>
                <w:b/>
                <w:bCs/>
                <w:noProof/>
                <w:webHidden/>
                <w:szCs w:val="22"/>
              </w:rPr>
              <w:fldChar w:fldCharType="end"/>
            </w:r>
          </w:hyperlink>
        </w:p>
        <w:p w14:paraId="681E07A0" w14:textId="47557955" w:rsidR="004B58E7" w:rsidRPr="003B2BCD" w:rsidRDefault="004B58E7" w:rsidP="00331887">
          <w:pPr>
            <w:pStyle w:val="TOC1"/>
            <w:tabs>
              <w:tab w:val="left" w:pos="480"/>
              <w:tab w:val="right" w:leader="dot" w:pos="9350"/>
            </w:tabs>
            <w:spacing w:line="360" w:lineRule="auto"/>
            <w:rPr>
              <w:b/>
              <w:bCs/>
              <w:noProof/>
              <w:szCs w:val="22"/>
            </w:rPr>
          </w:pPr>
          <w:hyperlink w:anchor="_Toc233937832" w:history="1">
            <w:r w:rsidRPr="003B2BCD">
              <w:rPr>
                <w:rStyle w:val="Hyperlink"/>
                <w:b/>
                <w:bCs/>
                <w:noProof/>
                <w:szCs w:val="22"/>
              </w:rPr>
              <w:t>2.</w:t>
            </w:r>
            <w:r w:rsidRPr="003B2BCD">
              <w:rPr>
                <w:b/>
                <w:bCs/>
                <w:noProof/>
                <w:szCs w:val="22"/>
              </w:rPr>
              <w:tab/>
            </w:r>
            <w:r w:rsidRPr="003B2BCD">
              <w:rPr>
                <w:rStyle w:val="Hyperlink"/>
                <w:b/>
                <w:bCs/>
                <w:noProof/>
                <w:szCs w:val="22"/>
              </w:rPr>
              <w:t>Section 1: SDG 3 - Good Health and Wellbeing</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_Toc233937832 \h </w:instrText>
            </w:r>
            <w:r w:rsidRPr="003B2BCD">
              <w:rPr>
                <w:b/>
                <w:bCs/>
                <w:noProof/>
                <w:webHidden/>
                <w:szCs w:val="22"/>
              </w:rPr>
            </w:r>
            <w:r w:rsidRPr="003B2BCD">
              <w:rPr>
                <w:b/>
                <w:bCs/>
                <w:noProof/>
                <w:webHidden/>
                <w:szCs w:val="22"/>
              </w:rPr>
              <w:fldChar w:fldCharType="separate"/>
            </w:r>
            <w:r w:rsidR="0004253E">
              <w:rPr>
                <w:b/>
                <w:bCs/>
                <w:noProof/>
                <w:webHidden/>
                <w:szCs w:val="22"/>
              </w:rPr>
              <w:t>3</w:t>
            </w:r>
            <w:r w:rsidRPr="003B2BCD">
              <w:rPr>
                <w:b/>
                <w:bCs/>
                <w:noProof/>
                <w:webHidden/>
                <w:szCs w:val="22"/>
              </w:rPr>
              <w:fldChar w:fldCharType="end"/>
            </w:r>
          </w:hyperlink>
        </w:p>
        <w:p w14:paraId="63176362" w14:textId="7516B6F2" w:rsidR="004B58E7" w:rsidRPr="003B2BCD" w:rsidRDefault="004B58E7" w:rsidP="00331887">
          <w:pPr>
            <w:pStyle w:val="TOC2"/>
            <w:tabs>
              <w:tab w:val="left" w:pos="960"/>
              <w:tab w:val="right" w:leader="dot" w:pos="9350"/>
            </w:tabs>
            <w:spacing w:line="360" w:lineRule="auto"/>
            <w:rPr>
              <w:b/>
              <w:bCs/>
              <w:noProof/>
              <w:szCs w:val="22"/>
            </w:rPr>
          </w:pPr>
          <w:hyperlink w:anchor="_Toc233937833" w:history="1">
            <w:r w:rsidRPr="003B2BCD">
              <w:rPr>
                <w:rStyle w:val="Hyperlink"/>
                <w:b/>
                <w:bCs/>
                <w:noProof/>
                <w:szCs w:val="22"/>
              </w:rPr>
              <w:t>2.1.</w:t>
            </w:r>
            <w:r w:rsidRPr="003B2BCD">
              <w:rPr>
                <w:b/>
                <w:bCs/>
                <w:noProof/>
                <w:szCs w:val="22"/>
              </w:rPr>
              <w:tab/>
            </w:r>
            <w:r w:rsidRPr="003B2BCD">
              <w:rPr>
                <w:rStyle w:val="Hyperlink"/>
                <w:b/>
                <w:bCs/>
                <w:noProof/>
                <w:szCs w:val="22"/>
              </w:rPr>
              <w:t>Overview of SDG 3</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_Toc233937833 \h </w:instrText>
            </w:r>
            <w:r w:rsidRPr="003B2BCD">
              <w:rPr>
                <w:b/>
                <w:bCs/>
                <w:noProof/>
                <w:webHidden/>
                <w:szCs w:val="22"/>
              </w:rPr>
            </w:r>
            <w:r w:rsidRPr="003B2BCD">
              <w:rPr>
                <w:b/>
                <w:bCs/>
                <w:noProof/>
                <w:webHidden/>
                <w:szCs w:val="22"/>
              </w:rPr>
              <w:fldChar w:fldCharType="separate"/>
            </w:r>
            <w:r w:rsidR="0004253E">
              <w:rPr>
                <w:b/>
                <w:bCs/>
                <w:noProof/>
                <w:webHidden/>
                <w:szCs w:val="22"/>
              </w:rPr>
              <w:t>3</w:t>
            </w:r>
            <w:r w:rsidRPr="003B2BCD">
              <w:rPr>
                <w:b/>
                <w:bCs/>
                <w:noProof/>
                <w:webHidden/>
                <w:szCs w:val="22"/>
              </w:rPr>
              <w:fldChar w:fldCharType="end"/>
            </w:r>
          </w:hyperlink>
        </w:p>
        <w:p w14:paraId="134C93C6" w14:textId="63ADDC32" w:rsidR="004B58E7" w:rsidRPr="003B2BCD" w:rsidRDefault="004B58E7" w:rsidP="00331887">
          <w:pPr>
            <w:pStyle w:val="TOC2"/>
            <w:tabs>
              <w:tab w:val="left" w:pos="960"/>
              <w:tab w:val="right" w:leader="dot" w:pos="9350"/>
            </w:tabs>
            <w:spacing w:line="360" w:lineRule="auto"/>
            <w:rPr>
              <w:b/>
              <w:bCs/>
              <w:noProof/>
              <w:szCs w:val="22"/>
            </w:rPr>
          </w:pPr>
          <w:hyperlink w:anchor="_Toc233937834" w:history="1">
            <w:r w:rsidRPr="003B2BCD">
              <w:rPr>
                <w:rStyle w:val="Hyperlink"/>
                <w:b/>
                <w:bCs/>
                <w:noProof/>
                <w:szCs w:val="22"/>
              </w:rPr>
              <w:t>2.2.</w:t>
            </w:r>
            <w:r w:rsidRPr="003B2BCD">
              <w:rPr>
                <w:b/>
                <w:bCs/>
                <w:noProof/>
                <w:szCs w:val="22"/>
              </w:rPr>
              <w:tab/>
            </w:r>
            <w:r w:rsidRPr="003B2BCD">
              <w:rPr>
                <w:rStyle w:val="Hyperlink"/>
                <w:b/>
                <w:bCs/>
                <w:noProof/>
                <w:szCs w:val="22"/>
              </w:rPr>
              <w:t>Global Policies</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_Toc233937834 \h </w:instrText>
            </w:r>
            <w:r w:rsidRPr="003B2BCD">
              <w:rPr>
                <w:b/>
                <w:bCs/>
                <w:noProof/>
                <w:webHidden/>
                <w:szCs w:val="22"/>
              </w:rPr>
            </w:r>
            <w:r w:rsidRPr="003B2BCD">
              <w:rPr>
                <w:b/>
                <w:bCs/>
                <w:noProof/>
                <w:webHidden/>
                <w:szCs w:val="22"/>
              </w:rPr>
              <w:fldChar w:fldCharType="separate"/>
            </w:r>
            <w:r w:rsidR="0004253E">
              <w:rPr>
                <w:b/>
                <w:bCs/>
                <w:noProof/>
                <w:webHidden/>
                <w:szCs w:val="22"/>
              </w:rPr>
              <w:t>4</w:t>
            </w:r>
            <w:r w:rsidRPr="003B2BCD">
              <w:rPr>
                <w:b/>
                <w:bCs/>
                <w:noProof/>
                <w:webHidden/>
                <w:szCs w:val="22"/>
              </w:rPr>
              <w:fldChar w:fldCharType="end"/>
            </w:r>
          </w:hyperlink>
        </w:p>
        <w:p w14:paraId="7BCDDF5A" w14:textId="68AE6A54" w:rsidR="004B58E7" w:rsidRPr="003B2BCD" w:rsidRDefault="004B58E7" w:rsidP="00331887">
          <w:pPr>
            <w:pStyle w:val="TOC2"/>
            <w:tabs>
              <w:tab w:val="left" w:pos="960"/>
              <w:tab w:val="right" w:leader="dot" w:pos="9350"/>
            </w:tabs>
            <w:spacing w:line="360" w:lineRule="auto"/>
            <w:rPr>
              <w:b/>
              <w:bCs/>
              <w:noProof/>
              <w:szCs w:val="22"/>
            </w:rPr>
          </w:pPr>
          <w:hyperlink w:anchor="_Toc233937835" w:history="1">
            <w:r w:rsidRPr="003B2BCD">
              <w:rPr>
                <w:rStyle w:val="Hyperlink"/>
                <w:b/>
                <w:bCs/>
                <w:noProof/>
                <w:szCs w:val="22"/>
              </w:rPr>
              <w:t>2.3.</w:t>
            </w:r>
            <w:r w:rsidRPr="003B2BCD">
              <w:rPr>
                <w:b/>
                <w:bCs/>
                <w:noProof/>
                <w:szCs w:val="22"/>
              </w:rPr>
              <w:tab/>
            </w:r>
            <w:r w:rsidRPr="003B2BCD">
              <w:rPr>
                <w:rStyle w:val="Hyperlink"/>
                <w:b/>
                <w:bCs/>
                <w:noProof/>
                <w:szCs w:val="22"/>
              </w:rPr>
              <w:t>UK National Policies</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_Toc233937835 \h </w:instrText>
            </w:r>
            <w:r w:rsidRPr="003B2BCD">
              <w:rPr>
                <w:b/>
                <w:bCs/>
                <w:noProof/>
                <w:webHidden/>
                <w:szCs w:val="22"/>
              </w:rPr>
            </w:r>
            <w:r w:rsidRPr="003B2BCD">
              <w:rPr>
                <w:b/>
                <w:bCs/>
                <w:noProof/>
                <w:webHidden/>
                <w:szCs w:val="22"/>
              </w:rPr>
              <w:fldChar w:fldCharType="separate"/>
            </w:r>
            <w:r w:rsidR="0004253E">
              <w:rPr>
                <w:b/>
                <w:bCs/>
                <w:noProof/>
                <w:webHidden/>
                <w:szCs w:val="22"/>
              </w:rPr>
              <w:t>5</w:t>
            </w:r>
            <w:r w:rsidRPr="003B2BCD">
              <w:rPr>
                <w:b/>
                <w:bCs/>
                <w:noProof/>
                <w:webHidden/>
                <w:szCs w:val="22"/>
              </w:rPr>
              <w:fldChar w:fldCharType="end"/>
            </w:r>
          </w:hyperlink>
        </w:p>
        <w:p w14:paraId="23FE8A64" w14:textId="58604C30" w:rsidR="004B58E7" w:rsidRPr="003B2BCD" w:rsidRDefault="004B58E7" w:rsidP="00331887">
          <w:pPr>
            <w:pStyle w:val="TOC2"/>
            <w:tabs>
              <w:tab w:val="left" w:pos="960"/>
              <w:tab w:val="right" w:leader="dot" w:pos="9350"/>
            </w:tabs>
            <w:spacing w:line="360" w:lineRule="auto"/>
            <w:rPr>
              <w:b/>
              <w:bCs/>
              <w:noProof/>
              <w:szCs w:val="22"/>
            </w:rPr>
          </w:pPr>
          <w:hyperlink w:anchor="_Toc233937836" w:history="1">
            <w:r w:rsidRPr="003B2BCD">
              <w:rPr>
                <w:rStyle w:val="Hyperlink"/>
                <w:b/>
                <w:bCs/>
                <w:noProof/>
                <w:szCs w:val="22"/>
              </w:rPr>
              <w:t>2.4.</w:t>
            </w:r>
            <w:r w:rsidRPr="003B2BCD">
              <w:rPr>
                <w:b/>
                <w:bCs/>
                <w:noProof/>
                <w:szCs w:val="22"/>
              </w:rPr>
              <w:tab/>
            </w:r>
            <w:r w:rsidRPr="003B2BCD">
              <w:rPr>
                <w:rStyle w:val="Hyperlink"/>
                <w:b/>
                <w:bCs/>
                <w:noProof/>
                <w:szCs w:val="22"/>
              </w:rPr>
              <w:t>Local Policies</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_Toc233937836 \h </w:instrText>
            </w:r>
            <w:r w:rsidRPr="003B2BCD">
              <w:rPr>
                <w:b/>
                <w:bCs/>
                <w:noProof/>
                <w:webHidden/>
                <w:szCs w:val="22"/>
              </w:rPr>
            </w:r>
            <w:r w:rsidRPr="003B2BCD">
              <w:rPr>
                <w:b/>
                <w:bCs/>
                <w:noProof/>
                <w:webHidden/>
                <w:szCs w:val="22"/>
              </w:rPr>
              <w:fldChar w:fldCharType="separate"/>
            </w:r>
            <w:r w:rsidR="0004253E">
              <w:rPr>
                <w:b/>
                <w:bCs/>
                <w:noProof/>
                <w:webHidden/>
                <w:szCs w:val="22"/>
              </w:rPr>
              <w:t>6</w:t>
            </w:r>
            <w:r w:rsidRPr="003B2BCD">
              <w:rPr>
                <w:b/>
                <w:bCs/>
                <w:noProof/>
                <w:webHidden/>
                <w:szCs w:val="22"/>
              </w:rPr>
              <w:fldChar w:fldCharType="end"/>
            </w:r>
          </w:hyperlink>
        </w:p>
        <w:p w14:paraId="770FDA31" w14:textId="52DB7761" w:rsidR="004B58E7" w:rsidRPr="003B2BCD" w:rsidRDefault="004B58E7" w:rsidP="00331887">
          <w:pPr>
            <w:pStyle w:val="TOC2"/>
            <w:tabs>
              <w:tab w:val="left" w:pos="960"/>
              <w:tab w:val="right" w:leader="dot" w:pos="9350"/>
            </w:tabs>
            <w:spacing w:line="360" w:lineRule="auto"/>
            <w:rPr>
              <w:b/>
              <w:bCs/>
              <w:noProof/>
              <w:szCs w:val="22"/>
            </w:rPr>
          </w:pPr>
          <w:hyperlink w:anchor="_Toc233937837" w:history="1">
            <w:r w:rsidRPr="003B2BCD">
              <w:rPr>
                <w:rStyle w:val="Hyperlink"/>
                <w:b/>
                <w:bCs/>
                <w:noProof/>
                <w:szCs w:val="22"/>
              </w:rPr>
              <w:t>2.5.</w:t>
            </w:r>
            <w:r w:rsidRPr="003B2BCD">
              <w:rPr>
                <w:b/>
                <w:bCs/>
                <w:noProof/>
                <w:szCs w:val="22"/>
              </w:rPr>
              <w:tab/>
            </w:r>
            <w:r w:rsidRPr="003B2BCD">
              <w:rPr>
                <w:rStyle w:val="Hyperlink"/>
                <w:b/>
                <w:bCs/>
                <w:noProof/>
                <w:szCs w:val="22"/>
              </w:rPr>
              <w:t>Critical Evaluation</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_Toc233937837 \h </w:instrText>
            </w:r>
            <w:r w:rsidRPr="003B2BCD">
              <w:rPr>
                <w:b/>
                <w:bCs/>
                <w:noProof/>
                <w:webHidden/>
                <w:szCs w:val="22"/>
              </w:rPr>
            </w:r>
            <w:r w:rsidRPr="003B2BCD">
              <w:rPr>
                <w:b/>
                <w:bCs/>
                <w:noProof/>
                <w:webHidden/>
                <w:szCs w:val="22"/>
              </w:rPr>
              <w:fldChar w:fldCharType="separate"/>
            </w:r>
            <w:r w:rsidR="0004253E">
              <w:rPr>
                <w:b/>
                <w:bCs/>
                <w:noProof/>
                <w:webHidden/>
                <w:szCs w:val="22"/>
              </w:rPr>
              <w:t>6</w:t>
            </w:r>
            <w:r w:rsidRPr="003B2BCD">
              <w:rPr>
                <w:b/>
                <w:bCs/>
                <w:noProof/>
                <w:webHidden/>
                <w:szCs w:val="22"/>
              </w:rPr>
              <w:fldChar w:fldCharType="end"/>
            </w:r>
          </w:hyperlink>
        </w:p>
        <w:p w14:paraId="36328F06" w14:textId="2D644CD1" w:rsidR="004B58E7" w:rsidRPr="003B2BCD" w:rsidRDefault="004B58E7" w:rsidP="00331887">
          <w:pPr>
            <w:pStyle w:val="TOC2"/>
            <w:tabs>
              <w:tab w:val="left" w:pos="960"/>
              <w:tab w:val="right" w:leader="dot" w:pos="9350"/>
            </w:tabs>
            <w:spacing w:line="360" w:lineRule="auto"/>
            <w:rPr>
              <w:b/>
              <w:bCs/>
              <w:noProof/>
              <w:szCs w:val="22"/>
            </w:rPr>
          </w:pPr>
          <w:hyperlink w:anchor="_Toc233937838" w:history="1">
            <w:r w:rsidRPr="003B2BCD">
              <w:rPr>
                <w:rStyle w:val="Hyperlink"/>
                <w:b/>
                <w:bCs/>
                <w:noProof/>
                <w:szCs w:val="22"/>
              </w:rPr>
              <w:t>2.6.</w:t>
            </w:r>
            <w:r w:rsidRPr="003B2BCD">
              <w:rPr>
                <w:b/>
                <w:bCs/>
                <w:noProof/>
                <w:szCs w:val="22"/>
              </w:rPr>
              <w:tab/>
            </w:r>
            <w:r w:rsidRPr="003B2BCD">
              <w:rPr>
                <w:rStyle w:val="Hyperlink"/>
                <w:b/>
                <w:bCs/>
                <w:noProof/>
                <w:szCs w:val="22"/>
              </w:rPr>
              <w:t>Recommendations</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_Toc233937838 \h </w:instrText>
            </w:r>
            <w:r w:rsidRPr="003B2BCD">
              <w:rPr>
                <w:b/>
                <w:bCs/>
                <w:noProof/>
                <w:webHidden/>
                <w:szCs w:val="22"/>
              </w:rPr>
            </w:r>
            <w:r w:rsidRPr="003B2BCD">
              <w:rPr>
                <w:b/>
                <w:bCs/>
                <w:noProof/>
                <w:webHidden/>
                <w:szCs w:val="22"/>
              </w:rPr>
              <w:fldChar w:fldCharType="separate"/>
            </w:r>
            <w:r w:rsidR="0004253E">
              <w:rPr>
                <w:b/>
                <w:bCs/>
                <w:noProof/>
                <w:webHidden/>
                <w:szCs w:val="22"/>
              </w:rPr>
              <w:t>6</w:t>
            </w:r>
            <w:r w:rsidRPr="003B2BCD">
              <w:rPr>
                <w:b/>
                <w:bCs/>
                <w:noProof/>
                <w:webHidden/>
                <w:szCs w:val="22"/>
              </w:rPr>
              <w:fldChar w:fldCharType="end"/>
            </w:r>
          </w:hyperlink>
        </w:p>
        <w:p w14:paraId="4CA5B185" w14:textId="64D4B8A8" w:rsidR="004B58E7" w:rsidRPr="003B2BCD" w:rsidRDefault="004B58E7" w:rsidP="00331887">
          <w:pPr>
            <w:pStyle w:val="TOC1"/>
            <w:tabs>
              <w:tab w:val="left" w:pos="480"/>
              <w:tab w:val="right" w:leader="dot" w:pos="9350"/>
            </w:tabs>
            <w:spacing w:line="360" w:lineRule="auto"/>
            <w:rPr>
              <w:b/>
              <w:bCs/>
              <w:noProof/>
              <w:szCs w:val="22"/>
            </w:rPr>
          </w:pPr>
          <w:hyperlink w:anchor="_Toc233937839" w:history="1">
            <w:r w:rsidRPr="003B2BCD">
              <w:rPr>
                <w:rStyle w:val="Hyperlink"/>
                <w:b/>
                <w:bCs/>
                <w:noProof/>
                <w:szCs w:val="22"/>
              </w:rPr>
              <w:t>3.</w:t>
            </w:r>
            <w:r w:rsidRPr="003B2BCD">
              <w:rPr>
                <w:b/>
                <w:bCs/>
                <w:noProof/>
                <w:szCs w:val="22"/>
              </w:rPr>
              <w:tab/>
            </w:r>
            <w:r w:rsidRPr="003B2BCD">
              <w:rPr>
                <w:rStyle w:val="Hyperlink"/>
                <w:b/>
                <w:bCs/>
                <w:noProof/>
                <w:szCs w:val="22"/>
              </w:rPr>
              <w:t>Section 2: SDG -4: Quality Education</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_Toc233937839 \h </w:instrText>
            </w:r>
            <w:r w:rsidRPr="003B2BCD">
              <w:rPr>
                <w:b/>
                <w:bCs/>
                <w:noProof/>
                <w:webHidden/>
                <w:szCs w:val="22"/>
              </w:rPr>
            </w:r>
            <w:r w:rsidRPr="003B2BCD">
              <w:rPr>
                <w:b/>
                <w:bCs/>
                <w:noProof/>
                <w:webHidden/>
                <w:szCs w:val="22"/>
              </w:rPr>
              <w:fldChar w:fldCharType="separate"/>
            </w:r>
            <w:r w:rsidR="0004253E">
              <w:rPr>
                <w:b/>
                <w:bCs/>
                <w:noProof/>
                <w:webHidden/>
                <w:szCs w:val="22"/>
              </w:rPr>
              <w:t>7</w:t>
            </w:r>
            <w:r w:rsidRPr="003B2BCD">
              <w:rPr>
                <w:b/>
                <w:bCs/>
                <w:noProof/>
                <w:webHidden/>
                <w:szCs w:val="22"/>
              </w:rPr>
              <w:fldChar w:fldCharType="end"/>
            </w:r>
          </w:hyperlink>
        </w:p>
        <w:p w14:paraId="0B981B14" w14:textId="2DA7E653" w:rsidR="004B58E7" w:rsidRPr="003B2BCD" w:rsidRDefault="004B58E7" w:rsidP="00331887">
          <w:pPr>
            <w:pStyle w:val="TOC2"/>
            <w:tabs>
              <w:tab w:val="left" w:pos="960"/>
              <w:tab w:val="right" w:leader="dot" w:pos="9350"/>
            </w:tabs>
            <w:spacing w:line="360" w:lineRule="auto"/>
            <w:rPr>
              <w:b/>
              <w:bCs/>
              <w:noProof/>
              <w:szCs w:val="22"/>
            </w:rPr>
          </w:pPr>
          <w:hyperlink w:anchor="_Toc233937840" w:history="1">
            <w:r w:rsidRPr="003B2BCD">
              <w:rPr>
                <w:rStyle w:val="Hyperlink"/>
                <w:b/>
                <w:bCs/>
                <w:noProof/>
                <w:szCs w:val="22"/>
              </w:rPr>
              <w:t>3.1.</w:t>
            </w:r>
            <w:r w:rsidRPr="003B2BCD">
              <w:rPr>
                <w:b/>
                <w:bCs/>
                <w:noProof/>
                <w:szCs w:val="22"/>
              </w:rPr>
              <w:tab/>
            </w:r>
            <w:r w:rsidRPr="003B2BCD">
              <w:rPr>
                <w:rStyle w:val="Hyperlink"/>
                <w:b/>
                <w:bCs/>
                <w:noProof/>
                <w:szCs w:val="22"/>
              </w:rPr>
              <w:t>Overview of SDG</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_Toc233937840 \h </w:instrText>
            </w:r>
            <w:r w:rsidRPr="003B2BCD">
              <w:rPr>
                <w:b/>
                <w:bCs/>
                <w:noProof/>
                <w:webHidden/>
                <w:szCs w:val="22"/>
              </w:rPr>
            </w:r>
            <w:r w:rsidRPr="003B2BCD">
              <w:rPr>
                <w:b/>
                <w:bCs/>
                <w:noProof/>
                <w:webHidden/>
                <w:szCs w:val="22"/>
              </w:rPr>
              <w:fldChar w:fldCharType="separate"/>
            </w:r>
            <w:r w:rsidR="0004253E">
              <w:rPr>
                <w:b/>
                <w:bCs/>
                <w:noProof/>
                <w:webHidden/>
                <w:szCs w:val="22"/>
              </w:rPr>
              <w:t>7</w:t>
            </w:r>
            <w:r w:rsidRPr="003B2BCD">
              <w:rPr>
                <w:b/>
                <w:bCs/>
                <w:noProof/>
                <w:webHidden/>
                <w:szCs w:val="22"/>
              </w:rPr>
              <w:fldChar w:fldCharType="end"/>
            </w:r>
          </w:hyperlink>
        </w:p>
        <w:p w14:paraId="655386FC" w14:textId="56BB0F52" w:rsidR="004B58E7" w:rsidRPr="003B2BCD" w:rsidRDefault="004B58E7" w:rsidP="00331887">
          <w:pPr>
            <w:pStyle w:val="TOC2"/>
            <w:tabs>
              <w:tab w:val="left" w:pos="960"/>
              <w:tab w:val="right" w:leader="dot" w:pos="9350"/>
            </w:tabs>
            <w:spacing w:line="360" w:lineRule="auto"/>
            <w:rPr>
              <w:b/>
              <w:bCs/>
              <w:noProof/>
              <w:szCs w:val="22"/>
            </w:rPr>
          </w:pPr>
          <w:hyperlink w:anchor="_Toc233937841" w:history="1">
            <w:r w:rsidRPr="003B2BCD">
              <w:rPr>
                <w:rStyle w:val="Hyperlink"/>
                <w:b/>
                <w:bCs/>
                <w:noProof/>
                <w:szCs w:val="22"/>
              </w:rPr>
              <w:t>3.2.</w:t>
            </w:r>
            <w:r w:rsidRPr="003B2BCD">
              <w:rPr>
                <w:b/>
                <w:bCs/>
                <w:noProof/>
                <w:szCs w:val="22"/>
              </w:rPr>
              <w:tab/>
            </w:r>
            <w:r w:rsidRPr="003B2BCD">
              <w:rPr>
                <w:rStyle w:val="Hyperlink"/>
                <w:b/>
                <w:bCs/>
                <w:noProof/>
                <w:szCs w:val="22"/>
              </w:rPr>
              <w:t>Global Policies</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_Toc233937841 \h </w:instrText>
            </w:r>
            <w:r w:rsidRPr="003B2BCD">
              <w:rPr>
                <w:b/>
                <w:bCs/>
                <w:noProof/>
                <w:webHidden/>
                <w:szCs w:val="22"/>
              </w:rPr>
            </w:r>
            <w:r w:rsidRPr="003B2BCD">
              <w:rPr>
                <w:b/>
                <w:bCs/>
                <w:noProof/>
                <w:webHidden/>
                <w:szCs w:val="22"/>
              </w:rPr>
              <w:fldChar w:fldCharType="separate"/>
            </w:r>
            <w:r w:rsidR="0004253E">
              <w:rPr>
                <w:b/>
                <w:bCs/>
                <w:noProof/>
                <w:webHidden/>
                <w:szCs w:val="22"/>
              </w:rPr>
              <w:t>8</w:t>
            </w:r>
            <w:r w:rsidRPr="003B2BCD">
              <w:rPr>
                <w:b/>
                <w:bCs/>
                <w:noProof/>
                <w:webHidden/>
                <w:szCs w:val="22"/>
              </w:rPr>
              <w:fldChar w:fldCharType="end"/>
            </w:r>
          </w:hyperlink>
        </w:p>
        <w:p w14:paraId="506E5EA4" w14:textId="660D74C8" w:rsidR="004B58E7" w:rsidRPr="003B2BCD" w:rsidRDefault="004B58E7" w:rsidP="00331887">
          <w:pPr>
            <w:pStyle w:val="TOC2"/>
            <w:tabs>
              <w:tab w:val="left" w:pos="960"/>
              <w:tab w:val="right" w:leader="dot" w:pos="9350"/>
            </w:tabs>
            <w:spacing w:line="360" w:lineRule="auto"/>
            <w:rPr>
              <w:b/>
              <w:bCs/>
              <w:noProof/>
              <w:szCs w:val="22"/>
            </w:rPr>
          </w:pPr>
          <w:hyperlink w:anchor="_Toc233937842" w:history="1">
            <w:r w:rsidRPr="003B2BCD">
              <w:rPr>
                <w:rStyle w:val="Hyperlink"/>
                <w:b/>
                <w:bCs/>
                <w:noProof/>
                <w:szCs w:val="22"/>
              </w:rPr>
              <w:t>3.3.</w:t>
            </w:r>
            <w:r w:rsidRPr="003B2BCD">
              <w:rPr>
                <w:b/>
                <w:bCs/>
                <w:noProof/>
                <w:szCs w:val="22"/>
              </w:rPr>
              <w:tab/>
            </w:r>
            <w:r w:rsidRPr="003B2BCD">
              <w:rPr>
                <w:rStyle w:val="Hyperlink"/>
                <w:b/>
                <w:bCs/>
                <w:noProof/>
                <w:szCs w:val="22"/>
              </w:rPr>
              <w:t>UK National Policies</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_Toc233937842 \h </w:instrText>
            </w:r>
            <w:r w:rsidRPr="003B2BCD">
              <w:rPr>
                <w:b/>
                <w:bCs/>
                <w:noProof/>
                <w:webHidden/>
                <w:szCs w:val="22"/>
              </w:rPr>
            </w:r>
            <w:r w:rsidRPr="003B2BCD">
              <w:rPr>
                <w:b/>
                <w:bCs/>
                <w:noProof/>
                <w:webHidden/>
                <w:szCs w:val="22"/>
              </w:rPr>
              <w:fldChar w:fldCharType="separate"/>
            </w:r>
            <w:r w:rsidR="0004253E">
              <w:rPr>
                <w:b/>
                <w:bCs/>
                <w:noProof/>
                <w:webHidden/>
                <w:szCs w:val="22"/>
              </w:rPr>
              <w:t>9</w:t>
            </w:r>
            <w:r w:rsidRPr="003B2BCD">
              <w:rPr>
                <w:b/>
                <w:bCs/>
                <w:noProof/>
                <w:webHidden/>
                <w:szCs w:val="22"/>
              </w:rPr>
              <w:fldChar w:fldCharType="end"/>
            </w:r>
          </w:hyperlink>
        </w:p>
        <w:p w14:paraId="3531A567" w14:textId="5977F189" w:rsidR="004B58E7" w:rsidRPr="003B2BCD" w:rsidRDefault="004B58E7" w:rsidP="00331887">
          <w:pPr>
            <w:pStyle w:val="TOC2"/>
            <w:tabs>
              <w:tab w:val="left" w:pos="960"/>
              <w:tab w:val="right" w:leader="dot" w:pos="9350"/>
            </w:tabs>
            <w:spacing w:line="360" w:lineRule="auto"/>
            <w:rPr>
              <w:b/>
              <w:bCs/>
              <w:noProof/>
              <w:szCs w:val="22"/>
            </w:rPr>
          </w:pPr>
          <w:hyperlink w:anchor="_Toc233937843" w:history="1">
            <w:r w:rsidRPr="003B2BCD">
              <w:rPr>
                <w:rStyle w:val="Hyperlink"/>
                <w:b/>
                <w:bCs/>
                <w:noProof/>
                <w:szCs w:val="22"/>
              </w:rPr>
              <w:t>3.4.</w:t>
            </w:r>
            <w:r w:rsidRPr="003B2BCD">
              <w:rPr>
                <w:b/>
                <w:bCs/>
                <w:noProof/>
                <w:szCs w:val="22"/>
              </w:rPr>
              <w:tab/>
            </w:r>
            <w:r w:rsidRPr="003B2BCD">
              <w:rPr>
                <w:rStyle w:val="Hyperlink"/>
                <w:b/>
                <w:bCs/>
                <w:noProof/>
                <w:szCs w:val="22"/>
              </w:rPr>
              <w:t>Local Policies</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_Toc233937843 \h </w:instrText>
            </w:r>
            <w:r w:rsidRPr="003B2BCD">
              <w:rPr>
                <w:b/>
                <w:bCs/>
                <w:noProof/>
                <w:webHidden/>
                <w:szCs w:val="22"/>
              </w:rPr>
            </w:r>
            <w:r w:rsidRPr="003B2BCD">
              <w:rPr>
                <w:b/>
                <w:bCs/>
                <w:noProof/>
                <w:webHidden/>
                <w:szCs w:val="22"/>
              </w:rPr>
              <w:fldChar w:fldCharType="separate"/>
            </w:r>
            <w:r w:rsidR="0004253E">
              <w:rPr>
                <w:b/>
                <w:bCs/>
                <w:noProof/>
                <w:webHidden/>
                <w:szCs w:val="22"/>
              </w:rPr>
              <w:t>9</w:t>
            </w:r>
            <w:r w:rsidRPr="003B2BCD">
              <w:rPr>
                <w:b/>
                <w:bCs/>
                <w:noProof/>
                <w:webHidden/>
                <w:szCs w:val="22"/>
              </w:rPr>
              <w:fldChar w:fldCharType="end"/>
            </w:r>
          </w:hyperlink>
        </w:p>
        <w:p w14:paraId="4CA32281" w14:textId="1EEA031F" w:rsidR="004B58E7" w:rsidRPr="003B2BCD" w:rsidRDefault="004B58E7" w:rsidP="00331887">
          <w:pPr>
            <w:pStyle w:val="TOC2"/>
            <w:tabs>
              <w:tab w:val="left" w:pos="960"/>
              <w:tab w:val="right" w:leader="dot" w:pos="9350"/>
            </w:tabs>
            <w:spacing w:line="360" w:lineRule="auto"/>
            <w:rPr>
              <w:b/>
              <w:bCs/>
              <w:noProof/>
              <w:szCs w:val="22"/>
            </w:rPr>
          </w:pPr>
          <w:hyperlink w:anchor="_Toc233937844" w:history="1">
            <w:r w:rsidRPr="003B2BCD">
              <w:rPr>
                <w:rStyle w:val="Hyperlink"/>
                <w:b/>
                <w:bCs/>
                <w:noProof/>
                <w:szCs w:val="22"/>
              </w:rPr>
              <w:t>3.5.</w:t>
            </w:r>
            <w:r w:rsidRPr="003B2BCD">
              <w:rPr>
                <w:b/>
                <w:bCs/>
                <w:noProof/>
                <w:szCs w:val="22"/>
              </w:rPr>
              <w:tab/>
            </w:r>
            <w:r w:rsidRPr="003B2BCD">
              <w:rPr>
                <w:rStyle w:val="Hyperlink"/>
                <w:b/>
                <w:bCs/>
                <w:noProof/>
                <w:szCs w:val="22"/>
              </w:rPr>
              <w:t>Critical Evaluation</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_Toc233937844 \h </w:instrText>
            </w:r>
            <w:r w:rsidRPr="003B2BCD">
              <w:rPr>
                <w:b/>
                <w:bCs/>
                <w:noProof/>
                <w:webHidden/>
                <w:szCs w:val="22"/>
              </w:rPr>
            </w:r>
            <w:r w:rsidRPr="003B2BCD">
              <w:rPr>
                <w:b/>
                <w:bCs/>
                <w:noProof/>
                <w:webHidden/>
                <w:szCs w:val="22"/>
              </w:rPr>
              <w:fldChar w:fldCharType="separate"/>
            </w:r>
            <w:r w:rsidR="0004253E">
              <w:rPr>
                <w:b/>
                <w:bCs/>
                <w:noProof/>
                <w:webHidden/>
                <w:szCs w:val="22"/>
              </w:rPr>
              <w:t>10</w:t>
            </w:r>
            <w:r w:rsidRPr="003B2BCD">
              <w:rPr>
                <w:b/>
                <w:bCs/>
                <w:noProof/>
                <w:webHidden/>
                <w:szCs w:val="22"/>
              </w:rPr>
              <w:fldChar w:fldCharType="end"/>
            </w:r>
          </w:hyperlink>
        </w:p>
        <w:p w14:paraId="296F90A5" w14:textId="67919DA5" w:rsidR="004B58E7" w:rsidRPr="003B2BCD" w:rsidRDefault="004B58E7" w:rsidP="00331887">
          <w:pPr>
            <w:pStyle w:val="TOC2"/>
            <w:tabs>
              <w:tab w:val="left" w:pos="960"/>
              <w:tab w:val="right" w:leader="dot" w:pos="9350"/>
            </w:tabs>
            <w:spacing w:line="360" w:lineRule="auto"/>
            <w:rPr>
              <w:b/>
              <w:bCs/>
              <w:noProof/>
              <w:szCs w:val="22"/>
            </w:rPr>
          </w:pPr>
          <w:hyperlink w:anchor="_Toc233937845" w:history="1">
            <w:r w:rsidRPr="003B2BCD">
              <w:rPr>
                <w:rStyle w:val="Hyperlink"/>
                <w:b/>
                <w:bCs/>
                <w:noProof/>
                <w:szCs w:val="22"/>
              </w:rPr>
              <w:t>3.6.</w:t>
            </w:r>
            <w:r w:rsidRPr="003B2BCD">
              <w:rPr>
                <w:b/>
                <w:bCs/>
                <w:noProof/>
                <w:szCs w:val="22"/>
              </w:rPr>
              <w:tab/>
            </w:r>
            <w:r w:rsidRPr="003B2BCD">
              <w:rPr>
                <w:rStyle w:val="Hyperlink"/>
                <w:b/>
                <w:bCs/>
                <w:noProof/>
                <w:szCs w:val="22"/>
              </w:rPr>
              <w:t>Recommendations</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_Toc233937845 \h </w:instrText>
            </w:r>
            <w:r w:rsidRPr="003B2BCD">
              <w:rPr>
                <w:b/>
                <w:bCs/>
                <w:noProof/>
                <w:webHidden/>
                <w:szCs w:val="22"/>
              </w:rPr>
            </w:r>
            <w:r w:rsidRPr="003B2BCD">
              <w:rPr>
                <w:b/>
                <w:bCs/>
                <w:noProof/>
                <w:webHidden/>
                <w:szCs w:val="22"/>
              </w:rPr>
              <w:fldChar w:fldCharType="separate"/>
            </w:r>
            <w:r w:rsidR="0004253E">
              <w:rPr>
                <w:b/>
                <w:bCs/>
                <w:noProof/>
                <w:webHidden/>
                <w:szCs w:val="22"/>
              </w:rPr>
              <w:t>10</w:t>
            </w:r>
            <w:r w:rsidRPr="003B2BCD">
              <w:rPr>
                <w:b/>
                <w:bCs/>
                <w:noProof/>
                <w:webHidden/>
                <w:szCs w:val="22"/>
              </w:rPr>
              <w:fldChar w:fldCharType="end"/>
            </w:r>
          </w:hyperlink>
        </w:p>
        <w:p w14:paraId="380CE55B" w14:textId="6A607E9A" w:rsidR="004B58E7" w:rsidRPr="003B2BCD" w:rsidRDefault="004B58E7" w:rsidP="00331887">
          <w:pPr>
            <w:pStyle w:val="TOC1"/>
            <w:tabs>
              <w:tab w:val="left" w:pos="480"/>
              <w:tab w:val="right" w:leader="dot" w:pos="9350"/>
            </w:tabs>
            <w:spacing w:line="360" w:lineRule="auto"/>
            <w:rPr>
              <w:b/>
              <w:bCs/>
              <w:noProof/>
              <w:szCs w:val="22"/>
            </w:rPr>
          </w:pPr>
          <w:hyperlink w:anchor="_Toc233937846" w:history="1">
            <w:r w:rsidRPr="003B2BCD">
              <w:rPr>
                <w:rStyle w:val="Hyperlink"/>
                <w:b/>
                <w:bCs/>
                <w:noProof/>
                <w:szCs w:val="22"/>
              </w:rPr>
              <w:t>4.</w:t>
            </w:r>
            <w:r w:rsidRPr="003B2BCD">
              <w:rPr>
                <w:b/>
                <w:bCs/>
                <w:noProof/>
                <w:szCs w:val="22"/>
              </w:rPr>
              <w:tab/>
            </w:r>
            <w:r w:rsidRPr="003B2BCD">
              <w:rPr>
                <w:rStyle w:val="Hyperlink"/>
                <w:b/>
                <w:bCs/>
                <w:noProof/>
                <w:szCs w:val="22"/>
              </w:rPr>
              <w:t>Conclusion</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_Toc233937846 \h </w:instrText>
            </w:r>
            <w:r w:rsidRPr="003B2BCD">
              <w:rPr>
                <w:b/>
                <w:bCs/>
                <w:noProof/>
                <w:webHidden/>
                <w:szCs w:val="22"/>
              </w:rPr>
            </w:r>
            <w:r w:rsidRPr="003B2BCD">
              <w:rPr>
                <w:b/>
                <w:bCs/>
                <w:noProof/>
                <w:webHidden/>
                <w:szCs w:val="22"/>
              </w:rPr>
              <w:fldChar w:fldCharType="separate"/>
            </w:r>
            <w:r w:rsidR="0004253E">
              <w:rPr>
                <w:b/>
                <w:bCs/>
                <w:noProof/>
                <w:webHidden/>
                <w:szCs w:val="22"/>
              </w:rPr>
              <w:t>10</w:t>
            </w:r>
            <w:r w:rsidRPr="003B2BCD">
              <w:rPr>
                <w:b/>
                <w:bCs/>
                <w:noProof/>
                <w:webHidden/>
                <w:szCs w:val="22"/>
              </w:rPr>
              <w:fldChar w:fldCharType="end"/>
            </w:r>
          </w:hyperlink>
        </w:p>
        <w:p w14:paraId="61C79E9C" w14:textId="1019FA70" w:rsidR="004B58E7" w:rsidRPr="003B2BCD" w:rsidRDefault="004B58E7" w:rsidP="00331887">
          <w:pPr>
            <w:pStyle w:val="TOC1"/>
            <w:tabs>
              <w:tab w:val="right" w:leader="dot" w:pos="9350"/>
            </w:tabs>
            <w:spacing w:line="360" w:lineRule="auto"/>
            <w:rPr>
              <w:b/>
              <w:bCs/>
              <w:noProof/>
              <w:szCs w:val="22"/>
            </w:rPr>
          </w:pPr>
          <w:hyperlink w:anchor="_Toc233937847" w:history="1">
            <w:r w:rsidRPr="003B2BCD">
              <w:rPr>
                <w:rStyle w:val="Hyperlink"/>
                <w:b/>
                <w:bCs/>
                <w:noProof/>
                <w:szCs w:val="22"/>
              </w:rPr>
              <w:t>References</w:t>
            </w:r>
            <w:r w:rsidRPr="003B2BCD">
              <w:rPr>
                <w:b/>
                <w:bCs/>
                <w:noProof/>
                <w:webHidden/>
                <w:szCs w:val="22"/>
              </w:rPr>
              <w:tab/>
            </w:r>
            <w:r w:rsidRPr="003B2BCD">
              <w:rPr>
                <w:b/>
                <w:bCs/>
                <w:noProof/>
                <w:webHidden/>
                <w:szCs w:val="22"/>
              </w:rPr>
              <w:fldChar w:fldCharType="begin"/>
            </w:r>
            <w:r w:rsidRPr="003B2BCD">
              <w:rPr>
                <w:b/>
                <w:bCs/>
                <w:noProof/>
                <w:webHidden/>
                <w:szCs w:val="22"/>
              </w:rPr>
              <w:instrText xml:space="preserve"> PAGEREF _Toc233937847 \h </w:instrText>
            </w:r>
            <w:r w:rsidRPr="003B2BCD">
              <w:rPr>
                <w:b/>
                <w:bCs/>
                <w:noProof/>
                <w:webHidden/>
                <w:szCs w:val="22"/>
              </w:rPr>
            </w:r>
            <w:r w:rsidRPr="003B2BCD">
              <w:rPr>
                <w:b/>
                <w:bCs/>
                <w:noProof/>
                <w:webHidden/>
                <w:szCs w:val="22"/>
              </w:rPr>
              <w:fldChar w:fldCharType="separate"/>
            </w:r>
            <w:r w:rsidR="0004253E">
              <w:rPr>
                <w:b/>
                <w:bCs/>
                <w:noProof/>
                <w:webHidden/>
                <w:szCs w:val="22"/>
              </w:rPr>
              <w:t>11</w:t>
            </w:r>
            <w:r w:rsidRPr="003B2BCD">
              <w:rPr>
                <w:b/>
                <w:bCs/>
                <w:noProof/>
                <w:webHidden/>
                <w:szCs w:val="22"/>
              </w:rPr>
              <w:fldChar w:fldCharType="end"/>
            </w:r>
          </w:hyperlink>
        </w:p>
        <w:p w14:paraId="228E056B" w14:textId="7E66BE40" w:rsidR="004B58E7" w:rsidRPr="003B2BCD" w:rsidRDefault="004B58E7" w:rsidP="00331887">
          <w:pPr>
            <w:spacing w:line="360" w:lineRule="auto"/>
            <w:rPr>
              <w:szCs w:val="22"/>
            </w:rPr>
          </w:pPr>
          <w:r w:rsidRPr="003B2BCD">
            <w:rPr>
              <w:b/>
              <w:bCs/>
              <w:noProof/>
              <w:szCs w:val="22"/>
            </w:rPr>
            <w:fldChar w:fldCharType="end"/>
          </w:r>
        </w:p>
      </w:sdtContent>
    </w:sdt>
    <w:p w14:paraId="5F3A3BD6" w14:textId="77777777" w:rsidR="004B58E7" w:rsidRPr="003B2BCD" w:rsidRDefault="004B58E7" w:rsidP="00331887">
      <w:pPr>
        <w:spacing w:line="360" w:lineRule="auto"/>
        <w:rPr>
          <w:b/>
          <w:bCs/>
          <w:szCs w:val="22"/>
        </w:rPr>
      </w:pPr>
    </w:p>
    <w:p w14:paraId="6CB3999E" w14:textId="77777777" w:rsidR="00833E2E" w:rsidRPr="003B2BCD" w:rsidRDefault="00833E2E" w:rsidP="00331887">
      <w:pPr>
        <w:spacing w:line="360" w:lineRule="auto"/>
        <w:rPr>
          <w:b/>
          <w:bCs/>
          <w:szCs w:val="22"/>
        </w:rPr>
      </w:pPr>
    </w:p>
    <w:p w14:paraId="1E848885" w14:textId="77777777" w:rsidR="00DD48DA" w:rsidRPr="003B2BCD" w:rsidRDefault="00DD48DA" w:rsidP="00331887">
      <w:pPr>
        <w:spacing w:line="360" w:lineRule="auto"/>
        <w:rPr>
          <w:b/>
          <w:bCs/>
          <w:szCs w:val="22"/>
        </w:rPr>
      </w:pPr>
    </w:p>
    <w:p w14:paraId="18F74DA8" w14:textId="77777777" w:rsidR="00DD48DA" w:rsidRPr="003B2BCD" w:rsidRDefault="00DD48DA" w:rsidP="00331887">
      <w:pPr>
        <w:spacing w:line="360" w:lineRule="auto"/>
        <w:rPr>
          <w:b/>
          <w:bCs/>
          <w:szCs w:val="22"/>
        </w:rPr>
      </w:pPr>
    </w:p>
    <w:p w14:paraId="0433A208" w14:textId="77777777" w:rsidR="00DD48DA" w:rsidRPr="003B2BCD" w:rsidRDefault="00DD48DA" w:rsidP="00331887">
      <w:pPr>
        <w:spacing w:line="360" w:lineRule="auto"/>
        <w:rPr>
          <w:b/>
          <w:bCs/>
          <w:szCs w:val="22"/>
        </w:rPr>
      </w:pPr>
    </w:p>
    <w:p w14:paraId="0175FBC3" w14:textId="0039F8C3" w:rsidR="00833E2E" w:rsidRPr="003B2BCD" w:rsidRDefault="00833E2E" w:rsidP="00DD48DA">
      <w:pPr>
        <w:pStyle w:val="Heading1"/>
        <w:numPr>
          <w:ilvl w:val="0"/>
          <w:numId w:val="1"/>
        </w:numPr>
        <w:spacing w:line="360" w:lineRule="auto"/>
        <w:rPr>
          <w:rFonts w:cstheme="minorBidi"/>
          <w:szCs w:val="22"/>
        </w:rPr>
      </w:pPr>
      <w:bookmarkStart w:id="0" w:name="_Toc233937831"/>
      <w:r w:rsidRPr="003B2BCD">
        <w:rPr>
          <w:rFonts w:cstheme="minorBidi"/>
          <w:szCs w:val="22"/>
        </w:rPr>
        <w:lastRenderedPageBreak/>
        <w:t>Introduction</w:t>
      </w:r>
      <w:bookmarkEnd w:id="0"/>
    </w:p>
    <w:p w14:paraId="410AC114" w14:textId="2641E736" w:rsidR="0097289C" w:rsidRPr="003B2BCD" w:rsidRDefault="00553B2E" w:rsidP="00331887">
      <w:pPr>
        <w:spacing w:line="360" w:lineRule="auto"/>
        <w:rPr>
          <w:szCs w:val="22"/>
        </w:rPr>
      </w:pPr>
      <w:r w:rsidRPr="003B2BCD">
        <w:rPr>
          <w:szCs w:val="22"/>
        </w:rPr>
        <w:t>In 2015, the United Nations adopted the 17 Sustainable Development Goals (SDGs) as a global pledge to build a more sustainable equitable and prosperous world by 2030 (United Nations, 2015). These aims tackle interrelated issues like poverty, inequality, health, education and environmental sustainability. However, recent global disruptions, including the COVID-19 pandemic, geopolitical conflicts, and economic instability, have limited progress. According to recent global assessments, only 17% of SDG targets are currently on track, while many have stalled or even regressed (United Nations, 2024)</w:t>
      </w:r>
      <w:r w:rsidR="0097289C" w:rsidRPr="003B2BCD">
        <w:rPr>
          <w:szCs w:val="22"/>
        </w:rPr>
        <w:t>.</w:t>
      </w:r>
    </w:p>
    <w:p w14:paraId="6364CEB4" w14:textId="77777777" w:rsidR="00977B7C" w:rsidRPr="003B2BCD" w:rsidRDefault="00977B7C" w:rsidP="00DD48DA">
      <w:pPr>
        <w:keepNext/>
        <w:spacing w:line="360" w:lineRule="auto"/>
        <w:jc w:val="center"/>
        <w:rPr>
          <w:szCs w:val="22"/>
        </w:rPr>
      </w:pPr>
      <w:r w:rsidRPr="003B2BCD">
        <w:rPr>
          <w:noProof/>
          <w:szCs w:val="22"/>
        </w:rPr>
        <w:drawing>
          <wp:inline distT="0" distB="0" distL="0" distR="0" wp14:anchorId="418FDA14" wp14:editId="15138AE8">
            <wp:extent cx="4038600" cy="2855497"/>
            <wp:effectExtent l="0" t="0" r="0" b="2540"/>
            <wp:docPr id="750504348" name="Picture 4" descr="How Can Pakistan Achieve the UN SDGs Agenda 2030? Roadmap to SDGs –  Institute of International Peace Le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Can Pakistan Achieve the UN SDGs Agenda 2030? Roadmap to SDGs –  Institute of International Peace Lead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46614" cy="2861163"/>
                    </a:xfrm>
                    <a:prstGeom prst="rect">
                      <a:avLst/>
                    </a:prstGeom>
                    <a:noFill/>
                    <a:ln>
                      <a:noFill/>
                    </a:ln>
                  </pic:spPr>
                </pic:pic>
              </a:graphicData>
            </a:graphic>
          </wp:inline>
        </w:drawing>
      </w:r>
    </w:p>
    <w:p w14:paraId="7E972834" w14:textId="6D08F300" w:rsidR="00977B7C" w:rsidRPr="003B2BCD" w:rsidRDefault="00977B7C" w:rsidP="00DD48DA">
      <w:pPr>
        <w:pStyle w:val="Caption"/>
        <w:spacing w:line="360" w:lineRule="auto"/>
        <w:jc w:val="center"/>
        <w:rPr>
          <w:color w:val="auto"/>
          <w:sz w:val="22"/>
          <w:szCs w:val="22"/>
        </w:rPr>
      </w:pPr>
      <w:r w:rsidRPr="003B2BCD">
        <w:rPr>
          <w:color w:val="auto"/>
          <w:sz w:val="22"/>
          <w:szCs w:val="22"/>
        </w:rPr>
        <w:t xml:space="preserve">Figure </w:t>
      </w:r>
      <w:r w:rsidRPr="003B2BCD">
        <w:rPr>
          <w:color w:val="auto"/>
          <w:sz w:val="22"/>
          <w:szCs w:val="22"/>
        </w:rPr>
        <w:fldChar w:fldCharType="begin"/>
      </w:r>
      <w:r w:rsidRPr="003B2BCD">
        <w:rPr>
          <w:color w:val="auto"/>
          <w:sz w:val="22"/>
          <w:szCs w:val="22"/>
        </w:rPr>
        <w:instrText xml:space="preserve"> SEQ Figure \* ARABIC </w:instrText>
      </w:r>
      <w:r w:rsidRPr="003B2BCD">
        <w:rPr>
          <w:color w:val="auto"/>
          <w:sz w:val="22"/>
          <w:szCs w:val="22"/>
        </w:rPr>
        <w:fldChar w:fldCharType="separate"/>
      </w:r>
      <w:r w:rsidR="004B58E7" w:rsidRPr="003B2BCD">
        <w:rPr>
          <w:noProof/>
          <w:color w:val="auto"/>
          <w:sz w:val="22"/>
          <w:szCs w:val="22"/>
        </w:rPr>
        <w:t>1</w:t>
      </w:r>
      <w:r w:rsidRPr="003B2BCD">
        <w:rPr>
          <w:color w:val="auto"/>
          <w:sz w:val="22"/>
          <w:szCs w:val="22"/>
        </w:rPr>
        <w:fldChar w:fldCharType="end"/>
      </w:r>
      <w:r w:rsidRPr="003B2BCD">
        <w:rPr>
          <w:color w:val="auto"/>
          <w:sz w:val="22"/>
          <w:szCs w:val="22"/>
        </w:rPr>
        <w:t xml:space="preserve"> 17 SDGS (United Nations, 2015)</w:t>
      </w:r>
    </w:p>
    <w:p w14:paraId="6C4B1639" w14:textId="37D8120F" w:rsidR="003B3C73" w:rsidRPr="003B2BCD" w:rsidRDefault="00485204" w:rsidP="00331887">
      <w:pPr>
        <w:spacing w:line="360" w:lineRule="auto"/>
        <w:rPr>
          <w:szCs w:val="22"/>
        </w:rPr>
      </w:pPr>
      <w:r w:rsidRPr="003B2BCD">
        <w:rPr>
          <w:szCs w:val="22"/>
        </w:rPr>
        <w:t>This report analyses the importance of SDG 3: Good Health and Wellbeing and SDG 4: Quality Education and its potential impact on citizens wellbeing at global, national and local level and how this impact can be stronger if these two SDG are considered as interdependent.</w:t>
      </w:r>
      <w:r w:rsidR="00C02585">
        <w:rPr>
          <w:szCs w:val="22"/>
        </w:rPr>
        <w:t xml:space="preserve"> </w:t>
      </w:r>
      <w:r w:rsidRPr="003B2BCD">
        <w:rPr>
          <w:szCs w:val="22"/>
        </w:rPr>
        <w:t>This report sets out to evaluate the effectiveness of international, national (UK) and local initiatives on these two SDGs and to provide theoretically appropriate recommendations for improvement based on evidence</w:t>
      </w:r>
      <w:r w:rsidR="0097289C" w:rsidRPr="003B2BCD">
        <w:rPr>
          <w:szCs w:val="22"/>
        </w:rPr>
        <w:t>.</w:t>
      </w:r>
    </w:p>
    <w:p w14:paraId="044C88D9" w14:textId="48E69A8E" w:rsidR="003B3C73" w:rsidRPr="003B2BCD" w:rsidRDefault="00BD284E" w:rsidP="00331887">
      <w:pPr>
        <w:pStyle w:val="Heading1"/>
        <w:numPr>
          <w:ilvl w:val="0"/>
          <w:numId w:val="1"/>
        </w:numPr>
        <w:spacing w:line="360" w:lineRule="auto"/>
        <w:rPr>
          <w:rFonts w:cstheme="minorBidi"/>
          <w:szCs w:val="22"/>
        </w:rPr>
      </w:pPr>
      <w:bookmarkStart w:id="1" w:name="_Toc233937832"/>
      <w:r w:rsidRPr="003B2BCD">
        <w:rPr>
          <w:rFonts w:cstheme="minorBidi"/>
          <w:szCs w:val="22"/>
        </w:rPr>
        <w:t>Section 1: SDG 3 - Good Health and Wellbeing</w:t>
      </w:r>
      <w:bookmarkEnd w:id="1"/>
      <w:r w:rsidRPr="003B2BCD">
        <w:rPr>
          <w:rFonts w:cstheme="minorBidi"/>
          <w:szCs w:val="22"/>
        </w:rPr>
        <w:t xml:space="preserve"> </w:t>
      </w:r>
    </w:p>
    <w:p w14:paraId="330148BF" w14:textId="5BB10745" w:rsidR="00BD284E" w:rsidRPr="003B2BCD" w:rsidRDefault="00BD284E" w:rsidP="00331887">
      <w:pPr>
        <w:pStyle w:val="Heading2"/>
        <w:numPr>
          <w:ilvl w:val="1"/>
          <w:numId w:val="1"/>
        </w:numPr>
        <w:spacing w:line="360" w:lineRule="auto"/>
        <w:rPr>
          <w:rFonts w:cstheme="minorBidi"/>
          <w:szCs w:val="22"/>
        </w:rPr>
      </w:pPr>
      <w:bookmarkStart w:id="2" w:name="_Toc233937833"/>
      <w:r w:rsidRPr="003B2BCD">
        <w:rPr>
          <w:rFonts w:cstheme="minorBidi"/>
          <w:szCs w:val="22"/>
        </w:rPr>
        <w:t>Overview of SDG 3</w:t>
      </w:r>
      <w:bookmarkEnd w:id="2"/>
    </w:p>
    <w:p w14:paraId="0E841A5C" w14:textId="7B350E25" w:rsidR="00BD284E" w:rsidRPr="003B2BCD" w:rsidRDefault="000C0603" w:rsidP="00331887">
      <w:pPr>
        <w:spacing w:line="360" w:lineRule="auto"/>
        <w:rPr>
          <w:szCs w:val="22"/>
        </w:rPr>
      </w:pPr>
      <w:r w:rsidRPr="003B2BCD">
        <w:rPr>
          <w:szCs w:val="22"/>
        </w:rPr>
        <w:t xml:space="preserve">SDG 3 aims to ensure healthy lives and promote wellbeing for all at all ages (United Nations, 2022). It includes several targets like reducing global maternal mortality, ending preventable </w:t>
      </w:r>
      <w:r w:rsidRPr="003B2BCD">
        <w:rPr>
          <w:szCs w:val="22"/>
        </w:rPr>
        <w:lastRenderedPageBreak/>
        <w:t>deaths of newborns and children, combating infectious diseases, reducing premature mortality from non-communicable diseases (NCDs), and achieving universal health coverage (UHC). Health is not just the result of biological factors; it is influenced by a variety of social, economic and environmental factors. The Dahlgren and Whitehead (1991) model represents these determinants in a layering approach: individual lifestyle factors, social networks, living conditions and wider socio-economic conditions</w:t>
      </w:r>
      <w:r w:rsidR="007F25A2" w:rsidRPr="003B2BCD">
        <w:rPr>
          <w:szCs w:val="22"/>
        </w:rPr>
        <w:t>.</w:t>
      </w:r>
    </w:p>
    <w:p w14:paraId="4777A5B8" w14:textId="77777777" w:rsidR="006F2F7A" w:rsidRPr="003B2BCD" w:rsidRDefault="006F2F7A" w:rsidP="00B60D05">
      <w:pPr>
        <w:keepNext/>
        <w:spacing w:line="360" w:lineRule="auto"/>
        <w:jc w:val="center"/>
        <w:rPr>
          <w:szCs w:val="22"/>
        </w:rPr>
      </w:pPr>
      <w:r w:rsidRPr="003B2BCD">
        <w:rPr>
          <w:noProof/>
          <w:szCs w:val="22"/>
        </w:rPr>
        <w:drawing>
          <wp:inline distT="0" distB="0" distL="0" distR="0" wp14:anchorId="7A71AA62" wp14:editId="4B4BBD91">
            <wp:extent cx="3686175" cy="2622053"/>
            <wp:effectExtent l="0" t="0" r="0" b="6985"/>
            <wp:docPr id="841895980" name="Picture 1" descr="Sustainable Development Goal 3 - Points to Remember | Epo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le Development Goal 3 - Points to Remember | Epomedic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9563" cy="2624463"/>
                    </a:xfrm>
                    <a:prstGeom prst="rect">
                      <a:avLst/>
                    </a:prstGeom>
                    <a:noFill/>
                    <a:ln>
                      <a:noFill/>
                    </a:ln>
                  </pic:spPr>
                </pic:pic>
              </a:graphicData>
            </a:graphic>
          </wp:inline>
        </w:drawing>
      </w:r>
    </w:p>
    <w:p w14:paraId="012D6D2A" w14:textId="0107112E" w:rsidR="006110A0" w:rsidRPr="003B2BCD" w:rsidRDefault="006F2F7A" w:rsidP="00B60D05">
      <w:pPr>
        <w:pStyle w:val="Caption"/>
        <w:spacing w:line="360" w:lineRule="auto"/>
        <w:jc w:val="center"/>
        <w:rPr>
          <w:color w:val="auto"/>
          <w:sz w:val="22"/>
          <w:szCs w:val="22"/>
        </w:rPr>
      </w:pPr>
      <w:r w:rsidRPr="003B2BCD">
        <w:rPr>
          <w:color w:val="auto"/>
          <w:sz w:val="22"/>
          <w:szCs w:val="22"/>
        </w:rPr>
        <w:t xml:space="preserve">Figure </w:t>
      </w:r>
      <w:r w:rsidRPr="003B2BCD">
        <w:rPr>
          <w:color w:val="auto"/>
          <w:sz w:val="22"/>
          <w:szCs w:val="22"/>
        </w:rPr>
        <w:fldChar w:fldCharType="begin"/>
      </w:r>
      <w:r w:rsidRPr="003B2BCD">
        <w:rPr>
          <w:color w:val="auto"/>
          <w:sz w:val="22"/>
          <w:szCs w:val="22"/>
        </w:rPr>
        <w:instrText xml:space="preserve"> SEQ Figure \* ARABIC </w:instrText>
      </w:r>
      <w:r w:rsidRPr="003B2BCD">
        <w:rPr>
          <w:color w:val="auto"/>
          <w:sz w:val="22"/>
          <w:szCs w:val="22"/>
        </w:rPr>
        <w:fldChar w:fldCharType="separate"/>
      </w:r>
      <w:r w:rsidR="004B58E7" w:rsidRPr="003B2BCD">
        <w:rPr>
          <w:noProof/>
          <w:color w:val="auto"/>
          <w:sz w:val="22"/>
          <w:szCs w:val="22"/>
        </w:rPr>
        <w:t>2</w:t>
      </w:r>
      <w:r w:rsidRPr="003B2BCD">
        <w:rPr>
          <w:color w:val="auto"/>
          <w:sz w:val="22"/>
          <w:szCs w:val="22"/>
        </w:rPr>
        <w:fldChar w:fldCharType="end"/>
      </w:r>
      <w:r w:rsidRPr="003B2BCD">
        <w:rPr>
          <w:color w:val="auto"/>
          <w:sz w:val="22"/>
          <w:szCs w:val="22"/>
        </w:rPr>
        <w:t xml:space="preserve"> SDG 3 (</w:t>
      </w:r>
      <w:r w:rsidR="008864CE" w:rsidRPr="003B2BCD">
        <w:rPr>
          <w:color w:val="auto"/>
          <w:sz w:val="22"/>
          <w:szCs w:val="22"/>
        </w:rPr>
        <w:t>United Nations, 2022</w:t>
      </w:r>
      <w:r w:rsidRPr="003B2BCD">
        <w:rPr>
          <w:color w:val="auto"/>
          <w:sz w:val="22"/>
          <w:szCs w:val="22"/>
        </w:rPr>
        <w:t>)</w:t>
      </w:r>
    </w:p>
    <w:p w14:paraId="1A6B64B4" w14:textId="5D7F64D0" w:rsidR="006F2F7A" w:rsidRPr="003B2BCD" w:rsidRDefault="006F2F7A" w:rsidP="00331887">
      <w:pPr>
        <w:pStyle w:val="Heading2"/>
        <w:numPr>
          <w:ilvl w:val="1"/>
          <w:numId w:val="1"/>
        </w:numPr>
        <w:spacing w:line="360" w:lineRule="auto"/>
        <w:rPr>
          <w:rFonts w:cstheme="minorBidi"/>
          <w:szCs w:val="22"/>
        </w:rPr>
      </w:pPr>
      <w:bookmarkStart w:id="3" w:name="_Toc233937834"/>
      <w:r w:rsidRPr="003B2BCD">
        <w:rPr>
          <w:rFonts w:cstheme="minorBidi"/>
          <w:szCs w:val="22"/>
        </w:rPr>
        <w:t>Global Policies</w:t>
      </w:r>
      <w:bookmarkEnd w:id="3"/>
    </w:p>
    <w:p w14:paraId="7AA5B127" w14:textId="4DC6A189" w:rsidR="006D1D68" w:rsidRPr="003B2BCD" w:rsidRDefault="006D1D68" w:rsidP="00331887">
      <w:pPr>
        <w:spacing w:line="360" w:lineRule="auto"/>
        <w:rPr>
          <w:szCs w:val="22"/>
        </w:rPr>
      </w:pPr>
      <w:r w:rsidRPr="003B2BCD">
        <w:rPr>
          <w:szCs w:val="22"/>
        </w:rPr>
        <w:t xml:space="preserve">On a global scale, there are various initiatives working towards SDG 3. The World Health Organization (WHO) has formulated a strategy to attain Universal Health Coverage (UHC), which aims to ensure that all individuals have access to essential health services without facing financial hardship (World Health Organization, 2025). Similarly, the Global Vaccine Action Plan (GVAP) has contributed to the worldwide enhancement of immunisation, saving 2.5 million lives annually from diseases like measles and polio (UNICEF, 2021). Furthermore, WHO Mental Health Action Plan </w:t>
      </w:r>
      <w:r w:rsidR="00826C64" w:rsidRPr="003B2BCD">
        <w:rPr>
          <w:szCs w:val="22"/>
        </w:rPr>
        <w:t>considers</w:t>
      </w:r>
      <w:r w:rsidRPr="003B2BCD">
        <w:rPr>
          <w:szCs w:val="22"/>
        </w:rPr>
        <w:t xml:space="preserve"> the rising burden of mental health disorders, which are now one of the top causes of disability worldwide (WHO, 2025). </w:t>
      </w:r>
    </w:p>
    <w:p w14:paraId="14F692FD" w14:textId="0234D441" w:rsidR="006F2F7A" w:rsidRPr="003B2BCD" w:rsidRDefault="006D1D68" w:rsidP="00331887">
      <w:pPr>
        <w:spacing w:line="360" w:lineRule="auto"/>
        <w:rPr>
          <w:szCs w:val="22"/>
        </w:rPr>
      </w:pPr>
      <w:r w:rsidRPr="003B2BCD">
        <w:rPr>
          <w:szCs w:val="22"/>
        </w:rPr>
        <w:t xml:space="preserve">Yet, despite these advances, there are significant challenges. Almost 4.6 billion people globally lack access to key health </w:t>
      </w:r>
      <w:r w:rsidR="00FD3837" w:rsidRPr="003B2BCD">
        <w:rPr>
          <w:szCs w:val="22"/>
        </w:rPr>
        <w:t>services,</w:t>
      </w:r>
      <w:r w:rsidRPr="003B2BCD">
        <w:rPr>
          <w:szCs w:val="22"/>
        </w:rPr>
        <w:t xml:space="preserve"> and many are struggling to afford health care payments (World Bank Group, 2025). These limitations indicate that policies around the world have traditionally focused on the provision of health care services rather than the social determinants of health such as poverty and </w:t>
      </w:r>
      <w:r w:rsidR="00203784" w:rsidRPr="003B2BCD">
        <w:rPr>
          <w:szCs w:val="22"/>
        </w:rPr>
        <w:t>education.</w:t>
      </w:r>
    </w:p>
    <w:p w14:paraId="3A46CC46" w14:textId="07620A0C" w:rsidR="00C34430" w:rsidRPr="003B2BCD" w:rsidRDefault="00DB3042" w:rsidP="00331887">
      <w:pPr>
        <w:pStyle w:val="Heading2"/>
        <w:numPr>
          <w:ilvl w:val="1"/>
          <w:numId w:val="1"/>
        </w:numPr>
        <w:spacing w:line="360" w:lineRule="auto"/>
        <w:rPr>
          <w:rFonts w:cstheme="minorBidi"/>
          <w:szCs w:val="22"/>
        </w:rPr>
      </w:pPr>
      <w:bookmarkStart w:id="4" w:name="_Toc233937835"/>
      <w:r w:rsidRPr="003B2BCD">
        <w:rPr>
          <w:rFonts w:cstheme="minorBidi"/>
          <w:szCs w:val="22"/>
        </w:rPr>
        <w:lastRenderedPageBreak/>
        <w:t>UK National Policies</w:t>
      </w:r>
      <w:bookmarkEnd w:id="4"/>
    </w:p>
    <w:p w14:paraId="74D016CA" w14:textId="5D3C1D42" w:rsidR="0085703C" w:rsidRPr="003B2BCD" w:rsidRDefault="00FD3837" w:rsidP="00331887">
      <w:pPr>
        <w:spacing w:line="360" w:lineRule="auto"/>
        <w:rPr>
          <w:szCs w:val="22"/>
        </w:rPr>
      </w:pPr>
      <w:r w:rsidRPr="003B2BCD">
        <w:rPr>
          <w:szCs w:val="22"/>
        </w:rPr>
        <w:t>In the UK, SDG 3 is delivered through the National Health Service (NHS), supported by the NHS Long Term Plan (2019), which emphasises prevention, early diagnosis, and integrated care. It focuses on significant health issues such as cancer, cardiovascular diseases, and mental health, as well as increasing community-based services and digital healthcare access. NCD prevention strategies such as smoking cessation programmes and obesity reduction policies are also focused on reducing the burden of NCDs. Despite these initiatives, health inequalities persist across the UK. The life expectancy at birth is approximately 79.1 years for males and 83.0 years for females, but differences across regions are significant as illustrated in figure 2 (ONS, 2025). Those living in the most deprived areas suffer significantly poorer outcomes: male life expectancy is as low as 73.2yrs compared to 83.6yrs in affluent areas</w:t>
      </w:r>
      <w:r w:rsidR="0055550A" w:rsidRPr="003B2BCD">
        <w:rPr>
          <w:szCs w:val="22"/>
        </w:rPr>
        <w:t xml:space="preserve"> (ONS, 2025)</w:t>
      </w:r>
      <w:r w:rsidR="00AB10C5" w:rsidRPr="003B2BCD">
        <w:rPr>
          <w:szCs w:val="22"/>
        </w:rPr>
        <w:t>.</w:t>
      </w:r>
      <w:r w:rsidR="0045501D" w:rsidRPr="003B2BCD">
        <w:rPr>
          <w:szCs w:val="22"/>
        </w:rPr>
        <w:t xml:space="preserve"> </w:t>
      </w:r>
    </w:p>
    <w:p w14:paraId="615DF6F7" w14:textId="77777777" w:rsidR="00B61F4C" w:rsidRPr="003B2BCD" w:rsidRDefault="00B61F4C" w:rsidP="00865793">
      <w:pPr>
        <w:keepNext/>
        <w:spacing w:line="360" w:lineRule="auto"/>
        <w:jc w:val="center"/>
        <w:rPr>
          <w:szCs w:val="22"/>
        </w:rPr>
      </w:pPr>
      <w:r w:rsidRPr="003B2BCD">
        <w:rPr>
          <w:noProof/>
          <w:szCs w:val="22"/>
        </w:rPr>
        <w:drawing>
          <wp:inline distT="0" distB="0" distL="0" distR="0" wp14:anchorId="0EC7A99D" wp14:editId="414FEB84">
            <wp:extent cx="3914156" cy="2692654"/>
            <wp:effectExtent l="0" t="0" r="0" b="0"/>
            <wp:docPr id="13731940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194072" name="Picture 1373194072"/>
                    <pic:cNvPicPr/>
                  </pic:nvPicPr>
                  <pic:blipFill>
                    <a:blip r:embed="rId10">
                      <a:extLst>
                        <a:ext uri="{28A0092B-C50C-407E-A947-70E740481C1C}">
                          <a14:useLocalDpi xmlns:a14="http://schemas.microsoft.com/office/drawing/2010/main" val="0"/>
                        </a:ext>
                      </a:extLst>
                    </a:blip>
                    <a:stretch>
                      <a:fillRect/>
                    </a:stretch>
                  </pic:blipFill>
                  <pic:spPr>
                    <a:xfrm>
                      <a:off x="0" y="0"/>
                      <a:ext cx="3922454" cy="2698362"/>
                    </a:xfrm>
                    <a:prstGeom prst="rect">
                      <a:avLst/>
                    </a:prstGeom>
                  </pic:spPr>
                </pic:pic>
              </a:graphicData>
            </a:graphic>
          </wp:inline>
        </w:drawing>
      </w:r>
    </w:p>
    <w:p w14:paraId="12EF7FC0" w14:textId="6B2EFE33" w:rsidR="00160B11" w:rsidRPr="003B2BCD" w:rsidRDefault="00B61F4C" w:rsidP="00865793">
      <w:pPr>
        <w:pStyle w:val="Caption"/>
        <w:spacing w:line="360" w:lineRule="auto"/>
        <w:jc w:val="center"/>
        <w:rPr>
          <w:sz w:val="22"/>
          <w:szCs w:val="22"/>
        </w:rPr>
      </w:pPr>
      <w:r w:rsidRPr="003B2BCD">
        <w:rPr>
          <w:sz w:val="22"/>
          <w:szCs w:val="22"/>
        </w:rPr>
        <w:t xml:space="preserve">Figure </w:t>
      </w:r>
      <w:r w:rsidRPr="003B2BCD">
        <w:rPr>
          <w:sz w:val="22"/>
          <w:szCs w:val="22"/>
        </w:rPr>
        <w:fldChar w:fldCharType="begin"/>
      </w:r>
      <w:r w:rsidRPr="003B2BCD">
        <w:rPr>
          <w:sz w:val="22"/>
          <w:szCs w:val="22"/>
        </w:rPr>
        <w:instrText xml:space="preserve"> SEQ Figure \* ARABIC </w:instrText>
      </w:r>
      <w:r w:rsidRPr="003B2BCD">
        <w:rPr>
          <w:sz w:val="22"/>
          <w:szCs w:val="22"/>
        </w:rPr>
        <w:fldChar w:fldCharType="separate"/>
      </w:r>
      <w:r w:rsidR="004B58E7" w:rsidRPr="003B2BCD">
        <w:rPr>
          <w:noProof/>
          <w:sz w:val="22"/>
          <w:szCs w:val="22"/>
        </w:rPr>
        <w:t>3</w:t>
      </w:r>
      <w:r w:rsidRPr="003B2BCD">
        <w:rPr>
          <w:sz w:val="22"/>
          <w:szCs w:val="22"/>
        </w:rPr>
        <w:fldChar w:fldCharType="end"/>
      </w:r>
      <w:r w:rsidRPr="003B2BCD">
        <w:rPr>
          <w:sz w:val="22"/>
          <w:szCs w:val="22"/>
        </w:rPr>
        <w:t xml:space="preserve"> Life Expectancy UK (ONS, 2025)</w:t>
      </w:r>
    </w:p>
    <w:p w14:paraId="69BF578C" w14:textId="2630572A" w:rsidR="00DB3042" w:rsidRPr="003B2BCD" w:rsidRDefault="00FD3837" w:rsidP="00331887">
      <w:pPr>
        <w:spacing w:line="360" w:lineRule="auto"/>
        <w:rPr>
          <w:szCs w:val="22"/>
        </w:rPr>
      </w:pPr>
      <w:r w:rsidRPr="003B2BCD">
        <w:rPr>
          <w:szCs w:val="22"/>
        </w:rPr>
        <w:t xml:space="preserve">In addition, the difference in healthy life expectancy between the most and least deprived is up to 19 years (NHS, 2025). The differences indicate that many health inequalities are structural, like poverty, housing and education and are in the outer layers of the Dahlgren and Whitehead model (Dahlgren &amp; Whitehead, 2021). Thus, although NHS policies increase </w:t>
      </w:r>
      <w:r w:rsidR="000D0A3C" w:rsidRPr="003B2BCD">
        <w:rPr>
          <w:szCs w:val="22"/>
        </w:rPr>
        <w:t>access</w:t>
      </w:r>
      <w:r w:rsidRPr="003B2BCD">
        <w:rPr>
          <w:szCs w:val="22"/>
        </w:rPr>
        <w:t xml:space="preserve"> to health services, they cannot be enough to tackle deep-rooted inequalities and </w:t>
      </w:r>
      <w:r w:rsidR="00AA4118" w:rsidRPr="003B2BCD">
        <w:rPr>
          <w:szCs w:val="22"/>
        </w:rPr>
        <w:t>integrated</w:t>
      </w:r>
      <w:r w:rsidRPr="003B2BCD">
        <w:rPr>
          <w:szCs w:val="22"/>
        </w:rPr>
        <w:t xml:space="preserve"> cross-sector approaches are needed</w:t>
      </w:r>
      <w:r w:rsidR="0045501D" w:rsidRPr="003B2BCD">
        <w:rPr>
          <w:szCs w:val="22"/>
        </w:rPr>
        <w:t>.</w:t>
      </w:r>
    </w:p>
    <w:p w14:paraId="625CFB8B" w14:textId="0E44742F" w:rsidR="00D360DD" w:rsidRPr="003B2BCD" w:rsidRDefault="00DD1FB9" w:rsidP="00331887">
      <w:pPr>
        <w:pStyle w:val="Heading2"/>
        <w:numPr>
          <w:ilvl w:val="1"/>
          <w:numId w:val="1"/>
        </w:numPr>
        <w:spacing w:line="360" w:lineRule="auto"/>
        <w:rPr>
          <w:rFonts w:cstheme="minorBidi"/>
          <w:szCs w:val="22"/>
        </w:rPr>
      </w:pPr>
      <w:bookmarkStart w:id="5" w:name="_Toc233937836"/>
      <w:r w:rsidRPr="003B2BCD">
        <w:rPr>
          <w:rFonts w:cstheme="minorBidi"/>
          <w:szCs w:val="22"/>
        </w:rPr>
        <w:lastRenderedPageBreak/>
        <w:t>Local Policies</w:t>
      </w:r>
      <w:bookmarkEnd w:id="5"/>
    </w:p>
    <w:p w14:paraId="303B0933" w14:textId="334690C7" w:rsidR="002A67D8" w:rsidRPr="003B2BCD" w:rsidRDefault="002A67D8" w:rsidP="00331887">
      <w:pPr>
        <w:spacing w:line="360" w:lineRule="auto"/>
        <w:rPr>
          <w:szCs w:val="22"/>
        </w:rPr>
      </w:pPr>
      <w:r w:rsidRPr="003B2BCD">
        <w:rPr>
          <w:szCs w:val="22"/>
        </w:rPr>
        <w:t xml:space="preserve">Local authorities and the Greater Manchester Integrated Care System illustrate how SDG 3 is implemented, with targeted interventions against obesity, inequality and wider determinants of health. Manchester City Council's Making Manchester Fairer strategy is particularly focussed on addressing preventable ill health and includes a strong focus on social determinants of health, such as poverty, housing, employment and education (Manchester City Council, 2022). Further, the Manchester Healthy Weight Strategy (2020-2025) targets obesity reduction by addressing the issue through community-based </w:t>
      </w:r>
      <w:r w:rsidR="006C572A" w:rsidRPr="003B2BCD">
        <w:rPr>
          <w:szCs w:val="22"/>
        </w:rPr>
        <w:t>interventions and</w:t>
      </w:r>
      <w:r w:rsidRPr="003B2BCD">
        <w:rPr>
          <w:szCs w:val="22"/>
        </w:rPr>
        <w:t xml:space="preserve"> identifies obesity as a key determinant of diabetes and cardiovascular disease (Manchester City Council, 2023).</w:t>
      </w:r>
    </w:p>
    <w:p w14:paraId="2C716F88" w14:textId="7DB8180F" w:rsidR="00DD1FB9" w:rsidRPr="003B2BCD" w:rsidRDefault="002A67D8" w:rsidP="00331887">
      <w:pPr>
        <w:spacing w:line="360" w:lineRule="auto"/>
        <w:rPr>
          <w:szCs w:val="22"/>
        </w:rPr>
      </w:pPr>
      <w:r w:rsidRPr="003B2BCD">
        <w:rPr>
          <w:szCs w:val="22"/>
        </w:rPr>
        <w:t xml:space="preserve">Even with these efforts, health issues continue to be a big problem. Adult obesity in England stands at 26.6%, with higher prevalence in deprived urban areas (NHS, 2026). Local tools such as Joint Strategic Needs Assessment (JSNA) can be used to identify health needs and guide targeted interventions, allowing more responsive policymaking (Collins et al., 2019). Yet, since the local policies are not reflected in persistent inequalities, the community and living condition layers of the Dahlgren and Whitehead model are limited to a certain extent by funding constraints and structural socio-economic disparities. </w:t>
      </w:r>
    </w:p>
    <w:p w14:paraId="03511563" w14:textId="3629AAAC" w:rsidR="008842B8" w:rsidRPr="003B2BCD" w:rsidRDefault="008842B8" w:rsidP="00331887">
      <w:pPr>
        <w:pStyle w:val="Heading2"/>
        <w:numPr>
          <w:ilvl w:val="1"/>
          <w:numId w:val="1"/>
        </w:numPr>
        <w:spacing w:line="360" w:lineRule="auto"/>
        <w:rPr>
          <w:rFonts w:cstheme="minorBidi"/>
          <w:szCs w:val="22"/>
        </w:rPr>
      </w:pPr>
      <w:bookmarkStart w:id="6" w:name="_Toc233937837"/>
      <w:r w:rsidRPr="003B2BCD">
        <w:rPr>
          <w:rFonts w:cstheme="minorBidi"/>
          <w:szCs w:val="22"/>
        </w:rPr>
        <w:t>Critical Evaluation</w:t>
      </w:r>
      <w:bookmarkEnd w:id="6"/>
      <w:r w:rsidRPr="003B2BCD">
        <w:rPr>
          <w:rFonts w:cstheme="minorBidi"/>
          <w:szCs w:val="22"/>
        </w:rPr>
        <w:t xml:space="preserve"> </w:t>
      </w:r>
    </w:p>
    <w:p w14:paraId="6B41B96C" w14:textId="68C5B636" w:rsidR="00E16895" w:rsidRPr="003B2BCD" w:rsidRDefault="006C572A" w:rsidP="00331887">
      <w:pPr>
        <w:spacing w:line="360" w:lineRule="auto"/>
        <w:rPr>
          <w:szCs w:val="22"/>
        </w:rPr>
      </w:pPr>
      <w:r w:rsidRPr="003B2BCD">
        <w:rPr>
          <w:szCs w:val="22"/>
        </w:rPr>
        <w:t>At the global, national and local level, SDG 3 programmes have helped to improve life expectancy, prevent diseases and increase access to healthcare overall. But there are still disparities in progress toward achieving the 2030 goals. One is the over-emphasis on downstream interventions which are solutions for a symptom of the problem, not solutions for the problem (upstream). Despite this, there are structural inequities in the UK linked to inequalities in health, with evidence of disparities in health systems within deprived communities, indicating that health systems alone are insufficient (</w:t>
      </w:r>
      <w:proofErr w:type="spellStart"/>
      <w:r w:rsidRPr="003B2BCD">
        <w:rPr>
          <w:szCs w:val="22"/>
        </w:rPr>
        <w:t>Parbery</w:t>
      </w:r>
      <w:proofErr w:type="spellEnd"/>
      <w:r w:rsidRPr="003B2BCD">
        <w:rPr>
          <w:szCs w:val="22"/>
        </w:rPr>
        <w:t xml:space="preserve"> et al., 2024). Also, health systems have been undermined by global crises </w:t>
      </w:r>
      <w:r w:rsidR="00AA4118" w:rsidRPr="003B2BCD">
        <w:rPr>
          <w:szCs w:val="22"/>
        </w:rPr>
        <w:t>like</w:t>
      </w:r>
      <w:r w:rsidRPr="003B2BCD">
        <w:rPr>
          <w:szCs w:val="22"/>
        </w:rPr>
        <w:t xml:space="preserve"> COVID-19 pandemic, and </w:t>
      </w:r>
      <w:r w:rsidR="00AA4118" w:rsidRPr="003B2BCD">
        <w:rPr>
          <w:szCs w:val="22"/>
        </w:rPr>
        <w:t xml:space="preserve">regression. </w:t>
      </w:r>
    </w:p>
    <w:p w14:paraId="3E1215D7" w14:textId="4D011779" w:rsidR="008842B8" w:rsidRPr="003B2BCD" w:rsidRDefault="008842B8" w:rsidP="00331887">
      <w:pPr>
        <w:pStyle w:val="Heading2"/>
        <w:numPr>
          <w:ilvl w:val="1"/>
          <w:numId w:val="1"/>
        </w:numPr>
        <w:spacing w:line="360" w:lineRule="auto"/>
        <w:rPr>
          <w:rFonts w:cstheme="minorBidi"/>
          <w:szCs w:val="22"/>
        </w:rPr>
      </w:pPr>
      <w:bookmarkStart w:id="7" w:name="_Toc233937838"/>
      <w:r w:rsidRPr="003B2BCD">
        <w:rPr>
          <w:rFonts w:cstheme="minorBidi"/>
          <w:szCs w:val="22"/>
        </w:rPr>
        <w:t>Recommendations</w:t>
      </w:r>
      <w:bookmarkEnd w:id="7"/>
    </w:p>
    <w:p w14:paraId="35A8B778" w14:textId="272FC627" w:rsidR="00E16895" w:rsidRPr="003B2BCD" w:rsidRDefault="004C12BD" w:rsidP="00331887">
      <w:pPr>
        <w:spacing w:line="360" w:lineRule="auto"/>
        <w:rPr>
          <w:szCs w:val="22"/>
        </w:rPr>
      </w:pPr>
      <w:r w:rsidRPr="003B2BCD">
        <w:rPr>
          <w:szCs w:val="22"/>
        </w:rPr>
        <w:t xml:space="preserve">The journey towards SDG 3 needs a more integrated, preventative approach at all levels. Firstly, governments should boost investments in public health and prevention policies, including in efforts to tackle risk factors such as obesity, smoking, and poor mental health (Garg, 2025). Secondly, policies should be wider social determinants of health policies, including poverty, education, housing and employment, and require cross-sector working. Locally, it requires more </w:t>
      </w:r>
      <w:r w:rsidRPr="003B2BCD">
        <w:rPr>
          <w:szCs w:val="22"/>
        </w:rPr>
        <w:lastRenderedPageBreak/>
        <w:t>funding and manpower support to enhance community-based interventions and to narrow down the gaps in the regions (</w:t>
      </w:r>
      <w:proofErr w:type="spellStart"/>
      <w:r w:rsidRPr="003B2BCD">
        <w:rPr>
          <w:szCs w:val="22"/>
        </w:rPr>
        <w:t>Diyaolu</w:t>
      </w:r>
      <w:proofErr w:type="spellEnd"/>
      <w:r w:rsidRPr="003B2BCD">
        <w:rPr>
          <w:szCs w:val="22"/>
        </w:rPr>
        <w:t xml:space="preserve">, 2025). </w:t>
      </w:r>
      <w:r w:rsidR="00197ED1" w:rsidRPr="003B2BCD">
        <w:rPr>
          <w:szCs w:val="22"/>
        </w:rPr>
        <w:t>Also</w:t>
      </w:r>
      <w:r w:rsidRPr="003B2BCD">
        <w:rPr>
          <w:szCs w:val="22"/>
        </w:rPr>
        <w:t>, there should be a strong focus on increasing access to mental health services and waiting times should be reduced. International cooperation and an equitable distribution of resources is crucial for low-income countries</w:t>
      </w:r>
      <w:r w:rsidR="00EC21CD" w:rsidRPr="003B2BCD">
        <w:rPr>
          <w:szCs w:val="22"/>
        </w:rPr>
        <w:t xml:space="preserve">. </w:t>
      </w:r>
    </w:p>
    <w:p w14:paraId="41F78A34" w14:textId="5FC66290" w:rsidR="00E16895" w:rsidRPr="003B2BCD" w:rsidRDefault="00C77E59" w:rsidP="00331887">
      <w:pPr>
        <w:pStyle w:val="Heading1"/>
        <w:numPr>
          <w:ilvl w:val="0"/>
          <w:numId w:val="1"/>
        </w:numPr>
        <w:spacing w:line="360" w:lineRule="auto"/>
        <w:rPr>
          <w:rFonts w:cstheme="minorBidi"/>
          <w:szCs w:val="22"/>
        </w:rPr>
      </w:pPr>
      <w:bookmarkStart w:id="8" w:name="_Toc233937839"/>
      <w:r w:rsidRPr="003B2BCD">
        <w:rPr>
          <w:rFonts w:cstheme="minorBidi"/>
          <w:szCs w:val="22"/>
        </w:rPr>
        <w:t>Section 2: SDG -4: Quality Education</w:t>
      </w:r>
      <w:bookmarkEnd w:id="8"/>
    </w:p>
    <w:p w14:paraId="58958CAF" w14:textId="2DF46BE9" w:rsidR="00E455B5" w:rsidRPr="003B2BCD" w:rsidRDefault="00E455B5" w:rsidP="00331887">
      <w:pPr>
        <w:pStyle w:val="Heading2"/>
        <w:numPr>
          <w:ilvl w:val="1"/>
          <w:numId w:val="1"/>
        </w:numPr>
        <w:spacing w:line="360" w:lineRule="auto"/>
        <w:rPr>
          <w:rFonts w:cstheme="minorBidi"/>
          <w:szCs w:val="22"/>
        </w:rPr>
      </w:pPr>
      <w:bookmarkStart w:id="9" w:name="_Toc233937840"/>
      <w:r w:rsidRPr="003B2BCD">
        <w:rPr>
          <w:rFonts w:cstheme="minorBidi"/>
          <w:szCs w:val="22"/>
        </w:rPr>
        <w:t>Overview of SDG</w:t>
      </w:r>
      <w:bookmarkEnd w:id="9"/>
    </w:p>
    <w:p w14:paraId="7EB57B92" w14:textId="0AD1BA03" w:rsidR="00AD22BA" w:rsidRPr="003B2BCD" w:rsidRDefault="00C77E59" w:rsidP="00331887">
      <w:pPr>
        <w:spacing w:line="360" w:lineRule="auto"/>
        <w:rPr>
          <w:szCs w:val="22"/>
        </w:rPr>
      </w:pPr>
      <w:r w:rsidRPr="003B2BCD">
        <w:rPr>
          <w:szCs w:val="22"/>
        </w:rPr>
        <w:t>SDG 4 aims to ensure inclusive and equitable quality education and promote lifelong learning opportunities for all (United Nations, 202</w:t>
      </w:r>
      <w:r w:rsidR="005C1BBB" w:rsidRPr="003B2BCD">
        <w:rPr>
          <w:szCs w:val="22"/>
        </w:rPr>
        <w:t>3</w:t>
      </w:r>
      <w:r w:rsidRPr="003B2BCD">
        <w:rPr>
          <w:szCs w:val="22"/>
        </w:rPr>
        <w:t xml:space="preserve">). </w:t>
      </w:r>
      <w:r w:rsidR="00FE1063" w:rsidRPr="003B2BCD">
        <w:rPr>
          <w:szCs w:val="22"/>
        </w:rPr>
        <w:t>Its targets include universal access to primary and secondary education, equal access to higher education, improved literacy and numeracy, and eliminating gender disparities. As education is a major social determinant of health, SDG 4 has a relationship with SDG 3. Increased education fosters health literacy, which helps people comprehend health information, adhere to treatment regimens, and make healthier living choices, and seek treatment more effectively (</w:t>
      </w:r>
      <w:proofErr w:type="spellStart"/>
      <w:r w:rsidR="00FE1063" w:rsidRPr="003B2BCD">
        <w:rPr>
          <w:szCs w:val="22"/>
        </w:rPr>
        <w:t>Zajacova</w:t>
      </w:r>
      <w:proofErr w:type="spellEnd"/>
      <w:r w:rsidR="00FE1063" w:rsidRPr="003B2BCD">
        <w:rPr>
          <w:szCs w:val="22"/>
        </w:rPr>
        <w:t xml:space="preserve"> &amp; Lawrence, 2018). In contrast, limited education increases the risk of poor health outcomes due to low health literacy. In 2024, 273 million children and young people remained out of school, particularly in low-income and conflict-affected countries (UNESCO, 2026). Moreover, low health literacy is linked to poor disease management practices, decreased vaccination rates and increased hospital attendance, underscoring education in achieving SDG 3 (WHO, 2024).</w:t>
      </w:r>
    </w:p>
    <w:p w14:paraId="38A13F02" w14:textId="1F258D96" w:rsidR="00B61F4C" w:rsidRPr="003B2BCD" w:rsidRDefault="005C1BBB" w:rsidP="00305BB4">
      <w:pPr>
        <w:spacing w:line="360" w:lineRule="auto"/>
        <w:jc w:val="center"/>
        <w:rPr>
          <w:szCs w:val="22"/>
        </w:rPr>
      </w:pPr>
      <w:r w:rsidRPr="003B2BCD">
        <w:rPr>
          <w:noProof/>
          <w:szCs w:val="22"/>
        </w:rPr>
        <w:drawing>
          <wp:inline distT="0" distB="0" distL="0" distR="0" wp14:anchorId="00E770DF" wp14:editId="783F66C2">
            <wp:extent cx="4396267" cy="2181225"/>
            <wp:effectExtent l="0" t="0" r="4445" b="0"/>
            <wp:docPr id="375797959" name="Picture 2" descr="123,173 Sdg 4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3,173 Sdg 4 Royalty-Free Images, Stock Photos &amp; Pictures | Shutterstock"/>
                    <pic:cNvPicPr>
                      <a:picLocks noChangeAspect="1" noChangeArrowheads="1"/>
                    </pic:cNvPicPr>
                  </pic:nvPicPr>
                  <pic:blipFill rotWithShape="1">
                    <a:blip r:embed="rId11">
                      <a:extLst>
                        <a:ext uri="{28A0092B-C50C-407E-A947-70E740481C1C}">
                          <a14:useLocalDpi xmlns:a14="http://schemas.microsoft.com/office/drawing/2010/main" val="0"/>
                        </a:ext>
                      </a:extLst>
                    </a:blip>
                    <a:srcRect b="7858"/>
                    <a:stretch>
                      <a:fillRect/>
                    </a:stretch>
                  </pic:blipFill>
                  <pic:spPr bwMode="auto">
                    <a:xfrm>
                      <a:off x="0" y="0"/>
                      <a:ext cx="4397635" cy="2181904"/>
                    </a:xfrm>
                    <a:prstGeom prst="rect">
                      <a:avLst/>
                    </a:prstGeom>
                    <a:noFill/>
                    <a:ln>
                      <a:noFill/>
                    </a:ln>
                    <a:extLst>
                      <a:ext uri="{53640926-AAD7-44D8-BBD7-CCE9431645EC}">
                        <a14:shadowObscured xmlns:a14="http://schemas.microsoft.com/office/drawing/2010/main"/>
                      </a:ext>
                    </a:extLst>
                  </pic:spPr>
                </pic:pic>
              </a:graphicData>
            </a:graphic>
          </wp:inline>
        </w:drawing>
      </w:r>
    </w:p>
    <w:p w14:paraId="6C893822" w14:textId="23190ED3" w:rsidR="00C77E59" w:rsidRPr="003B2BCD" w:rsidRDefault="00B61F4C" w:rsidP="00305BB4">
      <w:pPr>
        <w:pStyle w:val="Caption"/>
        <w:spacing w:line="360" w:lineRule="auto"/>
        <w:jc w:val="center"/>
        <w:rPr>
          <w:sz w:val="22"/>
          <w:szCs w:val="22"/>
        </w:rPr>
      </w:pPr>
      <w:r w:rsidRPr="003B2BCD">
        <w:rPr>
          <w:sz w:val="22"/>
          <w:szCs w:val="22"/>
        </w:rPr>
        <w:t xml:space="preserve">Figure </w:t>
      </w:r>
      <w:r w:rsidRPr="003B2BCD">
        <w:rPr>
          <w:sz w:val="22"/>
          <w:szCs w:val="22"/>
        </w:rPr>
        <w:fldChar w:fldCharType="begin"/>
      </w:r>
      <w:r w:rsidRPr="003B2BCD">
        <w:rPr>
          <w:sz w:val="22"/>
          <w:szCs w:val="22"/>
        </w:rPr>
        <w:instrText xml:space="preserve"> SEQ Figure \* ARABIC </w:instrText>
      </w:r>
      <w:r w:rsidRPr="003B2BCD">
        <w:rPr>
          <w:sz w:val="22"/>
          <w:szCs w:val="22"/>
        </w:rPr>
        <w:fldChar w:fldCharType="separate"/>
      </w:r>
      <w:r w:rsidR="004B58E7" w:rsidRPr="003B2BCD">
        <w:rPr>
          <w:noProof/>
          <w:sz w:val="22"/>
          <w:szCs w:val="22"/>
        </w:rPr>
        <w:t>4</w:t>
      </w:r>
      <w:r w:rsidRPr="003B2BCD">
        <w:rPr>
          <w:sz w:val="22"/>
          <w:szCs w:val="22"/>
        </w:rPr>
        <w:fldChar w:fldCharType="end"/>
      </w:r>
      <w:r w:rsidRPr="003B2BCD">
        <w:rPr>
          <w:sz w:val="22"/>
          <w:szCs w:val="22"/>
        </w:rPr>
        <w:t xml:space="preserve"> SDG 4 (United Nations, 2023)</w:t>
      </w:r>
    </w:p>
    <w:p w14:paraId="5FF33D99" w14:textId="7EDB11DE" w:rsidR="00AD22BA" w:rsidRPr="003B2BCD" w:rsidRDefault="00FE1063" w:rsidP="00331887">
      <w:pPr>
        <w:spacing w:line="360" w:lineRule="auto"/>
        <w:rPr>
          <w:szCs w:val="22"/>
        </w:rPr>
      </w:pPr>
      <w:r w:rsidRPr="003B2BCD">
        <w:rPr>
          <w:szCs w:val="22"/>
        </w:rPr>
        <w:t xml:space="preserve">The Health Belief Model (HBM) addresses how education impacts health behaviour. It proposes that individuals are more inclined to change unhealthy </w:t>
      </w:r>
      <w:r w:rsidR="00A27777" w:rsidRPr="003B2BCD">
        <w:rPr>
          <w:szCs w:val="22"/>
        </w:rPr>
        <w:t>behaviours</w:t>
      </w:r>
      <w:r w:rsidRPr="003B2BCD">
        <w:rPr>
          <w:szCs w:val="22"/>
        </w:rPr>
        <w:t xml:space="preserve"> when they perceive the risks of diseases, the benefits of prevention, and self-confidence in </w:t>
      </w:r>
      <w:r w:rsidR="00A27777" w:rsidRPr="003B2BCD">
        <w:rPr>
          <w:szCs w:val="22"/>
        </w:rPr>
        <w:t>acting</w:t>
      </w:r>
      <w:r w:rsidRPr="003B2BCD">
        <w:rPr>
          <w:szCs w:val="22"/>
        </w:rPr>
        <w:t xml:space="preserve"> (Annuar et al., 2020). </w:t>
      </w:r>
      <w:r w:rsidRPr="003B2BCD">
        <w:rPr>
          <w:szCs w:val="22"/>
        </w:rPr>
        <w:lastRenderedPageBreak/>
        <w:t>Education can contribute towards the health literacy of a person by helping them to comprehend health information, adhere to therapy, and make health decisions. Thus, SDG 4 has direct linkages to SDG 3, for better health behaviours and health outcomes</w:t>
      </w:r>
      <w:r w:rsidR="00AD22BA" w:rsidRPr="003B2BCD">
        <w:rPr>
          <w:szCs w:val="22"/>
        </w:rPr>
        <w:t>.</w:t>
      </w:r>
    </w:p>
    <w:p w14:paraId="4E3A2DE4" w14:textId="31B0776A" w:rsidR="00C77E59" w:rsidRPr="003B2BCD" w:rsidRDefault="0039544F" w:rsidP="00331887">
      <w:pPr>
        <w:pStyle w:val="Heading2"/>
        <w:numPr>
          <w:ilvl w:val="1"/>
          <w:numId w:val="1"/>
        </w:numPr>
        <w:spacing w:line="360" w:lineRule="auto"/>
        <w:rPr>
          <w:rFonts w:cstheme="minorBidi"/>
          <w:szCs w:val="22"/>
        </w:rPr>
      </w:pPr>
      <w:bookmarkStart w:id="10" w:name="_Toc233937841"/>
      <w:r w:rsidRPr="003B2BCD">
        <w:rPr>
          <w:rFonts w:cstheme="minorBidi"/>
          <w:szCs w:val="22"/>
        </w:rPr>
        <w:t>Global Policies</w:t>
      </w:r>
      <w:bookmarkEnd w:id="10"/>
    </w:p>
    <w:p w14:paraId="4AA77C5A" w14:textId="3363BE38" w:rsidR="0039544F" w:rsidRPr="003B2BCD" w:rsidRDefault="00E060D0" w:rsidP="00331887">
      <w:pPr>
        <w:spacing w:line="360" w:lineRule="auto"/>
        <w:rPr>
          <w:szCs w:val="22"/>
        </w:rPr>
      </w:pPr>
      <w:r w:rsidRPr="003B2BCD">
        <w:rPr>
          <w:szCs w:val="22"/>
        </w:rPr>
        <w:t xml:space="preserve">The SDG 4 is supported at the global level through different initiatives such as UNESCO Education 2030 Framework and Global Partnership for Education (GPE), which seek to increase access, enhance quality, and ensure equity for all learning systems globally (UNESCO, 2023). These structures have helped to boost enrolment: primary completion rates are at 88% at the global level. But the pace of progress has been slowed. </w:t>
      </w:r>
      <w:r w:rsidR="00A27777" w:rsidRPr="003B2BCD">
        <w:rPr>
          <w:szCs w:val="22"/>
        </w:rPr>
        <w:t xml:space="preserve">Evidence shows that mothers with secondary education are more likely to vaccinate their children, practise good hygiene, and seek timely healthcare, contributing to lower child mortality </w:t>
      </w:r>
      <w:r w:rsidR="00D47A1E" w:rsidRPr="003B2BCD">
        <w:rPr>
          <w:szCs w:val="22"/>
        </w:rPr>
        <w:t>up to</w:t>
      </w:r>
      <w:r w:rsidR="00A27777" w:rsidRPr="003B2BCD">
        <w:rPr>
          <w:szCs w:val="22"/>
        </w:rPr>
        <w:t xml:space="preserve"> 50% (</w:t>
      </w:r>
      <w:proofErr w:type="spellStart"/>
      <w:r w:rsidR="00A27777" w:rsidRPr="003B2BCD">
        <w:rPr>
          <w:szCs w:val="22"/>
        </w:rPr>
        <w:t>ChildFund</w:t>
      </w:r>
      <w:proofErr w:type="spellEnd"/>
      <w:r w:rsidR="00A27777" w:rsidRPr="003B2BCD">
        <w:rPr>
          <w:szCs w:val="22"/>
        </w:rPr>
        <w:t xml:space="preserve"> Alliance, 2025). Still, poverty, gender inequality, and conflict mean that 251 million children are out of school (UNESCO, 2024). In nations </w:t>
      </w:r>
      <w:r w:rsidR="00683908" w:rsidRPr="003B2BCD">
        <w:rPr>
          <w:szCs w:val="22"/>
        </w:rPr>
        <w:t>like</w:t>
      </w:r>
      <w:r w:rsidR="00A27777" w:rsidRPr="003B2BCD">
        <w:rPr>
          <w:szCs w:val="22"/>
        </w:rPr>
        <w:t xml:space="preserve"> Afghanistan, the lower education rates for girls limit understanding of childbirth, sanitation and family planning, leading to avoidable illness and death. Over a million girls denied the right to learn since ban imposed on secondary education in 2021 (UNICEF, 2026). Using the HBM, education improves health literacy and encourages healthier behaviours, but limited educational quality and persistent inequalities continue to restrict progress towards achieving SDG 3</w:t>
      </w:r>
      <w:r w:rsidR="001C0B69" w:rsidRPr="003B2BCD">
        <w:rPr>
          <w:szCs w:val="22"/>
        </w:rPr>
        <w:t>.</w:t>
      </w:r>
    </w:p>
    <w:p w14:paraId="2C8804F6" w14:textId="77777777" w:rsidR="004B58E7" w:rsidRPr="003B2BCD" w:rsidRDefault="003C6CFB" w:rsidP="00D47A1E">
      <w:pPr>
        <w:keepNext/>
        <w:spacing w:line="360" w:lineRule="auto"/>
        <w:jc w:val="center"/>
        <w:rPr>
          <w:szCs w:val="22"/>
        </w:rPr>
      </w:pPr>
      <w:r w:rsidRPr="003B2BCD">
        <w:rPr>
          <w:noProof/>
          <w:szCs w:val="22"/>
        </w:rPr>
        <w:drawing>
          <wp:inline distT="0" distB="0" distL="0" distR="0" wp14:anchorId="5FAA22DA" wp14:editId="03EC2351">
            <wp:extent cx="3086100" cy="3086100"/>
            <wp:effectExtent l="0" t="0" r="0" b="0"/>
            <wp:docPr id="1535187323" name="Picture 3" descr="Global Education Crisis: 251 Million Children Out of School Amid a  Leadership and Finance Crisis — Edug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obal Education Crisis: 251 Million Children Out of School Amid a  Leadership and Finance Crisis — Edug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inline>
        </w:drawing>
      </w:r>
    </w:p>
    <w:p w14:paraId="08B1C89E" w14:textId="64DEFE83" w:rsidR="003C6CFB" w:rsidRPr="00D47A1E" w:rsidRDefault="004B58E7" w:rsidP="00D47A1E">
      <w:pPr>
        <w:pStyle w:val="Caption"/>
        <w:spacing w:line="360" w:lineRule="auto"/>
        <w:jc w:val="center"/>
        <w:rPr>
          <w:color w:val="auto"/>
          <w:sz w:val="22"/>
          <w:szCs w:val="22"/>
        </w:rPr>
      </w:pPr>
      <w:r w:rsidRPr="00D47A1E">
        <w:rPr>
          <w:color w:val="auto"/>
          <w:sz w:val="22"/>
          <w:szCs w:val="22"/>
        </w:rPr>
        <w:t xml:space="preserve">Figure </w:t>
      </w:r>
      <w:r w:rsidRPr="00D47A1E">
        <w:rPr>
          <w:color w:val="auto"/>
          <w:sz w:val="22"/>
          <w:szCs w:val="22"/>
        </w:rPr>
        <w:fldChar w:fldCharType="begin"/>
      </w:r>
      <w:r w:rsidRPr="00D47A1E">
        <w:rPr>
          <w:color w:val="auto"/>
          <w:sz w:val="22"/>
          <w:szCs w:val="22"/>
        </w:rPr>
        <w:instrText xml:space="preserve"> SEQ Figure \* ARABIC </w:instrText>
      </w:r>
      <w:r w:rsidRPr="00D47A1E">
        <w:rPr>
          <w:color w:val="auto"/>
          <w:sz w:val="22"/>
          <w:szCs w:val="22"/>
        </w:rPr>
        <w:fldChar w:fldCharType="separate"/>
      </w:r>
      <w:r w:rsidRPr="00D47A1E">
        <w:rPr>
          <w:noProof/>
          <w:color w:val="auto"/>
          <w:sz w:val="22"/>
          <w:szCs w:val="22"/>
        </w:rPr>
        <w:t>5</w:t>
      </w:r>
      <w:r w:rsidRPr="00D47A1E">
        <w:rPr>
          <w:color w:val="auto"/>
          <w:sz w:val="22"/>
          <w:szCs w:val="22"/>
        </w:rPr>
        <w:fldChar w:fldCharType="end"/>
      </w:r>
      <w:r w:rsidRPr="00D47A1E">
        <w:rPr>
          <w:color w:val="auto"/>
          <w:sz w:val="22"/>
          <w:szCs w:val="22"/>
        </w:rPr>
        <w:t xml:space="preserve"> Childre remained out of School (UNESCO, 2024)</w:t>
      </w:r>
    </w:p>
    <w:p w14:paraId="76D1C67E" w14:textId="7F1A0A90" w:rsidR="003E7CC3" w:rsidRPr="003B2BCD" w:rsidRDefault="00096808" w:rsidP="00331887">
      <w:pPr>
        <w:pStyle w:val="Heading2"/>
        <w:numPr>
          <w:ilvl w:val="1"/>
          <w:numId w:val="1"/>
        </w:numPr>
        <w:spacing w:line="360" w:lineRule="auto"/>
        <w:rPr>
          <w:rFonts w:cstheme="minorBidi"/>
          <w:szCs w:val="22"/>
        </w:rPr>
      </w:pPr>
      <w:bookmarkStart w:id="11" w:name="_Toc233937842"/>
      <w:r w:rsidRPr="003B2BCD">
        <w:rPr>
          <w:rFonts w:cstheme="minorBidi"/>
          <w:szCs w:val="22"/>
        </w:rPr>
        <w:lastRenderedPageBreak/>
        <w:t>UK National</w:t>
      </w:r>
      <w:r w:rsidR="003E7CC3" w:rsidRPr="003B2BCD">
        <w:rPr>
          <w:rFonts w:cstheme="minorBidi"/>
          <w:szCs w:val="22"/>
        </w:rPr>
        <w:t xml:space="preserve"> Policies</w:t>
      </w:r>
      <w:bookmarkEnd w:id="11"/>
    </w:p>
    <w:p w14:paraId="5BBAEF35" w14:textId="4E6CFC17" w:rsidR="0048680F" w:rsidRPr="003B2BCD" w:rsidRDefault="00CA69AC" w:rsidP="00331887">
      <w:pPr>
        <w:spacing w:line="360" w:lineRule="auto"/>
        <w:rPr>
          <w:szCs w:val="22"/>
        </w:rPr>
      </w:pPr>
      <w:r w:rsidRPr="003B2BCD">
        <w:rPr>
          <w:szCs w:val="22"/>
        </w:rPr>
        <w:t>In the UK, SDG 4 is promoted through policies like Pupil Premium, Skills for Jobs Strategy, and Adult Education Budget, which improve literacy, numeracy and learning (Department for Education, 2023). In addition to literacy this also helps SDG 3 to develop health literacy and understand health information. Individuals with higher education are more likely to attend health screenings, receive vaccinations and adopt healthier lifestyles, while those with limited literacy struggle to understand prescription labels, appointment letters and public health advice (Jordão et al., 2025). For example, people with diabetes who have poor health literacy are more likely to misunderstand dietary guidance and medication instructions, leading to poorer disease management and increased hospital admissions. Likewise, language barriers can lead to difficulties accessing health care or cause medication errors for migrants. According to HBM, education improves individuals' understanding of health risks and confidence in following medical advice (Shao et al., 2018). Yet, policies in the UK remain focused on education rather than on health literacy, and this limits their impact towards SDG3.</w:t>
      </w:r>
    </w:p>
    <w:p w14:paraId="42D26B62" w14:textId="5698B305" w:rsidR="003E7CC3" w:rsidRPr="003B2BCD" w:rsidRDefault="003C6CFB" w:rsidP="00331887">
      <w:pPr>
        <w:pStyle w:val="Heading2"/>
        <w:numPr>
          <w:ilvl w:val="1"/>
          <w:numId w:val="1"/>
        </w:numPr>
        <w:spacing w:line="360" w:lineRule="auto"/>
        <w:rPr>
          <w:rFonts w:cstheme="minorBidi"/>
          <w:szCs w:val="22"/>
        </w:rPr>
      </w:pPr>
      <w:bookmarkStart w:id="12" w:name="_Toc233937843"/>
      <w:r w:rsidRPr="003B2BCD">
        <w:rPr>
          <w:rFonts w:cstheme="minorBidi"/>
          <w:szCs w:val="22"/>
        </w:rPr>
        <w:t>Local Policies</w:t>
      </w:r>
      <w:bookmarkEnd w:id="12"/>
    </w:p>
    <w:p w14:paraId="44C8092D" w14:textId="762CDC82" w:rsidR="003C6CFB" w:rsidRPr="003B2BCD" w:rsidRDefault="00C07FA2" w:rsidP="00331887">
      <w:pPr>
        <w:spacing w:line="360" w:lineRule="auto"/>
        <w:rPr>
          <w:szCs w:val="22"/>
        </w:rPr>
      </w:pPr>
      <w:r w:rsidRPr="003B2BCD">
        <w:rPr>
          <w:szCs w:val="22"/>
        </w:rPr>
        <w:t>Locally, SDG 4 is supported through targeted initiatives like National Tutoring Programme (NTP), implemented across schools to reduce learning loss and attainment gaps following the COVID-19 pandemic. The programme offers small group and one to one tutoring especially amongst the disadvantaged pupils. As of 2023–24, 1.07 million pupils have been supported with tutoring, approximately 45.2% of whom had a disadvantaged background, which proves that educational inequality is being reduced (GOV.UK, 2024)</w:t>
      </w:r>
      <w:r w:rsidR="00616C39" w:rsidRPr="003B2BCD">
        <w:rPr>
          <w:szCs w:val="22"/>
        </w:rPr>
        <w:t>.</w:t>
      </w:r>
      <w:r w:rsidR="00FC0371" w:rsidRPr="003B2BCD">
        <w:rPr>
          <w:szCs w:val="22"/>
        </w:rPr>
        <w:t xml:space="preserve"> </w:t>
      </w:r>
      <w:r w:rsidR="00CA69AC" w:rsidRPr="003B2BCD">
        <w:rPr>
          <w:szCs w:val="22"/>
        </w:rPr>
        <w:t>Many local authorities also provide English for Speakers of Other Languages (ESOL) classes which allow migrants and refugees to communicate with healthcare providers, comprehend prescription information, and gain better access to NHS services. Community-based health education programmes educate parents on childhood immunisation, healthy nutrition, breastfeeding and prevention of diseases, education and health-related education (</w:t>
      </w:r>
      <w:proofErr w:type="spellStart"/>
      <w:r w:rsidR="00CA69AC" w:rsidRPr="003B2BCD">
        <w:rPr>
          <w:szCs w:val="22"/>
        </w:rPr>
        <w:t>Awofala</w:t>
      </w:r>
      <w:proofErr w:type="spellEnd"/>
      <w:r w:rsidR="00CA69AC" w:rsidRPr="003B2BCD">
        <w:rPr>
          <w:szCs w:val="22"/>
        </w:rPr>
        <w:t xml:space="preserve"> &amp; </w:t>
      </w:r>
      <w:proofErr w:type="spellStart"/>
      <w:r w:rsidR="00CA69AC" w:rsidRPr="003B2BCD">
        <w:rPr>
          <w:szCs w:val="22"/>
        </w:rPr>
        <w:t>Bilikis</w:t>
      </w:r>
      <w:proofErr w:type="spellEnd"/>
      <w:r w:rsidR="00CA69AC" w:rsidRPr="003B2BCD">
        <w:rPr>
          <w:szCs w:val="22"/>
        </w:rPr>
        <w:t xml:space="preserve">, 2024). However, inequalities remain. Funding constraints affected participation in educational support programs, with disadvantaged populations having less education and lower health indicators. According to HBM, improving access to education alone is insufficient unless individuals receive appropriate health education that enables them to understand risks, interpret medical advice and adopt healthy behaviours </w:t>
      </w:r>
      <w:r w:rsidR="00F467D2" w:rsidRPr="003B2BCD">
        <w:rPr>
          <w:szCs w:val="22"/>
        </w:rPr>
        <w:t>(</w:t>
      </w:r>
      <w:proofErr w:type="spellStart"/>
      <w:r w:rsidR="00F467D2" w:rsidRPr="003B2BCD">
        <w:rPr>
          <w:szCs w:val="22"/>
        </w:rPr>
        <w:t>Koelen</w:t>
      </w:r>
      <w:proofErr w:type="spellEnd"/>
      <w:r w:rsidR="00F467D2" w:rsidRPr="003B2BCD">
        <w:rPr>
          <w:szCs w:val="22"/>
        </w:rPr>
        <w:t xml:space="preserve"> &amp; Van, 2023)</w:t>
      </w:r>
      <w:r w:rsidR="004045F3" w:rsidRPr="003B2BCD">
        <w:rPr>
          <w:szCs w:val="22"/>
        </w:rPr>
        <w:t xml:space="preserve">. </w:t>
      </w:r>
    </w:p>
    <w:p w14:paraId="10AAB7F0" w14:textId="1CDCDC92" w:rsidR="007E60B9" w:rsidRPr="003B2BCD" w:rsidRDefault="007E60B9" w:rsidP="00331887">
      <w:pPr>
        <w:pStyle w:val="Heading2"/>
        <w:numPr>
          <w:ilvl w:val="1"/>
          <w:numId w:val="1"/>
        </w:numPr>
        <w:spacing w:line="360" w:lineRule="auto"/>
        <w:rPr>
          <w:rFonts w:cstheme="minorBidi"/>
          <w:szCs w:val="22"/>
        </w:rPr>
      </w:pPr>
      <w:bookmarkStart w:id="13" w:name="_Toc233937844"/>
      <w:r w:rsidRPr="003B2BCD">
        <w:rPr>
          <w:rFonts w:cstheme="minorBidi"/>
          <w:szCs w:val="22"/>
        </w:rPr>
        <w:lastRenderedPageBreak/>
        <w:t>Critical Evaluation</w:t>
      </w:r>
      <w:bookmarkEnd w:id="13"/>
    </w:p>
    <w:p w14:paraId="28E19DF8" w14:textId="2655F137" w:rsidR="00827B87" w:rsidRPr="003B2BCD" w:rsidRDefault="00CA69AC" w:rsidP="00331887">
      <w:pPr>
        <w:spacing w:line="360" w:lineRule="auto"/>
        <w:rPr>
          <w:szCs w:val="22"/>
        </w:rPr>
      </w:pPr>
      <w:r w:rsidRPr="003B2BCD">
        <w:rPr>
          <w:szCs w:val="22"/>
        </w:rPr>
        <w:t>Access to education and literacy were increased through SDG 4, which reflected a global positive impact in health literacy and health promotion. However, progress is not yet at a level that is sufficient to meet 2030 targets, and progress varies across areas. While school enrolment has risen, there are many who still do not have knowledge and skills to access medical information, adhere to treatment regimes, and adopt health prevention practices (Auld et al., 2020). Poverty, gender inequality, conflict and language barriers are reducing educational and health outcomes due to structural limitations. In terms of HBM, policies had a positive effect on access to education but not individuals' awareness of health risks, health benefits, and self-efficacy (Taba et al., 2022). Therefore, the education gaps remain a significant hindrance to SDG3, affecting ability to prevent disease, access health services and to maintain long-term health</w:t>
      </w:r>
      <w:r w:rsidR="00827B87" w:rsidRPr="003B2BCD">
        <w:rPr>
          <w:szCs w:val="22"/>
        </w:rPr>
        <w:t>.</w:t>
      </w:r>
    </w:p>
    <w:p w14:paraId="311272B5" w14:textId="4C600C1C" w:rsidR="00690A66" w:rsidRPr="003B2BCD" w:rsidRDefault="00690A66" w:rsidP="00331887">
      <w:pPr>
        <w:pStyle w:val="Heading2"/>
        <w:numPr>
          <w:ilvl w:val="1"/>
          <w:numId w:val="1"/>
        </w:numPr>
        <w:spacing w:line="360" w:lineRule="auto"/>
        <w:rPr>
          <w:rFonts w:cstheme="minorBidi"/>
          <w:szCs w:val="22"/>
        </w:rPr>
      </w:pPr>
      <w:bookmarkStart w:id="14" w:name="_Toc233937845"/>
      <w:r w:rsidRPr="003B2BCD">
        <w:rPr>
          <w:rFonts w:cstheme="minorBidi"/>
          <w:szCs w:val="22"/>
        </w:rPr>
        <w:t>Recommendations</w:t>
      </w:r>
      <w:bookmarkEnd w:id="14"/>
    </w:p>
    <w:p w14:paraId="4B0A1B3F" w14:textId="0593F6ED" w:rsidR="00690A66" w:rsidRPr="003B2BCD" w:rsidRDefault="006D5210" w:rsidP="00331887">
      <w:pPr>
        <w:spacing w:line="360" w:lineRule="auto"/>
        <w:rPr>
          <w:szCs w:val="22"/>
        </w:rPr>
      </w:pPr>
      <w:r w:rsidRPr="003B2BCD">
        <w:rPr>
          <w:szCs w:val="22"/>
        </w:rPr>
        <w:t>To support SDG 3 progress SDG 4 policies must be accompanied by health promotion to in turn bolster education policies. Governments need to refine and boost funding for communities in need, enhance literacy programmes and incorporate health literacy in educational curricula for adults and learners (Aidoo, 2023). More support to ESOL programmes and culturally appropriate health communication would lead to less language barrier and better access to health care (Pandey et al., 2021). Lastly, greater integration between education and health and local government is required to address broader social determinants of health and ensure that better learning results in longer health spans</w:t>
      </w:r>
      <w:r w:rsidR="006907B9" w:rsidRPr="003B2BCD">
        <w:rPr>
          <w:szCs w:val="22"/>
        </w:rPr>
        <w:t>.</w:t>
      </w:r>
    </w:p>
    <w:p w14:paraId="43D3076E" w14:textId="64A7F40D" w:rsidR="00052159" w:rsidRPr="003B2BCD" w:rsidRDefault="005E7652" w:rsidP="00331887">
      <w:pPr>
        <w:pStyle w:val="Heading1"/>
        <w:numPr>
          <w:ilvl w:val="0"/>
          <w:numId w:val="1"/>
        </w:numPr>
        <w:spacing w:line="360" w:lineRule="auto"/>
        <w:rPr>
          <w:rFonts w:cstheme="minorBidi"/>
          <w:szCs w:val="22"/>
        </w:rPr>
      </w:pPr>
      <w:bookmarkStart w:id="15" w:name="_Toc233937846"/>
      <w:r w:rsidRPr="003B2BCD">
        <w:rPr>
          <w:rFonts w:cstheme="minorBidi"/>
          <w:szCs w:val="22"/>
        </w:rPr>
        <w:t>Conclusion</w:t>
      </w:r>
      <w:bookmarkEnd w:id="15"/>
    </w:p>
    <w:p w14:paraId="46CCFC91" w14:textId="6EA1B92D" w:rsidR="000639AF" w:rsidRPr="003B2BCD" w:rsidRDefault="00AA4118" w:rsidP="003E2BC9">
      <w:pPr>
        <w:spacing w:line="360" w:lineRule="auto"/>
        <w:rPr>
          <w:szCs w:val="22"/>
        </w:rPr>
      </w:pPr>
      <w:r w:rsidRPr="003B2BCD">
        <w:rPr>
          <w:szCs w:val="22"/>
        </w:rPr>
        <w:t xml:space="preserve">There are tight links between SDG 3 and SDG 4, with education affecting health literacy, access to health and health behaviour, and good health enhancing participation in education and life-long learning. Although global, national and local initiatives have improved healthcare and educational access, persistent inequalities related to poverty, gender, language and deprivation continue to limit progress towards the 2030 Agenda. </w:t>
      </w:r>
    </w:p>
    <w:p w14:paraId="07A690A6" w14:textId="77777777" w:rsidR="000639AF" w:rsidRPr="003B2BCD" w:rsidRDefault="000639AF" w:rsidP="00331887">
      <w:pPr>
        <w:spacing w:line="360" w:lineRule="auto"/>
        <w:rPr>
          <w:szCs w:val="22"/>
        </w:rPr>
      </w:pPr>
    </w:p>
    <w:p w14:paraId="765B3A15" w14:textId="77777777" w:rsidR="000639AF" w:rsidRPr="003B2BCD" w:rsidRDefault="000639AF" w:rsidP="00331887">
      <w:pPr>
        <w:spacing w:line="360" w:lineRule="auto"/>
        <w:rPr>
          <w:szCs w:val="22"/>
        </w:rPr>
      </w:pPr>
    </w:p>
    <w:p w14:paraId="190340EC" w14:textId="77777777" w:rsidR="001B08EA" w:rsidRPr="003B2BCD" w:rsidRDefault="001B08EA" w:rsidP="00331887">
      <w:pPr>
        <w:spacing w:line="360" w:lineRule="auto"/>
        <w:rPr>
          <w:szCs w:val="22"/>
        </w:rPr>
      </w:pPr>
    </w:p>
    <w:p w14:paraId="2483CBCF" w14:textId="396F85CD" w:rsidR="00797320" w:rsidRPr="003B2BCD" w:rsidRDefault="00581FE2" w:rsidP="00331887">
      <w:pPr>
        <w:pStyle w:val="Heading1"/>
        <w:spacing w:line="360" w:lineRule="auto"/>
        <w:rPr>
          <w:rFonts w:cstheme="minorBidi"/>
          <w:szCs w:val="22"/>
        </w:rPr>
      </w:pPr>
      <w:bookmarkStart w:id="16" w:name="_Toc233937847"/>
      <w:r w:rsidRPr="003B2BCD">
        <w:rPr>
          <w:rFonts w:cstheme="minorBidi"/>
          <w:szCs w:val="22"/>
        </w:rPr>
        <w:lastRenderedPageBreak/>
        <w:t>References</w:t>
      </w:r>
      <w:bookmarkEnd w:id="16"/>
    </w:p>
    <w:p w14:paraId="42FA3EDE" w14:textId="77777777" w:rsidR="00F45B1A" w:rsidRPr="001B08EA" w:rsidRDefault="00F45B1A" w:rsidP="001B08EA">
      <w:pPr>
        <w:spacing w:line="360" w:lineRule="auto"/>
        <w:rPr>
          <w:szCs w:val="22"/>
        </w:rPr>
      </w:pPr>
      <w:r w:rsidRPr="001B08EA">
        <w:rPr>
          <w:szCs w:val="22"/>
        </w:rPr>
        <w:t>Aidoo, E. M. (2023). Social determinants of health: examining poverty, housing, and education in widening US healthcare access disparities. </w:t>
      </w:r>
      <w:r w:rsidRPr="001B08EA">
        <w:rPr>
          <w:i/>
          <w:iCs/>
          <w:szCs w:val="22"/>
        </w:rPr>
        <w:t>World Journal of Advanced Research and Reviews</w:t>
      </w:r>
      <w:r w:rsidRPr="001B08EA">
        <w:rPr>
          <w:szCs w:val="22"/>
        </w:rPr>
        <w:t>, </w:t>
      </w:r>
      <w:r w:rsidRPr="001B08EA">
        <w:rPr>
          <w:i/>
          <w:iCs/>
          <w:szCs w:val="22"/>
        </w:rPr>
        <w:t>20</w:t>
      </w:r>
      <w:r w:rsidRPr="001B08EA">
        <w:rPr>
          <w:szCs w:val="22"/>
        </w:rPr>
        <w:t xml:space="preserve">(1), 1370-89. </w:t>
      </w:r>
      <w:hyperlink r:id="rId13" w:history="1">
        <w:r w:rsidRPr="001B08EA">
          <w:rPr>
            <w:rStyle w:val="Hyperlink"/>
            <w:szCs w:val="22"/>
          </w:rPr>
          <w:t>https://doi.org/10.30574/wjarr.2023.20.1.2018</w:t>
        </w:r>
      </w:hyperlink>
      <w:r w:rsidRPr="001B08EA">
        <w:rPr>
          <w:szCs w:val="22"/>
        </w:rPr>
        <w:t xml:space="preserve"> </w:t>
      </w:r>
    </w:p>
    <w:p w14:paraId="154A9DE6" w14:textId="77777777" w:rsidR="00F45B1A" w:rsidRPr="001B08EA" w:rsidRDefault="00F45B1A" w:rsidP="001B08EA">
      <w:pPr>
        <w:spacing w:line="360" w:lineRule="auto"/>
        <w:rPr>
          <w:szCs w:val="22"/>
        </w:rPr>
      </w:pPr>
      <w:r w:rsidRPr="001B08EA">
        <w:rPr>
          <w:szCs w:val="22"/>
        </w:rPr>
        <w:t xml:space="preserve">Auld, M. E., Allen, M. P., Hampton, C., Montes, J. H., Sherry, C., </w:t>
      </w:r>
      <w:proofErr w:type="spellStart"/>
      <w:r w:rsidRPr="001B08EA">
        <w:rPr>
          <w:szCs w:val="22"/>
        </w:rPr>
        <w:t>Mickalide</w:t>
      </w:r>
      <w:proofErr w:type="spellEnd"/>
      <w:r w:rsidRPr="001B08EA">
        <w:rPr>
          <w:szCs w:val="22"/>
        </w:rPr>
        <w:t>, A. D., ... &amp; Parson, K. (2020). Health literacy and health education in schools: collaboration for action. </w:t>
      </w:r>
      <w:r w:rsidRPr="001B08EA">
        <w:rPr>
          <w:i/>
          <w:iCs/>
          <w:szCs w:val="22"/>
        </w:rPr>
        <w:t>NAM perspectives</w:t>
      </w:r>
      <w:r w:rsidRPr="001B08EA">
        <w:rPr>
          <w:szCs w:val="22"/>
        </w:rPr>
        <w:t>, </w:t>
      </w:r>
      <w:r w:rsidRPr="001B08EA">
        <w:rPr>
          <w:i/>
          <w:iCs/>
          <w:szCs w:val="22"/>
        </w:rPr>
        <w:t>2020</w:t>
      </w:r>
      <w:r w:rsidRPr="001B08EA">
        <w:rPr>
          <w:szCs w:val="22"/>
        </w:rPr>
        <w:t>, 10-31478.</w:t>
      </w:r>
    </w:p>
    <w:p w14:paraId="6A982C76" w14:textId="77777777" w:rsidR="00F45B1A" w:rsidRPr="001B08EA" w:rsidRDefault="00F45B1A" w:rsidP="001B08EA">
      <w:pPr>
        <w:spacing w:line="360" w:lineRule="auto"/>
        <w:rPr>
          <w:szCs w:val="22"/>
        </w:rPr>
      </w:pPr>
      <w:proofErr w:type="spellStart"/>
      <w:r w:rsidRPr="001B08EA">
        <w:rPr>
          <w:szCs w:val="22"/>
        </w:rPr>
        <w:t>Awofala</w:t>
      </w:r>
      <w:proofErr w:type="spellEnd"/>
      <w:r w:rsidRPr="001B08EA">
        <w:rPr>
          <w:szCs w:val="22"/>
        </w:rPr>
        <w:t xml:space="preserve">, T. B., &amp; </w:t>
      </w:r>
      <w:proofErr w:type="spellStart"/>
      <w:r w:rsidRPr="001B08EA">
        <w:rPr>
          <w:szCs w:val="22"/>
        </w:rPr>
        <w:t>Bilikis</w:t>
      </w:r>
      <w:proofErr w:type="spellEnd"/>
      <w:r w:rsidRPr="001B08EA">
        <w:rPr>
          <w:szCs w:val="22"/>
        </w:rPr>
        <w:t>, L. A. (2024). Parental health education and its influence on early childhood learning. </w:t>
      </w:r>
      <w:r w:rsidRPr="001B08EA">
        <w:rPr>
          <w:i/>
          <w:iCs/>
          <w:szCs w:val="22"/>
        </w:rPr>
        <w:t>World Journal of Biology Pharmacy and Health Sciences</w:t>
      </w:r>
      <w:r w:rsidRPr="001B08EA">
        <w:rPr>
          <w:szCs w:val="22"/>
        </w:rPr>
        <w:t>, </w:t>
      </w:r>
      <w:r w:rsidRPr="001B08EA">
        <w:rPr>
          <w:i/>
          <w:iCs/>
          <w:szCs w:val="22"/>
        </w:rPr>
        <w:t>20</w:t>
      </w:r>
      <w:r w:rsidRPr="001B08EA">
        <w:rPr>
          <w:szCs w:val="22"/>
        </w:rPr>
        <w:t xml:space="preserve">(3), 241-247. </w:t>
      </w:r>
      <w:hyperlink r:id="rId14" w:history="1">
        <w:r w:rsidRPr="001B08EA">
          <w:rPr>
            <w:rStyle w:val="Hyperlink"/>
            <w:szCs w:val="22"/>
          </w:rPr>
          <w:t>https://doi.org/10.30574/wjbphs.2024.20.3.1004</w:t>
        </w:r>
      </w:hyperlink>
      <w:r w:rsidRPr="001B08EA">
        <w:rPr>
          <w:szCs w:val="22"/>
        </w:rPr>
        <w:t xml:space="preserve"> </w:t>
      </w:r>
    </w:p>
    <w:p w14:paraId="62E27938" w14:textId="1C340540" w:rsidR="007F79D5" w:rsidRPr="001B08EA" w:rsidRDefault="007F79D5" w:rsidP="001B08EA">
      <w:pPr>
        <w:spacing w:line="360" w:lineRule="auto"/>
        <w:rPr>
          <w:szCs w:val="22"/>
        </w:rPr>
      </w:pPr>
      <w:r w:rsidRPr="001B08EA">
        <w:rPr>
          <w:szCs w:val="22"/>
        </w:rPr>
        <w:t xml:space="preserve">Anuar, H., Shah, S. A., Gafor, H., Mahmood, M. I., &amp; Ghazi, H. F. (2020). Usage of Health Belief Model (HBM) in health </w:t>
      </w:r>
      <w:proofErr w:type="spellStart"/>
      <w:r w:rsidRPr="001B08EA">
        <w:rPr>
          <w:szCs w:val="22"/>
        </w:rPr>
        <w:t>behavior</w:t>
      </w:r>
      <w:proofErr w:type="spellEnd"/>
      <w:r w:rsidRPr="001B08EA">
        <w:rPr>
          <w:szCs w:val="22"/>
        </w:rPr>
        <w:t>: A systematic review. </w:t>
      </w:r>
      <w:r w:rsidRPr="001B08EA">
        <w:rPr>
          <w:i/>
          <w:iCs/>
          <w:szCs w:val="22"/>
        </w:rPr>
        <w:t>Malaysian Journal of Medicine and Health Sciences</w:t>
      </w:r>
      <w:r w:rsidRPr="001B08EA">
        <w:rPr>
          <w:szCs w:val="22"/>
        </w:rPr>
        <w:t>, </w:t>
      </w:r>
      <w:r w:rsidRPr="001B08EA">
        <w:rPr>
          <w:i/>
          <w:iCs/>
          <w:szCs w:val="22"/>
        </w:rPr>
        <w:t>16</w:t>
      </w:r>
      <w:r w:rsidRPr="001B08EA">
        <w:rPr>
          <w:szCs w:val="22"/>
        </w:rPr>
        <w:t xml:space="preserve">(11), 2636-9346. </w:t>
      </w:r>
    </w:p>
    <w:p w14:paraId="6AEE95A3" w14:textId="77777777" w:rsidR="00F45B1A" w:rsidRPr="001B08EA" w:rsidRDefault="00F45B1A" w:rsidP="001B08EA">
      <w:pPr>
        <w:spacing w:line="360" w:lineRule="auto"/>
        <w:rPr>
          <w:szCs w:val="22"/>
        </w:rPr>
      </w:pPr>
      <w:proofErr w:type="spellStart"/>
      <w:r w:rsidRPr="001B08EA">
        <w:rPr>
          <w:szCs w:val="22"/>
        </w:rPr>
        <w:t>ChildFund</w:t>
      </w:r>
      <w:proofErr w:type="spellEnd"/>
      <w:r w:rsidRPr="001B08EA">
        <w:rPr>
          <w:szCs w:val="22"/>
        </w:rPr>
        <w:t xml:space="preserve"> Alliance (2023). </w:t>
      </w:r>
      <w:r w:rsidRPr="001B08EA">
        <w:rPr>
          <w:i/>
          <w:iCs/>
          <w:szCs w:val="22"/>
        </w:rPr>
        <w:t xml:space="preserve">Education: A Beacon for Child Survival and Thriving Communities - </w:t>
      </w:r>
      <w:proofErr w:type="spellStart"/>
      <w:r w:rsidRPr="001B08EA">
        <w:rPr>
          <w:i/>
          <w:iCs/>
          <w:szCs w:val="22"/>
        </w:rPr>
        <w:t>ChildFund</w:t>
      </w:r>
      <w:proofErr w:type="spellEnd"/>
      <w:r w:rsidRPr="001B08EA">
        <w:rPr>
          <w:i/>
          <w:iCs/>
          <w:szCs w:val="22"/>
        </w:rPr>
        <w:t xml:space="preserve"> Alliance</w:t>
      </w:r>
      <w:r w:rsidRPr="001B08EA">
        <w:rPr>
          <w:szCs w:val="22"/>
        </w:rPr>
        <w:t xml:space="preserve">. [online] </w:t>
      </w:r>
      <w:proofErr w:type="spellStart"/>
      <w:r w:rsidRPr="001B08EA">
        <w:rPr>
          <w:szCs w:val="22"/>
        </w:rPr>
        <w:t>ChildFund</w:t>
      </w:r>
      <w:proofErr w:type="spellEnd"/>
      <w:r w:rsidRPr="001B08EA">
        <w:rPr>
          <w:szCs w:val="22"/>
        </w:rPr>
        <w:t xml:space="preserve"> Alliance -. Available at: </w:t>
      </w:r>
      <w:hyperlink r:id="rId15" w:history="1">
        <w:r w:rsidRPr="001B08EA">
          <w:rPr>
            <w:rStyle w:val="Hyperlink"/>
            <w:szCs w:val="22"/>
          </w:rPr>
          <w:t>https://childfundalliance.org/blog/2023/11/21/education-a-beacon-for-child-survival-and-thriving-communities/</w:t>
        </w:r>
      </w:hyperlink>
      <w:r w:rsidRPr="001B08EA">
        <w:rPr>
          <w:szCs w:val="22"/>
        </w:rPr>
        <w:t>.</w:t>
      </w:r>
    </w:p>
    <w:p w14:paraId="5DEF8832" w14:textId="77777777" w:rsidR="00F45B1A" w:rsidRPr="001B08EA" w:rsidRDefault="00F45B1A" w:rsidP="001B08EA">
      <w:pPr>
        <w:spacing w:line="360" w:lineRule="auto"/>
        <w:rPr>
          <w:szCs w:val="22"/>
        </w:rPr>
      </w:pPr>
      <w:r w:rsidRPr="00305983">
        <w:rPr>
          <w:szCs w:val="22"/>
          <w:lang w:val="it-IT"/>
        </w:rPr>
        <w:t xml:space="preserve">Collins, R., </w:t>
      </w:r>
      <w:proofErr w:type="spellStart"/>
      <w:r w:rsidRPr="00305983">
        <w:rPr>
          <w:szCs w:val="22"/>
          <w:lang w:val="it-IT"/>
        </w:rPr>
        <w:t>Silarova</w:t>
      </w:r>
      <w:proofErr w:type="spellEnd"/>
      <w:r w:rsidRPr="00305983">
        <w:rPr>
          <w:szCs w:val="22"/>
          <w:lang w:val="it-IT"/>
        </w:rPr>
        <w:t xml:space="preserve">, B., &amp; Clare, L. (2019). </w:t>
      </w:r>
      <w:r w:rsidRPr="001B08EA">
        <w:rPr>
          <w:szCs w:val="22"/>
        </w:rPr>
        <w:t>Dementia primary prevention policies and strategies and their local implementation: A scoping review using England as a case study. </w:t>
      </w:r>
      <w:r w:rsidRPr="001B08EA">
        <w:rPr>
          <w:i/>
          <w:iCs/>
          <w:szCs w:val="22"/>
        </w:rPr>
        <w:t>Journal of Alzheimer’s Disease</w:t>
      </w:r>
      <w:r w:rsidRPr="001B08EA">
        <w:rPr>
          <w:szCs w:val="22"/>
        </w:rPr>
        <w:t>, </w:t>
      </w:r>
      <w:r w:rsidRPr="001B08EA">
        <w:rPr>
          <w:i/>
          <w:iCs/>
          <w:szCs w:val="22"/>
        </w:rPr>
        <w:t>70</w:t>
      </w:r>
      <w:r w:rsidRPr="001B08EA">
        <w:rPr>
          <w:szCs w:val="22"/>
        </w:rPr>
        <w:t>(s1), S303-S318.</w:t>
      </w:r>
    </w:p>
    <w:p w14:paraId="4948DB47" w14:textId="77777777" w:rsidR="00F45B1A" w:rsidRPr="001B08EA" w:rsidRDefault="00F45B1A" w:rsidP="001B08EA">
      <w:pPr>
        <w:spacing w:line="360" w:lineRule="auto"/>
        <w:rPr>
          <w:szCs w:val="22"/>
        </w:rPr>
      </w:pPr>
      <w:r w:rsidRPr="001B08EA">
        <w:rPr>
          <w:szCs w:val="22"/>
        </w:rPr>
        <w:t>Dahlgren, G., &amp; Whitehead, M. (1991). Policies and strategies to promote social equity in health. </w:t>
      </w:r>
      <w:r w:rsidRPr="001B08EA">
        <w:rPr>
          <w:i/>
          <w:iCs/>
          <w:szCs w:val="22"/>
        </w:rPr>
        <w:t>Stockholm: Institute for future studies</w:t>
      </w:r>
      <w:r w:rsidRPr="001B08EA">
        <w:rPr>
          <w:szCs w:val="22"/>
        </w:rPr>
        <w:t>, </w:t>
      </w:r>
      <w:r w:rsidRPr="001B08EA">
        <w:rPr>
          <w:i/>
          <w:iCs/>
          <w:szCs w:val="22"/>
        </w:rPr>
        <w:t>27</w:t>
      </w:r>
      <w:r w:rsidRPr="001B08EA">
        <w:rPr>
          <w:szCs w:val="22"/>
        </w:rPr>
        <w:t xml:space="preserve">(1), 4-41. </w:t>
      </w:r>
      <w:hyperlink r:id="rId16" w:history="1">
        <w:r w:rsidRPr="001B08EA">
          <w:rPr>
            <w:rStyle w:val="Hyperlink"/>
            <w:szCs w:val="22"/>
          </w:rPr>
          <w:t>https://doi.org/10.3233/jad-180608</w:t>
        </w:r>
      </w:hyperlink>
      <w:r w:rsidRPr="001B08EA">
        <w:rPr>
          <w:szCs w:val="22"/>
        </w:rPr>
        <w:t xml:space="preserve"> </w:t>
      </w:r>
    </w:p>
    <w:p w14:paraId="0B1108F7" w14:textId="77777777" w:rsidR="00F45B1A" w:rsidRPr="001B08EA" w:rsidRDefault="00F45B1A" w:rsidP="001B08EA">
      <w:pPr>
        <w:spacing w:line="360" w:lineRule="auto"/>
        <w:rPr>
          <w:szCs w:val="22"/>
        </w:rPr>
      </w:pPr>
      <w:r w:rsidRPr="001B08EA">
        <w:rPr>
          <w:szCs w:val="22"/>
        </w:rPr>
        <w:t>Dahlgren, G., &amp; Whitehead, M. (2021). The Dahlgren-Whitehead model of health determinants: 30 years on and still chasing rainbows. </w:t>
      </w:r>
      <w:r w:rsidRPr="001B08EA">
        <w:rPr>
          <w:i/>
          <w:iCs/>
          <w:szCs w:val="22"/>
        </w:rPr>
        <w:t>Public health</w:t>
      </w:r>
      <w:r w:rsidRPr="001B08EA">
        <w:rPr>
          <w:szCs w:val="22"/>
        </w:rPr>
        <w:t>, </w:t>
      </w:r>
      <w:r w:rsidRPr="001B08EA">
        <w:rPr>
          <w:i/>
          <w:iCs/>
          <w:szCs w:val="22"/>
        </w:rPr>
        <w:t>199</w:t>
      </w:r>
      <w:r w:rsidRPr="001B08EA">
        <w:rPr>
          <w:szCs w:val="22"/>
        </w:rPr>
        <w:t xml:space="preserve">, 20-24. </w:t>
      </w:r>
      <w:hyperlink r:id="rId17" w:history="1">
        <w:r w:rsidRPr="001B08EA">
          <w:rPr>
            <w:rStyle w:val="Hyperlink"/>
            <w:szCs w:val="22"/>
          </w:rPr>
          <w:t>https://doi.org/10.1016/j.puhe.2021.08.009</w:t>
        </w:r>
      </w:hyperlink>
      <w:r w:rsidRPr="001B08EA">
        <w:rPr>
          <w:szCs w:val="22"/>
        </w:rPr>
        <w:t xml:space="preserve"> </w:t>
      </w:r>
    </w:p>
    <w:p w14:paraId="27919ADD"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Department for Education (2025). </w:t>
      </w:r>
      <w:r w:rsidRPr="003B2BCD">
        <w:rPr>
          <w:rFonts w:asciiTheme="minorBidi" w:hAnsiTheme="minorBidi" w:cstheme="minorBidi"/>
          <w:i/>
          <w:iCs/>
          <w:szCs w:val="22"/>
        </w:rPr>
        <w:t>Pupil Premium: Overview</w:t>
      </w:r>
      <w:r w:rsidRPr="003B2BCD">
        <w:rPr>
          <w:rFonts w:asciiTheme="minorBidi" w:hAnsiTheme="minorBidi" w:cstheme="minorBidi"/>
          <w:szCs w:val="22"/>
        </w:rPr>
        <w:t xml:space="preserve">. [online] Gov.UK. Available at: </w:t>
      </w:r>
      <w:hyperlink r:id="rId18" w:history="1">
        <w:r w:rsidRPr="003B2BCD">
          <w:rPr>
            <w:rStyle w:val="Hyperlink"/>
            <w:rFonts w:asciiTheme="minorBidi" w:hAnsiTheme="minorBidi" w:cstheme="minorBidi"/>
            <w:szCs w:val="22"/>
          </w:rPr>
          <w:t>https://www.gov.uk/government/publications/pupil-premium/pupil-premium</w:t>
        </w:r>
      </w:hyperlink>
      <w:r w:rsidRPr="003B2BCD">
        <w:rPr>
          <w:rFonts w:asciiTheme="minorBidi" w:hAnsiTheme="minorBidi" w:cstheme="minorBidi"/>
          <w:szCs w:val="22"/>
        </w:rPr>
        <w:t xml:space="preserve">. </w:t>
      </w:r>
    </w:p>
    <w:p w14:paraId="17EECD6E" w14:textId="77777777" w:rsidR="00F45B1A" w:rsidRPr="001B08EA" w:rsidRDefault="00F45B1A" w:rsidP="001B08EA">
      <w:pPr>
        <w:spacing w:line="360" w:lineRule="auto"/>
        <w:rPr>
          <w:szCs w:val="22"/>
        </w:rPr>
      </w:pPr>
      <w:proofErr w:type="spellStart"/>
      <w:r w:rsidRPr="001B08EA">
        <w:rPr>
          <w:szCs w:val="22"/>
        </w:rPr>
        <w:t>Diyaolu</w:t>
      </w:r>
      <w:proofErr w:type="spellEnd"/>
      <w:r w:rsidRPr="001B08EA">
        <w:rPr>
          <w:szCs w:val="22"/>
        </w:rPr>
        <w:t xml:space="preserve">, C. O. (2025). Advancing maternal, child, and mental health equity: A community-driven model for reducing health disparities and strengthening public health resilience in underserved </w:t>
      </w:r>
      <w:r w:rsidRPr="001B08EA">
        <w:rPr>
          <w:szCs w:val="22"/>
        </w:rPr>
        <w:lastRenderedPageBreak/>
        <w:t>US communities. </w:t>
      </w:r>
      <w:r w:rsidRPr="001B08EA">
        <w:rPr>
          <w:i/>
          <w:iCs/>
          <w:szCs w:val="22"/>
        </w:rPr>
        <w:t>World J Adv Res Rev</w:t>
      </w:r>
      <w:r w:rsidRPr="001B08EA">
        <w:rPr>
          <w:szCs w:val="22"/>
        </w:rPr>
        <w:t>, </w:t>
      </w:r>
      <w:r w:rsidRPr="001B08EA">
        <w:rPr>
          <w:i/>
          <w:iCs/>
          <w:szCs w:val="22"/>
        </w:rPr>
        <w:t>26</w:t>
      </w:r>
      <w:r w:rsidRPr="001B08EA">
        <w:rPr>
          <w:szCs w:val="22"/>
        </w:rPr>
        <w:t xml:space="preserve">(03), 494-515. </w:t>
      </w:r>
      <w:hyperlink r:id="rId19" w:history="1">
        <w:r w:rsidRPr="001B08EA">
          <w:rPr>
            <w:rStyle w:val="Hyperlink"/>
            <w:szCs w:val="22"/>
          </w:rPr>
          <w:t>https://doi.org/10.30574/wjarr.2025.26.3.2264</w:t>
        </w:r>
      </w:hyperlink>
      <w:r w:rsidRPr="001B08EA">
        <w:rPr>
          <w:szCs w:val="22"/>
        </w:rPr>
        <w:t xml:space="preserve"> </w:t>
      </w:r>
    </w:p>
    <w:p w14:paraId="3F4BB0D4" w14:textId="77777777" w:rsidR="00F45B1A" w:rsidRPr="001B08EA" w:rsidRDefault="00F45B1A" w:rsidP="001B08EA">
      <w:pPr>
        <w:spacing w:line="360" w:lineRule="auto"/>
        <w:rPr>
          <w:szCs w:val="22"/>
        </w:rPr>
      </w:pPr>
      <w:r w:rsidRPr="001B08EA">
        <w:rPr>
          <w:szCs w:val="22"/>
        </w:rPr>
        <w:t>Garg, R. K. (2025). The alarming rise of lifestyle diseases and their impact on public health: A comprehensive overview and strategies for overcoming the epidemic. </w:t>
      </w:r>
      <w:r w:rsidRPr="001B08EA">
        <w:rPr>
          <w:i/>
          <w:iCs/>
          <w:szCs w:val="22"/>
        </w:rPr>
        <w:t>Journal of Research in Medical Sciences</w:t>
      </w:r>
      <w:r w:rsidRPr="001B08EA">
        <w:rPr>
          <w:szCs w:val="22"/>
        </w:rPr>
        <w:t>, </w:t>
      </w:r>
      <w:r w:rsidRPr="001B08EA">
        <w:rPr>
          <w:i/>
          <w:iCs/>
          <w:szCs w:val="22"/>
        </w:rPr>
        <w:t>30</w:t>
      </w:r>
      <w:r w:rsidRPr="001B08EA">
        <w:rPr>
          <w:szCs w:val="22"/>
        </w:rPr>
        <w:t xml:space="preserve">(1), 1. </w:t>
      </w:r>
      <w:r w:rsidRPr="001B08EA">
        <w:rPr>
          <w:rStyle w:val="ej-journal-doi"/>
          <w:i/>
          <w:iCs/>
          <w:color w:val="3B3030"/>
          <w:szCs w:val="22"/>
          <w:shd w:val="clear" w:color="auto" w:fill="FFFFFF"/>
        </w:rPr>
        <w:t>DOI: </w:t>
      </w:r>
      <w:r w:rsidRPr="001B08EA">
        <w:rPr>
          <w:color w:val="3B3030"/>
          <w:szCs w:val="22"/>
          <w:shd w:val="clear" w:color="auto" w:fill="FFFFFF"/>
        </w:rPr>
        <w:t xml:space="preserve">10.4103/jrms.jrms_54_24 </w:t>
      </w:r>
    </w:p>
    <w:p w14:paraId="55CB93E0"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GOV.UK (2025). </w:t>
      </w:r>
      <w:r w:rsidRPr="003B2BCD">
        <w:rPr>
          <w:rFonts w:asciiTheme="minorBidi" w:hAnsiTheme="minorBidi" w:cstheme="minorBidi"/>
          <w:i/>
          <w:iCs/>
          <w:szCs w:val="22"/>
        </w:rPr>
        <w:t>National Tutoring Programme, Academic year 2023/24</w:t>
      </w:r>
      <w:r w:rsidRPr="003B2BCD">
        <w:rPr>
          <w:rFonts w:asciiTheme="minorBidi" w:hAnsiTheme="minorBidi" w:cstheme="minorBidi"/>
          <w:szCs w:val="22"/>
        </w:rPr>
        <w:t xml:space="preserve">. [online] explore-education-statistics.service.gov.uk. Available at: </w:t>
      </w:r>
      <w:hyperlink r:id="rId20" w:history="1">
        <w:r w:rsidRPr="003B2BCD">
          <w:rPr>
            <w:rStyle w:val="Hyperlink"/>
            <w:rFonts w:asciiTheme="minorBidi" w:hAnsiTheme="minorBidi" w:cstheme="minorBidi"/>
            <w:szCs w:val="22"/>
          </w:rPr>
          <w:t>https://explore-education-statistics.service.gov.uk/find-statistics/national-tutoring-programme/2023-24</w:t>
        </w:r>
      </w:hyperlink>
      <w:r w:rsidRPr="003B2BCD">
        <w:rPr>
          <w:rFonts w:asciiTheme="minorBidi" w:hAnsiTheme="minorBidi" w:cstheme="minorBidi"/>
          <w:szCs w:val="22"/>
        </w:rPr>
        <w:t xml:space="preserve">. </w:t>
      </w:r>
    </w:p>
    <w:p w14:paraId="7DF4D090" w14:textId="77777777" w:rsidR="00F45B1A" w:rsidRPr="001B08EA" w:rsidRDefault="00F45B1A" w:rsidP="001B08EA">
      <w:pPr>
        <w:spacing w:line="360" w:lineRule="auto"/>
        <w:rPr>
          <w:szCs w:val="22"/>
        </w:rPr>
      </w:pPr>
      <w:r w:rsidRPr="00305983">
        <w:rPr>
          <w:szCs w:val="22"/>
          <w:lang w:val="it-IT"/>
        </w:rPr>
        <w:t xml:space="preserve">Gul, S., Fatima, B., &amp; Akhtar, N. (2025). </w:t>
      </w:r>
      <w:r w:rsidRPr="001B08EA">
        <w:rPr>
          <w:szCs w:val="22"/>
        </w:rPr>
        <w:t>Gender equality in education: Addressing structural barriers and social norms Asian context. </w:t>
      </w:r>
      <w:r w:rsidRPr="001B08EA">
        <w:rPr>
          <w:i/>
          <w:iCs/>
          <w:szCs w:val="22"/>
        </w:rPr>
        <w:t>The Critical Review of Social Sciences Studies</w:t>
      </w:r>
      <w:r w:rsidRPr="001B08EA">
        <w:rPr>
          <w:szCs w:val="22"/>
        </w:rPr>
        <w:t>, </w:t>
      </w:r>
      <w:r w:rsidRPr="001B08EA">
        <w:rPr>
          <w:i/>
          <w:iCs/>
          <w:szCs w:val="22"/>
        </w:rPr>
        <w:t>3</w:t>
      </w:r>
      <w:r w:rsidRPr="001B08EA">
        <w:rPr>
          <w:szCs w:val="22"/>
        </w:rPr>
        <w:t>(1), 2839-2854.</w:t>
      </w:r>
    </w:p>
    <w:p w14:paraId="33F21C80" w14:textId="77777777" w:rsidR="00F45B1A" w:rsidRPr="00305983" w:rsidRDefault="00F45B1A" w:rsidP="001B08EA">
      <w:pPr>
        <w:spacing w:line="360" w:lineRule="auto"/>
        <w:rPr>
          <w:szCs w:val="22"/>
          <w:lang w:val="nl-NL"/>
        </w:rPr>
      </w:pPr>
      <w:r w:rsidRPr="001B08EA">
        <w:rPr>
          <w:szCs w:val="22"/>
        </w:rPr>
        <w:t>Jordão, I., Paiva, P., Dias, P., António, N., &amp; Parente, F. (2025). Health literacy and medication adherence in polypharmacy: a systematic review for clinical practice. </w:t>
      </w:r>
      <w:proofErr w:type="spellStart"/>
      <w:r w:rsidRPr="00305983">
        <w:rPr>
          <w:i/>
          <w:iCs/>
          <w:szCs w:val="22"/>
          <w:lang w:val="nl-NL"/>
        </w:rPr>
        <w:t>Cureus</w:t>
      </w:r>
      <w:proofErr w:type="spellEnd"/>
      <w:r w:rsidRPr="00305983">
        <w:rPr>
          <w:szCs w:val="22"/>
          <w:lang w:val="nl-NL"/>
        </w:rPr>
        <w:t>, </w:t>
      </w:r>
      <w:r w:rsidRPr="00305983">
        <w:rPr>
          <w:i/>
          <w:iCs/>
          <w:szCs w:val="22"/>
          <w:lang w:val="nl-NL"/>
        </w:rPr>
        <w:t>17</w:t>
      </w:r>
      <w:r w:rsidRPr="00305983">
        <w:rPr>
          <w:szCs w:val="22"/>
          <w:lang w:val="nl-NL"/>
        </w:rPr>
        <w:t>(7). DOI: 10.7759/cureus.88301</w:t>
      </w:r>
    </w:p>
    <w:p w14:paraId="6A3C1B76" w14:textId="77777777" w:rsidR="00F45B1A" w:rsidRPr="001B08EA" w:rsidRDefault="00F45B1A" w:rsidP="001B08EA">
      <w:pPr>
        <w:spacing w:line="360" w:lineRule="auto"/>
        <w:rPr>
          <w:szCs w:val="22"/>
        </w:rPr>
      </w:pPr>
      <w:r w:rsidRPr="00305983">
        <w:rPr>
          <w:szCs w:val="22"/>
          <w:lang w:val="nl-NL"/>
        </w:rPr>
        <w:t>Koelen, M. A., &amp; Van den Ban, A. W. (2023). </w:t>
      </w:r>
      <w:r w:rsidRPr="001B08EA">
        <w:rPr>
          <w:i/>
          <w:iCs/>
          <w:szCs w:val="22"/>
        </w:rPr>
        <w:t>Health education and health promotion</w:t>
      </w:r>
      <w:r w:rsidRPr="001B08EA">
        <w:rPr>
          <w:szCs w:val="22"/>
        </w:rPr>
        <w:t>. Brill.</w:t>
      </w:r>
    </w:p>
    <w:p w14:paraId="1EF66A37"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Manchester City Council (2022). </w:t>
      </w:r>
      <w:r w:rsidRPr="003B2BCD">
        <w:rPr>
          <w:rFonts w:asciiTheme="minorBidi" w:hAnsiTheme="minorBidi" w:cstheme="minorBidi"/>
          <w:i/>
          <w:iCs/>
          <w:szCs w:val="22"/>
        </w:rPr>
        <w:t>Making Manchester Fairer | Making Manchester Fairer | Manchester City Council</w:t>
      </w:r>
      <w:r w:rsidRPr="003B2BCD">
        <w:rPr>
          <w:rFonts w:asciiTheme="minorBidi" w:hAnsiTheme="minorBidi" w:cstheme="minorBidi"/>
          <w:szCs w:val="22"/>
        </w:rPr>
        <w:t xml:space="preserve">. [online] Manchester.gov.uk. Available at: </w:t>
      </w:r>
      <w:hyperlink r:id="rId21" w:history="1">
        <w:r w:rsidRPr="003B2BCD">
          <w:rPr>
            <w:rStyle w:val="Hyperlink"/>
            <w:rFonts w:asciiTheme="minorBidi" w:hAnsiTheme="minorBidi" w:cstheme="minorBidi"/>
            <w:szCs w:val="22"/>
          </w:rPr>
          <w:t>https://www.manchester.gov.uk/health-and-wellbeing/public-health/making-manchester-fairer</w:t>
        </w:r>
      </w:hyperlink>
      <w:r w:rsidRPr="003B2BCD">
        <w:rPr>
          <w:rFonts w:asciiTheme="minorBidi" w:hAnsiTheme="minorBidi" w:cstheme="minorBidi"/>
          <w:szCs w:val="22"/>
        </w:rPr>
        <w:t xml:space="preserve">. </w:t>
      </w:r>
    </w:p>
    <w:p w14:paraId="6E558C7B"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Manchester City Council (2023). </w:t>
      </w:r>
      <w:r w:rsidRPr="003B2BCD">
        <w:rPr>
          <w:rFonts w:asciiTheme="minorBidi" w:hAnsiTheme="minorBidi" w:cstheme="minorBidi"/>
          <w:i/>
          <w:iCs/>
          <w:szCs w:val="22"/>
        </w:rPr>
        <w:t>Manchester Health and Wellbeing Board Report for Resolution</w:t>
      </w:r>
      <w:r w:rsidRPr="003B2BCD">
        <w:rPr>
          <w:rFonts w:asciiTheme="minorBidi" w:hAnsiTheme="minorBidi" w:cstheme="minorBidi"/>
          <w:szCs w:val="22"/>
        </w:rPr>
        <w:t xml:space="preserve">. [online] Available at: </w:t>
      </w:r>
      <w:hyperlink r:id="rId22" w:history="1">
        <w:r w:rsidRPr="003B2BCD">
          <w:rPr>
            <w:rStyle w:val="Hyperlink"/>
            <w:rFonts w:asciiTheme="minorBidi" w:hAnsiTheme="minorBidi" w:cstheme="minorBidi"/>
            <w:szCs w:val="22"/>
          </w:rPr>
          <w:t>https://democracy.manchester.gov.uk/documents/s36129/manchester%20healthy%20weight%20declaration.pdf</w:t>
        </w:r>
      </w:hyperlink>
      <w:r w:rsidRPr="003B2BCD">
        <w:rPr>
          <w:rFonts w:asciiTheme="minorBidi" w:hAnsiTheme="minorBidi" w:cstheme="minorBidi"/>
          <w:szCs w:val="22"/>
        </w:rPr>
        <w:t xml:space="preserve">. </w:t>
      </w:r>
    </w:p>
    <w:p w14:paraId="62FB35FB"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NHS (2025). </w:t>
      </w:r>
      <w:r w:rsidRPr="003B2BCD">
        <w:rPr>
          <w:rFonts w:asciiTheme="minorBidi" w:hAnsiTheme="minorBidi" w:cstheme="minorBidi"/>
          <w:i/>
          <w:iCs/>
          <w:szCs w:val="22"/>
        </w:rPr>
        <w:t>NHS England» Health inequalities and equality legal duties: A reference document for NHS commissioners and providers</w:t>
      </w:r>
      <w:r w:rsidRPr="003B2BCD">
        <w:rPr>
          <w:rFonts w:asciiTheme="minorBidi" w:hAnsiTheme="minorBidi" w:cstheme="minorBidi"/>
          <w:szCs w:val="22"/>
        </w:rPr>
        <w:t xml:space="preserve">. [online] England.nhs.uk. Available at: </w:t>
      </w:r>
      <w:hyperlink r:id="rId23" w:history="1">
        <w:r w:rsidRPr="003B2BCD">
          <w:rPr>
            <w:rStyle w:val="Hyperlink"/>
            <w:rFonts w:asciiTheme="minorBidi" w:hAnsiTheme="minorBidi" w:cstheme="minorBidi"/>
            <w:szCs w:val="22"/>
          </w:rPr>
          <w:t>https://www.england.nhs.uk/long-read/health-inequalities-equality-legal-duties</w:t>
        </w:r>
      </w:hyperlink>
      <w:r w:rsidRPr="003B2BCD">
        <w:rPr>
          <w:rFonts w:asciiTheme="minorBidi" w:hAnsiTheme="minorBidi" w:cstheme="minorBidi"/>
          <w:szCs w:val="22"/>
        </w:rPr>
        <w:t xml:space="preserve">. </w:t>
      </w:r>
    </w:p>
    <w:p w14:paraId="5A52BC38"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NHS (2026). </w:t>
      </w:r>
      <w:r w:rsidRPr="003B2BCD">
        <w:rPr>
          <w:rFonts w:asciiTheme="minorBidi" w:hAnsiTheme="minorBidi" w:cstheme="minorBidi"/>
          <w:i/>
          <w:iCs/>
          <w:szCs w:val="22"/>
        </w:rPr>
        <w:t>Adults’ overweight and obesity</w:t>
      </w:r>
      <w:r w:rsidRPr="003B2BCD">
        <w:rPr>
          <w:rFonts w:asciiTheme="minorBidi" w:hAnsiTheme="minorBidi" w:cstheme="minorBidi"/>
          <w:szCs w:val="22"/>
        </w:rPr>
        <w:t xml:space="preserve">. [online] Digital.nhs.uk. Available at: </w:t>
      </w:r>
      <w:hyperlink r:id="rId24" w:history="1">
        <w:r w:rsidRPr="003B2BCD">
          <w:rPr>
            <w:rStyle w:val="Hyperlink"/>
            <w:rFonts w:asciiTheme="minorBidi" w:hAnsiTheme="minorBidi" w:cstheme="minorBidi"/>
            <w:szCs w:val="22"/>
          </w:rPr>
          <w:t>https://digital.nhs.uk/data-and-information/publications/statistical/health-survey-for-england/2024/adults-overweight-and-obesity</w:t>
        </w:r>
      </w:hyperlink>
      <w:r w:rsidRPr="003B2BCD">
        <w:rPr>
          <w:rFonts w:asciiTheme="minorBidi" w:hAnsiTheme="minorBidi" w:cstheme="minorBidi"/>
          <w:szCs w:val="22"/>
        </w:rPr>
        <w:t xml:space="preserve">. </w:t>
      </w:r>
    </w:p>
    <w:p w14:paraId="330B889C"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lastRenderedPageBreak/>
        <w:t xml:space="preserve">ONS (2025). </w:t>
      </w:r>
      <w:r w:rsidRPr="003B2BCD">
        <w:rPr>
          <w:rFonts w:asciiTheme="minorBidi" w:hAnsiTheme="minorBidi" w:cstheme="minorBidi"/>
          <w:i/>
          <w:iCs/>
          <w:szCs w:val="22"/>
        </w:rPr>
        <w:t>National life tables – life expectancy in the UK</w:t>
      </w:r>
      <w:r w:rsidRPr="003B2BCD">
        <w:rPr>
          <w:rFonts w:asciiTheme="minorBidi" w:hAnsiTheme="minorBidi" w:cstheme="minorBidi"/>
          <w:szCs w:val="22"/>
        </w:rPr>
        <w:t xml:space="preserve">. [online] Ons.gov.uk. Available at: </w:t>
      </w:r>
      <w:hyperlink r:id="rId25" w:history="1">
        <w:r w:rsidRPr="003B2BCD">
          <w:rPr>
            <w:rStyle w:val="Hyperlink"/>
            <w:rFonts w:asciiTheme="minorBidi" w:hAnsiTheme="minorBidi" w:cstheme="minorBidi"/>
            <w:szCs w:val="22"/>
          </w:rPr>
          <w:t>https://www.ons.gov.uk/peoplepopulationandcommunity/birthsdeathsandmarriages/lifeexpectancies/bulletins/nationallifetablesunitedkingdom/2022to2024</w:t>
        </w:r>
      </w:hyperlink>
      <w:r w:rsidRPr="003B2BCD">
        <w:rPr>
          <w:rFonts w:asciiTheme="minorBidi" w:hAnsiTheme="minorBidi" w:cstheme="minorBidi"/>
          <w:szCs w:val="22"/>
        </w:rPr>
        <w:t xml:space="preserve">. </w:t>
      </w:r>
    </w:p>
    <w:p w14:paraId="5C84A176" w14:textId="77777777" w:rsidR="00F45B1A" w:rsidRPr="001B08EA" w:rsidRDefault="00F45B1A" w:rsidP="001B08EA">
      <w:pPr>
        <w:spacing w:line="360" w:lineRule="auto"/>
        <w:rPr>
          <w:szCs w:val="22"/>
        </w:rPr>
      </w:pPr>
      <w:r w:rsidRPr="001B08EA">
        <w:rPr>
          <w:szCs w:val="22"/>
        </w:rPr>
        <w:t xml:space="preserve">Pandey, M., Maina, R. G., </w:t>
      </w:r>
      <w:proofErr w:type="spellStart"/>
      <w:r w:rsidRPr="001B08EA">
        <w:rPr>
          <w:szCs w:val="22"/>
        </w:rPr>
        <w:t>Amoyaw</w:t>
      </w:r>
      <w:proofErr w:type="spellEnd"/>
      <w:r w:rsidRPr="001B08EA">
        <w:rPr>
          <w:szCs w:val="22"/>
        </w:rPr>
        <w:t>, J., Li, Y., Kamrul, R., Michaels, C. R., &amp; Maroof, R. (2021). Impacts of English language proficiency on healthcare access, use, and outcomes among immigrants: a qualitative study. </w:t>
      </w:r>
      <w:r w:rsidRPr="001B08EA">
        <w:rPr>
          <w:i/>
          <w:iCs/>
          <w:szCs w:val="22"/>
        </w:rPr>
        <w:t>BMC health services research</w:t>
      </w:r>
      <w:r w:rsidRPr="001B08EA">
        <w:rPr>
          <w:szCs w:val="22"/>
        </w:rPr>
        <w:t>, </w:t>
      </w:r>
      <w:r w:rsidRPr="001B08EA">
        <w:rPr>
          <w:i/>
          <w:iCs/>
          <w:szCs w:val="22"/>
        </w:rPr>
        <w:t>21</w:t>
      </w:r>
      <w:r w:rsidRPr="001B08EA">
        <w:rPr>
          <w:szCs w:val="22"/>
        </w:rPr>
        <w:t xml:space="preserve">(1), 741. </w:t>
      </w:r>
      <w:hyperlink r:id="rId26" w:history="1">
        <w:r w:rsidRPr="001B08EA">
          <w:rPr>
            <w:rStyle w:val="Hyperlink"/>
            <w:szCs w:val="22"/>
          </w:rPr>
          <w:t>https://doi.org/10.1186/s12913-021-06750-4</w:t>
        </w:r>
      </w:hyperlink>
      <w:r w:rsidRPr="001B08EA">
        <w:rPr>
          <w:szCs w:val="22"/>
        </w:rPr>
        <w:t xml:space="preserve"> </w:t>
      </w:r>
    </w:p>
    <w:p w14:paraId="67330F12" w14:textId="77777777" w:rsidR="00F45B1A" w:rsidRPr="001B08EA" w:rsidRDefault="00F45B1A" w:rsidP="001B08EA">
      <w:pPr>
        <w:spacing w:line="360" w:lineRule="auto"/>
        <w:rPr>
          <w:szCs w:val="22"/>
        </w:rPr>
      </w:pPr>
      <w:proofErr w:type="spellStart"/>
      <w:r w:rsidRPr="001B08EA">
        <w:rPr>
          <w:szCs w:val="22"/>
        </w:rPr>
        <w:t>Parbery</w:t>
      </w:r>
      <w:proofErr w:type="spellEnd"/>
      <w:r w:rsidRPr="001B08EA">
        <w:rPr>
          <w:szCs w:val="22"/>
        </w:rPr>
        <w:t>-Clark, C., McSweeney, L., Lally, J., &amp; Sowden, S. (2024). How can health systems approach reducing health inequalities? An in-depth qualitative case study in the UK. </w:t>
      </w:r>
      <w:r w:rsidRPr="001B08EA">
        <w:rPr>
          <w:i/>
          <w:iCs/>
          <w:szCs w:val="22"/>
        </w:rPr>
        <w:t>BMC Public Health</w:t>
      </w:r>
      <w:r w:rsidRPr="001B08EA">
        <w:rPr>
          <w:szCs w:val="22"/>
        </w:rPr>
        <w:t>, </w:t>
      </w:r>
      <w:r w:rsidRPr="001B08EA">
        <w:rPr>
          <w:i/>
          <w:iCs/>
          <w:szCs w:val="22"/>
        </w:rPr>
        <w:t>24</w:t>
      </w:r>
      <w:r w:rsidRPr="001B08EA">
        <w:rPr>
          <w:szCs w:val="22"/>
        </w:rPr>
        <w:t xml:space="preserve">(1), 2168. </w:t>
      </w:r>
      <w:hyperlink r:id="rId27" w:history="1">
        <w:r w:rsidRPr="001B08EA">
          <w:rPr>
            <w:rStyle w:val="Hyperlink"/>
            <w:szCs w:val="22"/>
          </w:rPr>
          <w:t>https://doi.org/10.1186/s12889-024-19531-5</w:t>
        </w:r>
      </w:hyperlink>
      <w:r w:rsidRPr="001B08EA">
        <w:rPr>
          <w:szCs w:val="22"/>
        </w:rPr>
        <w:t xml:space="preserve"> </w:t>
      </w:r>
    </w:p>
    <w:p w14:paraId="2CD61243" w14:textId="77777777" w:rsidR="00F45B1A" w:rsidRPr="001B08EA" w:rsidRDefault="00F45B1A" w:rsidP="001B08EA">
      <w:pPr>
        <w:spacing w:line="360" w:lineRule="auto"/>
        <w:rPr>
          <w:szCs w:val="22"/>
        </w:rPr>
      </w:pPr>
      <w:r w:rsidRPr="001B08EA">
        <w:rPr>
          <w:color w:val="222222"/>
          <w:szCs w:val="22"/>
          <w:shd w:val="clear" w:color="auto" w:fill="FFFFFF"/>
        </w:rPr>
        <w:t>Shao, C., Wang, J., Liu, J., Tian, F., &amp; Li, H. (2018). Effect of a Health Belief Model-based education program on patients’ belief, physical activity, and serum uric acid: a randomized controlled trial. </w:t>
      </w:r>
      <w:r w:rsidRPr="001B08EA">
        <w:rPr>
          <w:i/>
          <w:iCs/>
          <w:color w:val="222222"/>
          <w:szCs w:val="22"/>
          <w:shd w:val="clear" w:color="auto" w:fill="FFFFFF"/>
        </w:rPr>
        <w:t>Patient preference and adherence</w:t>
      </w:r>
      <w:r w:rsidRPr="001B08EA">
        <w:rPr>
          <w:color w:val="222222"/>
          <w:szCs w:val="22"/>
          <w:shd w:val="clear" w:color="auto" w:fill="FFFFFF"/>
        </w:rPr>
        <w:t xml:space="preserve">, 1239-1245. </w:t>
      </w:r>
      <w:hyperlink r:id="rId28" w:history="1">
        <w:r w:rsidRPr="001B08EA">
          <w:rPr>
            <w:rStyle w:val="Hyperlink"/>
            <w:szCs w:val="22"/>
          </w:rPr>
          <w:t>https://doi.org/10.2147/PPA.S166523</w:t>
        </w:r>
      </w:hyperlink>
      <w:r w:rsidRPr="001B08EA">
        <w:rPr>
          <w:szCs w:val="22"/>
        </w:rPr>
        <w:t xml:space="preserve"> </w:t>
      </w:r>
    </w:p>
    <w:p w14:paraId="2B875D52" w14:textId="77777777" w:rsidR="00F45B1A" w:rsidRPr="001B08EA" w:rsidRDefault="00F45B1A" w:rsidP="001B08EA">
      <w:pPr>
        <w:spacing w:line="360" w:lineRule="auto"/>
        <w:rPr>
          <w:szCs w:val="22"/>
        </w:rPr>
      </w:pPr>
      <w:r w:rsidRPr="001B08EA">
        <w:rPr>
          <w:szCs w:val="22"/>
        </w:rPr>
        <w:t>Taba, M., Allen, T. B., Caldwell, P. H., Skinner, S. R., Kang, M., McCaffery, K., &amp; Scott, K. M. (2022). Adolescents’ self-efficacy and digital health literacy: a cross-sectional mixed methods study. </w:t>
      </w:r>
      <w:r w:rsidRPr="001B08EA">
        <w:rPr>
          <w:i/>
          <w:iCs/>
          <w:szCs w:val="22"/>
        </w:rPr>
        <w:t>BMC Public Health</w:t>
      </w:r>
      <w:r w:rsidRPr="001B08EA">
        <w:rPr>
          <w:szCs w:val="22"/>
        </w:rPr>
        <w:t>, </w:t>
      </w:r>
      <w:r w:rsidRPr="001B08EA">
        <w:rPr>
          <w:i/>
          <w:iCs/>
          <w:szCs w:val="22"/>
        </w:rPr>
        <w:t>22</w:t>
      </w:r>
      <w:r w:rsidRPr="001B08EA">
        <w:rPr>
          <w:szCs w:val="22"/>
        </w:rPr>
        <w:t xml:space="preserve">(1), 1223. </w:t>
      </w:r>
      <w:hyperlink r:id="rId29" w:history="1">
        <w:r w:rsidRPr="001B08EA">
          <w:rPr>
            <w:rStyle w:val="Hyperlink"/>
            <w:szCs w:val="22"/>
          </w:rPr>
          <w:t>https://doi.org/10.1186/s12889-022-13599-7</w:t>
        </w:r>
      </w:hyperlink>
      <w:r w:rsidRPr="001B08EA">
        <w:rPr>
          <w:szCs w:val="22"/>
        </w:rPr>
        <w:t xml:space="preserve"> </w:t>
      </w:r>
    </w:p>
    <w:p w14:paraId="0313E97C"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UNESCO (2023). </w:t>
      </w:r>
      <w:r w:rsidRPr="003B2BCD">
        <w:rPr>
          <w:rFonts w:asciiTheme="minorBidi" w:hAnsiTheme="minorBidi" w:cstheme="minorBidi"/>
          <w:i/>
          <w:iCs/>
          <w:szCs w:val="22"/>
        </w:rPr>
        <w:t>Home | #LeadingSDG4 | Education2030</w:t>
      </w:r>
      <w:r w:rsidRPr="003B2BCD">
        <w:rPr>
          <w:rFonts w:asciiTheme="minorBidi" w:hAnsiTheme="minorBidi" w:cstheme="minorBidi"/>
          <w:szCs w:val="22"/>
        </w:rPr>
        <w:t xml:space="preserve">. [online] www.unesco.org. Available at: </w:t>
      </w:r>
      <w:hyperlink r:id="rId30" w:history="1">
        <w:r w:rsidRPr="003B2BCD">
          <w:rPr>
            <w:rStyle w:val="Hyperlink"/>
            <w:rFonts w:asciiTheme="minorBidi" w:hAnsiTheme="minorBidi" w:cstheme="minorBidi"/>
            <w:szCs w:val="22"/>
          </w:rPr>
          <w:t>https://www.unesco.org/sdg4education2030/en</w:t>
        </w:r>
      </w:hyperlink>
      <w:r w:rsidRPr="003B2BCD">
        <w:rPr>
          <w:rFonts w:asciiTheme="minorBidi" w:hAnsiTheme="minorBidi" w:cstheme="minorBidi"/>
          <w:szCs w:val="22"/>
        </w:rPr>
        <w:t xml:space="preserve">. </w:t>
      </w:r>
    </w:p>
    <w:p w14:paraId="2DF0F398"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UNESCO (2024). </w:t>
      </w:r>
      <w:r w:rsidRPr="003B2BCD">
        <w:rPr>
          <w:rFonts w:asciiTheme="minorBidi" w:hAnsiTheme="minorBidi" w:cstheme="minorBidi"/>
          <w:i/>
          <w:iCs/>
          <w:szCs w:val="22"/>
        </w:rPr>
        <w:t>251M children and youth still out of school, despite decades of progress (UNESCO report)</w:t>
      </w:r>
      <w:r w:rsidRPr="003B2BCD">
        <w:rPr>
          <w:rFonts w:asciiTheme="minorBidi" w:hAnsiTheme="minorBidi" w:cstheme="minorBidi"/>
          <w:szCs w:val="22"/>
        </w:rPr>
        <w:t xml:space="preserve">. [online] Unesco.org. Available at: </w:t>
      </w:r>
      <w:hyperlink r:id="rId31" w:history="1">
        <w:r w:rsidRPr="003B2BCD">
          <w:rPr>
            <w:rStyle w:val="Hyperlink"/>
            <w:rFonts w:asciiTheme="minorBidi" w:hAnsiTheme="minorBidi" w:cstheme="minorBidi"/>
            <w:szCs w:val="22"/>
          </w:rPr>
          <w:t>https://www.unesco.org/en/articles/251m-children-and-youth-still-out-school-despite-decades-progress-unesco-report</w:t>
        </w:r>
      </w:hyperlink>
      <w:r w:rsidRPr="003B2BCD">
        <w:rPr>
          <w:rFonts w:asciiTheme="minorBidi" w:hAnsiTheme="minorBidi" w:cstheme="minorBidi"/>
          <w:szCs w:val="22"/>
        </w:rPr>
        <w:t xml:space="preserve">. </w:t>
      </w:r>
    </w:p>
    <w:p w14:paraId="3FA7831A" w14:textId="77777777" w:rsidR="00375F84"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UNESCO (2025). </w:t>
      </w:r>
      <w:r w:rsidRPr="003B2BCD">
        <w:rPr>
          <w:rFonts w:asciiTheme="minorBidi" w:hAnsiTheme="minorBidi" w:cstheme="minorBidi"/>
          <w:i/>
          <w:iCs/>
          <w:szCs w:val="22"/>
        </w:rPr>
        <w:t>2026 GEM Report</w:t>
      </w:r>
      <w:r w:rsidRPr="003B2BCD">
        <w:rPr>
          <w:rFonts w:asciiTheme="minorBidi" w:hAnsiTheme="minorBidi" w:cstheme="minorBidi"/>
          <w:szCs w:val="22"/>
        </w:rPr>
        <w:t xml:space="preserve">. [online] Unesco.org. Available at: </w:t>
      </w:r>
      <w:hyperlink r:id="rId32" w:history="1">
        <w:r w:rsidRPr="003B2BCD">
          <w:rPr>
            <w:rStyle w:val="Hyperlink"/>
            <w:rFonts w:asciiTheme="minorBidi" w:hAnsiTheme="minorBidi" w:cstheme="minorBidi"/>
            <w:szCs w:val="22"/>
          </w:rPr>
          <w:t>https://www.unesco.org/gem-report/en/publication/equity-and-access</w:t>
        </w:r>
      </w:hyperlink>
      <w:r w:rsidRPr="003B2BCD">
        <w:rPr>
          <w:rFonts w:asciiTheme="minorBidi" w:hAnsiTheme="minorBidi" w:cstheme="minorBidi"/>
          <w:szCs w:val="22"/>
        </w:rPr>
        <w:t xml:space="preserve">. </w:t>
      </w:r>
    </w:p>
    <w:p w14:paraId="75B9EE1B" w14:textId="3CD12C91" w:rsidR="00375F84" w:rsidRPr="003B2BCD" w:rsidRDefault="00375F84"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UNESCO (2026). </w:t>
      </w:r>
      <w:r w:rsidRPr="003B2BCD">
        <w:rPr>
          <w:rFonts w:asciiTheme="minorBidi" w:hAnsiTheme="minorBidi" w:cstheme="minorBidi"/>
          <w:i/>
          <w:iCs/>
          <w:szCs w:val="22"/>
        </w:rPr>
        <w:t>Out-of-school rate</w:t>
      </w:r>
      <w:r w:rsidRPr="003B2BCD">
        <w:rPr>
          <w:rFonts w:asciiTheme="minorBidi" w:hAnsiTheme="minorBidi" w:cstheme="minorBidi"/>
          <w:szCs w:val="22"/>
        </w:rPr>
        <w:t xml:space="preserve">. [online] Unesco.org. Available at: </w:t>
      </w:r>
      <w:hyperlink r:id="rId33" w:history="1">
        <w:r w:rsidRPr="003B2BCD">
          <w:rPr>
            <w:rStyle w:val="Hyperlink"/>
            <w:rFonts w:asciiTheme="minorBidi" w:hAnsiTheme="minorBidi" w:cstheme="minorBidi"/>
            <w:szCs w:val="22"/>
          </w:rPr>
          <w:t>https://www.unesco.org/en/education/view/outofschool</w:t>
        </w:r>
      </w:hyperlink>
      <w:r w:rsidRPr="003B2BCD">
        <w:rPr>
          <w:rFonts w:asciiTheme="minorBidi" w:hAnsiTheme="minorBidi" w:cstheme="minorBidi"/>
          <w:szCs w:val="22"/>
        </w:rPr>
        <w:t xml:space="preserve">. </w:t>
      </w:r>
    </w:p>
    <w:p w14:paraId="009C913C" w14:textId="16436394" w:rsidR="00F45B1A" w:rsidRPr="001B08EA" w:rsidRDefault="00F45B1A" w:rsidP="001B08EA">
      <w:pPr>
        <w:spacing w:line="360" w:lineRule="auto"/>
        <w:rPr>
          <w:szCs w:val="22"/>
        </w:rPr>
      </w:pPr>
      <w:proofErr w:type="spellStart"/>
      <w:r w:rsidRPr="001B08EA">
        <w:rPr>
          <w:szCs w:val="22"/>
        </w:rPr>
        <w:t>Unicef</w:t>
      </w:r>
      <w:proofErr w:type="spellEnd"/>
      <w:r w:rsidRPr="001B08EA">
        <w:rPr>
          <w:szCs w:val="22"/>
        </w:rPr>
        <w:t xml:space="preserve"> (</w:t>
      </w:r>
      <w:r w:rsidR="00375F84" w:rsidRPr="001B08EA">
        <w:rPr>
          <w:szCs w:val="22"/>
        </w:rPr>
        <w:t>2026</w:t>
      </w:r>
      <w:r w:rsidRPr="001B08EA">
        <w:rPr>
          <w:szCs w:val="22"/>
        </w:rPr>
        <w:t xml:space="preserve">). </w:t>
      </w:r>
      <w:r w:rsidRPr="001B08EA">
        <w:rPr>
          <w:i/>
          <w:iCs/>
          <w:szCs w:val="22"/>
        </w:rPr>
        <w:t>Restrictions on girls’ education and women’s employment in Afghanistan could lead to a loss of over 25,000 female teachers and health workers by 2030 - UNICEF</w:t>
      </w:r>
      <w:r w:rsidRPr="001B08EA">
        <w:rPr>
          <w:szCs w:val="22"/>
        </w:rPr>
        <w:t xml:space="preserve">. [online] </w:t>
      </w:r>
      <w:r w:rsidRPr="001B08EA">
        <w:rPr>
          <w:szCs w:val="22"/>
        </w:rPr>
        <w:lastRenderedPageBreak/>
        <w:t xml:space="preserve">Unicef.org. Available at: </w:t>
      </w:r>
      <w:hyperlink r:id="rId34" w:history="1">
        <w:r w:rsidRPr="001B08EA">
          <w:rPr>
            <w:rStyle w:val="Hyperlink"/>
            <w:szCs w:val="22"/>
          </w:rPr>
          <w:t>https://www.unicef.org/press-releases/restrictions-girls-education-and-womens-employment-afghanistan-could-lead-loss-over</w:t>
        </w:r>
      </w:hyperlink>
      <w:r w:rsidRPr="001B08EA">
        <w:rPr>
          <w:szCs w:val="22"/>
        </w:rPr>
        <w:t>.</w:t>
      </w:r>
    </w:p>
    <w:p w14:paraId="117C67F1"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UNICEF (2021). </w:t>
      </w:r>
      <w:r w:rsidRPr="003B2BCD">
        <w:rPr>
          <w:rFonts w:asciiTheme="minorBidi" w:hAnsiTheme="minorBidi" w:cstheme="minorBidi"/>
          <w:i/>
          <w:iCs/>
          <w:szCs w:val="22"/>
        </w:rPr>
        <w:t>Title of Section (TK) Global Vaccine Action Plan</w:t>
      </w:r>
      <w:r w:rsidRPr="003B2BCD">
        <w:rPr>
          <w:rFonts w:asciiTheme="minorBidi" w:hAnsiTheme="minorBidi" w:cstheme="minorBidi"/>
          <w:szCs w:val="22"/>
        </w:rPr>
        <w:t xml:space="preserve">. [online] Available at: </w:t>
      </w:r>
      <w:hyperlink r:id="rId35" w:history="1">
        <w:r w:rsidRPr="003B2BCD">
          <w:rPr>
            <w:rStyle w:val="Hyperlink"/>
            <w:rFonts w:asciiTheme="minorBidi" w:hAnsiTheme="minorBidi" w:cstheme="minorBidi"/>
            <w:szCs w:val="22"/>
          </w:rPr>
          <w:t>https://www.unicef.org/mena/sites/unicef.org.mena/files/press-releases/mena-media-GVAP_single_pages_PRINT.pdf</w:t>
        </w:r>
      </w:hyperlink>
      <w:r w:rsidRPr="003B2BCD">
        <w:rPr>
          <w:rFonts w:asciiTheme="minorBidi" w:hAnsiTheme="minorBidi" w:cstheme="minorBidi"/>
          <w:szCs w:val="22"/>
        </w:rPr>
        <w:t xml:space="preserve">. </w:t>
      </w:r>
    </w:p>
    <w:p w14:paraId="6CAC446B"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United Nations (2015). </w:t>
      </w:r>
      <w:r w:rsidRPr="003B2BCD">
        <w:rPr>
          <w:rFonts w:asciiTheme="minorBidi" w:hAnsiTheme="minorBidi" w:cstheme="minorBidi"/>
          <w:i/>
          <w:iCs/>
          <w:szCs w:val="22"/>
        </w:rPr>
        <w:t>The 17 sustainable development goals</w:t>
      </w:r>
      <w:r w:rsidRPr="003B2BCD">
        <w:rPr>
          <w:rFonts w:asciiTheme="minorBidi" w:hAnsiTheme="minorBidi" w:cstheme="minorBidi"/>
          <w:szCs w:val="22"/>
        </w:rPr>
        <w:t xml:space="preserve">. [online] United Nations. Available at: </w:t>
      </w:r>
      <w:hyperlink r:id="rId36" w:history="1">
        <w:r w:rsidRPr="003B2BCD">
          <w:rPr>
            <w:rStyle w:val="Hyperlink"/>
            <w:rFonts w:asciiTheme="minorBidi" w:hAnsiTheme="minorBidi" w:cstheme="minorBidi"/>
            <w:szCs w:val="22"/>
          </w:rPr>
          <w:t>https://sdgs.un.org/goals</w:t>
        </w:r>
      </w:hyperlink>
      <w:r w:rsidRPr="003B2BCD">
        <w:rPr>
          <w:rFonts w:asciiTheme="minorBidi" w:hAnsiTheme="minorBidi" w:cstheme="minorBidi"/>
          <w:szCs w:val="22"/>
        </w:rPr>
        <w:t xml:space="preserve">. </w:t>
      </w:r>
    </w:p>
    <w:p w14:paraId="27C9A73C"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United Nations (2022). </w:t>
      </w:r>
      <w:r w:rsidRPr="003B2BCD">
        <w:rPr>
          <w:rFonts w:asciiTheme="minorBidi" w:hAnsiTheme="minorBidi" w:cstheme="minorBidi"/>
          <w:i/>
          <w:iCs/>
          <w:szCs w:val="22"/>
        </w:rPr>
        <w:t>Goal 3: Ensure healthy lives and promote well-being for all at all ages</w:t>
      </w:r>
      <w:r w:rsidRPr="003B2BCD">
        <w:rPr>
          <w:rFonts w:asciiTheme="minorBidi" w:hAnsiTheme="minorBidi" w:cstheme="minorBidi"/>
          <w:szCs w:val="22"/>
        </w:rPr>
        <w:t xml:space="preserve">. [online] United Nations Sustainable Development Goals. Available at: </w:t>
      </w:r>
      <w:hyperlink r:id="rId37" w:history="1">
        <w:r w:rsidRPr="003B2BCD">
          <w:rPr>
            <w:rStyle w:val="Hyperlink"/>
            <w:rFonts w:asciiTheme="minorBidi" w:hAnsiTheme="minorBidi" w:cstheme="minorBidi"/>
            <w:szCs w:val="22"/>
          </w:rPr>
          <w:t>https://www.un.org/sustainabledevelopment/health/</w:t>
        </w:r>
      </w:hyperlink>
      <w:r w:rsidRPr="003B2BCD">
        <w:rPr>
          <w:rFonts w:asciiTheme="minorBidi" w:hAnsiTheme="minorBidi" w:cstheme="minorBidi"/>
          <w:szCs w:val="22"/>
        </w:rPr>
        <w:t xml:space="preserve">. </w:t>
      </w:r>
    </w:p>
    <w:p w14:paraId="7E21694F"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United Nations (2023). </w:t>
      </w:r>
      <w:r w:rsidRPr="003B2BCD">
        <w:rPr>
          <w:rFonts w:asciiTheme="minorBidi" w:hAnsiTheme="minorBidi" w:cstheme="minorBidi"/>
          <w:i/>
          <w:iCs/>
          <w:szCs w:val="22"/>
        </w:rPr>
        <w:t>Goal 4: Ensure inclusive and equitable quality education and promote lifelong learning opportunities for all — SDG Indicators</w:t>
      </w:r>
      <w:r w:rsidRPr="003B2BCD">
        <w:rPr>
          <w:rFonts w:asciiTheme="minorBidi" w:hAnsiTheme="minorBidi" w:cstheme="minorBidi"/>
          <w:szCs w:val="22"/>
        </w:rPr>
        <w:t xml:space="preserve">. [online] unstats.un.org. Available at: </w:t>
      </w:r>
      <w:hyperlink r:id="rId38" w:history="1">
        <w:r w:rsidRPr="003B2BCD">
          <w:rPr>
            <w:rStyle w:val="Hyperlink"/>
            <w:rFonts w:asciiTheme="minorBidi" w:hAnsiTheme="minorBidi" w:cstheme="minorBidi"/>
            <w:szCs w:val="22"/>
          </w:rPr>
          <w:t>https://unstats.un.org/sdgs/report/2017/goal-04/</w:t>
        </w:r>
      </w:hyperlink>
      <w:r w:rsidRPr="003B2BCD">
        <w:rPr>
          <w:rFonts w:asciiTheme="minorBidi" w:hAnsiTheme="minorBidi" w:cstheme="minorBidi"/>
          <w:szCs w:val="22"/>
        </w:rPr>
        <w:t xml:space="preserve">. </w:t>
      </w:r>
    </w:p>
    <w:p w14:paraId="62D1E499"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United Nations (2024). </w:t>
      </w:r>
      <w:r w:rsidRPr="003B2BCD">
        <w:rPr>
          <w:rFonts w:asciiTheme="minorBidi" w:hAnsiTheme="minorBidi" w:cstheme="minorBidi"/>
          <w:i/>
          <w:iCs/>
          <w:szCs w:val="22"/>
        </w:rPr>
        <w:t>With Less than One Fifth of Targets on track, World Is Failing to Deliver on Promise of the Sustainable Development Goals, Warns New UN Report | United Nations</w:t>
      </w:r>
      <w:r w:rsidRPr="003B2BCD">
        <w:rPr>
          <w:rFonts w:asciiTheme="minorBidi" w:hAnsiTheme="minorBidi" w:cstheme="minorBidi"/>
          <w:szCs w:val="22"/>
        </w:rPr>
        <w:t xml:space="preserve">. [online] United Nations. Available at: </w:t>
      </w:r>
      <w:hyperlink r:id="rId39" w:history="1">
        <w:r w:rsidRPr="003B2BCD">
          <w:rPr>
            <w:rStyle w:val="Hyperlink"/>
            <w:rFonts w:asciiTheme="minorBidi" w:hAnsiTheme="minorBidi" w:cstheme="minorBidi"/>
            <w:szCs w:val="22"/>
          </w:rPr>
          <w:t>https://www.un.org/en/with-less-than-one-fifth-of-targets-on-track</w:t>
        </w:r>
      </w:hyperlink>
      <w:r w:rsidRPr="003B2BCD">
        <w:rPr>
          <w:rFonts w:asciiTheme="minorBidi" w:hAnsiTheme="minorBidi" w:cstheme="minorBidi"/>
          <w:szCs w:val="22"/>
        </w:rPr>
        <w:t xml:space="preserve">. </w:t>
      </w:r>
    </w:p>
    <w:p w14:paraId="293BA6D0"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WHO (2025). </w:t>
      </w:r>
      <w:r w:rsidRPr="003B2BCD">
        <w:rPr>
          <w:rFonts w:asciiTheme="minorBidi" w:hAnsiTheme="minorBidi" w:cstheme="minorBidi"/>
          <w:i/>
          <w:iCs/>
          <w:szCs w:val="22"/>
        </w:rPr>
        <w:t>WHO EMRO - Mental health and substance use</w:t>
      </w:r>
      <w:r w:rsidRPr="003B2BCD">
        <w:rPr>
          <w:rFonts w:asciiTheme="minorBidi" w:hAnsiTheme="minorBidi" w:cstheme="minorBidi"/>
          <w:szCs w:val="22"/>
        </w:rPr>
        <w:t xml:space="preserve">. [online] Who.int. Available at: </w:t>
      </w:r>
      <w:hyperlink r:id="rId40" w:history="1">
        <w:r w:rsidRPr="003B2BCD">
          <w:rPr>
            <w:rStyle w:val="Hyperlink"/>
            <w:rFonts w:asciiTheme="minorBidi" w:hAnsiTheme="minorBidi" w:cstheme="minorBidi"/>
            <w:szCs w:val="22"/>
          </w:rPr>
          <w:t>https://www.emro.who.int/mnh/mental-health-action-plan/</w:t>
        </w:r>
      </w:hyperlink>
      <w:r w:rsidRPr="003B2BCD">
        <w:rPr>
          <w:rFonts w:asciiTheme="minorBidi" w:hAnsiTheme="minorBidi" w:cstheme="minorBidi"/>
          <w:szCs w:val="22"/>
        </w:rPr>
        <w:t xml:space="preserve">. </w:t>
      </w:r>
    </w:p>
    <w:p w14:paraId="707B3C3F"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World Bank Group (2025). </w:t>
      </w:r>
      <w:r w:rsidRPr="003B2BCD">
        <w:rPr>
          <w:rFonts w:asciiTheme="minorBidi" w:hAnsiTheme="minorBidi" w:cstheme="minorBidi"/>
          <w:i/>
          <w:iCs/>
          <w:szCs w:val="22"/>
        </w:rPr>
        <w:t>Universal Health Coverage | World Bank Group</w:t>
      </w:r>
      <w:r w:rsidRPr="003B2BCD">
        <w:rPr>
          <w:rFonts w:asciiTheme="minorBidi" w:hAnsiTheme="minorBidi" w:cstheme="minorBidi"/>
          <w:szCs w:val="22"/>
        </w:rPr>
        <w:t xml:space="preserve">. [online] Worldbank.org. Available at: </w:t>
      </w:r>
      <w:hyperlink r:id="rId41" w:history="1">
        <w:r w:rsidRPr="003B2BCD">
          <w:rPr>
            <w:rStyle w:val="Hyperlink"/>
            <w:rFonts w:asciiTheme="minorBidi" w:hAnsiTheme="minorBidi" w:cstheme="minorBidi"/>
            <w:szCs w:val="22"/>
          </w:rPr>
          <w:t>https://www.worldbank.org/ext/en/topic/health/universal-health-coverage</w:t>
        </w:r>
      </w:hyperlink>
      <w:r w:rsidRPr="003B2BCD">
        <w:rPr>
          <w:rFonts w:asciiTheme="minorBidi" w:hAnsiTheme="minorBidi" w:cstheme="minorBidi"/>
          <w:szCs w:val="22"/>
        </w:rPr>
        <w:t xml:space="preserve">. </w:t>
      </w:r>
    </w:p>
    <w:p w14:paraId="42C3300D" w14:textId="77777777" w:rsidR="00F45B1A" w:rsidRPr="003B2BCD" w:rsidRDefault="00F45B1A" w:rsidP="001B08EA">
      <w:pPr>
        <w:pStyle w:val="NormalWeb"/>
        <w:spacing w:before="0" w:beforeAutospacing="0" w:after="240" w:afterAutospacing="0" w:line="360" w:lineRule="auto"/>
        <w:rPr>
          <w:rFonts w:asciiTheme="minorBidi" w:hAnsiTheme="minorBidi" w:cstheme="minorBidi"/>
          <w:szCs w:val="22"/>
        </w:rPr>
      </w:pPr>
      <w:r w:rsidRPr="003B2BCD">
        <w:rPr>
          <w:rFonts w:asciiTheme="minorBidi" w:hAnsiTheme="minorBidi" w:cstheme="minorBidi"/>
          <w:szCs w:val="22"/>
        </w:rPr>
        <w:t xml:space="preserve">World Health Organization (2025). </w:t>
      </w:r>
      <w:r w:rsidRPr="003B2BCD">
        <w:rPr>
          <w:rFonts w:asciiTheme="minorBidi" w:hAnsiTheme="minorBidi" w:cstheme="minorBidi"/>
          <w:i/>
          <w:iCs/>
          <w:szCs w:val="22"/>
        </w:rPr>
        <w:t>Universal Health Coverage (UHC)</w:t>
      </w:r>
      <w:r w:rsidRPr="003B2BCD">
        <w:rPr>
          <w:rFonts w:asciiTheme="minorBidi" w:hAnsiTheme="minorBidi" w:cstheme="minorBidi"/>
          <w:szCs w:val="22"/>
        </w:rPr>
        <w:t xml:space="preserve">. [online] World Health Organization. Available at: </w:t>
      </w:r>
      <w:hyperlink r:id="rId42" w:history="1">
        <w:r w:rsidRPr="003B2BCD">
          <w:rPr>
            <w:rStyle w:val="Hyperlink"/>
            <w:rFonts w:asciiTheme="minorBidi" w:hAnsiTheme="minorBidi" w:cstheme="minorBidi"/>
            <w:szCs w:val="22"/>
          </w:rPr>
          <w:t>https://www.who.int/news-room/fact-sheets/detail/universal-health-coverage-(uhc)</w:t>
        </w:r>
      </w:hyperlink>
      <w:r w:rsidRPr="003B2BCD">
        <w:rPr>
          <w:rFonts w:asciiTheme="minorBidi" w:hAnsiTheme="minorBidi" w:cstheme="minorBidi"/>
          <w:szCs w:val="22"/>
        </w:rPr>
        <w:t xml:space="preserve">. </w:t>
      </w:r>
    </w:p>
    <w:p w14:paraId="5517439B" w14:textId="77777777" w:rsidR="00F45B1A" w:rsidRPr="001B08EA" w:rsidRDefault="00F45B1A" w:rsidP="001B08EA">
      <w:pPr>
        <w:spacing w:line="360" w:lineRule="auto"/>
        <w:rPr>
          <w:szCs w:val="22"/>
        </w:rPr>
      </w:pPr>
      <w:proofErr w:type="spellStart"/>
      <w:r w:rsidRPr="001B08EA">
        <w:rPr>
          <w:szCs w:val="22"/>
        </w:rPr>
        <w:t>Zajacova</w:t>
      </w:r>
      <w:proofErr w:type="spellEnd"/>
      <w:r w:rsidRPr="001B08EA">
        <w:rPr>
          <w:szCs w:val="22"/>
        </w:rPr>
        <w:t>, A., &amp; Lawrence, E. M. (2018). The relationship between education and health: reducing disparities through a contextual approach. </w:t>
      </w:r>
      <w:r w:rsidRPr="001B08EA">
        <w:rPr>
          <w:i/>
          <w:iCs/>
          <w:szCs w:val="22"/>
        </w:rPr>
        <w:t>Annual review of public health</w:t>
      </w:r>
      <w:r w:rsidRPr="001B08EA">
        <w:rPr>
          <w:szCs w:val="22"/>
        </w:rPr>
        <w:t>, </w:t>
      </w:r>
      <w:r w:rsidRPr="001B08EA">
        <w:rPr>
          <w:i/>
          <w:iCs/>
          <w:szCs w:val="22"/>
        </w:rPr>
        <w:t>39</w:t>
      </w:r>
      <w:r w:rsidRPr="001B08EA">
        <w:rPr>
          <w:szCs w:val="22"/>
        </w:rPr>
        <w:t xml:space="preserve">, 273-289. </w:t>
      </w:r>
      <w:hyperlink r:id="rId43" w:history="1">
        <w:r w:rsidRPr="001B08EA">
          <w:rPr>
            <w:rStyle w:val="Hyperlink"/>
            <w:szCs w:val="22"/>
          </w:rPr>
          <w:t>https://doi.org/10.1146/annurev-publhealth-031816-044628</w:t>
        </w:r>
      </w:hyperlink>
      <w:r w:rsidRPr="001B08EA">
        <w:rPr>
          <w:szCs w:val="22"/>
        </w:rPr>
        <w:t xml:space="preserve"> </w:t>
      </w:r>
    </w:p>
    <w:sectPr w:rsidR="00F45B1A" w:rsidRPr="001B08EA" w:rsidSect="00BD75B0">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9FA7C" w14:textId="77777777" w:rsidR="00E233A4" w:rsidRDefault="00E233A4" w:rsidP="00833E2E">
      <w:pPr>
        <w:spacing w:after="0" w:line="240" w:lineRule="auto"/>
      </w:pPr>
      <w:r>
        <w:separator/>
      </w:r>
    </w:p>
  </w:endnote>
  <w:endnote w:type="continuationSeparator" w:id="0">
    <w:p w14:paraId="17CCF4CE" w14:textId="77777777" w:rsidR="00E233A4" w:rsidRDefault="00E233A4" w:rsidP="00833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199980"/>
      <w:docPartObj>
        <w:docPartGallery w:val="Page Numbers (Bottom of Page)"/>
        <w:docPartUnique/>
      </w:docPartObj>
    </w:sdtPr>
    <w:sdtContent>
      <w:p w14:paraId="41B0563D" w14:textId="53FDE939" w:rsidR="00834FC7" w:rsidRDefault="00834FC7">
        <w:pPr>
          <w:pStyle w:val="Footer"/>
          <w:jc w:val="right"/>
        </w:pPr>
        <w:r>
          <w:fldChar w:fldCharType="begin"/>
        </w:r>
        <w:r>
          <w:instrText>PAGE   \* MERGEFORMAT</w:instrText>
        </w:r>
        <w:r>
          <w:fldChar w:fldCharType="separate"/>
        </w:r>
        <w:r>
          <w:rPr>
            <w:lang w:val="de-DE"/>
          </w:rPr>
          <w:t>2</w:t>
        </w:r>
        <w:r>
          <w:fldChar w:fldCharType="end"/>
        </w:r>
      </w:p>
    </w:sdtContent>
  </w:sdt>
  <w:p w14:paraId="087185B5" w14:textId="77777777" w:rsidR="00834FC7" w:rsidRDefault="00834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66F3B" w14:textId="77777777" w:rsidR="00E233A4" w:rsidRDefault="00E233A4" w:rsidP="00833E2E">
      <w:pPr>
        <w:spacing w:after="0" w:line="240" w:lineRule="auto"/>
      </w:pPr>
      <w:r>
        <w:separator/>
      </w:r>
    </w:p>
  </w:footnote>
  <w:footnote w:type="continuationSeparator" w:id="0">
    <w:p w14:paraId="4772C73D" w14:textId="77777777" w:rsidR="00E233A4" w:rsidRDefault="00E233A4" w:rsidP="00833E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4472"/>
    <w:multiLevelType w:val="multilevel"/>
    <w:tmpl w:val="55A637B0"/>
    <w:lvl w:ilvl="0">
      <w:start w:val="1"/>
      <w:numFmt w:val="decimal"/>
      <w:lvlText w:val="%1."/>
      <w:lvlJc w:val="left"/>
      <w:pPr>
        <w:ind w:left="567" w:hanging="567"/>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AFF17C3"/>
    <w:multiLevelType w:val="hybridMultilevel"/>
    <w:tmpl w:val="83FCCAF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014138967">
    <w:abstractNumId w:val="0"/>
  </w:num>
  <w:num w:numId="2" w16cid:durableId="31344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cwNDIwMTQ1NjAxNjJQ0lEKTi0uzszPAykwrAUATpcwaCwAAAA="/>
  </w:docVars>
  <w:rsids>
    <w:rsidRoot w:val="00F52E6D"/>
    <w:rsid w:val="0003345B"/>
    <w:rsid w:val="00036FA5"/>
    <w:rsid w:val="0004253E"/>
    <w:rsid w:val="00052159"/>
    <w:rsid w:val="000639AF"/>
    <w:rsid w:val="00067153"/>
    <w:rsid w:val="00094A25"/>
    <w:rsid w:val="00096808"/>
    <w:rsid w:val="000C0603"/>
    <w:rsid w:val="000C763E"/>
    <w:rsid w:val="000D0A3C"/>
    <w:rsid w:val="000D7522"/>
    <w:rsid w:val="000E1A5F"/>
    <w:rsid w:val="000E6D94"/>
    <w:rsid w:val="000F1651"/>
    <w:rsid w:val="0014548A"/>
    <w:rsid w:val="00150EFD"/>
    <w:rsid w:val="00160B11"/>
    <w:rsid w:val="00161E1A"/>
    <w:rsid w:val="001764F8"/>
    <w:rsid w:val="00196722"/>
    <w:rsid w:val="00197ED1"/>
    <w:rsid w:val="001B08EA"/>
    <w:rsid w:val="001B1F26"/>
    <w:rsid w:val="001C03D1"/>
    <w:rsid w:val="001C0B69"/>
    <w:rsid w:val="001C6A28"/>
    <w:rsid w:val="001D3CE6"/>
    <w:rsid w:val="001D41E3"/>
    <w:rsid w:val="00200454"/>
    <w:rsid w:val="00203784"/>
    <w:rsid w:val="0022735A"/>
    <w:rsid w:val="002A0C08"/>
    <w:rsid w:val="002A67D8"/>
    <w:rsid w:val="002B51BB"/>
    <w:rsid w:val="002E6DC1"/>
    <w:rsid w:val="002F501D"/>
    <w:rsid w:val="002F7368"/>
    <w:rsid w:val="00305983"/>
    <w:rsid w:val="00305BB4"/>
    <w:rsid w:val="00331887"/>
    <w:rsid w:val="00340236"/>
    <w:rsid w:val="00341364"/>
    <w:rsid w:val="003417D4"/>
    <w:rsid w:val="00341C58"/>
    <w:rsid w:val="00371F4F"/>
    <w:rsid w:val="00374668"/>
    <w:rsid w:val="00375F84"/>
    <w:rsid w:val="00380649"/>
    <w:rsid w:val="0039544F"/>
    <w:rsid w:val="003A1453"/>
    <w:rsid w:val="003A352E"/>
    <w:rsid w:val="003B2BCD"/>
    <w:rsid w:val="003B3C73"/>
    <w:rsid w:val="003C0AE6"/>
    <w:rsid w:val="003C0F7E"/>
    <w:rsid w:val="003C6CFB"/>
    <w:rsid w:val="003E2BC9"/>
    <w:rsid w:val="003E7CC3"/>
    <w:rsid w:val="004045F3"/>
    <w:rsid w:val="0040650A"/>
    <w:rsid w:val="00407F10"/>
    <w:rsid w:val="00427855"/>
    <w:rsid w:val="004537A3"/>
    <w:rsid w:val="0045501D"/>
    <w:rsid w:val="00485204"/>
    <w:rsid w:val="0048680F"/>
    <w:rsid w:val="00486909"/>
    <w:rsid w:val="004961B5"/>
    <w:rsid w:val="004A2D56"/>
    <w:rsid w:val="004B0E9A"/>
    <w:rsid w:val="004B58E7"/>
    <w:rsid w:val="004C0858"/>
    <w:rsid w:val="004C12BD"/>
    <w:rsid w:val="004E2FBC"/>
    <w:rsid w:val="004F33A4"/>
    <w:rsid w:val="00503B4D"/>
    <w:rsid w:val="00511F26"/>
    <w:rsid w:val="00521FF8"/>
    <w:rsid w:val="00526564"/>
    <w:rsid w:val="00553B2E"/>
    <w:rsid w:val="0055550A"/>
    <w:rsid w:val="00562949"/>
    <w:rsid w:val="005632AC"/>
    <w:rsid w:val="00577AD5"/>
    <w:rsid w:val="00581FE2"/>
    <w:rsid w:val="00582721"/>
    <w:rsid w:val="005C197B"/>
    <w:rsid w:val="005C1BBB"/>
    <w:rsid w:val="005E7652"/>
    <w:rsid w:val="005F5E9E"/>
    <w:rsid w:val="005F7793"/>
    <w:rsid w:val="006110A0"/>
    <w:rsid w:val="00616C39"/>
    <w:rsid w:val="00636E45"/>
    <w:rsid w:val="00657477"/>
    <w:rsid w:val="00665586"/>
    <w:rsid w:val="006819E5"/>
    <w:rsid w:val="00683908"/>
    <w:rsid w:val="006877A2"/>
    <w:rsid w:val="006907B9"/>
    <w:rsid w:val="00690A66"/>
    <w:rsid w:val="006C1C51"/>
    <w:rsid w:val="006C3206"/>
    <w:rsid w:val="006C3805"/>
    <w:rsid w:val="006C572A"/>
    <w:rsid w:val="006D1D68"/>
    <w:rsid w:val="006D5210"/>
    <w:rsid w:val="006E3C70"/>
    <w:rsid w:val="006E6BCE"/>
    <w:rsid w:val="006F119D"/>
    <w:rsid w:val="006F2F7A"/>
    <w:rsid w:val="006F78F0"/>
    <w:rsid w:val="007140AD"/>
    <w:rsid w:val="007234CE"/>
    <w:rsid w:val="00724EDE"/>
    <w:rsid w:val="0076684D"/>
    <w:rsid w:val="00797320"/>
    <w:rsid w:val="007A0A86"/>
    <w:rsid w:val="007A71C9"/>
    <w:rsid w:val="007C5AF0"/>
    <w:rsid w:val="007E3DE6"/>
    <w:rsid w:val="007E60B9"/>
    <w:rsid w:val="007F25A2"/>
    <w:rsid w:val="007F79D5"/>
    <w:rsid w:val="00826C64"/>
    <w:rsid w:val="00827B87"/>
    <w:rsid w:val="00833E2E"/>
    <w:rsid w:val="00834D72"/>
    <w:rsid w:val="00834FC7"/>
    <w:rsid w:val="00850A72"/>
    <w:rsid w:val="00850EF0"/>
    <w:rsid w:val="0085703C"/>
    <w:rsid w:val="00865793"/>
    <w:rsid w:val="008816C9"/>
    <w:rsid w:val="008842B8"/>
    <w:rsid w:val="008864CE"/>
    <w:rsid w:val="008B5CB8"/>
    <w:rsid w:val="008C6392"/>
    <w:rsid w:val="008D1C5A"/>
    <w:rsid w:val="008E07AF"/>
    <w:rsid w:val="00930A03"/>
    <w:rsid w:val="0093542C"/>
    <w:rsid w:val="009466E0"/>
    <w:rsid w:val="00957DFB"/>
    <w:rsid w:val="00962612"/>
    <w:rsid w:val="0097289C"/>
    <w:rsid w:val="00977B7C"/>
    <w:rsid w:val="009901B1"/>
    <w:rsid w:val="00997F6F"/>
    <w:rsid w:val="00A06DA8"/>
    <w:rsid w:val="00A27777"/>
    <w:rsid w:val="00A429B9"/>
    <w:rsid w:val="00A4325D"/>
    <w:rsid w:val="00A57360"/>
    <w:rsid w:val="00A82DA6"/>
    <w:rsid w:val="00A84F61"/>
    <w:rsid w:val="00A85F58"/>
    <w:rsid w:val="00A911CF"/>
    <w:rsid w:val="00AA4118"/>
    <w:rsid w:val="00AB10C5"/>
    <w:rsid w:val="00AB7D2D"/>
    <w:rsid w:val="00AC0584"/>
    <w:rsid w:val="00AC3950"/>
    <w:rsid w:val="00AC69DD"/>
    <w:rsid w:val="00AD22BA"/>
    <w:rsid w:val="00B102A7"/>
    <w:rsid w:val="00B27EB4"/>
    <w:rsid w:val="00B428B5"/>
    <w:rsid w:val="00B57E35"/>
    <w:rsid w:val="00B60D05"/>
    <w:rsid w:val="00B61F4C"/>
    <w:rsid w:val="00B74659"/>
    <w:rsid w:val="00B93086"/>
    <w:rsid w:val="00BC0C23"/>
    <w:rsid w:val="00BC75FB"/>
    <w:rsid w:val="00BD284E"/>
    <w:rsid w:val="00BD75B0"/>
    <w:rsid w:val="00BF5073"/>
    <w:rsid w:val="00C02585"/>
    <w:rsid w:val="00C07FA2"/>
    <w:rsid w:val="00C24B93"/>
    <w:rsid w:val="00C34430"/>
    <w:rsid w:val="00C4273F"/>
    <w:rsid w:val="00C46766"/>
    <w:rsid w:val="00C67CE9"/>
    <w:rsid w:val="00C77516"/>
    <w:rsid w:val="00C77E59"/>
    <w:rsid w:val="00C905AF"/>
    <w:rsid w:val="00C9351A"/>
    <w:rsid w:val="00C93D1E"/>
    <w:rsid w:val="00CA69AC"/>
    <w:rsid w:val="00CC5BCA"/>
    <w:rsid w:val="00CC5E75"/>
    <w:rsid w:val="00CE510C"/>
    <w:rsid w:val="00D0649A"/>
    <w:rsid w:val="00D25353"/>
    <w:rsid w:val="00D3023E"/>
    <w:rsid w:val="00D3266B"/>
    <w:rsid w:val="00D360DD"/>
    <w:rsid w:val="00D47A1E"/>
    <w:rsid w:val="00D50278"/>
    <w:rsid w:val="00D534E8"/>
    <w:rsid w:val="00D67C40"/>
    <w:rsid w:val="00D73FF4"/>
    <w:rsid w:val="00D7613D"/>
    <w:rsid w:val="00D94491"/>
    <w:rsid w:val="00D96417"/>
    <w:rsid w:val="00D97DA3"/>
    <w:rsid w:val="00DA1E7D"/>
    <w:rsid w:val="00DA350E"/>
    <w:rsid w:val="00DB3042"/>
    <w:rsid w:val="00DD1FB9"/>
    <w:rsid w:val="00DD48DA"/>
    <w:rsid w:val="00DF1AA7"/>
    <w:rsid w:val="00DF52E4"/>
    <w:rsid w:val="00E03A71"/>
    <w:rsid w:val="00E0448E"/>
    <w:rsid w:val="00E060D0"/>
    <w:rsid w:val="00E16895"/>
    <w:rsid w:val="00E204BB"/>
    <w:rsid w:val="00E233A4"/>
    <w:rsid w:val="00E455B5"/>
    <w:rsid w:val="00EA3373"/>
    <w:rsid w:val="00EB30C4"/>
    <w:rsid w:val="00EC21CD"/>
    <w:rsid w:val="00EF6C76"/>
    <w:rsid w:val="00F40138"/>
    <w:rsid w:val="00F444A5"/>
    <w:rsid w:val="00F45B1A"/>
    <w:rsid w:val="00F467D2"/>
    <w:rsid w:val="00F52E6D"/>
    <w:rsid w:val="00F5410A"/>
    <w:rsid w:val="00F55F54"/>
    <w:rsid w:val="00F57E12"/>
    <w:rsid w:val="00F647A6"/>
    <w:rsid w:val="00F93191"/>
    <w:rsid w:val="00F94773"/>
    <w:rsid w:val="00FC0371"/>
    <w:rsid w:val="00FD3837"/>
    <w:rsid w:val="00FE10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64513"/>
  <w15:chartTrackingRefBased/>
  <w15:docId w15:val="{AD3501F9-AFE6-4472-9667-97207013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320"/>
    <w:pPr>
      <w:spacing w:line="480" w:lineRule="auto"/>
    </w:pPr>
    <w:rPr>
      <w:rFonts w:asciiTheme="minorBidi" w:hAnsiTheme="minorBidi"/>
      <w:sz w:val="22"/>
    </w:rPr>
  </w:style>
  <w:style w:type="paragraph" w:styleId="Heading1">
    <w:name w:val="heading 1"/>
    <w:basedOn w:val="Normal"/>
    <w:next w:val="Normal"/>
    <w:link w:val="Heading1Char"/>
    <w:uiPriority w:val="9"/>
    <w:qFormat/>
    <w:rsid w:val="0097289C"/>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BD284E"/>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F52E6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2E6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52E6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52E6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52E6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52E6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52E6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89C"/>
    <w:rPr>
      <w:rFonts w:asciiTheme="minorBidi" w:eastAsiaTheme="majorEastAsia" w:hAnsiTheme="minorBidi" w:cstheme="majorBidi"/>
      <w:b/>
      <w:szCs w:val="40"/>
    </w:rPr>
  </w:style>
  <w:style w:type="character" w:customStyle="1" w:styleId="Heading2Char">
    <w:name w:val="Heading 2 Char"/>
    <w:basedOn w:val="DefaultParagraphFont"/>
    <w:link w:val="Heading2"/>
    <w:uiPriority w:val="9"/>
    <w:rsid w:val="00BD284E"/>
    <w:rPr>
      <w:rFonts w:asciiTheme="minorBidi" w:eastAsiaTheme="majorEastAsia" w:hAnsiTheme="minorBidi" w:cstheme="majorBidi"/>
      <w:b/>
      <w:szCs w:val="32"/>
    </w:rPr>
  </w:style>
  <w:style w:type="character" w:customStyle="1" w:styleId="Heading3Char">
    <w:name w:val="Heading 3 Char"/>
    <w:basedOn w:val="DefaultParagraphFont"/>
    <w:link w:val="Heading3"/>
    <w:uiPriority w:val="9"/>
    <w:semiHidden/>
    <w:rsid w:val="00F52E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2E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2E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2E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E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E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E6D"/>
    <w:rPr>
      <w:rFonts w:eastAsiaTheme="majorEastAsia" w:cstheme="majorBidi"/>
      <w:color w:val="272727" w:themeColor="text1" w:themeTint="D8"/>
    </w:rPr>
  </w:style>
  <w:style w:type="paragraph" w:styleId="Title">
    <w:name w:val="Title"/>
    <w:basedOn w:val="Normal"/>
    <w:next w:val="Normal"/>
    <w:link w:val="TitleChar"/>
    <w:uiPriority w:val="10"/>
    <w:qFormat/>
    <w:rsid w:val="00F52E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E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E6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E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E6D"/>
    <w:pPr>
      <w:spacing w:before="160"/>
      <w:jc w:val="center"/>
    </w:pPr>
    <w:rPr>
      <w:i/>
      <w:iCs/>
      <w:color w:val="404040" w:themeColor="text1" w:themeTint="BF"/>
    </w:rPr>
  </w:style>
  <w:style w:type="character" w:customStyle="1" w:styleId="QuoteChar">
    <w:name w:val="Quote Char"/>
    <w:basedOn w:val="DefaultParagraphFont"/>
    <w:link w:val="Quote"/>
    <w:uiPriority w:val="29"/>
    <w:rsid w:val="00F52E6D"/>
    <w:rPr>
      <w:rFonts w:asciiTheme="majorBidi" w:hAnsiTheme="majorBidi"/>
      <w:i/>
      <w:iCs/>
      <w:color w:val="404040" w:themeColor="text1" w:themeTint="BF"/>
    </w:rPr>
  </w:style>
  <w:style w:type="paragraph" w:styleId="ListParagraph">
    <w:name w:val="List Paragraph"/>
    <w:basedOn w:val="Normal"/>
    <w:uiPriority w:val="34"/>
    <w:qFormat/>
    <w:rsid w:val="00F52E6D"/>
    <w:pPr>
      <w:ind w:left="720"/>
      <w:contextualSpacing/>
    </w:pPr>
  </w:style>
  <w:style w:type="character" w:styleId="IntenseEmphasis">
    <w:name w:val="Intense Emphasis"/>
    <w:basedOn w:val="DefaultParagraphFont"/>
    <w:uiPriority w:val="21"/>
    <w:qFormat/>
    <w:rsid w:val="00F52E6D"/>
    <w:rPr>
      <w:i/>
      <w:iCs/>
      <w:color w:val="0F4761" w:themeColor="accent1" w:themeShade="BF"/>
    </w:rPr>
  </w:style>
  <w:style w:type="paragraph" w:styleId="IntenseQuote">
    <w:name w:val="Intense Quote"/>
    <w:basedOn w:val="Normal"/>
    <w:next w:val="Normal"/>
    <w:link w:val="IntenseQuoteChar"/>
    <w:uiPriority w:val="30"/>
    <w:qFormat/>
    <w:rsid w:val="00F52E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2E6D"/>
    <w:rPr>
      <w:rFonts w:asciiTheme="majorBidi" w:hAnsiTheme="majorBidi"/>
      <w:i/>
      <w:iCs/>
      <w:color w:val="0F4761" w:themeColor="accent1" w:themeShade="BF"/>
    </w:rPr>
  </w:style>
  <w:style w:type="character" w:styleId="IntenseReference">
    <w:name w:val="Intense Reference"/>
    <w:basedOn w:val="DefaultParagraphFont"/>
    <w:uiPriority w:val="32"/>
    <w:qFormat/>
    <w:rsid w:val="00F52E6D"/>
    <w:rPr>
      <w:b/>
      <w:bCs/>
      <w:smallCaps/>
      <w:color w:val="0F4761" w:themeColor="accent1" w:themeShade="BF"/>
      <w:spacing w:val="5"/>
    </w:rPr>
  </w:style>
  <w:style w:type="paragraph" w:styleId="Header">
    <w:name w:val="header"/>
    <w:basedOn w:val="Normal"/>
    <w:link w:val="HeaderChar"/>
    <w:uiPriority w:val="99"/>
    <w:unhideWhenUsed/>
    <w:rsid w:val="00833E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E2E"/>
    <w:rPr>
      <w:rFonts w:asciiTheme="minorBidi" w:hAnsiTheme="minorBidi"/>
    </w:rPr>
  </w:style>
  <w:style w:type="paragraph" w:styleId="Footer">
    <w:name w:val="footer"/>
    <w:basedOn w:val="Normal"/>
    <w:link w:val="FooterChar"/>
    <w:uiPriority w:val="99"/>
    <w:unhideWhenUsed/>
    <w:rsid w:val="00833E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E2E"/>
    <w:rPr>
      <w:rFonts w:asciiTheme="minorBidi" w:hAnsiTheme="minorBidi"/>
    </w:rPr>
  </w:style>
  <w:style w:type="paragraph" w:styleId="Caption">
    <w:name w:val="caption"/>
    <w:basedOn w:val="Normal"/>
    <w:next w:val="Normal"/>
    <w:uiPriority w:val="35"/>
    <w:unhideWhenUsed/>
    <w:qFormat/>
    <w:rsid w:val="006F2F7A"/>
    <w:pPr>
      <w:spacing w:after="200" w:line="240" w:lineRule="auto"/>
    </w:pPr>
    <w:rPr>
      <w:i/>
      <w:iCs/>
      <w:color w:val="0E2841" w:themeColor="text2"/>
      <w:sz w:val="18"/>
      <w:szCs w:val="18"/>
    </w:rPr>
  </w:style>
  <w:style w:type="character" w:styleId="Emphasis">
    <w:name w:val="Emphasis"/>
    <w:basedOn w:val="DefaultParagraphFont"/>
    <w:uiPriority w:val="20"/>
    <w:qFormat/>
    <w:rsid w:val="007234CE"/>
    <w:rPr>
      <w:i/>
      <w:iCs/>
    </w:rPr>
  </w:style>
  <w:style w:type="character" w:styleId="Hyperlink">
    <w:name w:val="Hyperlink"/>
    <w:basedOn w:val="DefaultParagraphFont"/>
    <w:uiPriority w:val="99"/>
    <w:unhideWhenUsed/>
    <w:rsid w:val="008C6392"/>
    <w:rPr>
      <w:color w:val="467886" w:themeColor="hyperlink"/>
      <w:u w:val="single"/>
    </w:rPr>
  </w:style>
  <w:style w:type="character" w:styleId="UnresolvedMention">
    <w:name w:val="Unresolved Mention"/>
    <w:basedOn w:val="DefaultParagraphFont"/>
    <w:uiPriority w:val="99"/>
    <w:semiHidden/>
    <w:unhideWhenUsed/>
    <w:rsid w:val="008C6392"/>
    <w:rPr>
      <w:color w:val="605E5C"/>
      <w:shd w:val="clear" w:color="auto" w:fill="E1DFDD"/>
    </w:rPr>
  </w:style>
  <w:style w:type="character" w:customStyle="1" w:styleId="ej-journal-doi">
    <w:name w:val="ej-journal-doi"/>
    <w:basedOn w:val="DefaultParagraphFont"/>
    <w:rsid w:val="000E6D94"/>
  </w:style>
  <w:style w:type="paragraph" w:styleId="NormalWeb">
    <w:name w:val="Normal (Web)"/>
    <w:basedOn w:val="Normal"/>
    <w:uiPriority w:val="99"/>
    <w:unhideWhenUsed/>
    <w:rsid w:val="004A2D56"/>
    <w:pPr>
      <w:spacing w:before="100" w:beforeAutospacing="1" w:after="100" w:afterAutospacing="1" w:line="240" w:lineRule="auto"/>
    </w:pPr>
    <w:rPr>
      <w:rFonts w:ascii="Times New Roman" w:eastAsia="Times New Roman" w:hAnsi="Times New Roman" w:cs="Times New Roman"/>
      <w:lang w:eastAsia="en-GB"/>
      <w14:ligatures w14:val="none"/>
    </w:rPr>
  </w:style>
  <w:style w:type="paragraph" w:styleId="TOCHeading">
    <w:name w:val="TOC Heading"/>
    <w:basedOn w:val="Heading1"/>
    <w:next w:val="Normal"/>
    <w:uiPriority w:val="39"/>
    <w:unhideWhenUsed/>
    <w:qFormat/>
    <w:rsid w:val="004B58E7"/>
    <w:pPr>
      <w:spacing w:before="240" w:after="0" w:line="259" w:lineRule="auto"/>
      <w:outlineLvl w:val="9"/>
    </w:pPr>
    <w:rPr>
      <w:rFonts w:asciiTheme="majorHAnsi" w:hAnsiTheme="majorHAnsi"/>
      <w:b w:val="0"/>
      <w:color w:val="0F4761" w:themeColor="accent1" w:themeShade="BF"/>
      <w:sz w:val="32"/>
      <w:szCs w:val="32"/>
      <w:lang w:val="en-US"/>
      <w14:ligatures w14:val="none"/>
    </w:rPr>
  </w:style>
  <w:style w:type="paragraph" w:styleId="TOC1">
    <w:name w:val="toc 1"/>
    <w:basedOn w:val="Normal"/>
    <w:next w:val="Normal"/>
    <w:autoRedefine/>
    <w:uiPriority w:val="39"/>
    <w:unhideWhenUsed/>
    <w:rsid w:val="004B58E7"/>
    <w:pPr>
      <w:spacing w:after="100"/>
    </w:pPr>
  </w:style>
  <w:style w:type="paragraph" w:styleId="TOC2">
    <w:name w:val="toc 2"/>
    <w:basedOn w:val="Normal"/>
    <w:next w:val="Normal"/>
    <w:autoRedefine/>
    <w:uiPriority w:val="39"/>
    <w:unhideWhenUsed/>
    <w:rsid w:val="004B58E7"/>
    <w:pPr>
      <w:spacing w:after="100"/>
      <w:ind w:left="220"/>
    </w:pPr>
  </w:style>
  <w:style w:type="character" w:styleId="Strong">
    <w:name w:val="Strong"/>
    <w:basedOn w:val="DefaultParagraphFont"/>
    <w:uiPriority w:val="22"/>
    <w:qFormat/>
    <w:rsid w:val="005632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0574/wjarr.2023.20.1.2018" TargetMode="External"/><Relationship Id="rId18" Type="http://schemas.openxmlformats.org/officeDocument/2006/relationships/hyperlink" Target="https://www.gov.uk/government/publications/pupil-premium/pupil-premium" TargetMode="External"/><Relationship Id="rId26" Type="http://schemas.openxmlformats.org/officeDocument/2006/relationships/hyperlink" Target="https://doi.org/10.1186/s12913-021-06750-4" TargetMode="External"/><Relationship Id="rId39" Type="http://schemas.openxmlformats.org/officeDocument/2006/relationships/hyperlink" Target="https://www.un.org/en/with-less-than-one-fifth-of-targets-on-track" TargetMode="External"/><Relationship Id="rId21" Type="http://schemas.openxmlformats.org/officeDocument/2006/relationships/hyperlink" Target="https://www.manchester.gov.uk/health-and-wellbeing/public-health/making-manchester-fairer" TargetMode="External"/><Relationship Id="rId34" Type="http://schemas.openxmlformats.org/officeDocument/2006/relationships/hyperlink" Target="https://www.unicef.org/press-releases/restrictions-girls-education-and-womens-employment-afghanistan-could-lead-loss-over" TargetMode="External"/><Relationship Id="rId42" Type="http://schemas.openxmlformats.org/officeDocument/2006/relationships/hyperlink" Target="https://www.who.int/news-room/fact-sheets/detail/universal-health-coverage-(uhc)"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233/jad-180608" TargetMode="External"/><Relationship Id="rId29" Type="http://schemas.openxmlformats.org/officeDocument/2006/relationships/hyperlink" Target="https://doi.org/10.1186/s12889-022-1359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igital.nhs.uk/data-and-information/publications/statistical/health-survey-for-england/2024/adults-overweight-and-obesity" TargetMode="External"/><Relationship Id="rId32" Type="http://schemas.openxmlformats.org/officeDocument/2006/relationships/hyperlink" Target="https://www.unesco.org/gem-report/en/publication/equity-and-access" TargetMode="External"/><Relationship Id="rId37" Type="http://schemas.openxmlformats.org/officeDocument/2006/relationships/hyperlink" Target="https://www.un.org/sustainabledevelopment/health/" TargetMode="External"/><Relationship Id="rId40" Type="http://schemas.openxmlformats.org/officeDocument/2006/relationships/hyperlink" Target="https://www.emro.who.int/mnh/mental-health-action-pla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hildfundalliance.org/blog/2023/11/21/education-a-beacon-for-child-survival-and-thriving-communities/" TargetMode="External"/><Relationship Id="rId23" Type="http://schemas.openxmlformats.org/officeDocument/2006/relationships/hyperlink" Target="https://www.england.nhs.uk/long-read/health-inequalities-equality-legal-duties" TargetMode="External"/><Relationship Id="rId28" Type="http://schemas.openxmlformats.org/officeDocument/2006/relationships/hyperlink" Target="https://doi.org/10.2147/PPA.S166523" TargetMode="External"/><Relationship Id="rId36" Type="http://schemas.openxmlformats.org/officeDocument/2006/relationships/hyperlink" Target="https://sdgs.un.org/goals" TargetMode="External"/><Relationship Id="rId10" Type="http://schemas.openxmlformats.org/officeDocument/2006/relationships/image" Target="media/image3.png"/><Relationship Id="rId19" Type="http://schemas.openxmlformats.org/officeDocument/2006/relationships/hyperlink" Target="https://doi.org/10.30574/wjarr.2025.26.3.2264" TargetMode="External"/><Relationship Id="rId31" Type="http://schemas.openxmlformats.org/officeDocument/2006/relationships/hyperlink" Target="https://www.unesco.org/en/articles/251m-children-and-youth-still-out-school-despite-decades-progress-unesco-report"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0574/wjbphs.2024.20.3.1004" TargetMode="External"/><Relationship Id="rId22" Type="http://schemas.openxmlformats.org/officeDocument/2006/relationships/hyperlink" Target="https://democracy.manchester.gov.uk/documents/s36129/manchester%20healthy%20weight%20declaration.pdf" TargetMode="External"/><Relationship Id="rId27" Type="http://schemas.openxmlformats.org/officeDocument/2006/relationships/hyperlink" Target="https://doi.org/10.1186/s12889-024-19531-5" TargetMode="External"/><Relationship Id="rId30" Type="http://schemas.openxmlformats.org/officeDocument/2006/relationships/hyperlink" Target="https://www.unesco.org/sdg4education2030/en" TargetMode="External"/><Relationship Id="rId35" Type="http://schemas.openxmlformats.org/officeDocument/2006/relationships/hyperlink" Target="https://www.unicef.org/mena/sites/unicef.org.mena/files/press-releases/mena-media-GVAP_single_pages_PRINT.pdf" TargetMode="External"/><Relationship Id="rId43" Type="http://schemas.openxmlformats.org/officeDocument/2006/relationships/hyperlink" Target="https://doi.org/10.1146/annurev-publhealth-031816-044628"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doi.org/10.1016/j.puhe.2021.08.009" TargetMode="External"/><Relationship Id="rId25" Type="http://schemas.openxmlformats.org/officeDocument/2006/relationships/hyperlink" Target="https://www.ons.gov.uk/peoplepopulationandcommunity/birthsdeathsandmarriages/lifeexpectancies/bulletins/nationallifetablesunitedkingdom/2022to2024" TargetMode="External"/><Relationship Id="rId33" Type="http://schemas.openxmlformats.org/officeDocument/2006/relationships/hyperlink" Target="https://www.unesco.org/en/education/view/outofschool" TargetMode="External"/><Relationship Id="rId38" Type="http://schemas.openxmlformats.org/officeDocument/2006/relationships/hyperlink" Target="https://unstats.un.org/sdgs/report/2017/goal-04/" TargetMode="External"/><Relationship Id="rId46" Type="http://schemas.openxmlformats.org/officeDocument/2006/relationships/theme" Target="theme/theme1.xml"/><Relationship Id="rId20" Type="http://schemas.openxmlformats.org/officeDocument/2006/relationships/hyperlink" Target="https://explore-education-statistics.service.gov.uk/find-statistics/national-tutoring-programme/2023-24" TargetMode="External"/><Relationship Id="rId41" Type="http://schemas.openxmlformats.org/officeDocument/2006/relationships/hyperlink" Target="https://www.worldbank.org/ext/en/topic/health/universal-health-cover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1C0AA-F401-4FAA-9E39-374FB3178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3874</Words>
  <Characters>24407</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Bibi</dc:creator>
  <cp:keywords/>
  <dc:description/>
  <cp:revision>241</cp:revision>
  <dcterms:created xsi:type="dcterms:W3CDTF">2026-07-02T19:05:00Z</dcterms:created>
  <dcterms:modified xsi:type="dcterms:W3CDTF">2026-07-06T14:48:00Z</dcterms:modified>
</cp:coreProperties>
</file>