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F99" w:rsidRPr="00F60F99" w:rsidRDefault="00F60F99" w:rsidP="00F60F99">
      <w:pPr>
        <w:spacing w:after="0" w:line="240" w:lineRule="auto"/>
        <w:ind w:left="-180" w:right="-334"/>
        <w:rPr>
          <w:rFonts w:ascii="Georgia" w:eastAsia="SimSun" w:hAnsi="Georgia" w:cs="Times New Roman"/>
          <w:color w:val="000000"/>
          <w:sz w:val="21"/>
          <w:szCs w:val="21"/>
          <w:lang w:eastAsia="zh-CN"/>
        </w:rPr>
      </w:pPr>
      <w:r w:rsidRPr="00F60F99">
        <w:rPr>
          <w:rFonts w:ascii="Georgia" w:eastAsia="SimSun" w:hAnsi="Georgia" w:cs="Times New Roman"/>
          <w:noProof/>
          <w:color w:val="000000"/>
          <w:sz w:val="21"/>
          <w:szCs w:val="21"/>
          <w:lang w:eastAsia="en-GB"/>
        </w:rPr>
        <w:drawing>
          <wp:inline distT="0" distB="0" distL="0" distR="0" wp14:anchorId="1CFCB5A2" wp14:editId="41F9FCD7">
            <wp:extent cx="1905000" cy="638175"/>
            <wp:effectExtent l="19050" t="19050" r="19050" b="28575"/>
            <wp:docPr id="5"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F60F99" w:rsidRPr="00F60F99" w:rsidRDefault="00F60F99" w:rsidP="00F60F99">
      <w:pPr>
        <w:spacing w:after="0" w:line="240" w:lineRule="auto"/>
        <w:ind w:left="-180" w:right="-334"/>
        <w:rPr>
          <w:rFonts w:ascii="Georgia" w:eastAsia="SimSun" w:hAnsi="Georgia" w:cs="Times New Roman"/>
          <w:color w:val="000000"/>
          <w:sz w:val="21"/>
          <w:szCs w:val="21"/>
          <w:lang w:eastAsia="zh-CN"/>
        </w:rPr>
      </w:pPr>
    </w:p>
    <w:p w:rsidR="00F60F99" w:rsidRPr="00F60F99" w:rsidRDefault="00F60F99" w:rsidP="00F60F99">
      <w:pPr>
        <w:spacing w:after="0" w:line="240" w:lineRule="auto"/>
        <w:ind w:left="-180" w:right="-334"/>
        <w:rPr>
          <w:rFonts w:ascii="Georgia" w:eastAsia="SimSun" w:hAnsi="Georgia" w:cs="Times New Roman"/>
          <w:color w:val="000000"/>
          <w:sz w:val="21"/>
          <w:szCs w:val="21"/>
          <w:lang w:eastAsia="zh-CN"/>
        </w:rPr>
      </w:pPr>
    </w:p>
    <w:p w:rsidR="00F60F99" w:rsidRPr="00F60F99" w:rsidRDefault="00F60F99" w:rsidP="00F60F99">
      <w:pPr>
        <w:spacing w:after="0" w:line="240" w:lineRule="auto"/>
        <w:ind w:left="-180" w:right="-334"/>
        <w:jc w:val="center"/>
        <w:rPr>
          <w:rFonts w:ascii="Arial" w:eastAsia="SimSun" w:hAnsi="Arial" w:cs="Arial"/>
          <w:b/>
          <w:color w:val="000000"/>
          <w:sz w:val="28"/>
          <w:szCs w:val="28"/>
          <w:lang w:val="cy-GB" w:eastAsia="zh-CN"/>
        </w:rPr>
      </w:pPr>
      <w:r w:rsidRPr="00F60F99">
        <w:rPr>
          <w:rFonts w:ascii="Arial" w:eastAsia="SimSun" w:hAnsi="Arial" w:cs="Arial"/>
          <w:b/>
          <w:color w:val="000000"/>
          <w:sz w:val="28"/>
          <w:szCs w:val="28"/>
          <w:lang w:val="cy-GB" w:eastAsia="zh-CN"/>
        </w:rPr>
        <w:t xml:space="preserve">Postgraduate/Distance Learning </w:t>
      </w:r>
    </w:p>
    <w:p w:rsidR="00F60F99" w:rsidRPr="00F60F99" w:rsidRDefault="00F60F99" w:rsidP="00F60F99">
      <w:pPr>
        <w:spacing w:after="0" w:line="240" w:lineRule="auto"/>
        <w:ind w:left="-180" w:right="-334"/>
        <w:jc w:val="center"/>
        <w:rPr>
          <w:rFonts w:ascii="Arial" w:eastAsia="SimSun" w:hAnsi="Arial" w:cs="Arial"/>
          <w:b/>
          <w:color w:val="000000"/>
          <w:sz w:val="28"/>
          <w:szCs w:val="28"/>
          <w:lang w:eastAsia="zh-CN"/>
        </w:rPr>
      </w:pPr>
      <w:r w:rsidRPr="00F60F99">
        <w:rPr>
          <w:rFonts w:ascii="Arial" w:eastAsia="SimSun" w:hAnsi="Arial" w:cs="Arial"/>
          <w:b/>
          <w:color w:val="000000"/>
          <w:sz w:val="28"/>
          <w:szCs w:val="28"/>
          <w:lang w:val="cy-GB" w:eastAsia="zh-CN"/>
        </w:rPr>
        <w:t>Assignment coversheet &amp; feedback form</w:t>
      </w:r>
    </w:p>
    <w:p w:rsidR="00F60F99" w:rsidRPr="00F60F99" w:rsidRDefault="00F60F99" w:rsidP="00F60F99">
      <w:pPr>
        <w:spacing w:after="0" w:line="240" w:lineRule="auto"/>
        <w:rPr>
          <w:rFonts w:ascii="Arial" w:eastAsia="SimSun" w:hAnsi="Arial" w:cs="Arial"/>
          <w:sz w:val="28"/>
          <w:szCs w:val="28"/>
          <w:lang w:val="cy-GB" w:eastAsia="zh-CN"/>
        </w:rPr>
      </w:pPr>
    </w:p>
    <w:p w:rsidR="00F60F99" w:rsidRPr="00F60F99" w:rsidRDefault="00F60F99" w:rsidP="00F60F99">
      <w:pPr>
        <w:keepNext/>
        <w:spacing w:after="0" w:line="240" w:lineRule="auto"/>
        <w:ind w:left="720"/>
        <w:jc w:val="center"/>
        <w:outlineLvl w:val="2"/>
        <w:rPr>
          <w:rFonts w:ascii="Tahoma" w:eastAsia="SimSun" w:hAnsi="Tahoma" w:cs="Tahoma"/>
          <w:b/>
          <w:bCs/>
          <w:sz w:val="20"/>
          <w:szCs w:val="20"/>
          <w:lang w:val="cy-GB" w:eastAsia="zh-CN"/>
        </w:rPr>
      </w:pPr>
      <w:r w:rsidRPr="00F60F99">
        <w:rPr>
          <w:rFonts w:ascii="Tahoma" w:eastAsia="SimSun" w:hAnsi="Tahoma" w:cs="Tahoma"/>
          <w:b/>
          <w:bCs/>
          <w:sz w:val="20"/>
          <w:szCs w:val="20"/>
          <w:lang w:val="cy-GB" w:eastAsia="zh-CN"/>
        </w:rPr>
        <w:t>THIS SHEET MUST BE THE FIRST PAGE OF THE ASSIGNMENT YOU ARE SUBMITTING  (DO NOT SEND AS A SEPARATE FILE)</w:t>
      </w:r>
    </w:p>
    <w:p w:rsidR="00F60F99" w:rsidRPr="00F60F99" w:rsidRDefault="00F60F99" w:rsidP="00F60F99">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60F99" w:rsidRPr="00F60F99" w:rsidTr="00F60F99">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Student Name: Alice Bradley</w:t>
            </w:r>
          </w:p>
          <w:p w:rsidR="00F60F99" w:rsidRPr="00F60F99" w:rsidRDefault="00F60F99" w:rsidP="00F60F99">
            <w:pPr>
              <w:spacing w:after="0" w:line="240" w:lineRule="auto"/>
              <w:ind w:right="34"/>
              <w:rPr>
                <w:rFonts w:ascii="Arial" w:eastAsia="SimSun" w:hAnsi="Arial" w:cs="Arial"/>
                <w:color w:val="000000"/>
                <w:lang w:eastAsia="zh-CN"/>
              </w:rPr>
            </w:pPr>
          </w:p>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 xml:space="preserve">Student </w:t>
            </w:r>
            <w:r w:rsidRPr="00F60F99">
              <w:rPr>
                <w:rFonts w:ascii="Arial" w:eastAsia="SimSun" w:hAnsi="Arial" w:cs="Arial"/>
                <w:bCs/>
                <w:color w:val="000000"/>
                <w:lang w:eastAsia="zh-CN"/>
              </w:rPr>
              <w:t>University</w:t>
            </w:r>
            <w:r w:rsidRPr="00F60F99">
              <w:rPr>
                <w:rFonts w:ascii="Arial" w:eastAsia="SimSun" w:hAnsi="Arial" w:cs="Arial"/>
                <w:color w:val="000000"/>
                <w:lang w:eastAsia="zh-CN"/>
              </w:rPr>
              <w:t xml:space="preserve"> Email: 1400765@student.uwtsd.ac.uk</w:t>
            </w:r>
          </w:p>
        </w:tc>
      </w:tr>
      <w:tr w:rsidR="00F60F99" w:rsidRPr="00F60F99" w:rsidTr="00F60F99">
        <w:trPr>
          <w:trHeight w:val="849"/>
        </w:trPr>
        <w:tc>
          <w:tcPr>
            <w:tcW w:w="4788" w:type="dxa"/>
            <w:tcBorders>
              <w:top w:val="single" w:sz="4" w:space="0" w:color="000000"/>
              <w:left w:val="single" w:sz="4" w:space="0" w:color="000000"/>
              <w:bottom w:val="single" w:sz="4" w:space="0" w:color="000000"/>
              <w:right w:val="single" w:sz="4" w:space="0" w:color="000000"/>
            </w:tcBorders>
          </w:tcPr>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Module code: CLCL7003</w:t>
            </w:r>
          </w:p>
          <w:p w:rsidR="00F60F99" w:rsidRPr="00F60F99" w:rsidRDefault="00F60F99" w:rsidP="00F60F99">
            <w:pPr>
              <w:spacing w:after="0" w:line="240" w:lineRule="auto"/>
              <w:ind w:right="34"/>
              <w:rPr>
                <w:rFonts w:ascii="Arial" w:eastAsia="SimSun" w:hAnsi="Arial" w:cs="Arial"/>
                <w:color w:val="000000"/>
                <w:lang w:eastAsia="zh-CN"/>
              </w:rPr>
            </w:pPr>
          </w:p>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Module title: Theory and Methodology for the Study of Ancient Religions</w:t>
            </w:r>
          </w:p>
          <w:p w:rsidR="00F60F99" w:rsidRPr="00F60F99" w:rsidRDefault="00F60F99" w:rsidP="00F60F99">
            <w:pPr>
              <w:spacing w:after="0" w:line="240" w:lineRule="auto"/>
              <w:ind w:right="34"/>
              <w:rPr>
                <w:rFonts w:ascii="Arial" w:eastAsia="SimSun" w:hAnsi="Arial" w:cs="Arial"/>
                <w:color w:val="000000"/>
                <w:lang w:eastAsia="zh-CN"/>
              </w:rPr>
            </w:pPr>
          </w:p>
        </w:tc>
        <w:tc>
          <w:tcPr>
            <w:tcW w:w="2266" w:type="dxa"/>
            <w:gridSpan w:val="3"/>
            <w:tcBorders>
              <w:top w:val="single" w:sz="4" w:space="0" w:color="000000"/>
              <w:left w:val="single" w:sz="4" w:space="0" w:color="000000"/>
              <w:bottom w:val="single" w:sz="4" w:space="0" w:color="000000"/>
              <w:right w:val="single" w:sz="4" w:space="0" w:color="000000"/>
            </w:tcBorders>
          </w:tcPr>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Student ID number:</w:t>
            </w:r>
          </w:p>
          <w:p w:rsidR="00F60F99" w:rsidRPr="00F60F99" w:rsidRDefault="00F60F99" w:rsidP="00F60F99">
            <w:pPr>
              <w:spacing w:after="0" w:line="240" w:lineRule="auto"/>
              <w:ind w:right="34"/>
              <w:rPr>
                <w:rFonts w:ascii="Arial" w:eastAsia="SimSun" w:hAnsi="Arial" w:cs="Arial"/>
                <w:color w:val="000000"/>
                <w:lang w:eastAsia="zh-CN"/>
              </w:rPr>
            </w:pPr>
          </w:p>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1400765</w:t>
            </w:r>
          </w:p>
        </w:tc>
        <w:tc>
          <w:tcPr>
            <w:tcW w:w="1802" w:type="dxa"/>
            <w:tcBorders>
              <w:top w:val="single" w:sz="4" w:space="0" w:color="000000"/>
              <w:left w:val="single" w:sz="4" w:space="0" w:color="000000"/>
              <w:bottom w:val="single" w:sz="4" w:space="0" w:color="000000"/>
              <w:right w:val="single" w:sz="4" w:space="0" w:color="000000"/>
            </w:tcBorders>
            <w:hideMark/>
          </w:tcPr>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Educational support needs:</w:t>
            </w:r>
          </w:p>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Yes</w:t>
            </w:r>
          </w:p>
        </w:tc>
      </w:tr>
      <w:tr w:rsidR="00F60F99" w:rsidRPr="00F60F99" w:rsidTr="00F60F99">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Assignment title: To what extent can we assess roots of the conflict between Greek religion and Jewish religion during the reign of Antiochus IV in terms of ideology and types of evidence?</w:t>
            </w:r>
          </w:p>
          <w:p w:rsidR="00F60F99" w:rsidRPr="00F60F99" w:rsidRDefault="00F60F99" w:rsidP="00F60F99">
            <w:pPr>
              <w:spacing w:after="0" w:line="240" w:lineRule="auto"/>
              <w:ind w:right="34"/>
              <w:rPr>
                <w:rFonts w:ascii="Arial" w:eastAsia="SimSun" w:hAnsi="Arial" w:cs="Arial"/>
                <w:color w:val="000000"/>
                <w:lang w:eastAsia="zh-CN"/>
              </w:rPr>
            </w:pPr>
          </w:p>
          <w:p w:rsidR="00F60F99" w:rsidRPr="00F60F99" w:rsidRDefault="00F60F99" w:rsidP="00F60F99">
            <w:pPr>
              <w:spacing w:after="0" w:line="240" w:lineRule="auto"/>
              <w:ind w:right="34"/>
              <w:rPr>
                <w:rFonts w:ascii="Arial" w:eastAsia="SimSun" w:hAnsi="Arial" w:cs="Arial"/>
                <w:color w:val="000000"/>
                <w:lang w:eastAsia="zh-CN"/>
              </w:rPr>
            </w:pPr>
          </w:p>
          <w:p w:rsidR="00F60F99" w:rsidRPr="00F60F99" w:rsidRDefault="00F60F99" w:rsidP="00F60F99">
            <w:pPr>
              <w:spacing w:after="0" w:line="240" w:lineRule="auto"/>
              <w:ind w:right="34"/>
              <w:rPr>
                <w:rFonts w:ascii="Arial" w:eastAsia="SimSun" w:hAnsi="Arial" w:cs="Arial"/>
                <w:color w:val="000000"/>
                <w:lang w:eastAsia="zh-CN"/>
              </w:rPr>
            </w:pPr>
          </w:p>
          <w:p w:rsidR="00F60F99" w:rsidRPr="00F60F99" w:rsidRDefault="00F60F99" w:rsidP="00F60F99">
            <w:pPr>
              <w:spacing w:after="0" w:line="240" w:lineRule="auto"/>
              <w:ind w:right="34"/>
              <w:rPr>
                <w:rFonts w:ascii="Arial" w:eastAsia="SimSun" w:hAnsi="Arial" w:cs="Arial"/>
                <w:color w:val="000000"/>
                <w:lang w:eastAsia="zh-CN"/>
              </w:rPr>
            </w:pPr>
            <w:r w:rsidRPr="00F60F99">
              <w:rPr>
                <w:rFonts w:ascii="Arial" w:eastAsia="SimSun" w:hAnsi="Arial" w:cs="Arial"/>
                <w:color w:val="000000"/>
                <w:lang w:eastAsia="zh-CN"/>
              </w:rPr>
              <w:t>Assignment due date: 21</w:t>
            </w:r>
            <w:r w:rsidRPr="00F60F99">
              <w:rPr>
                <w:rFonts w:ascii="Arial" w:eastAsia="SimSun" w:hAnsi="Arial" w:cs="Arial"/>
                <w:color w:val="000000"/>
                <w:vertAlign w:val="superscript"/>
                <w:lang w:eastAsia="zh-CN"/>
              </w:rPr>
              <w:t>st</w:t>
            </w:r>
            <w:r w:rsidR="00406A62">
              <w:rPr>
                <w:rFonts w:ascii="Arial" w:eastAsia="SimSun" w:hAnsi="Arial" w:cs="Arial"/>
                <w:color w:val="000000"/>
                <w:lang w:eastAsia="zh-CN"/>
              </w:rPr>
              <w:t xml:space="preserve"> June 2018 (D.D. from the 24</w:t>
            </w:r>
            <w:bookmarkStart w:id="0" w:name="_GoBack"/>
            <w:bookmarkEnd w:id="0"/>
            <w:r w:rsidRPr="00F60F99">
              <w:rPr>
                <w:rFonts w:ascii="Arial" w:eastAsia="SimSun" w:hAnsi="Arial" w:cs="Arial"/>
                <w:color w:val="000000"/>
                <w:vertAlign w:val="superscript"/>
                <w:lang w:eastAsia="zh-CN"/>
              </w:rPr>
              <w:t>th</w:t>
            </w:r>
            <w:r w:rsidRPr="00F60F99">
              <w:rPr>
                <w:rFonts w:ascii="Arial" w:eastAsia="SimSun" w:hAnsi="Arial" w:cs="Arial"/>
                <w:color w:val="000000"/>
                <w:lang w:eastAsia="zh-CN"/>
              </w:rPr>
              <w:t xml:space="preserve"> May)</w:t>
            </w:r>
          </w:p>
        </w:tc>
      </w:tr>
      <w:tr w:rsidR="00F60F99" w:rsidRPr="00F60F99" w:rsidTr="00F60F99">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rsidR="00F60F99" w:rsidRPr="00F60F99" w:rsidRDefault="00F60F99" w:rsidP="00F60F99">
            <w:pPr>
              <w:spacing w:after="0" w:line="240" w:lineRule="auto"/>
              <w:rPr>
                <w:rFonts w:ascii="Arial" w:eastAsia="SimSun" w:hAnsi="Arial" w:cs="Arial"/>
                <w:lang w:eastAsia="zh-CN"/>
              </w:rPr>
            </w:pPr>
            <w:r w:rsidRPr="00F60F99">
              <w:rPr>
                <w:rFonts w:ascii="Arial" w:eastAsia="SimSun" w:hAnsi="Arial" w:cs="Arial"/>
                <w:lang w:eastAsia="zh-CN"/>
              </w:rPr>
              <w:t>This assignment is for the       1</w:t>
            </w:r>
            <w:r w:rsidRPr="00F60F99">
              <w:rPr>
                <w:rFonts w:ascii="Arial" w:eastAsia="SimSun" w:hAnsi="Arial" w:cs="Arial"/>
                <w:vertAlign w:val="superscript"/>
                <w:lang w:eastAsia="zh-CN"/>
              </w:rPr>
              <w:t xml:space="preserve">st </w:t>
            </w:r>
            <w:r w:rsidRPr="00F60F99">
              <w:rPr>
                <w:rFonts w:ascii="Arial" w:eastAsia="SimSun" w:hAnsi="Arial" w:cs="Arial"/>
                <w:lang w:eastAsia="zh-CN"/>
              </w:rPr>
              <w:fldChar w:fldCharType="begin">
                <w:ffData>
                  <w:name w:val="Check13"/>
                  <w:enabled/>
                  <w:calcOnExit w:val="0"/>
                  <w:checkBox>
                    <w:sizeAuto/>
                    <w:default w:val="0"/>
                  </w:checkBox>
                </w:ffData>
              </w:fldChar>
            </w:r>
            <w:bookmarkStart w:id="1" w:name="Check13"/>
            <w:r w:rsidRPr="00F60F99">
              <w:rPr>
                <w:rFonts w:ascii="Arial" w:eastAsia="SimSun" w:hAnsi="Arial" w:cs="Arial"/>
                <w:lang w:eastAsia="zh-CN"/>
              </w:rPr>
              <w:instrText xml:space="preserve"> FORMCHECKBOX </w:instrText>
            </w:r>
            <w:r w:rsidR="00E67F90">
              <w:rPr>
                <w:rFonts w:ascii="Arial" w:eastAsia="SimSun" w:hAnsi="Arial" w:cs="Arial"/>
                <w:lang w:eastAsia="zh-CN"/>
              </w:rPr>
            </w:r>
            <w:r w:rsidR="00E67F90">
              <w:rPr>
                <w:rFonts w:ascii="Arial" w:eastAsia="SimSun" w:hAnsi="Arial" w:cs="Arial"/>
                <w:lang w:eastAsia="zh-CN"/>
              </w:rPr>
              <w:fldChar w:fldCharType="separate"/>
            </w:r>
            <w:r w:rsidRPr="00F60F99">
              <w:rPr>
                <w:rFonts w:eastAsia="Calibri" w:cs="Times New Roman"/>
              </w:rPr>
              <w:fldChar w:fldCharType="end"/>
            </w:r>
            <w:bookmarkEnd w:id="1"/>
            <w:r w:rsidRPr="00F60F99">
              <w:rPr>
                <w:rFonts w:ascii="Arial" w:eastAsia="SimSun" w:hAnsi="Arial" w:cs="Arial"/>
                <w:lang w:eastAsia="zh-CN"/>
              </w:rPr>
              <w:t xml:space="preserve">    2</w:t>
            </w:r>
            <w:r w:rsidRPr="00F60F99">
              <w:rPr>
                <w:rFonts w:ascii="Arial" w:eastAsia="SimSun" w:hAnsi="Arial" w:cs="Arial"/>
                <w:vertAlign w:val="superscript"/>
                <w:lang w:eastAsia="zh-CN"/>
              </w:rPr>
              <w:t>nd</w:t>
            </w:r>
            <w:r w:rsidRPr="00F60F99">
              <w:rPr>
                <w:rFonts w:ascii="Arial" w:eastAsia="SimSun" w:hAnsi="Arial" w:cs="Arial"/>
                <w:lang w:eastAsia="zh-CN"/>
              </w:rPr>
              <w:t xml:space="preserve">  </w:t>
            </w:r>
            <w:r w:rsidRPr="00F60F99">
              <w:rPr>
                <w:rFonts w:ascii="Arial" w:eastAsia="SimSun" w:hAnsi="Arial" w:cs="Arial"/>
                <w:lang w:eastAsia="zh-CN"/>
              </w:rPr>
              <w:fldChar w:fldCharType="begin">
                <w:ffData>
                  <w:name w:val="Check14"/>
                  <w:enabled/>
                  <w:calcOnExit w:val="0"/>
                  <w:checkBox>
                    <w:sizeAuto/>
                    <w:default w:val="1"/>
                  </w:checkBox>
                </w:ffData>
              </w:fldChar>
            </w:r>
            <w:bookmarkStart w:id="2" w:name="Check14"/>
            <w:r w:rsidRPr="00F60F99">
              <w:rPr>
                <w:rFonts w:ascii="Arial" w:eastAsia="SimSun" w:hAnsi="Arial" w:cs="Arial"/>
                <w:lang w:eastAsia="zh-CN"/>
              </w:rPr>
              <w:instrText xml:space="preserve"> FORMCHECKBOX </w:instrText>
            </w:r>
            <w:r w:rsidR="00E67F90">
              <w:rPr>
                <w:rFonts w:ascii="Arial" w:eastAsia="SimSun" w:hAnsi="Arial" w:cs="Arial"/>
                <w:lang w:eastAsia="zh-CN"/>
              </w:rPr>
            </w:r>
            <w:r w:rsidR="00E67F90">
              <w:rPr>
                <w:rFonts w:ascii="Arial" w:eastAsia="SimSun" w:hAnsi="Arial" w:cs="Arial"/>
                <w:lang w:eastAsia="zh-CN"/>
              </w:rPr>
              <w:fldChar w:fldCharType="separate"/>
            </w:r>
            <w:r w:rsidRPr="00F60F99">
              <w:rPr>
                <w:rFonts w:eastAsia="Calibri" w:cs="Times New Roman"/>
              </w:rPr>
              <w:fldChar w:fldCharType="end"/>
            </w:r>
            <w:bookmarkEnd w:id="2"/>
            <w:r w:rsidRPr="00F60F99">
              <w:rPr>
                <w:rFonts w:ascii="Arial" w:eastAsia="SimSun" w:hAnsi="Arial" w:cs="Arial"/>
                <w:lang w:eastAsia="zh-CN"/>
              </w:rPr>
              <w:t xml:space="preserve">     3</w:t>
            </w:r>
            <w:r w:rsidRPr="00F60F99">
              <w:rPr>
                <w:rFonts w:ascii="Arial" w:eastAsia="SimSun" w:hAnsi="Arial" w:cs="Arial"/>
                <w:vertAlign w:val="superscript"/>
                <w:lang w:eastAsia="zh-CN"/>
              </w:rPr>
              <w:t>rd</w:t>
            </w:r>
            <w:r w:rsidRPr="00F60F99">
              <w:rPr>
                <w:rFonts w:ascii="Arial" w:eastAsia="SimSun" w:hAnsi="Arial" w:cs="Arial"/>
                <w:lang w:eastAsia="zh-CN"/>
              </w:rPr>
              <w:t xml:space="preserve">  </w:t>
            </w:r>
            <w:r w:rsidRPr="00F60F99">
              <w:rPr>
                <w:rFonts w:ascii="Arial" w:eastAsia="SimSun" w:hAnsi="Arial" w:cs="Arial"/>
                <w:lang w:eastAsia="zh-CN"/>
              </w:rPr>
              <w:fldChar w:fldCharType="begin">
                <w:ffData>
                  <w:name w:val="Check15"/>
                  <w:enabled/>
                  <w:calcOnExit w:val="0"/>
                  <w:checkBox>
                    <w:sizeAuto/>
                    <w:default w:val="0"/>
                  </w:checkBox>
                </w:ffData>
              </w:fldChar>
            </w:r>
            <w:bookmarkStart w:id="3" w:name="Check15"/>
            <w:r w:rsidRPr="00F60F99">
              <w:rPr>
                <w:rFonts w:ascii="Arial" w:eastAsia="SimSun" w:hAnsi="Arial" w:cs="Arial"/>
                <w:lang w:eastAsia="zh-CN"/>
              </w:rPr>
              <w:instrText xml:space="preserve"> FORMCHECKBOX </w:instrText>
            </w:r>
            <w:r w:rsidR="00E67F90">
              <w:rPr>
                <w:rFonts w:ascii="Arial" w:eastAsia="SimSun" w:hAnsi="Arial" w:cs="Arial"/>
                <w:lang w:eastAsia="zh-CN"/>
              </w:rPr>
            </w:r>
            <w:r w:rsidR="00E67F90">
              <w:rPr>
                <w:rFonts w:ascii="Arial" w:eastAsia="SimSun" w:hAnsi="Arial" w:cs="Arial"/>
                <w:lang w:eastAsia="zh-CN"/>
              </w:rPr>
              <w:fldChar w:fldCharType="separate"/>
            </w:r>
            <w:r w:rsidRPr="00F60F99">
              <w:rPr>
                <w:rFonts w:eastAsia="Calibri" w:cs="Times New Roman"/>
              </w:rPr>
              <w:fldChar w:fldCharType="end"/>
            </w:r>
            <w:bookmarkEnd w:id="3"/>
            <w:r w:rsidRPr="00F60F99">
              <w:rPr>
                <w:rFonts w:ascii="Arial" w:eastAsia="SimSun" w:hAnsi="Arial" w:cs="Arial"/>
                <w:lang w:eastAsia="zh-CN"/>
              </w:rPr>
              <w:t xml:space="preserve">      4</w:t>
            </w:r>
            <w:r w:rsidRPr="00F60F99">
              <w:rPr>
                <w:rFonts w:ascii="Arial" w:eastAsia="SimSun" w:hAnsi="Arial" w:cs="Arial"/>
                <w:vertAlign w:val="superscript"/>
                <w:lang w:eastAsia="zh-CN"/>
              </w:rPr>
              <w:t>th</w:t>
            </w:r>
            <w:r w:rsidRPr="00F60F99">
              <w:rPr>
                <w:rFonts w:ascii="Arial" w:eastAsia="SimSun" w:hAnsi="Arial" w:cs="Arial"/>
                <w:lang w:eastAsia="zh-CN"/>
              </w:rPr>
              <w:t xml:space="preserve"> </w:t>
            </w:r>
            <w:r w:rsidRPr="00F60F99">
              <w:rPr>
                <w:rFonts w:ascii="Arial" w:eastAsia="SimSun" w:hAnsi="Arial" w:cs="Arial"/>
                <w:lang w:eastAsia="zh-CN"/>
              </w:rPr>
              <w:fldChar w:fldCharType="begin">
                <w:ffData>
                  <w:name w:val="Check16"/>
                  <w:enabled/>
                  <w:calcOnExit w:val="0"/>
                  <w:checkBox>
                    <w:sizeAuto/>
                    <w:default w:val="0"/>
                  </w:checkBox>
                </w:ffData>
              </w:fldChar>
            </w:r>
            <w:bookmarkStart w:id="4" w:name="Check16"/>
            <w:r w:rsidRPr="00F60F99">
              <w:rPr>
                <w:rFonts w:ascii="Arial" w:eastAsia="SimSun" w:hAnsi="Arial" w:cs="Arial"/>
                <w:lang w:eastAsia="zh-CN"/>
              </w:rPr>
              <w:instrText xml:space="preserve"> FORMCHECKBOX </w:instrText>
            </w:r>
            <w:r w:rsidR="00E67F90">
              <w:rPr>
                <w:rFonts w:ascii="Arial" w:eastAsia="SimSun" w:hAnsi="Arial" w:cs="Arial"/>
                <w:lang w:eastAsia="zh-CN"/>
              </w:rPr>
            </w:r>
            <w:r w:rsidR="00E67F90">
              <w:rPr>
                <w:rFonts w:ascii="Arial" w:eastAsia="SimSun" w:hAnsi="Arial" w:cs="Arial"/>
                <w:lang w:eastAsia="zh-CN"/>
              </w:rPr>
              <w:fldChar w:fldCharType="separate"/>
            </w:r>
            <w:r w:rsidRPr="00F60F99">
              <w:rPr>
                <w:rFonts w:eastAsia="Calibri" w:cs="Times New Roman"/>
              </w:rPr>
              <w:fldChar w:fldCharType="end"/>
            </w:r>
            <w:bookmarkEnd w:id="4"/>
            <w:r w:rsidRPr="00F60F99">
              <w:rPr>
                <w:rFonts w:ascii="Arial" w:eastAsia="SimSun" w:hAnsi="Arial" w:cs="Arial"/>
                <w:lang w:eastAsia="zh-CN"/>
              </w:rPr>
              <w:t xml:space="preserve">      5</w:t>
            </w:r>
            <w:r w:rsidRPr="00F60F99">
              <w:rPr>
                <w:rFonts w:ascii="Arial" w:eastAsia="SimSun" w:hAnsi="Arial" w:cs="Arial"/>
                <w:vertAlign w:val="superscript"/>
                <w:lang w:eastAsia="zh-CN"/>
              </w:rPr>
              <w:t>th</w:t>
            </w:r>
            <w:r w:rsidRPr="00F60F99">
              <w:rPr>
                <w:rFonts w:ascii="Arial" w:eastAsia="SimSun" w:hAnsi="Arial" w:cs="Arial"/>
                <w:lang w:eastAsia="zh-CN"/>
              </w:rPr>
              <w:t xml:space="preserve"> </w:t>
            </w:r>
            <w:r w:rsidRPr="00F60F99">
              <w:rPr>
                <w:rFonts w:ascii="Arial" w:eastAsia="SimSun" w:hAnsi="Arial" w:cs="Arial"/>
                <w:lang w:eastAsia="zh-CN"/>
              </w:rPr>
              <w:fldChar w:fldCharType="begin">
                <w:ffData>
                  <w:name w:val="Check17"/>
                  <w:enabled/>
                  <w:calcOnExit w:val="0"/>
                  <w:checkBox>
                    <w:sizeAuto/>
                    <w:default w:val="0"/>
                  </w:checkBox>
                </w:ffData>
              </w:fldChar>
            </w:r>
            <w:bookmarkStart w:id="5" w:name="Check17"/>
            <w:r w:rsidRPr="00F60F99">
              <w:rPr>
                <w:rFonts w:ascii="Arial" w:eastAsia="SimSun" w:hAnsi="Arial" w:cs="Arial"/>
                <w:lang w:eastAsia="zh-CN"/>
              </w:rPr>
              <w:instrText xml:space="preserve"> FORMCHECKBOX </w:instrText>
            </w:r>
            <w:r w:rsidR="00E67F90">
              <w:rPr>
                <w:rFonts w:ascii="Arial" w:eastAsia="SimSun" w:hAnsi="Arial" w:cs="Arial"/>
                <w:lang w:eastAsia="zh-CN"/>
              </w:rPr>
            </w:r>
            <w:r w:rsidR="00E67F90">
              <w:rPr>
                <w:rFonts w:ascii="Arial" w:eastAsia="SimSun" w:hAnsi="Arial" w:cs="Arial"/>
                <w:lang w:eastAsia="zh-CN"/>
              </w:rPr>
              <w:fldChar w:fldCharType="separate"/>
            </w:r>
            <w:r w:rsidRPr="00F60F99">
              <w:rPr>
                <w:rFonts w:eastAsia="Calibri" w:cs="Times New Roman"/>
              </w:rPr>
              <w:fldChar w:fldCharType="end"/>
            </w:r>
            <w:bookmarkEnd w:id="5"/>
            <w:r w:rsidRPr="00F60F99">
              <w:rPr>
                <w:rFonts w:ascii="Arial" w:eastAsia="SimSun" w:hAnsi="Arial" w:cs="Arial"/>
                <w:lang w:eastAsia="zh-CN"/>
              </w:rPr>
              <w:t xml:space="preserve">      6</w:t>
            </w:r>
            <w:r w:rsidRPr="00F60F99">
              <w:rPr>
                <w:rFonts w:ascii="Arial" w:eastAsia="SimSun" w:hAnsi="Arial" w:cs="Arial"/>
                <w:vertAlign w:val="superscript"/>
                <w:lang w:eastAsia="zh-CN"/>
              </w:rPr>
              <w:t>th</w:t>
            </w:r>
            <w:r w:rsidRPr="00F60F99">
              <w:rPr>
                <w:rFonts w:ascii="Arial" w:eastAsia="SimSun" w:hAnsi="Arial" w:cs="Arial"/>
                <w:lang w:eastAsia="zh-CN"/>
              </w:rPr>
              <w:t xml:space="preserve"> </w:t>
            </w:r>
            <w:r w:rsidRPr="00F60F99">
              <w:rPr>
                <w:rFonts w:ascii="Arial" w:eastAsia="SimSun" w:hAnsi="Arial" w:cs="Arial"/>
                <w:lang w:eastAsia="zh-CN"/>
              </w:rPr>
              <w:fldChar w:fldCharType="begin">
                <w:ffData>
                  <w:name w:val="Check18"/>
                  <w:enabled/>
                  <w:calcOnExit w:val="0"/>
                  <w:checkBox>
                    <w:sizeAuto/>
                    <w:default w:val="0"/>
                  </w:checkBox>
                </w:ffData>
              </w:fldChar>
            </w:r>
            <w:bookmarkStart w:id="6" w:name="Check18"/>
            <w:r w:rsidRPr="00F60F99">
              <w:rPr>
                <w:rFonts w:ascii="Arial" w:eastAsia="SimSun" w:hAnsi="Arial" w:cs="Arial"/>
                <w:lang w:eastAsia="zh-CN"/>
              </w:rPr>
              <w:instrText xml:space="preserve"> FORMCHECKBOX </w:instrText>
            </w:r>
            <w:r w:rsidR="00E67F90">
              <w:rPr>
                <w:rFonts w:ascii="Arial" w:eastAsia="SimSun" w:hAnsi="Arial" w:cs="Arial"/>
                <w:lang w:eastAsia="zh-CN"/>
              </w:rPr>
            </w:r>
            <w:r w:rsidR="00E67F90">
              <w:rPr>
                <w:rFonts w:ascii="Arial" w:eastAsia="SimSun" w:hAnsi="Arial" w:cs="Arial"/>
                <w:lang w:eastAsia="zh-CN"/>
              </w:rPr>
              <w:fldChar w:fldCharType="separate"/>
            </w:r>
            <w:r w:rsidRPr="00F60F99">
              <w:rPr>
                <w:rFonts w:eastAsia="Calibri" w:cs="Times New Roman"/>
              </w:rPr>
              <w:fldChar w:fldCharType="end"/>
            </w:r>
            <w:bookmarkEnd w:id="6"/>
            <w:r w:rsidRPr="00F60F99">
              <w:rPr>
                <w:rFonts w:ascii="Arial" w:eastAsia="SimSun" w:hAnsi="Arial" w:cs="Arial"/>
                <w:b/>
                <w:lang w:eastAsia="zh-CN"/>
              </w:rPr>
              <w:t xml:space="preserve">   </w:t>
            </w:r>
            <w:r w:rsidRPr="00F60F99">
              <w:rPr>
                <w:rFonts w:ascii="Arial" w:eastAsia="SimSun" w:hAnsi="Arial" w:cs="Arial"/>
                <w:lang w:eastAsia="zh-CN"/>
              </w:rPr>
              <w:t>module of the degree</w:t>
            </w:r>
          </w:p>
        </w:tc>
      </w:tr>
      <w:tr w:rsidR="00F60F99" w:rsidRPr="00F60F99" w:rsidTr="00F60F99">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F60F99" w:rsidRPr="00F60F99" w:rsidRDefault="00F60F99" w:rsidP="00F60F99">
            <w:pPr>
              <w:spacing w:after="0" w:line="240" w:lineRule="auto"/>
              <w:ind w:right="34"/>
              <w:rPr>
                <w:rFonts w:ascii="Arial" w:eastAsia="SimSun" w:hAnsi="Arial" w:cs="Arial"/>
                <w:color w:val="000000"/>
                <w:lang w:eastAsia="zh-CN"/>
              </w:rPr>
            </w:pPr>
            <w:proofErr w:type="gramStart"/>
            <w:r w:rsidRPr="00F60F99">
              <w:rPr>
                <w:rFonts w:ascii="Arial" w:eastAsia="SimSun" w:hAnsi="Arial" w:cs="Arial"/>
                <w:color w:val="000000"/>
                <w:lang w:eastAsia="zh-CN"/>
              </w:rPr>
              <w:t>I</w:t>
            </w:r>
            <w:proofErr w:type="gramEnd"/>
            <w:r w:rsidRPr="00F60F99">
              <w:rPr>
                <w:rFonts w:ascii="Arial" w:eastAsia="SimSun" w:hAnsi="Arial" w:cs="Arial"/>
                <w:color w:val="000000"/>
                <w:lang w:eastAsia="zh-CN"/>
              </w:rPr>
              <w:t xml:space="preserve"> confirm that this is my original work and that I have adhered to the University policy on plagiarism.</w:t>
            </w:r>
          </w:p>
          <w:p w:rsidR="00F60F99" w:rsidRPr="00F60F99" w:rsidRDefault="00F60F99" w:rsidP="00F60F99">
            <w:pPr>
              <w:spacing w:after="0" w:line="240" w:lineRule="auto"/>
              <w:ind w:right="34"/>
              <w:rPr>
                <w:rFonts w:ascii="Arial" w:eastAsia="SimSun" w:hAnsi="Arial" w:cs="Arial"/>
                <w:color w:val="000000"/>
                <w:lang w:eastAsia="zh-CN"/>
              </w:rPr>
            </w:pPr>
            <w:r w:rsidRPr="00F60F99">
              <w:rPr>
                <w:rFonts w:eastAsia="Calibri" w:cs="Times New Roman"/>
                <w:noProof/>
                <w:lang w:eastAsia="en-GB"/>
              </w:rPr>
              <mc:AlternateContent>
                <mc:Choice Requires="wps">
                  <w:drawing>
                    <wp:anchor distT="0" distB="0" distL="114300" distR="114300" simplePos="0" relativeHeight="251659264" behindDoc="0" locked="0" layoutInCell="1" allowOverlap="1" wp14:anchorId="034C30E7" wp14:editId="4EC5DBD8">
                      <wp:simplePos x="0" y="0"/>
                      <wp:positionH relativeFrom="column">
                        <wp:posOffset>5081270</wp:posOffset>
                      </wp:positionH>
                      <wp:positionV relativeFrom="paragraph">
                        <wp:posOffset>111760</wp:posOffset>
                      </wp:positionV>
                      <wp:extent cx="276225" cy="257175"/>
                      <wp:effectExtent l="0" t="0" r="28575" b="28575"/>
                      <wp:wrapNone/>
                      <wp:docPr id="6" name="Text Box 3"/>
                      <wp:cNvGraphicFramePr/>
                      <a:graphic xmlns:a="http://schemas.openxmlformats.org/drawingml/2006/main">
                        <a:graphicData uri="http://schemas.microsoft.com/office/word/2010/wordprocessingShape">
                          <wps:wsp>
                            <wps:cNvSpPr txBox="1"/>
                            <wps:spPr>
                              <a:xfrm>
                                <a:off x="0" y="0"/>
                                <a:ext cx="276225" cy="257175"/>
                              </a:xfrm>
                              <a:prstGeom prst="rect">
                                <a:avLst/>
                              </a:prstGeom>
                              <a:noFill/>
                              <a:ln w="19050">
                                <a:solidFill>
                                  <a:prstClr val="black"/>
                                </a:solidFill>
                              </a:ln>
                              <a:effectLst/>
                            </wps:spPr>
                            <wps:txbx>
                              <w:txbxContent>
                                <w:p w:rsidR="00066E50" w:rsidRDefault="00066E50" w:rsidP="00F60F99">
                                  <w:pPr>
                                    <w:pStyle w:val="ListParagraph"/>
                                    <w:numPr>
                                      <w:ilvl w:val="0"/>
                                      <w:numId w:val="1"/>
                                    </w:num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4C30E7" id="_x0000_t202" coordsize="21600,21600" o:spt="202" path="m,l,21600r21600,l21600,xe">
                      <v:stroke joinstyle="miter"/>
                      <v:path gradientshapeok="t" o:connecttype="rect"/>
                    </v:shapetype>
                    <v:shape id="Text Box 3" o:spid="_x0000_s1026" type="#_x0000_t202" style="position:absolute;margin-left:400.1pt;margin-top:8.8pt;width:21.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" filled="f" strokeweight="1.5pt">
                      <v:textbox>
                        <w:txbxContent>
                          <w:p w:rsidR="00066E50" w:rsidRDefault="00066E50" w:rsidP="00F60F99">
                            <w:pPr>
                              <w:pStyle w:val="ListParagraph"/>
                              <w:numPr>
                                <w:ilvl w:val="0"/>
                                <w:numId w:val="1"/>
                              </w:numPr>
                            </w:pPr>
                            <w:r>
                              <w:t xml:space="preserve">   </w:t>
                            </w:r>
                          </w:p>
                        </w:txbxContent>
                      </v:textbox>
                    </v:shape>
                  </w:pict>
                </mc:Fallback>
              </mc:AlternateContent>
            </w:r>
            <w:r w:rsidRPr="00F60F99">
              <w:rPr>
                <w:rFonts w:ascii="Arial" w:eastAsia="SimSun" w:hAnsi="Arial" w:cs="Arial"/>
                <w:color w:val="000000"/>
                <w:lang w:eastAsia="zh-CN"/>
              </w:rPr>
              <w:t>Signed: Alice Bradley</w:t>
            </w:r>
          </w:p>
          <w:p w:rsidR="00F60F99" w:rsidRPr="00F60F99" w:rsidRDefault="00F60F99" w:rsidP="00F60F99">
            <w:pPr>
              <w:spacing w:after="0" w:line="240" w:lineRule="auto"/>
              <w:ind w:right="34"/>
              <w:rPr>
                <w:rFonts w:ascii="Calibri" w:eastAsia="SimSun" w:hAnsi="Calibri" w:cs="Calibri"/>
                <w:b/>
                <w:color w:val="000000"/>
                <w:sz w:val="44"/>
                <w:szCs w:val="44"/>
                <w:lang w:eastAsia="zh-CN"/>
              </w:rPr>
            </w:pPr>
            <w:r w:rsidRPr="00F60F99">
              <w:rPr>
                <w:rFonts w:ascii="Calibri" w:eastAsia="SimSun" w:hAnsi="Calibri" w:cs="Tahoma"/>
                <w:b/>
                <w:color w:val="000000"/>
                <w:sz w:val="24"/>
                <w:szCs w:val="24"/>
                <w:lang w:eastAsia="zh-CN"/>
              </w:rPr>
              <w:t xml:space="preserve">Email submission: if you are submitting this form via email, please tick this box </w:t>
            </w:r>
          </w:p>
          <w:p w:rsidR="00F60F99" w:rsidRPr="00F60F99" w:rsidRDefault="00F60F99" w:rsidP="00F60F99">
            <w:pPr>
              <w:spacing w:after="0" w:line="240" w:lineRule="auto"/>
              <w:ind w:right="34"/>
              <w:rPr>
                <w:rFonts w:ascii="Arial" w:eastAsia="SimSun" w:hAnsi="Arial" w:cs="Arial"/>
                <w:color w:val="000000"/>
                <w:lang w:eastAsia="zh-CN"/>
              </w:rPr>
            </w:pPr>
            <w:proofErr w:type="gramStart"/>
            <w:r w:rsidRPr="00F60F99">
              <w:rPr>
                <w:rFonts w:ascii="Calibri" w:eastAsia="SimSun" w:hAnsi="Calibri" w:cs="Tahoma"/>
                <w:b/>
                <w:color w:val="000000"/>
                <w:sz w:val="24"/>
                <w:szCs w:val="24"/>
                <w:lang w:eastAsia="zh-CN"/>
              </w:rPr>
              <w:t>as</w:t>
            </w:r>
            <w:proofErr w:type="gramEnd"/>
            <w:r w:rsidRPr="00F60F99">
              <w:rPr>
                <w:rFonts w:ascii="Calibri" w:eastAsia="SimSun" w:hAnsi="Calibri" w:cs="Tahoma"/>
                <w:b/>
                <w:color w:val="000000"/>
                <w:sz w:val="24"/>
                <w:szCs w:val="24"/>
                <w:lang w:eastAsia="zh-CN"/>
              </w:rPr>
              <w:t xml:space="preserve"> a substitute for your signature to confirm that you agree to the above declaration.</w:t>
            </w:r>
          </w:p>
        </w:tc>
      </w:tr>
      <w:tr w:rsidR="00F60F99" w:rsidRPr="00F60F99" w:rsidTr="00F60F99">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rsidR="00F60F99" w:rsidRPr="00F60F99" w:rsidRDefault="00F60F99" w:rsidP="00F60F99">
            <w:pPr>
              <w:spacing w:after="0" w:line="240" w:lineRule="auto"/>
              <w:rPr>
                <w:rFonts w:ascii="Arial" w:eastAsia="SimSun" w:hAnsi="Arial" w:cs="Times New Roman"/>
                <w:b/>
                <w:sz w:val="24"/>
                <w:szCs w:val="24"/>
                <w:lang w:eastAsia="zh-CN"/>
              </w:rPr>
            </w:pPr>
          </w:p>
          <w:p w:rsidR="00F60F99" w:rsidRPr="00F60F99" w:rsidRDefault="00F60F99" w:rsidP="00F60F99">
            <w:pPr>
              <w:spacing w:after="0" w:line="240" w:lineRule="auto"/>
              <w:rPr>
                <w:rFonts w:ascii="Arial" w:eastAsia="SimSun" w:hAnsi="Arial" w:cs="Times New Roman"/>
                <w:sz w:val="24"/>
                <w:szCs w:val="24"/>
                <w:lang w:eastAsia="zh-CN"/>
              </w:rPr>
            </w:pPr>
            <w:r w:rsidRPr="00F60F99">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60F99" w:rsidRPr="00F60F99">
              <w:tc>
                <w:tcPr>
                  <w:tcW w:w="6970" w:type="dxa"/>
                  <w:tcBorders>
                    <w:top w:val="single" w:sz="4" w:space="0" w:color="auto"/>
                    <w:left w:val="single" w:sz="4" w:space="0" w:color="auto"/>
                    <w:bottom w:val="single" w:sz="4" w:space="0" w:color="auto"/>
                    <w:right w:val="single" w:sz="4" w:space="0" w:color="auto"/>
                  </w:tcBorders>
                </w:tcPr>
                <w:p w:rsidR="00F60F99" w:rsidRPr="00F60F99" w:rsidRDefault="00F60F99" w:rsidP="00F60F99">
                  <w:pPr>
                    <w:spacing w:after="0" w:line="240" w:lineRule="auto"/>
                    <w:rPr>
                      <w:rFonts w:ascii="Arial" w:eastAsia="SimSun" w:hAnsi="Arial" w:cs="Times New Roman"/>
                      <w:sz w:val="20"/>
                      <w:szCs w:val="20"/>
                      <w:lang w:eastAsia="zh-CN"/>
                    </w:rPr>
                  </w:pPr>
                </w:p>
                <w:p w:rsidR="00F60F99" w:rsidRPr="00F60F99" w:rsidRDefault="00F60F99" w:rsidP="00F60F99">
                  <w:pPr>
                    <w:spacing w:after="0" w:line="240" w:lineRule="auto"/>
                    <w:rPr>
                      <w:rFonts w:ascii="Arial" w:eastAsia="SimSun" w:hAnsi="Arial" w:cs="Times New Roman"/>
                      <w:sz w:val="20"/>
                      <w:szCs w:val="20"/>
                      <w:lang w:eastAsia="zh-CN"/>
                    </w:rPr>
                  </w:pPr>
                  <w:r w:rsidRPr="00F60F99">
                    <w:rPr>
                      <w:rFonts w:ascii="Arial" w:eastAsia="SimSun" w:hAnsi="Arial" w:cs="Times New Roman"/>
                      <w:sz w:val="20"/>
                      <w:szCs w:val="20"/>
                      <w:lang w:eastAsia="zh-CN"/>
                    </w:rPr>
                    <w:t>1</w:t>
                  </w:r>
                  <w:r w:rsidRPr="00F60F99">
                    <w:rPr>
                      <w:rFonts w:ascii="Arial" w:eastAsia="SimSun" w:hAnsi="Arial" w:cs="Times New Roman"/>
                      <w:sz w:val="20"/>
                      <w:szCs w:val="20"/>
                      <w:vertAlign w:val="superscript"/>
                      <w:lang w:eastAsia="zh-CN"/>
                    </w:rPr>
                    <w:t>st</w:t>
                  </w:r>
                  <w:r w:rsidRPr="00F60F99">
                    <w:rPr>
                      <w:rFonts w:ascii="Arial" w:eastAsia="SimSun" w:hAnsi="Arial" w:cs="Times New Roman"/>
                      <w:sz w:val="20"/>
                      <w:szCs w:val="20"/>
                      <w:lang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F60F99" w:rsidRPr="00F60F99" w:rsidRDefault="00F60F99" w:rsidP="00F60F99">
                  <w:pPr>
                    <w:spacing w:after="0" w:line="240" w:lineRule="auto"/>
                    <w:rPr>
                      <w:rFonts w:ascii="Arial" w:eastAsia="SimSun" w:hAnsi="Arial" w:cs="Times New Roman"/>
                      <w:sz w:val="20"/>
                      <w:szCs w:val="20"/>
                      <w:lang w:eastAsia="zh-CN"/>
                    </w:rPr>
                  </w:pPr>
                </w:p>
              </w:tc>
            </w:tr>
            <w:tr w:rsidR="00F60F99" w:rsidRPr="00F60F99">
              <w:tc>
                <w:tcPr>
                  <w:tcW w:w="6970" w:type="dxa"/>
                  <w:tcBorders>
                    <w:top w:val="single" w:sz="4" w:space="0" w:color="auto"/>
                    <w:left w:val="single" w:sz="4" w:space="0" w:color="auto"/>
                    <w:bottom w:val="single" w:sz="4" w:space="0" w:color="auto"/>
                    <w:right w:val="single" w:sz="4" w:space="0" w:color="auto"/>
                  </w:tcBorders>
                </w:tcPr>
                <w:p w:rsidR="00F60F99" w:rsidRPr="00F60F99" w:rsidRDefault="00F60F99" w:rsidP="00F60F99">
                  <w:pPr>
                    <w:spacing w:after="0" w:line="240" w:lineRule="auto"/>
                    <w:rPr>
                      <w:rFonts w:ascii="Arial" w:eastAsia="SimSun" w:hAnsi="Arial" w:cs="Times New Roman"/>
                      <w:sz w:val="20"/>
                      <w:szCs w:val="20"/>
                      <w:lang w:eastAsia="zh-CN"/>
                    </w:rPr>
                  </w:pPr>
                </w:p>
                <w:p w:rsidR="00F60F99" w:rsidRPr="00F60F99" w:rsidRDefault="00F60F99" w:rsidP="00F60F99">
                  <w:pPr>
                    <w:spacing w:after="0" w:line="240" w:lineRule="auto"/>
                    <w:rPr>
                      <w:rFonts w:ascii="Arial" w:eastAsia="SimSun" w:hAnsi="Arial" w:cs="Times New Roman"/>
                      <w:sz w:val="20"/>
                      <w:szCs w:val="20"/>
                      <w:lang w:eastAsia="zh-CN"/>
                    </w:rPr>
                  </w:pPr>
                  <w:r w:rsidRPr="00F60F99">
                    <w:rPr>
                      <w:rFonts w:ascii="Arial" w:eastAsia="SimSun" w:hAnsi="Arial" w:cs="Times New Roman"/>
                      <w:sz w:val="20"/>
                      <w:szCs w:val="20"/>
                      <w:lang w:eastAsia="zh-CN"/>
                    </w:rPr>
                    <w:t>2</w:t>
                  </w:r>
                  <w:r w:rsidRPr="00F60F99">
                    <w:rPr>
                      <w:rFonts w:ascii="Arial" w:eastAsia="SimSun" w:hAnsi="Arial" w:cs="Times New Roman"/>
                      <w:sz w:val="20"/>
                      <w:szCs w:val="20"/>
                      <w:vertAlign w:val="superscript"/>
                      <w:lang w:eastAsia="zh-CN"/>
                    </w:rPr>
                    <w:t>nd</w:t>
                  </w:r>
                  <w:r w:rsidRPr="00F60F99">
                    <w:rPr>
                      <w:rFonts w:ascii="Arial" w:eastAsia="SimSun" w:hAnsi="Arial" w:cs="Times New Roman"/>
                      <w:sz w:val="20"/>
                      <w:szCs w:val="20"/>
                      <w:lang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F60F99" w:rsidRPr="00F60F99" w:rsidRDefault="00F60F99" w:rsidP="00F60F99">
                  <w:pPr>
                    <w:spacing w:after="0" w:line="240" w:lineRule="auto"/>
                    <w:rPr>
                      <w:rFonts w:ascii="Arial" w:eastAsia="SimSun" w:hAnsi="Arial" w:cs="Times New Roman"/>
                      <w:sz w:val="20"/>
                      <w:szCs w:val="20"/>
                      <w:lang w:eastAsia="zh-CN"/>
                    </w:rPr>
                  </w:pPr>
                </w:p>
              </w:tc>
            </w:tr>
            <w:tr w:rsidR="00F60F99" w:rsidRPr="00F60F99">
              <w:tc>
                <w:tcPr>
                  <w:tcW w:w="6970" w:type="dxa"/>
                  <w:tcBorders>
                    <w:top w:val="single" w:sz="4" w:space="0" w:color="auto"/>
                    <w:left w:val="single" w:sz="4" w:space="0" w:color="auto"/>
                    <w:bottom w:val="single" w:sz="4" w:space="0" w:color="auto"/>
                    <w:right w:val="single" w:sz="4" w:space="0" w:color="auto"/>
                  </w:tcBorders>
                </w:tcPr>
                <w:p w:rsidR="00F60F99" w:rsidRPr="00F60F99" w:rsidRDefault="00F60F99" w:rsidP="00F60F99">
                  <w:pPr>
                    <w:spacing w:after="0" w:line="240" w:lineRule="auto"/>
                    <w:rPr>
                      <w:rFonts w:ascii="Arial" w:eastAsia="SimSun" w:hAnsi="Arial" w:cs="Times New Roman"/>
                      <w:sz w:val="20"/>
                      <w:szCs w:val="20"/>
                      <w:lang w:eastAsia="zh-CN"/>
                    </w:rPr>
                  </w:pPr>
                </w:p>
                <w:p w:rsidR="00F60F99" w:rsidRPr="00F60F99" w:rsidRDefault="00F60F99" w:rsidP="00F60F99">
                  <w:pPr>
                    <w:spacing w:after="0" w:line="240" w:lineRule="auto"/>
                    <w:rPr>
                      <w:rFonts w:ascii="Arial" w:eastAsia="SimSun" w:hAnsi="Arial" w:cs="Times New Roman"/>
                      <w:sz w:val="20"/>
                      <w:szCs w:val="20"/>
                      <w:lang w:eastAsia="zh-CN"/>
                    </w:rPr>
                  </w:pPr>
                  <w:r w:rsidRPr="00F60F99">
                    <w:rPr>
                      <w:rFonts w:ascii="Arial" w:eastAsia="SimSun" w:hAnsi="Arial" w:cs="Times New Roman"/>
                      <w:sz w:val="20"/>
                      <w:szCs w:val="20"/>
                      <w:lang w:eastAsia="zh-CN"/>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rsidR="00F60F99" w:rsidRPr="00F60F99" w:rsidRDefault="00F60F99" w:rsidP="00F60F99">
                  <w:pPr>
                    <w:spacing w:after="0" w:line="240" w:lineRule="auto"/>
                    <w:rPr>
                      <w:rFonts w:ascii="Arial" w:eastAsia="SimSun" w:hAnsi="Arial" w:cs="Times New Roman"/>
                      <w:sz w:val="20"/>
                      <w:szCs w:val="20"/>
                      <w:lang w:eastAsia="zh-CN"/>
                    </w:rPr>
                  </w:pPr>
                </w:p>
              </w:tc>
            </w:tr>
            <w:tr w:rsidR="00F60F99" w:rsidRPr="00F60F99">
              <w:tc>
                <w:tcPr>
                  <w:tcW w:w="6970" w:type="dxa"/>
                  <w:tcBorders>
                    <w:top w:val="single" w:sz="4" w:space="0" w:color="auto"/>
                    <w:left w:val="single" w:sz="4" w:space="0" w:color="auto"/>
                    <w:bottom w:val="single" w:sz="4" w:space="0" w:color="auto"/>
                    <w:right w:val="single" w:sz="4" w:space="0" w:color="auto"/>
                  </w:tcBorders>
                </w:tcPr>
                <w:p w:rsidR="00F60F99" w:rsidRPr="00F60F99" w:rsidRDefault="00F60F99" w:rsidP="00F60F99">
                  <w:pPr>
                    <w:spacing w:after="0" w:line="240" w:lineRule="auto"/>
                    <w:rPr>
                      <w:rFonts w:ascii="Arial" w:eastAsia="SimSun" w:hAnsi="Arial" w:cs="Times New Roman"/>
                      <w:sz w:val="20"/>
                      <w:szCs w:val="20"/>
                      <w:lang w:eastAsia="zh-CN"/>
                    </w:rPr>
                  </w:pPr>
                </w:p>
                <w:p w:rsidR="00F60F99" w:rsidRPr="00F60F99" w:rsidRDefault="00F60F99" w:rsidP="00F60F99">
                  <w:pPr>
                    <w:spacing w:after="0" w:line="240" w:lineRule="auto"/>
                    <w:rPr>
                      <w:rFonts w:ascii="Arial" w:eastAsia="SimSun" w:hAnsi="Arial" w:cs="Times New Roman"/>
                      <w:b/>
                      <w:sz w:val="20"/>
                      <w:szCs w:val="20"/>
                      <w:lang w:eastAsia="zh-CN"/>
                    </w:rPr>
                  </w:pPr>
                  <w:r w:rsidRPr="00F60F99">
                    <w:rPr>
                      <w:rFonts w:ascii="Arial" w:eastAsia="SimSun" w:hAnsi="Arial" w:cs="Times New Roman"/>
                      <w:b/>
                      <w:sz w:val="20"/>
                      <w:szCs w:val="20"/>
                      <w:lang w:eastAsia="zh-CN"/>
                    </w:rPr>
                    <w:t>Final Mark</w:t>
                  </w:r>
                </w:p>
                <w:p w:rsidR="00F60F99" w:rsidRPr="00F60F99" w:rsidRDefault="00F60F99" w:rsidP="00F60F99">
                  <w:pPr>
                    <w:spacing w:after="0" w:line="240" w:lineRule="auto"/>
                    <w:rPr>
                      <w:rFonts w:ascii="Arial" w:eastAsia="SimSun" w:hAnsi="Arial" w:cs="Times New Roman"/>
                      <w:sz w:val="20"/>
                      <w:szCs w:val="20"/>
                      <w:lang w:eastAsia="zh-CN"/>
                    </w:rPr>
                  </w:pPr>
                </w:p>
              </w:tc>
              <w:tc>
                <w:tcPr>
                  <w:tcW w:w="1660" w:type="dxa"/>
                  <w:tcBorders>
                    <w:top w:val="single" w:sz="4" w:space="0" w:color="auto"/>
                    <w:left w:val="single" w:sz="4" w:space="0" w:color="auto"/>
                    <w:bottom w:val="single" w:sz="4" w:space="0" w:color="auto"/>
                    <w:right w:val="single" w:sz="4" w:space="0" w:color="auto"/>
                  </w:tcBorders>
                </w:tcPr>
                <w:p w:rsidR="00F60F99" w:rsidRPr="00F60F99" w:rsidRDefault="00F60F99" w:rsidP="00F60F99">
                  <w:pPr>
                    <w:spacing w:after="0" w:line="240" w:lineRule="auto"/>
                    <w:rPr>
                      <w:rFonts w:ascii="Arial" w:eastAsia="SimSun" w:hAnsi="Arial" w:cs="Times New Roman"/>
                      <w:sz w:val="20"/>
                      <w:szCs w:val="20"/>
                      <w:lang w:eastAsia="zh-CN"/>
                    </w:rPr>
                  </w:pPr>
                </w:p>
              </w:tc>
            </w:tr>
          </w:tbl>
          <w:p w:rsidR="00F60F99" w:rsidRPr="00F60F99" w:rsidRDefault="00F60F99" w:rsidP="00F60F99">
            <w:pPr>
              <w:spacing w:after="0" w:line="240" w:lineRule="auto"/>
              <w:ind w:left="142" w:right="34"/>
              <w:rPr>
                <w:rFonts w:ascii="Arial" w:eastAsia="SimSun" w:hAnsi="Arial" w:cs="Arial"/>
                <w:b/>
                <w:color w:val="000000"/>
                <w:lang w:eastAsia="zh-CN"/>
              </w:rPr>
            </w:pPr>
          </w:p>
          <w:p w:rsidR="00F60F99" w:rsidRPr="00F60F99" w:rsidRDefault="00F60F99" w:rsidP="00F60F99">
            <w:pPr>
              <w:spacing w:after="0" w:line="240" w:lineRule="auto"/>
              <w:ind w:left="142" w:right="34"/>
              <w:rPr>
                <w:rFonts w:ascii="Arial" w:eastAsia="SimSun" w:hAnsi="Arial" w:cs="Arial"/>
                <w:color w:val="000000"/>
                <w:lang w:eastAsia="zh-CN"/>
              </w:rPr>
            </w:pPr>
            <w:r w:rsidRPr="00F60F99">
              <w:rPr>
                <w:rFonts w:ascii="Arial" w:eastAsia="SimSun" w:hAnsi="Arial" w:cs="Arial"/>
                <w:b/>
                <w:color w:val="000000"/>
                <w:lang w:eastAsia="zh-CN"/>
              </w:rPr>
              <w:t>NB.</w:t>
            </w:r>
            <w:r w:rsidRPr="00F60F99">
              <w:rPr>
                <w:rFonts w:ascii="Arial" w:eastAsia="SimSun" w:hAnsi="Arial" w:cs="Arial"/>
                <w:color w:val="000000"/>
                <w:lang w:eastAsia="zh-CN"/>
              </w:rPr>
              <w:t xml:space="preserve">  All marks are provisional until confirmed by the Final Examination Board.</w:t>
            </w:r>
          </w:p>
          <w:p w:rsidR="00F60F99" w:rsidRPr="00F60F99" w:rsidRDefault="00F60F99" w:rsidP="00F60F99">
            <w:pPr>
              <w:spacing w:after="0" w:line="240" w:lineRule="auto"/>
              <w:rPr>
                <w:rFonts w:ascii="Arial" w:eastAsia="SimSun" w:hAnsi="Arial" w:cs="Arial"/>
                <w:b/>
                <w:color w:val="000000"/>
                <w:lang w:eastAsia="zh-CN"/>
              </w:rPr>
            </w:pPr>
          </w:p>
          <w:p w:rsidR="00F60F99" w:rsidRPr="00F60F99" w:rsidRDefault="00F60F99" w:rsidP="00F60F99">
            <w:pPr>
              <w:spacing w:after="0" w:line="240" w:lineRule="auto"/>
              <w:rPr>
                <w:rFonts w:ascii="Arial" w:eastAsia="SimSun" w:hAnsi="Arial" w:cs="Arial"/>
                <w:b/>
                <w:color w:val="000000"/>
                <w:lang w:eastAsia="zh-CN"/>
              </w:rPr>
            </w:pPr>
          </w:p>
          <w:p w:rsidR="00F60F99" w:rsidRPr="00F60F99" w:rsidRDefault="00F60F99" w:rsidP="00F60F99">
            <w:pPr>
              <w:spacing w:after="0" w:line="240" w:lineRule="auto"/>
              <w:rPr>
                <w:rFonts w:ascii="Arial" w:eastAsia="SimSun" w:hAnsi="Arial" w:cs="Arial"/>
                <w:b/>
                <w:color w:val="000000"/>
                <w:lang w:eastAsia="zh-CN"/>
              </w:rPr>
            </w:pPr>
          </w:p>
          <w:p w:rsidR="00F60F99" w:rsidRPr="00F60F99" w:rsidRDefault="00F60F99" w:rsidP="00F60F99">
            <w:pPr>
              <w:spacing w:after="0" w:line="240" w:lineRule="auto"/>
              <w:rPr>
                <w:rFonts w:ascii="Arial" w:eastAsia="SimSun" w:hAnsi="Arial" w:cs="Arial"/>
                <w:b/>
                <w:color w:val="000000"/>
                <w:lang w:eastAsia="zh-CN"/>
              </w:rPr>
            </w:pPr>
          </w:p>
          <w:p w:rsidR="00F60F99" w:rsidRPr="00F60F99" w:rsidRDefault="00F60F99" w:rsidP="00F60F99">
            <w:pPr>
              <w:spacing w:after="0" w:line="240" w:lineRule="auto"/>
              <w:rPr>
                <w:rFonts w:ascii="Arial" w:eastAsia="SimSun" w:hAnsi="Arial" w:cs="Arial"/>
                <w:b/>
                <w:color w:val="000000"/>
                <w:lang w:eastAsia="zh-CN"/>
              </w:rPr>
            </w:pPr>
          </w:p>
          <w:p w:rsidR="00F60F99" w:rsidRPr="00F60F99" w:rsidRDefault="00F60F99" w:rsidP="00F60F99">
            <w:pPr>
              <w:spacing w:after="0" w:line="240" w:lineRule="auto"/>
              <w:rPr>
                <w:rFonts w:ascii="Arial" w:eastAsia="SimSun" w:hAnsi="Arial" w:cs="Arial"/>
                <w:b/>
                <w:color w:val="000000"/>
                <w:lang w:eastAsia="zh-CN"/>
              </w:rPr>
            </w:pPr>
          </w:p>
          <w:p w:rsidR="00F60F99" w:rsidRPr="00F60F99" w:rsidRDefault="00F60F99" w:rsidP="00F60F99">
            <w:pPr>
              <w:spacing w:after="0" w:line="240" w:lineRule="auto"/>
              <w:rPr>
                <w:rFonts w:ascii="Arial" w:eastAsia="SimSun" w:hAnsi="Arial" w:cs="Arial"/>
                <w:b/>
                <w:color w:val="000000"/>
                <w:lang w:eastAsia="zh-CN"/>
              </w:rPr>
            </w:pPr>
            <w:r w:rsidRPr="00F60F99">
              <w:rPr>
                <w:rFonts w:ascii="Arial" w:eastAsia="SimSun" w:hAnsi="Arial" w:cs="Arial"/>
                <w:b/>
                <w:color w:val="000000"/>
                <w:lang w:eastAsia="zh-CN"/>
              </w:rPr>
              <w:t>For completion by Marker 1 :</w:t>
            </w:r>
          </w:p>
          <w:p w:rsidR="00F60F99" w:rsidRPr="00F60F99" w:rsidRDefault="00F60F99" w:rsidP="00F60F99">
            <w:pPr>
              <w:spacing w:before="100" w:beforeAutospacing="1" w:after="100" w:afterAutospacing="1" w:line="240" w:lineRule="auto"/>
              <w:rPr>
                <w:rFonts w:ascii="Arial" w:eastAsia="SimSun" w:hAnsi="Arial" w:cs="Arial"/>
                <w:color w:val="000000"/>
                <w:lang w:eastAsia="zh-CN"/>
              </w:rPr>
            </w:pPr>
            <w:r w:rsidRPr="00F60F99">
              <w:rPr>
                <w:rFonts w:ascii="Arial" w:eastAsia="SimSun" w:hAnsi="Arial" w:cs="Arial"/>
                <w:color w:val="000000"/>
                <w:lang w:eastAsia="zh-CN"/>
              </w:rPr>
              <w:t>Comments:</w:t>
            </w:r>
          </w:p>
          <w:p w:rsidR="00F60F99" w:rsidRPr="00F60F99" w:rsidRDefault="00F60F99" w:rsidP="00F60F99">
            <w:pPr>
              <w:spacing w:before="100" w:beforeAutospacing="1" w:after="100" w:afterAutospacing="1" w:line="240" w:lineRule="auto"/>
              <w:rPr>
                <w:rFonts w:ascii="Arial" w:eastAsia="SimSun" w:hAnsi="Arial" w:cs="Arial"/>
                <w:color w:val="000000"/>
                <w:lang w:eastAsia="zh-CN"/>
              </w:rPr>
            </w:pPr>
          </w:p>
        </w:tc>
      </w:tr>
      <w:tr w:rsidR="00F60F99" w:rsidRPr="00F60F99" w:rsidTr="00F60F99">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rsidR="00F60F99" w:rsidRPr="00F60F99" w:rsidRDefault="00F60F99" w:rsidP="00F60F99">
            <w:pPr>
              <w:spacing w:before="100" w:beforeAutospacing="1" w:after="100" w:afterAutospacing="1" w:line="240" w:lineRule="auto"/>
              <w:ind w:left="142" w:right="34"/>
              <w:rPr>
                <w:rFonts w:ascii="Arial" w:eastAsia="SimSun" w:hAnsi="Arial" w:cs="Arial"/>
                <w:color w:val="000000"/>
                <w:lang w:eastAsia="zh-CN"/>
              </w:rPr>
            </w:pPr>
            <w:r w:rsidRPr="00F60F99">
              <w:rPr>
                <w:rFonts w:ascii="Arial" w:eastAsia="SimSun" w:hAnsi="Arial" w:cs="Arial"/>
                <w:color w:val="000000"/>
                <w:lang w:eastAsia="zh-CN"/>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F60F99" w:rsidRPr="00F60F99" w:rsidRDefault="00F60F99" w:rsidP="00F60F99">
            <w:pPr>
              <w:spacing w:before="100" w:beforeAutospacing="1" w:after="100" w:afterAutospacing="1" w:line="240" w:lineRule="auto"/>
              <w:ind w:left="142" w:right="34"/>
              <w:rPr>
                <w:rFonts w:ascii="Arial" w:eastAsia="SimSun" w:hAnsi="Arial" w:cs="Arial"/>
                <w:color w:val="000000"/>
                <w:lang w:eastAsia="zh-CN"/>
              </w:rPr>
            </w:pPr>
            <w:r w:rsidRPr="00F60F99">
              <w:rPr>
                <w:rFonts w:ascii="Arial" w:eastAsia="SimSun" w:hAnsi="Arial" w:cs="Arial"/>
                <w:color w:val="000000"/>
                <w:lang w:eastAsia="zh-CN"/>
              </w:rPr>
              <w:t>Date:</w:t>
            </w:r>
          </w:p>
        </w:tc>
      </w:tr>
      <w:tr w:rsidR="00F60F99" w:rsidRPr="00F60F99" w:rsidTr="00F60F99">
        <w:tc>
          <w:tcPr>
            <w:tcW w:w="8856" w:type="dxa"/>
            <w:gridSpan w:val="5"/>
            <w:tcBorders>
              <w:top w:val="single" w:sz="4" w:space="0" w:color="000000"/>
              <w:left w:val="single" w:sz="4" w:space="0" w:color="000000"/>
              <w:bottom w:val="single" w:sz="4" w:space="0" w:color="000000"/>
              <w:right w:val="single" w:sz="4" w:space="0" w:color="000000"/>
            </w:tcBorders>
          </w:tcPr>
          <w:p w:rsidR="00F60F99" w:rsidRPr="00F60F99" w:rsidRDefault="00F60F99" w:rsidP="00F60F99">
            <w:pPr>
              <w:spacing w:after="0" w:line="240" w:lineRule="auto"/>
              <w:ind w:right="-334"/>
              <w:rPr>
                <w:rFonts w:ascii="Arial" w:eastAsia="SimSun" w:hAnsi="Arial" w:cs="Arial"/>
                <w:bCs/>
                <w:i/>
                <w:color w:val="000000"/>
                <w:lang w:eastAsia="zh-CN"/>
              </w:rPr>
            </w:pPr>
          </w:p>
          <w:p w:rsidR="00F60F99" w:rsidRPr="00F60F99" w:rsidRDefault="00F60F99" w:rsidP="00F60F99">
            <w:pPr>
              <w:spacing w:after="0" w:line="240" w:lineRule="auto"/>
              <w:ind w:right="-334"/>
              <w:rPr>
                <w:rFonts w:ascii="Arial" w:eastAsia="SimSun" w:hAnsi="Arial" w:cs="Arial"/>
                <w:b/>
                <w:bCs/>
                <w:color w:val="000000"/>
                <w:lang w:eastAsia="zh-CN"/>
              </w:rPr>
            </w:pPr>
            <w:r w:rsidRPr="00F60F99">
              <w:rPr>
                <w:rFonts w:ascii="Arial" w:eastAsia="SimSun" w:hAnsi="Arial" w:cs="Arial"/>
                <w:b/>
                <w:bCs/>
                <w:color w:val="000000"/>
                <w:lang w:eastAsia="zh-CN"/>
              </w:rPr>
              <w:t>For completion by Marker 2/Moderator:</w:t>
            </w:r>
          </w:p>
          <w:p w:rsidR="00F60F99" w:rsidRPr="00F60F99" w:rsidRDefault="00F60F99" w:rsidP="00F60F99">
            <w:pPr>
              <w:spacing w:after="0" w:line="240" w:lineRule="auto"/>
              <w:ind w:right="-334"/>
              <w:rPr>
                <w:rFonts w:ascii="Arial" w:eastAsia="SimSun" w:hAnsi="Arial" w:cs="Arial"/>
                <w:b/>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r w:rsidRPr="00F60F99">
              <w:rPr>
                <w:rFonts w:ascii="Arial" w:eastAsia="SimSun" w:hAnsi="Arial" w:cs="Arial"/>
                <w:bCs/>
                <w:color w:val="000000"/>
                <w:lang w:eastAsia="zh-CN"/>
              </w:rPr>
              <w:t>Comments:</w:t>
            </w: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tc>
      </w:tr>
      <w:tr w:rsidR="00F60F99" w:rsidRPr="00F60F99" w:rsidTr="00F60F99">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F60F99" w:rsidRPr="00F60F99" w:rsidRDefault="00F60F99" w:rsidP="00F60F99">
            <w:pPr>
              <w:spacing w:after="0" w:line="240" w:lineRule="auto"/>
              <w:ind w:right="-334"/>
              <w:rPr>
                <w:rFonts w:ascii="Arial" w:eastAsia="SimSun" w:hAnsi="Arial" w:cs="Arial"/>
                <w:bCs/>
                <w:color w:val="000000"/>
                <w:lang w:eastAsia="zh-CN"/>
              </w:rPr>
            </w:pPr>
            <w:r w:rsidRPr="00F60F99">
              <w:rPr>
                <w:rFonts w:ascii="Arial" w:eastAsia="SimSun" w:hAnsi="Arial" w:cs="Arial"/>
                <w:bCs/>
                <w:color w:val="000000"/>
                <w:lang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F60F99" w:rsidRPr="00F60F99" w:rsidRDefault="00F60F99" w:rsidP="00F60F99">
            <w:pPr>
              <w:spacing w:after="0" w:line="240" w:lineRule="auto"/>
              <w:ind w:right="-334"/>
              <w:rPr>
                <w:rFonts w:ascii="Arial" w:eastAsia="SimSun" w:hAnsi="Arial" w:cs="Arial"/>
                <w:bCs/>
                <w:color w:val="000000"/>
                <w:lang w:eastAsia="zh-CN"/>
              </w:rPr>
            </w:pPr>
            <w:r w:rsidRPr="00F60F99">
              <w:rPr>
                <w:rFonts w:ascii="Arial" w:eastAsia="SimSun" w:hAnsi="Arial" w:cs="Arial"/>
                <w:bCs/>
                <w:color w:val="000000"/>
                <w:lang w:eastAsia="zh-CN"/>
              </w:rPr>
              <w:t>Date:</w:t>
            </w:r>
          </w:p>
        </w:tc>
      </w:tr>
      <w:tr w:rsidR="00F60F99" w:rsidRPr="00F60F99" w:rsidTr="00F60F99">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rsidR="00F60F99" w:rsidRPr="00F60F99" w:rsidRDefault="00F60F99" w:rsidP="00F60F99">
            <w:pPr>
              <w:spacing w:after="0" w:line="240" w:lineRule="auto"/>
              <w:rPr>
                <w:rFonts w:ascii="Arial" w:eastAsia="SimSun" w:hAnsi="Arial" w:cs="Arial"/>
                <w:b/>
                <w:lang w:eastAsia="zh-CN"/>
              </w:rPr>
            </w:pPr>
            <w:r w:rsidRPr="00F60F99">
              <w:rPr>
                <w:rFonts w:ascii="Arial" w:eastAsia="SimSun" w:hAnsi="Arial" w:cs="Arial"/>
                <w:b/>
                <w:lang w:eastAsia="zh-CN"/>
              </w:rPr>
              <w:t>External Examiner’s comments (if relevant)</w:t>
            </w: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p w:rsidR="00F60F99" w:rsidRPr="00F60F99" w:rsidRDefault="00F60F99" w:rsidP="00F60F99">
            <w:pPr>
              <w:spacing w:after="0" w:line="240" w:lineRule="auto"/>
              <w:ind w:right="-334"/>
              <w:rPr>
                <w:rFonts w:ascii="Arial" w:eastAsia="SimSun" w:hAnsi="Arial" w:cs="Arial"/>
                <w:bCs/>
                <w:color w:val="000000"/>
                <w:lang w:eastAsia="zh-CN"/>
              </w:rPr>
            </w:pPr>
          </w:p>
        </w:tc>
      </w:tr>
      <w:tr w:rsidR="00F60F99" w:rsidRPr="00F60F99" w:rsidTr="00F60F99">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F60F99" w:rsidRPr="00F60F99" w:rsidRDefault="00F60F99" w:rsidP="00F60F99">
            <w:pPr>
              <w:spacing w:after="0" w:line="240" w:lineRule="auto"/>
              <w:rPr>
                <w:rFonts w:ascii="Arial" w:eastAsia="SimSun" w:hAnsi="Arial" w:cs="Arial"/>
                <w:lang w:eastAsia="zh-CN"/>
              </w:rPr>
            </w:pPr>
            <w:r w:rsidRPr="00F60F99">
              <w:rPr>
                <w:rFonts w:ascii="Arial" w:eastAsia="SimSun" w:hAnsi="Arial" w:cs="Arial"/>
                <w:lang w:eastAsia="zh-CN"/>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F60F99" w:rsidRPr="00F60F99" w:rsidRDefault="00F60F99" w:rsidP="00F60F99">
            <w:pPr>
              <w:spacing w:after="0" w:line="240" w:lineRule="auto"/>
              <w:rPr>
                <w:rFonts w:ascii="Arial" w:eastAsia="SimSun" w:hAnsi="Arial" w:cs="Arial"/>
                <w:lang w:eastAsia="zh-CN"/>
              </w:rPr>
            </w:pPr>
            <w:r w:rsidRPr="00F60F99">
              <w:rPr>
                <w:rFonts w:ascii="Arial" w:eastAsia="SimSun" w:hAnsi="Arial" w:cs="Arial"/>
                <w:lang w:eastAsia="zh-CN"/>
              </w:rPr>
              <w:t>Date:</w:t>
            </w:r>
          </w:p>
        </w:tc>
      </w:tr>
    </w:tbl>
    <w:p w:rsidR="00F60F99" w:rsidRDefault="00F60F99">
      <w:pPr>
        <w:rPr>
          <w:rFonts w:ascii="Cambria" w:hAnsi="Cambria"/>
        </w:rPr>
      </w:pPr>
    </w:p>
    <w:p w:rsidR="00800703" w:rsidRPr="005150BA" w:rsidRDefault="00581460">
      <w:pPr>
        <w:rPr>
          <w:rFonts w:ascii="Cambria" w:hAnsi="Cambria"/>
          <w:sz w:val="24"/>
          <w:szCs w:val="24"/>
        </w:rPr>
      </w:pPr>
      <w:r w:rsidRPr="005150BA">
        <w:rPr>
          <w:rFonts w:ascii="Cambria" w:hAnsi="Cambria"/>
          <w:sz w:val="24"/>
          <w:szCs w:val="24"/>
        </w:rPr>
        <w:lastRenderedPageBreak/>
        <w:t>To what extent can we assess roots of the conflict between Greek religion and Jewish religion during the reign of Antiochus IV in terms of ideology and types of evidence?</w:t>
      </w:r>
    </w:p>
    <w:p w:rsidR="00953118" w:rsidRPr="005150BA" w:rsidRDefault="00A65EA3" w:rsidP="00A65EA3">
      <w:pPr>
        <w:spacing w:line="360" w:lineRule="auto"/>
        <w:jc w:val="both"/>
        <w:rPr>
          <w:rFonts w:ascii="Cambria" w:hAnsi="Cambria"/>
          <w:sz w:val="24"/>
          <w:szCs w:val="24"/>
        </w:rPr>
      </w:pPr>
      <w:r w:rsidRPr="005150BA">
        <w:rPr>
          <w:rFonts w:ascii="Cambria" w:hAnsi="Cambria"/>
          <w:sz w:val="24"/>
          <w:szCs w:val="24"/>
        </w:rPr>
        <w:t>The Ma</w:t>
      </w:r>
      <w:r w:rsidR="00BA7B08">
        <w:rPr>
          <w:rFonts w:ascii="Cambria" w:hAnsi="Cambria"/>
          <w:sz w:val="24"/>
          <w:szCs w:val="24"/>
        </w:rPr>
        <w:t xml:space="preserve">ccabean Revolt of 167 BC was the </w:t>
      </w:r>
      <w:r w:rsidR="00BA7B08" w:rsidRPr="00BA7B08">
        <w:rPr>
          <w:rFonts w:ascii="Cambria" w:hAnsi="Cambria"/>
          <w:noProof/>
          <w:sz w:val="24"/>
          <w:szCs w:val="24"/>
        </w:rPr>
        <w:t>climax</w:t>
      </w:r>
      <w:r w:rsidRPr="005150BA">
        <w:rPr>
          <w:rFonts w:ascii="Cambria" w:hAnsi="Cambria"/>
          <w:sz w:val="24"/>
          <w:szCs w:val="24"/>
        </w:rPr>
        <w:t xml:space="preserve"> of the </w:t>
      </w:r>
      <w:r w:rsidR="00BA7B08">
        <w:rPr>
          <w:rFonts w:ascii="Cambria" w:hAnsi="Cambria"/>
          <w:sz w:val="24"/>
          <w:szCs w:val="24"/>
        </w:rPr>
        <w:t>conflict between traditionalist factions in Judaism</w:t>
      </w:r>
      <w:r w:rsidRPr="005150BA">
        <w:rPr>
          <w:rFonts w:ascii="Cambria" w:hAnsi="Cambria"/>
          <w:sz w:val="24"/>
          <w:szCs w:val="24"/>
        </w:rPr>
        <w:t>, and those who would have preferred a more Hellenised Jerusalem. The rebellion can be analysed to understand something of the situation that was happening at the time, but, being only one part of the conflict, cannot be viewed as typical of the relationship between the Jewish and the Greek religions.</w:t>
      </w:r>
      <w:r w:rsidR="00974A0E" w:rsidRPr="005150BA">
        <w:rPr>
          <w:rFonts w:ascii="Cambria" w:hAnsi="Cambria"/>
          <w:sz w:val="24"/>
          <w:szCs w:val="24"/>
        </w:rPr>
        <w:t xml:space="preserve"> The followers of the Jewish religion managed to keep separate their beliefs in a world in which the Hellenistic world was always happy to absorb new gods, and syncretism – although not moving towards an end goal of complete unification, rather, religions in contact adopting features of each other – was the norm.</w:t>
      </w:r>
      <w:r w:rsidR="00974A0E" w:rsidRPr="005150BA">
        <w:rPr>
          <w:rStyle w:val="FootnoteReference"/>
          <w:rFonts w:ascii="Cambria" w:hAnsi="Cambria"/>
          <w:sz w:val="24"/>
          <w:szCs w:val="24"/>
        </w:rPr>
        <w:footnoteReference w:id="1"/>
      </w:r>
      <w:r w:rsidR="0000287A">
        <w:rPr>
          <w:rFonts w:ascii="Cambria" w:hAnsi="Cambria"/>
          <w:sz w:val="24"/>
          <w:szCs w:val="24"/>
        </w:rPr>
        <w:t xml:space="preserve"> Antiochus’ policy of encouraging Hellenism was a way of bringing stability to the kingdom that he had inherited – a kingdom that was increasingly harassed by Rome and the Parthians. A unification under the acceptance of Hellenistic religion would be a means of bringing some stability to the empire.</w:t>
      </w:r>
      <w:r w:rsidR="0000287A">
        <w:rPr>
          <w:rStyle w:val="FootnoteReference"/>
          <w:rFonts w:ascii="Cambria" w:hAnsi="Cambria"/>
          <w:sz w:val="24"/>
          <w:szCs w:val="24"/>
        </w:rPr>
        <w:footnoteReference w:id="2"/>
      </w:r>
      <w:r w:rsidR="0000287A">
        <w:rPr>
          <w:rFonts w:ascii="Cambria" w:hAnsi="Cambria"/>
          <w:sz w:val="24"/>
          <w:szCs w:val="24"/>
        </w:rPr>
        <w:t xml:space="preserve"> ‘Any religion could become the evil enemy […] the objects of accusations and repressions’</w:t>
      </w:r>
      <w:r w:rsidR="004B409D">
        <w:rPr>
          <w:rFonts w:ascii="Cambria" w:hAnsi="Cambria"/>
          <w:sz w:val="24"/>
          <w:szCs w:val="24"/>
        </w:rPr>
        <w:t>, and this is what we see happen time and again when religions meet</w:t>
      </w:r>
      <w:r w:rsidR="007A16CB">
        <w:rPr>
          <w:rFonts w:ascii="Cambria" w:hAnsi="Cambria"/>
          <w:sz w:val="24"/>
          <w:szCs w:val="24"/>
        </w:rPr>
        <w:t>, although, not always on the grounds of ideological disagreements</w:t>
      </w:r>
      <w:r w:rsidR="004B409D">
        <w:rPr>
          <w:rFonts w:ascii="Cambria" w:hAnsi="Cambria"/>
          <w:sz w:val="24"/>
          <w:szCs w:val="24"/>
        </w:rPr>
        <w:t>.</w:t>
      </w:r>
      <w:r w:rsidR="0000287A">
        <w:rPr>
          <w:rStyle w:val="FootnoteReference"/>
          <w:rFonts w:ascii="Cambria" w:hAnsi="Cambria"/>
          <w:sz w:val="24"/>
          <w:szCs w:val="24"/>
        </w:rPr>
        <w:footnoteReference w:id="3"/>
      </w:r>
      <w:r w:rsidR="004B409D">
        <w:rPr>
          <w:rFonts w:ascii="Cambria" w:hAnsi="Cambria"/>
          <w:sz w:val="24"/>
          <w:szCs w:val="24"/>
        </w:rPr>
        <w:t xml:space="preserve"> </w:t>
      </w:r>
      <w:r w:rsidR="00BA7B08">
        <w:rPr>
          <w:rFonts w:ascii="Cambria" w:hAnsi="Cambria"/>
          <w:sz w:val="24"/>
          <w:szCs w:val="24"/>
        </w:rPr>
        <w:t>The whole period of the conflict under the reign of Antiochus IV can be seen as representative of ‘</w:t>
      </w:r>
      <w:r w:rsidR="002D68AD">
        <w:rPr>
          <w:rFonts w:ascii="Cambria" w:hAnsi="Cambria"/>
          <w:sz w:val="24"/>
          <w:szCs w:val="24"/>
        </w:rPr>
        <w:t>a competition for power within Judaea, not a clash between Hellenism and Judaism’.</w:t>
      </w:r>
      <w:r w:rsidR="002D68AD">
        <w:rPr>
          <w:rStyle w:val="FootnoteReference"/>
          <w:rFonts w:ascii="Cambria" w:hAnsi="Cambria"/>
          <w:sz w:val="24"/>
          <w:szCs w:val="24"/>
        </w:rPr>
        <w:footnoteReference w:id="4"/>
      </w:r>
    </w:p>
    <w:p w:rsidR="00A028C0" w:rsidRPr="005150BA" w:rsidRDefault="007A16CB" w:rsidP="00A65EA3">
      <w:pPr>
        <w:spacing w:line="360" w:lineRule="auto"/>
        <w:jc w:val="both"/>
        <w:rPr>
          <w:rFonts w:ascii="Cambria" w:hAnsi="Cambria"/>
          <w:sz w:val="24"/>
          <w:szCs w:val="24"/>
        </w:rPr>
      </w:pPr>
      <w:r>
        <w:rPr>
          <w:rFonts w:ascii="Cambria" w:hAnsi="Cambria"/>
          <w:sz w:val="24"/>
          <w:szCs w:val="24"/>
        </w:rPr>
        <w:t>When we look at</w:t>
      </w:r>
      <w:r w:rsidR="00581460" w:rsidRPr="005150BA">
        <w:rPr>
          <w:rFonts w:ascii="Cambria" w:hAnsi="Cambria"/>
          <w:sz w:val="24"/>
          <w:szCs w:val="24"/>
        </w:rPr>
        <w:t xml:space="preserve"> this time period and consider the available sources for evidence of </w:t>
      </w:r>
      <w:r>
        <w:rPr>
          <w:rFonts w:ascii="Cambria" w:hAnsi="Cambria"/>
          <w:sz w:val="24"/>
          <w:szCs w:val="24"/>
        </w:rPr>
        <w:t>the conflict between the</w:t>
      </w:r>
      <w:r w:rsidR="00581460" w:rsidRPr="005150BA">
        <w:rPr>
          <w:rFonts w:ascii="Cambria" w:hAnsi="Cambria"/>
          <w:sz w:val="24"/>
          <w:szCs w:val="24"/>
        </w:rPr>
        <w:t xml:space="preserve"> factions of Judaism and Helleni</w:t>
      </w:r>
      <w:r>
        <w:rPr>
          <w:rFonts w:ascii="Cambria" w:hAnsi="Cambria"/>
          <w:sz w:val="24"/>
          <w:szCs w:val="24"/>
        </w:rPr>
        <w:t>sti</w:t>
      </w:r>
      <w:r w:rsidR="00581460" w:rsidRPr="005150BA">
        <w:rPr>
          <w:rFonts w:ascii="Cambria" w:hAnsi="Cambria"/>
          <w:sz w:val="24"/>
          <w:szCs w:val="24"/>
        </w:rPr>
        <w:t>c religion, we must at all times bear in mind the i</w:t>
      </w:r>
      <w:r>
        <w:rPr>
          <w:rFonts w:ascii="Cambria" w:hAnsi="Cambria"/>
          <w:sz w:val="24"/>
          <w:szCs w:val="24"/>
        </w:rPr>
        <w:t>nitial purposes of the</w:t>
      </w:r>
      <w:r w:rsidR="00581460" w:rsidRPr="005150BA">
        <w:rPr>
          <w:rFonts w:ascii="Cambria" w:hAnsi="Cambria"/>
          <w:sz w:val="24"/>
          <w:szCs w:val="24"/>
        </w:rPr>
        <w:t xml:space="preserve"> sources. The Books of the Maccabees are invaluable for a Jewish </w:t>
      </w:r>
      <w:r>
        <w:rPr>
          <w:rFonts w:ascii="Cambria" w:hAnsi="Cambria"/>
          <w:sz w:val="24"/>
          <w:szCs w:val="24"/>
        </w:rPr>
        <w:t>point of view of the time</w:t>
      </w:r>
      <w:r w:rsidR="00581460" w:rsidRPr="005150BA">
        <w:rPr>
          <w:rFonts w:ascii="Cambria" w:hAnsi="Cambria"/>
          <w:sz w:val="24"/>
          <w:szCs w:val="24"/>
        </w:rPr>
        <w:t xml:space="preserve"> and the event</w:t>
      </w:r>
      <w:r w:rsidR="005150BA">
        <w:rPr>
          <w:rFonts w:ascii="Cambria" w:hAnsi="Cambria"/>
          <w:sz w:val="24"/>
          <w:szCs w:val="24"/>
        </w:rPr>
        <w:t>s</w:t>
      </w:r>
      <w:r w:rsidR="00581460" w:rsidRPr="005150BA">
        <w:rPr>
          <w:rFonts w:ascii="Cambria" w:hAnsi="Cambria"/>
          <w:sz w:val="24"/>
          <w:szCs w:val="24"/>
        </w:rPr>
        <w:t xml:space="preserve"> occurring within it, but we must tak</w:t>
      </w:r>
      <w:r w:rsidR="00F60F99" w:rsidRPr="005150BA">
        <w:rPr>
          <w:rFonts w:ascii="Cambria" w:hAnsi="Cambria"/>
          <w:sz w:val="24"/>
          <w:szCs w:val="24"/>
        </w:rPr>
        <w:t>e everything contained within them</w:t>
      </w:r>
      <w:r w:rsidR="00581460" w:rsidRPr="005150BA">
        <w:rPr>
          <w:rFonts w:ascii="Cambria" w:hAnsi="Cambria"/>
          <w:sz w:val="24"/>
          <w:szCs w:val="24"/>
        </w:rPr>
        <w:t xml:space="preserve"> with at least a grain of salt. The Books of the Maccabees were written for a Jewish audience, to be eventually included within their collections of holy writings, as a record of the suffering of the Jewish religion and its followers under the reign of Antiochus IV, a justification of the Maccabees’ response, and a journal of the events of</w:t>
      </w:r>
      <w:r w:rsidR="005150BA">
        <w:rPr>
          <w:rFonts w:ascii="Cambria" w:hAnsi="Cambria"/>
          <w:sz w:val="24"/>
          <w:szCs w:val="24"/>
        </w:rPr>
        <w:t xml:space="preserve"> the time</w:t>
      </w:r>
      <w:r w:rsidR="00581460" w:rsidRPr="005150BA">
        <w:rPr>
          <w:rFonts w:ascii="Cambria" w:hAnsi="Cambria"/>
          <w:sz w:val="24"/>
          <w:szCs w:val="24"/>
        </w:rPr>
        <w:t xml:space="preserve">. </w:t>
      </w:r>
      <w:proofErr w:type="gramStart"/>
      <w:r>
        <w:rPr>
          <w:rFonts w:ascii="Cambria" w:hAnsi="Cambria"/>
          <w:sz w:val="24"/>
          <w:szCs w:val="24"/>
        </w:rPr>
        <w:t>The Book of Daniel also provides</w:t>
      </w:r>
      <w:r w:rsidR="00190715">
        <w:rPr>
          <w:rFonts w:ascii="Cambria" w:hAnsi="Cambria"/>
          <w:sz w:val="24"/>
          <w:szCs w:val="24"/>
        </w:rPr>
        <w:t xml:space="preserve"> us </w:t>
      </w:r>
      <w:r>
        <w:rPr>
          <w:rFonts w:ascii="Cambria" w:hAnsi="Cambria"/>
          <w:sz w:val="24"/>
          <w:szCs w:val="24"/>
        </w:rPr>
        <w:t xml:space="preserve">with </w:t>
      </w:r>
      <w:r w:rsidR="00190715" w:rsidRPr="007A16CB">
        <w:rPr>
          <w:rFonts w:ascii="Cambria" w:hAnsi="Cambria"/>
          <w:noProof/>
          <w:sz w:val="24"/>
          <w:szCs w:val="24"/>
        </w:rPr>
        <w:t>a</w:t>
      </w:r>
      <w:r w:rsidR="00190715">
        <w:rPr>
          <w:rFonts w:ascii="Cambria" w:hAnsi="Cambria"/>
          <w:sz w:val="24"/>
          <w:szCs w:val="24"/>
        </w:rPr>
        <w:t xml:space="preserve"> Jewish view of </w:t>
      </w:r>
      <w:r w:rsidR="001F593A">
        <w:rPr>
          <w:rFonts w:ascii="Cambria" w:hAnsi="Cambria"/>
          <w:noProof/>
          <w:sz w:val="24"/>
          <w:szCs w:val="24"/>
        </w:rPr>
        <w:t>‘otherness’</w:t>
      </w:r>
      <w:r w:rsidR="001F593A">
        <w:rPr>
          <w:rFonts w:ascii="Cambria" w:hAnsi="Cambria"/>
          <w:sz w:val="24"/>
          <w:szCs w:val="24"/>
        </w:rPr>
        <w:t xml:space="preserve">; </w:t>
      </w:r>
      <w:r>
        <w:rPr>
          <w:rFonts w:ascii="Cambria" w:hAnsi="Cambria"/>
          <w:sz w:val="24"/>
          <w:szCs w:val="24"/>
        </w:rPr>
        <w:t>whilst consensus is out on whether the text was composed during the 6</w:t>
      </w:r>
      <w:r w:rsidRPr="007A16CB">
        <w:rPr>
          <w:rFonts w:ascii="Cambria" w:hAnsi="Cambria"/>
          <w:sz w:val="24"/>
          <w:szCs w:val="24"/>
          <w:vertAlign w:val="superscript"/>
        </w:rPr>
        <w:t>th</w:t>
      </w:r>
      <w:r>
        <w:rPr>
          <w:rFonts w:ascii="Cambria" w:hAnsi="Cambria"/>
          <w:sz w:val="24"/>
          <w:szCs w:val="24"/>
        </w:rPr>
        <w:t xml:space="preserve"> Century BC, or </w:t>
      </w:r>
      <w:r>
        <w:rPr>
          <w:rFonts w:ascii="Cambria" w:hAnsi="Cambria"/>
          <w:sz w:val="24"/>
          <w:szCs w:val="24"/>
        </w:rPr>
        <w:lastRenderedPageBreak/>
        <w:t xml:space="preserve">is a product of authors unknown during the Hellenistic Era, </w:t>
      </w:r>
      <w:r w:rsidR="001F593A">
        <w:rPr>
          <w:rFonts w:ascii="Cambria" w:hAnsi="Cambria"/>
          <w:sz w:val="24"/>
          <w:szCs w:val="24"/>
        </w:rPr>
        <w:t xml:space="preserve">the kingdoms in </w:t>
      </w:r>
      <w:r w:rsidR="001F593A" w:rsidRPr="001F593A">
        <w:rPr>
          <w:rFonts w:ascii="Cambria" w:hAnsi="Cambria"/>
          <w:noProof/>
          <w:sz w:val="24"/>
          <w:szCs w:val="24"/>
        </w:rPr>
        <w:t>Nebucha</w:t>
      </w:r>
      <w:r w:rsidR="001F593A">
        <w:rPr>
          <w:rFonts w:ascii="Cambria" w:hAnsi="Cambria"/>
          <w:noProof/>
          <w:sz w:val="24"/>
          <w:szCs w:val="24"/>
        </w:rPr>
        <w:t>dnezzar'</w:t>
      </w:r>
      <w:r w:rsidR="001F593A" w:rsidRPr="001F593A">
        <w:rPr>
          <w:rFonts w:ascii="Cambria" w:hAnsi="Cambria"/>
          <w:noProof/>
          <w:sz w:val="24"/>
          <w:szCs w:val="24"/>
        </w:rPr>
        <w:t>s</w:t>
      </w:r>
      <w:r w:rsidR="001F593A">
        <w:rPr>
          <w:rFonts w:ascii="Cambria" w:hAnsi="Cambria"/>
          <w:sz w:val="24"/>
          <w:szCs w:val="24"/>
        </w:rPr>
        <w:t xml:space="preserve"> dream are </w:t>
      </w:r>
      <w:r w:rsidR="00190715">
        <w:rPr>
          <w:rFonts w:ascii="Cambria" w:hAnsi="Cambria"/>
          <w:sz w:val="24"/>
          <w:szCs w:val="24"/>
        </w:rPr>
        <w:t xml:space="preserve">outside </w:t>
      </w:r>
      <w:r w:rsidR="00190715" w:rsidRPr="001F593A">
        <w:rPr>
          <w:rFonts w:ascii="Cambria" w:hAnsi="Cambria"/>
          <w:noProof/>
          <w:sz w:val="24"/>
          <w:szCs w:val="24"/>
        </w:rPr>
        <w:t>force</w:t>
      </w:r>
      <w:r w:rsidR="001F593A" w:rsidRPr="001F593A">
        <w:rPr>
          <w:rFonts w:ascii="Cambria" w:hAnsi="Cambria"/>
          <w:noProof/>
          <w:sz w:val="24"/>
          <w:szCs w:val="24"/>
        </w:rPr>
        <w:t>s</w:t>
      </w:r>
      <w:r w:rsidR="00190715">
        <w:rPr>
          <w:rFonts w:ascii="Cambria" w:hAnsi="Cambria"/>
          <w:sz w:val="24"/>
          <w:szCs w:val="24"/>
        </w:rPr>
        <w:t xml:space="preserve"> intent on destroying Jud</w:t>
      </w:r>
      <w:r w:rsidR="001F593A">
        <w:rPr>
          <w:rFonts w:ascii="Cambria" w:hAnsi="Cambria"/>
          <w:sz w:val="24"/>
          <w:szCs w:val="24"/>
        </w:rPr>
        <w:t>aism but doomed from the outset, in a parallel to how some</w:t>
      </w:r>
      <w:r>
        <w:rPr>
          <w:rFonts w:ascii="Cambria" w:hAnsi="Cambria"/>
          <w:sz w:val="24"/>
          <w:szCs w:val="24"/>
        </w:rPr>
        <w:t xml:space="preserve"> during the </w:t>
      </w:r>
      <w:proofErr w:type="spellStart"/>
      <w:r>
        <w:rPr>
          <w:rFonts w:ascii="Cambria" w:hAnsi="Cambria"/>
          <w:sz w:val="24"/>
          <w:szCs w:val="24"/>
        </w:rPr>
        <w:t>Hellenisation</w:t>
      </w:r>
      <w:proofErr w:type="spellEnd"/>
      <w:r>
        <w:rPr>
          <w:rFonts w:ascii="Cambria" w:hAnsi="Cambria"/>
          <w:sz w:val="24"/>
          <w:szCs w:val="24"/>
        </w:rPr>
        <w:t xml:space="preserve"> of Jerusalem</w:t>
      </w:r>
      <w:r w:rsidR="001F593A">
        <w:rPr>
          <w:rFonts w:ascii="Cambria" w:hAnsi="Cambria"/>
          <w:sz w:val="24"/>
          <w:szCs w:val="24"/>
        </w:rPr>
        <w:t xml:space="preserve"> may have viewed the Seleukid authorities.</w:t>
      </w:r>
      <w:r w:rsidR="00190715">
        <w:rPr>
          <w:rStyle w:val="FootnoteReference"/>
          <w:rFonts w:ascii="Cambria" w:hAnsi="Cambria"/>
          <w:sz w:val="24"/>
          <w:szCs w:val="24"/>
        </w:rPr>
        <w:footnoteReference w:id="5"/>
      </w:r>
      <w:proofErr w:type="gramEnd"/>
      <w:r w:rsidR="00190715">
        <w:rPr>
          <w:rFonts w:ascii="Cambria" w:hAnsi="Cambria"/>
          <w:sz w:val="24"/>
          <w:szCs w:val="24"/>
        </w:rPr>
        <w:t xml:space="preserve"> </w:t>
      </w:r>
      <w:r>
        <w:rPr>
          <w:rFonts w:ascii="Cambria" w:hAnsi="Cambria"/>
          <w:sz w:val="24"/>
          <w:szCs w:val="24"/>
        </w:rPr>
        <w:t xml:space="preserve">We cannot take the sources at face-value </w:t>
      </w:r>
      <w:r w:rsidR="00581460" w:rsidRPr="005150BA">
        <w:rPr>
          <w:rFonts w:ascii="Cambria" w:hAnsi="Cambria"/>
          <w:sz w:val="24"/>
          <w:szCs w:val="24"/>
        </w:rPr>
        <w:t>and must be</w:t>
      </w:r>
      <w:r>
        <w:rPr>
          <w:rFonts w:ascii="Cambria" w:hAnsi="Cambria"/>
          <w:sz w:val="24"/>
          <w:szCs w:val="24"/>
        </w:rPr>
        <w:t xml:space="preserve"> careful to interpret them </w:t>
      </w:r>
      <w:r w:rsidR="00F60F99" w:rsidRPr="005150BA">
        <w:rPr>
          <w:rFonts w:ascii="Cambria" w:hAnsi="Cambria"/>
          <w:sz w:val="24"/>
          <w:szCs w:val="24"/>
        </w:rPr>
        <w:t>with an</w:t>
      </w:r>
      <w:r w:rsidR="00581460" w:rsidRPr="005150BA">
        <w:rPr>
          <w:rFonts w:ascii="Cambria" w:hAnsi="Cambria"/>
          <w:sz w:val="24"/>
          <w:szCs w:val="24"/>
        </w:rPr>
        <w:t xml:space="preserve"> appreciation of their original purpose, bias, and be cautious when using them that we do not accept everything they say without truly considering the</w:t>
      </w:r>
      <w:r w:rsidR="00757F07" w:rsidRPr="005150BA">
        <w:rPr>
          <w:rFonts w:ascii="Cambria" w:hAnsi="Cambria"/>
          <w:sz w:val="24"/>
          <w:szCs w:val="24"/>
        </w:rPr>
        <w:t xml:space="preserve"> larger, contextualised</w:t>
      </w:r>
      <w:r w:rsidR="000D254D">
        <w:rPr>
          <w:rFonts w:ascii="Cambria" w:hAnsi="Cambria"/>
          <w:sz w:val="24"/>
          <w:szCs w:val="24"/>
        </w:rPr>
        <w:t xml:space="preserve"> meaning,</w:t>
      </w:r>
      <w:r>
        <w:rPr>
          <w:rFonts w:ascii="Cambria" w:hAnsi="Cambria"/>
          <w:sz w:val="24"/>
          <w:szCs w:val="24"/>
        </w:rPr>
        <w:t xml:space="preserve"> and</w:t>
      </w:r>
      <w:r w:rsidR="000D254D">
        <w:rPr>
          <w:rFonts w:ascii="Cambria" w:hAnsi="Cambria"/>
          <w:sz w:val="24"/>
          <w:szCs w:val="24"/>
        </w:rPr>
        <w:t xml:space="preserve"> </w:t>
      </w:r>
      <w:r w:rsidR="007B04D8" w:rsidRPr="005150BA">
        <w:rPr>
          <w:rFonts w:ascii="Cambria" w:hAnsi="Cambria"/>
          <w:sz w:val="24"/>
          <w:szCs w:val="24"/>
        </w:rPr>
        <w:t xml:space="preserve">the purposes </w:t>
      </w:r>
      <w:r w:rsidR="000D254D">
        <w:rPr>
          <w:rFonts w:ascii="Cambria" w:hAnsi="Cambria"/>
          <w:sz w:val="24"/>
          <w:szCs w:val="24"/>
        </w:rPr>
        <w:t xml:space="preserve">for which they were written. </w:t>
      </w:r>
      <w:r w:rsidR="007B04D8" w:rsidRPr="005150BA">
        <w:rPr>
          <w:rFonts w:ascii="Cambria" w:hAnsi="Cambria"/>
          <w:sz w:val="24"/>
          <w:szCs w:val="24"/>
        </w:rPr>
        <w:t xml:space="preserve"> </w:t>
      </w:r>
      <w:r w:rsidR="00CE1EFC" w:rsidRPr="005150BA">
        <w:rPr>
          <w:rFonts w:ascii="Cambria" w:hAnsi="Cambria"/>
          <w:sz w:val="24"/>
          <w:szCs w:val="24"/>
        </w:rPr>
        <w:t>We have the development, with the reliance upon texts, of a manifesto of accepting what is written to be fact, even when these sources are constructed works, palimpsests of meaning and purpose.</w:t>
      </w:r>
    </w:p>
    <w:p w:rsidR="00A65EA3" w:rsidRPr="005150BA" w:rsidRDefault="00CE1EFC" w:rsidP="00581460">
      <w:pPr>
        <w:spacing w:line="360" w:lineRule="auto"/>
        <w:jc w:val="both"/>
        <w:rPr>
          <w:rFonts w:ascii="Cambria" w:hAnsi="Cambria"/>
          <w:sz w:val="24"/>
          <w:szCs w:val="24"/>
        </w:rPr>
      </w:pPr>
      <w:r w:rsidRPr="005150BA">
        <w:rPr>
          <w:rFonts w:ascii="Cambria" w:hAnsi="Cambria"/>
          <w:sz w:val="24"/>
          <w:szCs w:val="24"/>
        </w:rPr>
        <w:t>The conflict was less about ideology than the Jewish sources would have us believe.</w:t>
      </w:r>
      <w:r w:rsidR="000D254D">
        <w:rPr>
          <w:rStyle w:val="FootnoteReference"/>
          <w:rFonts w:ascii="Cambria" w:hAnsi="Cambria"/>
          <w:sz w:val="24"/>
          <w:szCs w:val="24"/>
        </w:rPr>
        <w:footnoteReference w:id="6"/>
      </w:r>
      <w:r w:rsidRPr="005150BA">
        <w:rPr>
          <w:rFonts w:ascii="Cambria" w:hAnsi="Cambria"/>
          <w:sz w:val="24"/>
          <w:szCs w:val="24"/>
        </w:rPr>
        <w:t xml:space="preserve"> Arguably, the more </w:t>
      </w:r>
      <w:r w:rsidRPr="00936277">
        <w:rPr>
          <w:rFonts w:ascii="Cambria" w:hAnsi="Cambria"/>
          <w:noProof/>
          <w:sz w:val="24"/>
          <w:szCs w:val="24"/>
        </w:rPr>
        <w:t>importance</w:t>
      </w:r>
      <w:r w:rsidRPr="005150BA">
        <w:rPr>
          <w:rFonts w:ascii="Cambria" w:hAnsi="Cambria"/>
          <w:sz w:val="24"/>
          <w:szCs w:val="24"/>
        </w:rPr>
        <w:t xml:space="preserve"> that the Jewish writers placed on ideology and belief, the more that they could justify the reactions of the Maccabees in defending their faith against the </w:t>
      </w:r>
      <w:proofErr w:type="spellStart"/>
      <w:r w:rsidRPr="005150BA">
        <w:rPr>
          <w:rFonts w:ascii="Cambria" w:hAnsi="Cambria"/>
          <w:sz w:val="24"/>
          <w:szCs w:val="24"/>
        </w:rPr>
        <w:t>Hellenisers</w:t>
      </w:r>
      <w:proofErr w:type="spellEnd"/>
      <w:r w:rsidRPr="005150BA">
        <w:rPr>
          <w:rFonts w:ascii="Cambria" w:hAnsi="Cambria"/>
          <w:sz w:val="24"/>
          <w:szCs w:val="24"/>
        </w:rPr>
        <w:t xml:space="preserve">, </w:t>
      </w:r>
      <w:r w:rsidR="00F9697B" w:rsidRPr="005150BA">
        <w:rPr>
          <w:rFonts w:ascii="Cambria" w:hAnsi="Cambria"/>
          <w:sz w:val="24"/>
          <w:szCs w:val="24"/>
        </w:rPr>
        <w:t xml:space="preserve">and their rough treatment at the orders of the king. </w:t>
      </w:r>
      <w:r w:rsidR="00C81142" w:rsidRPr="005150BA">
        <w:rPr>
          <w:rFonts w:ascii="Cambria" w:hAnsi="Cambria"/>
          <w:sz w:val="24"/>
          <w:szCs w:val="24"/>
        </w:rPr>
        <w:t xml:space="preserve">The stress placed on the importance of ideology and religious practice is something of a misdirection on the </w:t>
      </w:r>
      <w:r w:rsidR="001F593A">
        <w:rPr>
          <w:rFonts w:ascii="Cambria" w:hAnsi="Cambria"/>
          <w:sz w:val="24"/>
          <w:szCs w:val="24"/>
        </w:rPr>
        <w:t>p</w:t>
      </w:r>
      <w:r w:rsidR="00C81142" w:rsidRPr="001F593A">
        <w:rPr>
          <w:rFonts w:ascii="Cambria" w:hAnsi="Cambria"/>
          <w:noProof/>
          <w:sz w:val="24"/>
          <w:szCs w:val="24"/>
        </w:rPr>
        <w:t>art</w:t>
      </w:r>
      <w:r w:rsidR="00C81142" w:rsidRPr="005150BA">
        <w:rPr>
          <w:rFonts w:ascii="Cambria" w:hAnsi="Cambria"/>
          <w:sz w:val="24"/>
          <w:szCs w:val="24"/>
        </w:rPr>
        <w:t xml:space="preserve"> of the Jewish authors; the heroes of the rebellion that they were lauding were not the ideal models of piety that the texts would like to convince us </w:t>
      </w:r>
      <w:proofErr w:type="gramStart"/>
      <w:r w:rsidR="00C81142" w:rsidRPr="005150BA">
        <w:rPr>
          <w:rFonts w:ascii="Cambria" w:hAnsi="Cambria"/>
          <w:sz w:val="24"/>
          <w:szCs w:val="24"/>
        </w:rPr>
        <w:t>of</w:t>
      </w:r>
      <w:proofErr w:type="gramEnd"/>
      <w:r w:rsidR="00C81142" w:rsidRPr="005150BA">
        <w:rPr>
          <w:rFonts w:ascii="Cambria" w:hAnsi="Cambria"/>
          <w:sz w:val="24"/>
          <w:szCs w:val="24"/>
        </w:rPr>
        <w:t xml:space="preserve">. </w:t>
      </w:r>
      <w:r w:rsidR="007A16CB">
        <w:rPr>
          <w:rFonts w:ascii="Cambria" w:hAnsi="Cambria"/>
          <w:noProof/>
          <w:sz w:val="24"/>
          <w:szCs w:val="24"/>
        </w:rPr>
        <w:t>The Maccabees</w:t>
      </w:r>
      <w:r w:rsidR="007A16CB" w:rsidRPr="005150BA">
        <w:rPr>
          <w:rFonts w:ascii="Cambria" w:hAnsi="Cambria"/>
          <w:sz w:val="24"/>
          <w:szCs w:val="24"/>
        </w:rPr>
        <w:t xml:space="preserve"> were the ones fighting on the Sabbath, in seeming disregard for the Jewish traditions that they were</w:t>
      </w:r>
      <w:r w:rsidR="007A16CB">
        <w:rPr>
          <w:rFonts w:ascii="Cambria" w:hAnsi="Cambria"/>
          <w:sz w:val="24"/>
          <w:szCs w:val="24"/>
        </w:rPr>
        <w:t xml:space="preserve"> apparently</w:t>
      </w:r>
      <w:r w:rsidR="007A16CB" w:rsidRPr="005150BA">
        <w:rPr>
          <w:rFonts w:ascii="Cambria" w:hAnsi="Cambria"/>
          <w:sz w:val="24"/>
          <w:szCs w:val="24"/>
        </w:rPr>
        <w:t xml:space="preserve"> straining to uphold.</w:t>
      </w:r>
      <w:r w:rsidR="007A16CB">
        <w:rPr>
          <w:rStyle w:val="FootnoteReference"/>
          <w:rFonts w:ascii="Cambria" w:hAnsi="Cambria"/>
          <w:sz w:val="24"/>
          <w:szCs w:val="24"/>
        </w:rPr>
        <w:footnoteReference w:id="7"/>
      </w:r>
      <w:r w:rsidR="007A16CB" w:rsidRPr="005150BA">
        <w:rPr>
          <w:rFonts w:ascii="Cambria" w:hAnsi="Cambria"/>
          <w:sz w:val="24"/>
          <w:szCs w:val="24"/>
        </w:rPr>
        <w:t xml:space="preserve"> </w:t>
      </w:r>
      <w:r w:rsidR="001F593A">
        <w:rPr>
          <w:rFonts w:ascii="Cambria" w:hAnsi="Cambria"/>
          <w:sz w:val="24"/>
          <w:szCs w:val="24"/>
        </w:rPr>
        <w:t>The discussion must take</w:t>
      </w:r>
      <w:r w:rsidR="007A16CB">
        <w:rPr>
          <w:rFonts w:ascii="Cambria" w:hAnsi="Cambria"/>
          <w:sz w:val="24"/>
          <w:szCs w:val="24"/>
        </w:rPr>
        <w:t xml:space="preserve"> also</w:t>
      </w:r>
      <w:r w:rsidR="001F593A">
        <w:rPr>
          <w:rFonts w:ascii="Cambria" w:hAnsi="Cambria"/>
          <w:sz w:val="24"/>
          <w:szCs w:val="24"/>
        </w:rPr>
        <w:t xml:space="preserve"> into account </w:t>
      </w:r>
      <w:r w:rsidR="007A16CB">
        <w:rPr>
          <w:rFonts w:ascii="Cambria" w:hAnsi="Cambria"/>
          <w:sz w:val="24"/>
          <w:szCs w:val="24"/>
        </w:rPr>
        <w:t xml:space="preserve">to </w:t>
      </w:r>
      <w:r w:rsidR="001F593A">
        <w:rPr>
          <w:rFonts w:ascii="Cambria" w:hAnsi="Cambria"/>
          <w:sz w:val="24"/>
          <w:szCs w:val="24"/>
        </w:rPr>
        <w:t xml:space="preserve">what extent the </w:t>
      </w:r>
      <w:proofErr w:type="spellStart"/>
      <w:r w:rsidR="001F593A">
        <w:rPr>
          <w:rFonts w:ascii="Cambria" w:hAnsi="Cambria"/>
          <w:sz w:val="24"/>
          <w:szCs w:val="24"/>
        </w:rPr>
        <w:t>Hellenisation</w:t>
      </w:r>
      <w:proofErr w:type="spellEnd"/>
      <w:r w:rsidR="001F593A">
        <w:rPr>
          <w:rFonts w:ascii="Cambria" w:hAnsi="Cambria"/>
          <w:sz w:val="24"/>
          <w:szCs w:val="24"/>
        </w:rPr>
        <w:t xml:space="preserve"> of Judaea was an internal </w:t>
      </w:r>
      <w:r w:rsidR="001F593A" w:rsidRPr="007A16CB">
        <w:rPr>
          <w:rFonts w:ascii="Cambria" w:hAnsi="Cambria"/>
          <w:noProof/>
          <w:sz w:val="24"/>
          <w:szCs w:val="24"/>
        </w:rPr>
        <w:t>movement</w:t>
      </w:r>
      <w:r w:rsidR="001F593A">
        <w:rPr>
          <w:rFonts w:ascii="Cambria" w:hAnsi="Cambria"/>
          <w:sz w:val="24"/>
          <w:szCs w:val="24"/>
        </w:rPr>
        <w:t xml:space="preserve"> or an imposition from external powers.</w:t>
      </w:r>
      <w:r w:rsidR="001F593A">
        <w:rPr>
          <w:rStyle w:val="FootnoteReference"/>
          <w:rFonts w:ascii="Cambria" w:hAnsi="Cambria"/>
          <w:sz w:val="24"/>
          <w:szCs w:val="24"/>
        </w:rPr>
        <w:footnoteReference w:id="8"/>
      </w:r>
      <w:r w:rsidR="001F593A">
        <w:rPr>
          <w:rFonts w:ascii="Cambria" w:hAnsi="Cambria"/>
          <w:sz w:val="24"/>
          <w:szCs w:val="24"/>
        </w:rPr>
        <w:t xml:space="preserve"> </w:t>
      </w:r>
    </w:p>
    <w:p w:rsidR="00CE1EFC" w:rsidRPr="005150BA" w:rsidRDefault="00A65EA3" w:rsidP="00581460">
      <w:pPr>
        <w:spacing w:line="360" w:lineRule="auto"/>
        <w:jc w:val="both"/>
        <w:rPr>
          <w:rFonts w:ascii="Cambria" w:hAnsi="Cambria"/>
          <w:sz w:val="24"/>
          <w:szCs w:val="24"/>
        </w:rPr>
      </w:pPr>
      <w:r w:rsidRPr="005150BA">
        <w:rPr>
          <w:rFonts w:ascii="Cambria" w:hAnsi="Cambria"/>
          <w:sz w:val="24"/>
          <w:szCs w:val="24"/>
        </w:rPr>
        <w:t xml:space="preserve">We have to take into account that communication with Greek culture was a relatively new thing for Judaea at this time; for all of the hundreds of years of Jewish history, until fairly recently at this point in history, Judaea had </w:t>
      </w:r>
      <w:r w:rsidR="0001272C">
        <w:rPr>
          <w:rFonts w:ascii="Cambria" w:hAnsi="Cambria"/>
          <w:sz w:val="24"/>
          <w:szCs w:val="24"/>
        </w:rPr>
        <w:t xml:space="preserve">kept very much to itself, </w:t>
      </w:r>
      <w:r w:rsidR="0001272C" w:rsidRPr="0001272C">
        <w:rPr>
          <w:rFonts w:ascii="Cambria" w:hAnsi="Cambria"/>
          <w:noProof/>
          <w:sz w:val="24"/>
          <w:szCs w:val="24"/>
        </w:rPr>
        <w:t>th</w:t>
      </w:r>
      <w:r w:rsidR="0001272C">
        <w:rPr>
          <w:rFonts w:ascii="Cambria" w:hAnsi="Cambria"/>
          <w:noProof/>
          <w:sz w:val="24"/>
          <w:szCs w:val="24"/>
        </w:rPr>
        <w:t>e</w:t>
      </w:r>
      <w:r w:rsidR="0001272C">
        <w:rPr>
          <w:rFonts w:ascii="Cambria" w:hAnsi="Cambria"/>
          <w:sz w:val="24"/>
          <w:szCs w:val="24"/>
        </w:rPr>
        <w:t xml:space="preserve"> majority of the people having nothing to do with the Hellenistic world.</w:t>
      </w:r>
      <w:r w:rsidR="001F593A">
        <w:rPr>
          <w:rStyle w:val="FootnoteReference"/>
          <w:rFonts w:ascii="Cambria" w:hAnsi="Cambria"/>
          <w:sz w:val="24"/>
          <w:szCs w:val="24"/>
        </w:rPr>
        <w:footnoteReference w:id="9"/>
      </w:r>
      <w:r w:rsidRPr="005150BA">
        <w:rPr>
          <w:rFonts w:ascii="Cambria" w:hAnsi="Cambria"/>
          <w:sz w:val="24"/>
          <w:szCs w:val="24"/>
        </w:rPr>
        <w:t xml:space="preserve"> </w:t>
      </w:r>
      <w:r w:rsidR="0001272C">
        <w:rPr>
          <w:rFonts w:ascii="Cambria" w:hAnsi="Cambria"/>
          <w:sz w:val="24"/>
          <w:szCs w:val="24"/>
        </w:rPr>
        <w:t>The elite, however,</w:t>
      </w:r>
      <w:r w:rsidR="009C219D">
        <w:rPr>
          <w:rFonts w:ascii="Cambria" w:hAnsi="Cambria"/>
          <w:sz w:val="24"/>
          <w:szCs w:val="24"/>
        </w:rPr>
        <w:t xml:space="preserve"> </w:t>
      </w:r>
      <w:r w:rsidR="009C219D" w:rsidRPr="0001272C">
        <w:rPr>
          <w:rFonts w:ascii="Cambria" w:hAnsi="Cambria"/>
          <w:noProof/>
          <w:sz w:val="24"/>
          <w:szCs w:val="24"/>
        </w:rPr>
        <w:t>w</w:t>
      </w:r>
      <w:r w:rsidR="0001272C">
        <w:rPr>
          <w:rFonts w:ascii="Cambria" w:hAnsi="Cambria"/>
          <w:noProof/>
          <w:sz w:val="24"/>
          <w:szCs w:val="24"/>
        </w:rPr>
        <w:t>as</w:t>
      </w:r>
      <w:r w:rsidR="009C219D">
        <w:rPr>
          <w:rFonts w:ascii="Cambria" w:hAnsi="Cambria"/>
          <w:sz w:val="24"/>
          <w:szCs w:val="24"/>
        </w:rPr>
        <w:t xml:space="preserve"> </w:t>
      </w:r>
      <w:r w:rsidR="0001272C">
        <w:rPr>
          <w:rFonts w:ascii="Cambria" w:hAnsi="Cambria"/>
          <w:sz w:val="24"/>
          <w:szCs w:val="24"/>
        </w:rPr>
        <w:t xml:space="preserve">slowly </w:t>
      </w:r>
      <w:r w:rsidR="0001272C">
        <w:rPr>
          <w:rFonts w:ascii="Cambria" w:hAnsi="Cambria"/>
          <w:sz w:val="24"/>
          <w:szCs w:val="24"/>
        </w:rPr>
        <w:lastRenderedPageBreak/>
        <w:t xml:space="preserve">becoming </w:t>
      </w:r>
      <w:r w:rsidR="009C219D">
        <w:rPr>
          <w:rFonts w:ascii="Cambria" w:hAnsi="Cambria"/>
          <w:sz w:val="24"/>
          <w:szCs w:val="24"/>
        </w:rPr>
        <w:t>increasingly Hel</w:t>
      </w:r>
      <w:r w:rsidR="0001272C">
        <w:rPr>
          <w:rFonts w:ascii="Cambria" w:hAnsi="Cambria"/>
          <w:sz w:val="24"/>
          <w:szCs w:val="24"/>
        </w:rPr>
        <w:t>lenised;</w:t>
      </w:r>
      <w:r w:rsidR="009C219D">
        <w:rPr>
          <w:rFonts w:ascii="Cambria" w:hAnsi="Cambria"/>
          <w:sz w:val="24"/>
          <w:szCs w:val="24"/>
        </w:rPr>
        <w:t xml:space="preserve"> the contact of the Hous</w:t>
      </w:r>
      <w:r w:rsidR="0001272C">
        <w:rPr>
          <w:rFonts w:ascii="Cambria" w:hAnsi="Cambria"/>
          <w:sz w:val="24"/>
          <w:szCs w:val="24"/>
        </w:rPr>
        <w:t>e</w:t>
      </w:r>
      <w:r w:rsidR="009C219D">
        <w:rPr>
          <w:rFonts w:ascii="Cambria" w:hAnsi="Cambria"/>
          <w:sz w:val="24"/>
          <w:szCs w:val="24"/>
        </w:rPr>
        <w:t xml:space="preserve"> of Tobias with the </w:t>
      </w:r>
      <w:r w:rsidR="0001272C">
        <w:rPr>
          <w:rFonts w:ascii="Cambria" w:hAnsi="Cambria"/>
          <w:sz w:val="24"/>
          <w:szCs w:val="24"/>
        </w:rPr>
        <w:t>Alexandrian court is a good example of the assimilation of Greek practices for seemingly economic and political reasons, without any conflict of ideology.</w:t>
      </w:r>
      <w:r w:rsidR="0001272C">
        <w:rPr>
          <w:rStyle w:val="FootnoteReference"/>
          <w:rFonts w:ascii="Cambria" w:hAnsi="Cambria"/>
          <w:sz w:val="24"/>
          <w:szCs w:val="24"/>
        </w:rPr>
        <w:footnoteReference w:id="10"/>
      </w:r>
      <w:r w:rsidR="0001272C">
        <w:rPr>
          <w:rFonts w:ascii="Cambria" w:hAnsi="Cambria"/>
          <w:sz w:val="24"/>
          <w:szCs w:val="24"/>
        </w:rPr>
        <w:t xml:space="preserve"> </w:t>
      </w:r>
      <w:r w:rsidRPr="005150BA">
        <w:rPr>
          <w:rFonts w:ascii="Cambria" w:hAnsi="Cambria"/>
          <w:sz w:val="24"/>
          <w:szCs w:val="24"/>
        </w:rPr>
        <w:t xml:space="preserve">This relative isolation and strong cultural identity compared with the cultural melting pots of the Ptolemaic and </w:t>
      </w:r>
      <w:r w:rsidRPr="001F593A">
        <w:rPr>
          <w:rFonts w:ascii="Cambria" w:hAnsi="Cambria"/>
          <w:noProof/>
          <w:sz w:val="24"/>
          <w:szCs w:val="24"/>
        </w:rPr>
        <w:t>Seleukid</w:t>
      </w:r>
      <w:r w:rsidRPr="005150BA">
        <w:rPr>
          <w:rFonts w:ascii="Cambria" w:hAnsi="Cambria"/>
          <w:sz w:val="24"/>
          <w:szCs w:val="24"/>
        </w:rPr>
        <w:t xml:space="preserve"> Empires under which it found itself would invariably lead to a change in the Jewish distinctiveness, the way that they saw ‘others’ and the nature of their interactions with peoples outside of their own culture and faith. </w:t>
      </w:r>
      <w:r w:rsidR="000D254D">
        <w:rPr>
          <w:rFonts w:ascii="Cambria" w:hAnsi="Cambria"/>
          <w:sz w:val="24"/>
          <w:szCs w:val="24"/>
        </w:rPr>
        <w:t xml:space="preserve">Becoming </w:t>
      </w:r>
      <w:r w:rsidRPr="005150BA">
        <w:rPr>
          <w:rFonts w:ascii="Cambria" w:hAnsi="Cambria"/>
          <w:sz w:val="24"/>
          <w:szCs w:val="24"/>
        </w:rPr>
        <w:t xml:space="preserve">a part of the Seleukid Empire in 200 BC, </w:t>
      </w:r>
      <w:r w:rsidR="000D254D">
        <w:rPr>
          <w:rFonts w:ascii="Cambria" w:hAnsi="Cambria"/>
          <w:sz w:val="24"/>
          <w:szCs w:val="24"/>
        </w:rPr>
        <w:t xml:space="preserve">after having been a Ptolemaic possession, </w:t>
      </w:r>
      <w:r w:rsidR="00156545" w:rsidRPr="005150BA">
        <w:rPr>
          <w:rFonts w:ascii="Cambria" w:hAnsi="Cambria"/>
          <w:sz w:val="24"/>
          <w:szCs w:val="24"/>
        </w:rPr>
        <w:t>Judaea would have been in an uncertain position.</w:t>
      </w:r>
      <w:r w:rsidR="00190715">
        <w:rPr>
          <w:rStyle w:val="FootnoteReference"/>
          <w:rFonts w:ascii="Cambria" w:hAnsi="Cambria"/>
          <w:sz w:val="24"/>
          <w:szCs w:val="24"/>
        </w:rPr>
        <w:footnoteReference w:id="11"/>
      </w:r>
      <w:r w:rsidR="00156545" w:rsidRPr="005150BA">
        <w:rPr>
          <w:rFonts w:ascii="Cambria" w:hAnsi="Cambria"/>
          <w:sz w:val="24"/>
          <w:szCs w:val="24"/>
        </w:rPr>
        <w:t xml:space="preserve"> </w:t>
      </w:r>
      <w:r w:rsidR="006C7451" w:rsidRPr="005150BA">
        <w:rPr>
          <w:rFonts w:ascii="Cambria" w:hAnsi="Cambria"/>
          <w:sz w:val="24"/>
          <w:szCs w:val="24"/>
        </w:rPr>
        <w:t xml:space="preserve">There had been an increasing acceptance of the Hellenistic way of life that the </w:t>
      </w:r>
      <w:proofErr w:type="spellStart"/>
      <w:r w:rsidR="006C7451" w:rsidRPr="005150BA">
        <w:rPr>
          <w:rFonts w:ascii="Cambria" w:hAnsi="Cambria"/>
          <w:sz w:val="24"/>
          <w:szCs w:val="24"/>
        </w:rPr>
        <w:t>Judaeans</w:t>
      </w:r>
      <w:proofErr w:type="spellEnd"/>
      <w:r w:rsidR="006C7451" w:rsidRPr="005150BA">
        <w:rPr>
          <w:rFonts w:ascii="Cambria" w:hAnsi="Cambria"/>
          <w:sz w:val="24"/>
          <w:szCs w:val="24"/>
        </w:rPr>
        <w:t xml:space="preserve"> discovered through their relationship with Ptolemaic Egypt prior to being absorbed into the Seleukid Empire; ‘there had grown up in Jerusalem a strong pro-Syrian party which sought political safety in complete dependence upon Syria’.</w:t>
      </w:r>
      <w:r w:rsidR="006C7451" w:rsidRPr="005150BA">
        <w:rPr>
          <w:rStyle w:val="FootnoteReference"/>
          <w:rFonts w:ascii="Cambria" w:hAnsi="Cambria"/>
          <w:sz w:val="24"/>
          <w:szCs w:val="24"/>
        </w:rPr>
        <w:footnoteReference w:id="12"/>
      </w:r>
      <w:r w:rsidR="004B409D">
        <w:rPr>
          <w:rFonts w:ascii="Cambria" w:hAnsi="Cambria"/>
          <w:sz w:val="24"/>
          <w:szCs w:val="24"/>
        </w:rPr>
        <w:t xml:space="preserve"> The orientation of some</w:t>
      </w:r>
      <w:r w:rsidR="00156545" w:rsidRPr="005150BA">
        <w:rPr>
          <w:rFonts w:ascii="Cambria" w:hAnsi="Cambria"/>
          <w:sz w:val="24"/>
          <w:szCs w:val="24"/>
        </w:rPr>
        <w:t xml:space="preserve"> internal f</w:t>
      </w:r>
      <w:r w:rsidR="004B409D">
        <w:rPr>
          <w:rFonts w:ascii="Cambria" w:hAnsi="Cambria"/>
          <w:sz w:val="24"/>
          <w:szCs w:val="24"/>
        </w:rPr>
        <w:t>actions to a more Hellenised way</w:t>
      </w:r>
      <w:r w:rsidR="00156545" w:rsidRPr="005150BA">
        <w:rPr>
          <w:rFonts w:ascii="Cambria" w:hAnsi="Cambria"/>
          <w:sz w:val="24"/>
          <w:szCs w:val="24"/>
        </w:rPr>
        <w:t xml:space="preserve"> of life caused </w:t>
      </w:r>
      <w:r w:rsidR="007A16CB">
        <w:rPr>
          <w:rFonts w:ascii="Cambria" w:hAnsi="Cambria"/>
          <w:sz w:val="24"/>
          <w:szCs w:val="24"/>
        </w:rPr>
        <w:t xml:space="preserve">a </w:t>
      </w:r>
      <w:r w:rsidR="00156545" w:rsidRPr="007A16CB">
        <w:rPr>
          <w:rFonts w:ascii="Cambria" w:hAnsi="Cambria"/>
          <w:noProof/>
          <w:sz w:val="24"/>
          <w:szCs w:val="24"/>
        </w:rPr>
        <w:t>backlash</w:t>
      </w:r>
      <w:r w:rsidR="00156545" w:rsidRPr="005150BA">
        <w:rPr>
          <w:rFonts w:ascii="Cambria" w:hAnsi="Cambria"/>
          <w:sz w:val="24"/>
          <w:szCs w:val="24"/>
        </w:rPr>
        <w:t xml:space="preserve"> </w:t>
      </w:r>
      <w:proofErr w:type="gramStart"/>
      <w:r w:rsidR="00156545" w:rsidRPr="005150BA">
        <w:rPr>
          <w:rFonts w:ascii="Cambria" w:hAnsi="Cambria"/>
          <w:sz w:val="24"/>
          <w:szCs w:val="24"/>
        </w:rPr>
        <w:t>from more traditional groups within Jewish culture, with some of the anger being directed towards Antiochus and the government of Judaea, who by this point had Hellenistic clemencies</w:t>
      </w:r>
      <w:proofErr w:type="gramEnd"/>
      <w:r w:rsidR="00156545" w:rsidRPr="005150BA">
        <w:rPr>
          <w:rFonts w:ascii="Cambria" w:hAnsi="Cambria"/>
          <w:sz w:val="24"/>
          <w:szCs w:val="24"/>
        </w:rPr>
        <w:t>.</w:t>
      </w:r>
      <w:r w:rsidR="00156545" w:rsidRPr="005150BA">
        <w:rPr>
          <w:rStyle w:val="FootnoteReference"/>
          <w:rFonts w:ascii="Cambria" w:hAnsi="Cambria"/>
          <w:sz w:val="24"/>
          <w:szCs w:val="24"/>
        </w:rPr>
        <w:footnoteReference w:id="13"/>
      </w:r>
    </w:p>
    <w:p w:rsidR="00C81142" w:rsidRPr="005150BA" w:rsidRDefault="00C81142" w:rsidP="00581460">
      <w:pPr>
        <w:spacing w:line="360" w:lineRule="auto"/>
        <w:jc w:val="both"/>
        <w:rPr>
          <w:rFonts w:ascii="Cambria" w:hAnsi="Cambria"/>
          <w:sz w:val="24"/>
          <w:szCs w:val="24"/>
        </w:rPr>
      </w:pPr>
      <w:r w:rsidRPr="005150BA">
        <w:rPr>
          <w:rFonts w:ascii="Cambria" w:hAnsi="Cambria"/>
          <w:sz w:val="24"/>
          <w:szCs w:val="24"/>
        </w:rPr>
        <w:t xml:space="preserve">The </w:t>
      </w:r>
      <w:r w:rsidRPr="00936277">
        <w:rPr>
          <w:rFonts w:ascii="Cambria" w:hAnsi="Cambria"/>
          <w:noProof/>
          <w:sz w:val="24"/>
          <w:szCs w:val="24"/>
        </w:rPr>
        <w:t>origin</w:t>
      </w:r>
      <w:r w:rsidRPr="005150BA">
        <w:rPr>
          <w:rFonts w:ascii="Cambria" w:hAnsi="Cambria"/>
          <w:sz w:val="24"/>
          <w:szCs w:val="24"/>
        </w:rPr>
        <w:t xml:space="preserve"> of the conflict was a complicated situation, the meeting of the different cultures and religions of </w:t>
      </w:r>
      <w:r w:rsidR="00FA32B2" w:rsidRPr="005150BA">
        <w:rPr>
          <w:rFonts w:ascii="Cambria" w:hAnsi="Cambria"/>
          <w:sz w:val="24"/>
          <w:szCs w:val="24"/>
        </w:rPr>
        <w:t>the Jews and the Greeks was not, initially at least, a cause for conflict. The merging of the two cultures and religions was beneficial for the two;</w:t>
      </w:r>
      <w:r w:rsidR="003A65D5">
        <w:rPr>
          <w:rFonts w:ascii="Cambria" w:hAnsi="Cambria"/>
          <w:sz w:val="24"/>
          <w:szCs w:val="24"/>
        </w:rPr>
        <w:t xml:space="preserve"> the Greek way of life brought g</w:t>
      </w:r>
      <w:r w:rsidR="00FA32B2" w:rsidRPr="005150BA">
        <w:rPr>
          <w:rFonts w:ascii="Cambria" w:hAnsi="Cambria"/>
          <w:sz w:val="24"/>
          <w:szCs w:val="24"/>
        </w:rPr>
        <w:t>ymnasia to the Jews, the benefits of Greek education had already been recognised, and they were not in conflict with the Jewish traditions and customs.</w:t>
      </w:r>
      <w:r w:rsidR="00AC72A0">
        <w:rPr>
          <w:rStyle w:val="FootnoteReference"/>
          <w:rFonts w:ascii="Cambria" w:hAnsi="Cambria"/>
          <w:sz w:val="24"/>
          <w:szCs w:val="24"/>
        </w:rPr>
        <w:footnoteReference w:id="14"/>
      </w:r>
      <w:r w:rsidR="00FA32B2" w:rsidRPr="005150BA">
        <w:rPr>
          <w:rFonts w:ascii="Cambria" w:hAnsi="Cambria"/>
          <w:sz w:val="24"/>
          <w:szCs w:val="24"/>
        </w:rPr>
        <w:t xml:space="preserve"> The difficulties really began at the </w:t>
      </w:r>
      <w:r w:rsidR="007E2C96">
        <w:rPr>
          <w:rFonts w:ascii="Cambria" w:hAnsi="Cambria"/>
          <w:sz w:val="24"/>
          <w:szCs w:val="24"/>
        </w:rPr>
        <w:t>establishment of a new High P</w:t>
      </w:r>
      <w:r w:rsidR="00FA32B2" w:rsidRPr="005150BA">
        <w:rPr>
          <w:rFonts w:ascii="Cambria" w:hAnsi="Cambria"/>
          <w:sz w:val="24"/>
          <w:szCs w:val="24"/>
        </w:rPr>
        <w:t>r</w:t>
      </w:r>
      <w:r w:rsidR="00FA32B2" w:rsidRPr="007E2C96">
        <w:rPr>
          <w:rFonts w:ascii="Cambria" w:hAnsi="Cambria"/>
          <w:sz w:val="24"/>
          <w:szCs w:val="24"/>
        </w:rPr>
        <w:t>iest</w:t>
      </w:r>
      <w:r w:rsidR="007E2C96">
        <w:rPr>
          <w:rFonts w:ascii="Cambria" w:hAnsi="Cambria"/>
          <w:sz w:val="24"/>
          <w:szCs w:val="24"/>
        </w:rPr>
        <w:t>; a</w:t>
      </w:r>
      <w:r w:rsidR="007E2C96" w:rsidRPr="007E2C96">
        <w:rPr>
          <w:rFonts w:ascii="Cambria" w:hAnsi="Cambria"/>
          <w:sz w:val="24"/>
          <w:szCs w:val="24"/>
        </w:rPr>
        <w:t xml:space="preserve">s </w:t>
      </w:r>
      <w:proofErr w:type="spellStart"/>
      <w:r w:rsidR="007E2C96" w:rsidRPr="007E2C96">
        <w:rPr>
          <w:rFonts w:ascii="Cambria" w:hAnsi="Cambria"/>
          <w:sz w:val="24"/>
          <w:szCs w:val="24"/>
        </w:rPr>
        <w:t>Diodorus</w:t>
      </w:r>
      <w:proofErr w:type="spellEnd"/>
      <w:r w:rsidR="007E2C96" w:rsidRPr="007E2C96">
        <w:rPr>
          <w:rFonts w:ascii="Cambria" w:hAnsi="Cambria"/>
          <w:sz w:val="24"/>
          <w:szCs w:val="24"/>
        </w:rPr>
        <w:t xml:space="preserve"> records; ‘</w:t>
      </w:r>
      <w:r w:rsidR="007E2C96">
        <w:rPr>
          <w:rFonts w:ascii="Cambria" w:hAnsi="Cambria"/>
          <w:sz w:val="24"/>
          <w:szCs w:val="24"/>
        </w:rPr>
        <w:t xml:space="preserve">authority over the people is regularly vested in whichever priest is regarded as superior to his colleagues in wisdom and virtue. They call this man the high priest and believe that he acts as a messenger to them of God’s </w:t>
      </w:r>
      <w:r w:rsidR="0006659D" w:rsidRPr="0006659D">
        <w:rPr>
          <w:rFonts w:ascii="Cambria" w:hAnsi="Cambria"/>
          <w:noProof/>
          <w:sz w:val="24"/>
          <w:szCs w:val="24"/>
        </w:rPr>
        <w:t>commandments’ t</w:t>
      </w:r>
      <w:r w:rsidR="007E2C96" w:rsidRPr="0006659D">
        <w:rPr>
          <w:rFonts w:ascii="Cambria" w:hAnsi="Cambria"/>
          <w:noProof/>
          <w:sz w:val="24"/>
          <w:szCs w:val="24"/>
        </w:rPr>
        <w:t>he</w:t>
      </w:r>
      <w:r w:rsidR="007E2C96">
        <w:rPr>
          <w:rFonts w:ascii="Cambria" w:hAnsi="Cambria"/>
          <w:sz w:val="24"/>
          <w:szCs w:val="24"/>
        </w:rPr>
        <w:t xml:space="preserve"> fact that the position could be bought, and was appointed by an outsider king </w:t>
      </w:r>
      <w:r w:rsidR="007E2C96" w:rsidRPr="007E2C96">
        <w:rPr>
          <w:rFonts w:ascii="Cambria" w:hAnsi="Cambria"/>
          <w:noProof/>
          <w:sz w:val="24"/>
          <w:szCs w:val="24"/>
        </w:rPr>
        <w:t xml:space="preserve">would have </w:t>
      </w:r>
      <w:r w:rsidR="007E2C96">
        <w:rPr>
          <w:rFonts w:ascii="Cambria" w:hAnsi="Cambria"/>
          <w:noProof/>
          <w:sz w:val="24"/>
          <w:szCs w:val="24"/>
        </w:rPr>
        <w:t>given the traditionalists cause of unrest</w:t>
      </w:r>
      <w:r w:rsidR="00FA32B2" w:rsidRPr="007E2C96">
        <w:rPr>
          <w:rFonts w:ascii="Cambria" w:hAnsi="Cambria"/>
          <w:noProof/>
          <w:sz w:val="24"/>
          <w:szCs w:val="24"/>
        </w:rPr>
        <w:t>.</w:t>
      </w:r>
      <w:r w:rsidR="007E2C96" w:rsidRPr="007E2C96">
        <w:rPr>
          <w:rStyle w:val="FootnoteReference"/>
          <w:rFonts w:ascii="Cambria" w:hAnsi="Cambria"/>
          <w:sz w:val="24"/>
          <w:szCs w:val="24"/>
        </w:rPr>
        <w:footnoteReference w:id="15"/>
      </w:r>
      <w:r w:rsidR="00FA32B2" w:rsidRPr="007E2C96">
        <w:rPr>
          <w:rFonts w:ascii="Cambria" w:hAnsi="Cambria"/>
          <w:sz w:val="24"/>
          <w:szCs w:val="24"/>
        </w:rPr>
        <w:t xml:space="preserve"> The Helleniser </w:t>
      </w:r>
      <w:r w:rsidR="00FA32B2" w:rsidRPr="005150BA">
        <w:rPr>
          <w:rFonts w:ascii="Cambria" w:hAnsi="Cambria"/>
          <w:sz w:val="24"/>
          <w:szCs w:val="24"/>
        </w:rPr>
        <w:t>Jason had promised inclusion of further Greek influence and institutions in Jerusale</w:t>
      </w:r>
      <w:r w:rsidR="006F6DA0" w:rsidRPr="005150BA">
        <w:rPr>
          <w:rFonts w:ascii="Cambria" w:hAnsi="Cambria"/>
          <w:sz w:val="24"/>
          <w:szCs w:val="24"/>
        </w:rPr>
        <w:t>m in exchange</w:t>
      </w:r>
      <w:r w:rsidR="00F60F99" w:rsidRPr="005150BA">
        <w:rPr>
          <w:rFonts w:ascii="Cambria" w:hAnsi="Cambria"/>
          <w:sz w:val="24"/>
          <w:szCs w:val="24"/>
        </w:rPr>
        <w:t xml:space="preserve"> for the High Priesthood,</w:t>
      </w:r>
      <w:r w:rsidR="003A65D5">
        <w:rPr>
          <w:rFonts w:ascii="Cambria" w:hAnsi="Cambria"/>
          <w:sz w:val="24"/>
          <w:szCs w:val="24"/>
        </w:rPr>
        <w:t xml:space="preserve"> ousting </w:t>
      </w:r>
      <w:proofErr w:type="spellStart"/>
      <w:r w:rsidR="003A65D5">
        <w:rPr>
          <w:rFonts w:ascii="Cambria" w:hAnsi="Cambria"/>
          <w:sz w:val="24"/>
          <w:szCs w:val="24"/>
        </w:rPr>
        <w:t>Onias</w:t>
      </w:r>
      <w:proofErr w:type="spellEnd"/>
      <w:r w:rsidR="003A65D5">
        <w:rPr>
          <w:rFonts w:ascii="Cambria" w:hAnsi="Cambria"/>
          <w:sz w:val="24"/>
          <w:szCs w:val="24"/>
        </w:rPr>
        <w:t xml:space="preserve"> III, </w:t>
      </w:r>
      <w:r w:rsidR="003A65D5">
        <w:rPr>
          <w:rFonts w:ascii="Cambria" w:hAnsi="Cambria"/>
          <w:sz w:val="24"/>
          <w:szCs w:val="24"/>
        </w:rPr>
        <w:lastRenderedPageBreak/>
        <w:t>who</w:t>
      </w:r>
      <w:r w:rsidR="004B409D">
        <w:rPr>
          <w:rFonts w:ascii="Cambria" w:hAnsi="Cambria"/>
          <w:sz w:val="24"/>
          <w:szCs w:val="24"/>
        </w:rPr>
        <w:t>se bid for the position had been lower than Jason’s</w:t>
      </w:r>
      <w:r w:rsidR="003A65D5">
        <w:rPr>
          <w:rFonts w:ascii="Cambria" w:hAnsi="Cambria"/>
          <w:sz w:val="24"/>
          <w:szCs w:val="24"/>
        </w:rPr>
        <w:t>.</w:t>
      </w:r>
      <w:r w:rsidR="00BD2B68">
        <w:rPr>
          <w:rStyle w:val="FootnoteReference"/>
          <w:rFonts w:ascii="Cambria" w:hAnsi="Cambria"/>
          <w:sz w:val="24"/>
          <w:szCs w:val="24"/>
        </w:rPr>
        <w:footnoteReference w:id="16"/>
      </w:r>
      <w:r w:rsidR="003A65D5">
        <w:rPr>
          <w:rFonts w:ascii="Cambria" w:hAnsi="Cambria"/>
          <w:sz w:val="24"/>
          <w:szCs w:val="24"/>
        </w:rPr>
        <w:t xml:space="preserve"> Jason himself lost</w:t>
      </w:r>
      <w:r w:rsidR="006C7451" w:rsidRPr="005150BA">
        <w:rPr>
          <w:rFonts w:ascii="Cambria" w:hAnsi="Cambria"/>
          <w:sz w:val="24"/>
          <w:szCs w:val="24"/>
        </w:rPr>
        <w:t xml:space="preserve"> the position to Menelau</w:t>
      </w:r>
      <w:r w:rsidR="00F60F99" w:rsidRPr="005150BA">
        <w:rPr>
          <w:rFonts w:ascii="Cambria" w:hAnsi="Cambria"/>
          <w:sz w:val="24"/>
          <w:szCs w:val="24"/>
        </w:rPr>
        <w:t xml:space="preserve">s, who promised a greater sum of money in exchange for the job. Neither side </w:t>
      </w:r>
      <w:r w:rsidR="00F60F99" w:rsidRPr="007E2C96">
        <w:rPr>
          <w:rFonts w:ascii="Cambria" w:hAnsi="Cambria"/>
          <w:noProof/>
          <w:sz w:val="24"/>
          <w:szCs w:val="24"/>
        </w:rPr>
        <w:t>w</w:t>
      </w:r>
      <w:r w:rsidR="007E2C96">
        <w:rPr>
          <w:rFonts w:ascii="Cambria" w:hAnsi="Cambria"/>
          <w:noProof/>
          <w:sz w:val="24"/>
          <w:szCs w:val="24"/>
        </w:rPr>
        <w:t>as</w:t>
      </w:r>
      <w:r w:rsidR="00F60F99" w:rsidRPr="005150BA">
        <w:rPr>
          <w:rFonts w:ascii="Cambria" w:hAnsi="Cambria"/>
          <w:sz w:val="24"/>
          <w:szCs w:val="24"/>
        </w:rPr>
        <w:t xml:space="preserve"> seemingly motivated towards the position from a place of </w:t>
      </w:r>
      <w:proofErr w:type="gramStart"/>
      <w:r w:rsidR="00F60F99" w:rsidRPr="005150BA">
        <w:rPr>
          <w:rFonts w:ascii="Cambria" w:hAnsi="Cambria"/>
          <w:sz w:val="24"/>
          <w:szCs w:val="24"/>
        </w:rPr>
        <w:t>piety,</w:t>
      </w:r>
      <w:proofErr w:type="gramEnd"/>
      <w:r w:rsidR="00F60F99" w:rsidRPr="005150BA">
        <w:rPr>
          <w:rFonts w:ascii="Cambria" w:hAnsi="Cambria"/>
          <w:sz w:val="24"/>
          <w:szCs w:val="24"/>
        </w:rPr>
        <w:t xml:space="preserve"> rather, they wanted to further their own gains. This could, naturally, be the result of the way that the surviving accounts of the period have framed the conflict and the characters involved</w:t>
      </w:r>
      <w:r w:rsidR="003A65D5">
        <w:rPr>
          <w:rFonts w:ascii="Cambria" w:hAnsi="Cambria"/>
          <w:sz w:val="24"/>
          <w:szCs w:val="24"/>
        </w:rPr>
        <w:t xml:space="preserve">. </w:t>
      </w:r>
      <w:r w:rsidR="00F60F99" w:rsidRPr="005150BA">
        <w:rPr>
          <w:rFonts w:ascii="Cambria" w:hAnsi="Cambria"/>
          <w:sz w:val="24"/>
          <w:szCs w:val="24"/>
        </w:rPr>
        <w:t xml:space="preserve">The appointment </w:t>
      </w:r>
      <w:r w:rsidR="006C7451" w:rsidRPr="005150BA">
        <w:rPr>
          <w:rFonts w:ascii="Cambria" w:hAnsi="Cambria"/>
          <w:sz w:val="24"/>
          <w:szCs w:val="24"/>
        </w:rPr>
        <w:t>of Menelau</w:t>
      </w:r>
      <w:r w:rsidR="00F60F99" w:rsidRPr="005150BA">
        <w:rPr>
          <w:rFonts w:ascii="Cambria" w:hAnsi="Cambria"/>
          <w:sz w:val="24"/>
          <w:szCs w:val="24"/>
        </w:rPr>
        <w:t>s to the position</w:t>
      </w:r>
      <w:r w:rsidR="006C7451" w:rsidRPr="005150BA">
        <w:rPr>
          <w:rFonts w:ascii="Cambria" w:hAnsi="Cambria"/>
          <w:sz w:val="24"/>
          <w:szCs w:val="24"/>
        </w:rPr>
        <w:t xml:space="preserve"> by Antiochu</w:t>
      </w:r>
      <w:r w:rsidR="00F60F99" w:rsidRPr="005150BA">
        <w:rPr>
          <w:rFonts w:ascii="Cambria" w:hAnsi="Cambria"/>
          <w:sz w:val="24"/>
          <w:szCs w:val="24"/>
        </w:rPr>
        <w:t>s IV was not accepted we</w:t>
      </w:r>
      <w:r w:rsidR="003A65D5">
        <w:rPr>
          <w:rFonts w:ascii="Cambria" w:hAnsi="Cambria"/>
          <w:sz w:val="24"/>
          <w:szCs w:val="24"/>
        </w:rPr>
        <w:t>ll in Jerusalem, although that wa</w:t>
      </w:r>
      <w:r w:rsidR="00F60F99" w:rsidRPr="005150BA">
        <w:rPr>
          <w:rFonts w:ascii="Cambria" w:hAnsi="Cambria"/>
          <w:sz w:val="24"/>
          <w:szCs w:val="24"/>
        </w:rPr>
        <w:t xml:space="preserve">s not </w:t>
      </w:r>
      <w:r w:rsidR="003A65D5">
        <w:rPr>
          <w:rFonts w:ascii="Cambria" w:hAnsi="Cambria"/>
          <w:sz w:val="24"/>
          <w:szCs w:val="24"/>
        </w:rPr>
        <w:t xml:space="preserve">necessarily </w:t>
      </w:r>
      <w:r w:rsidR="00F60F99" w:rsidRPr="005150BA">
        <w:rPr>
          <w:rFonts w:ascii="Cambria" w:hAnsi="Cambria"/>
          <w:sz w:val="24"/>
          <w:szCs w:val="24"/>
        </w:rPr>
        <w:t xml:space="preserve">because of the involvement of the king, </w:t>
      </w:r>
      <w:r w:rsidR="00F60F99" w:rsidRPr="00406A62">
        <w:rPr>
          <w:rFonts w:ascii="Cambria" w:hAnsi="Cambria"/>
          <w:noProof/>
          <w:sz w:val="24"/>
          <w:szCs w:val="24"/>
        </w:rPr>
        <w:t>but</w:t>
      </w:r>
      <w:r w:rsidR="00F60F99" w:rsidRPr="005150BA">
        <w:rPr>
          <w:rFonts w:ascii="Cambria" w:hAnsi="Cambria"/>
          <w:sz w:val="24"/>
          <w:szCs w:val="24"/>
        </w:rPr>
        <w:t xml:space="preserve"> because of the identity of the individual appointed</w:t>
      </w:r>
      <w:r w:rsidR="00376754" w:rsidRPr="005150BA">
        <w:rPr>
          <w:rFonts w:ascii="Cambria" w:hAnsi="Cambria"/>
          <w:sz w:val="24"/>
          <w:szCs w:val="24"/>
        </w:rPr>
        <w:t>. T</w:t>
      </w:r>
      <w:r w:rsidR="00F60F99" w:rsidRPr="005150BA">
        <w:rPr>
          <w:rFonts w:ascii="Cambria" w:hAnsi="Cambria"/>
          <w:sz w:val="24"/>
          <w:szCs w:val="24"/>
        </w:rPr>
        <w:t>here were f</w:t>
      </w:r>
      <w:r w:rsidR="00376754" w:rsidRPr="005150BA">
        <w:rPr>
          <w:rFonts w:ascii="Cambria" w:hAnsi="Cambria"/>
          <w:sz w:val="24"/>
          <w:szCs w:val="24"/>
        </w:rPr>
        <w:t>actions</w:t>
      </w:r>
      <w:r w:rsidR="006C7451" w:rsidRPr="005150BA">
        <w:rPr>
          <w:rFonts w:ascii="Cambria" w:hAnsi="Cambria"/>
          <w:sz w:val="24"/>
          <w:szCs w:val="24"/>
        </w:rPr>
        <w:t xml:space="preserve"> against Menelau</w:t>
      </w:r>
      <w:r w:rsidR="00376754" w:rsidRPr="005150BA">
        <w:rPr>
          <w:rFonts w:ascii="Cambria" w:hAnsi="Cambria"/>
          <w:sz w:val="24"/>
          <w:szCs w:val="24"/>
        </w:rPr>
        <w:t>s on the ground</w:t>
      </w:r>
      <w:r w:rsidR="003A65D5">
        <w:rPr>
          <w:rFonts w:ascii="Cambria" w:hAnsi="Cambria"/>
          <w:sz w:val="24"/>
          <w:szCs w:val="24"/>
        </w:rPr>
        <w:t>s</w:t>
      </w:r>
      <w:r w:rsidR="00376754" w:rsidRPr="005150BA">
        <w:rPr>
          <w:rFonts w:ascii="Cambria" w:hAnsi="Cambria"/>
          <w:sz w:val="24"/>
          <w:szCs w:val="24"/>
        </w:rPr>
        <w:t xml:space="preserve"> that he was </w:t>
      </w:r>
      <w:r w:rsidR="00557611">
        <w:rPr>
          <w:rFonts w:ascii="Cambria" w:hAnsi="Cambria"/>
          <w:sz w:val="24"/>
          <w:szCs w:val="24"/>
        </w:rPr>
        <w:t xml:space="preserve">unqualified for the position, </w:t>
      </w:r>
      <w:r w:rsidR="003A65D5">
        <w:rPr>
          <w:rFonts w:ascii="Cambria" w:hAnsi="Cambria"/>
          <w:sz w:val="24"/>
          <w:szCs w:val="24"/>
        </w:rPr>
        <w:t xml:space="preserve">perhaps having been a </w:t>
      </w:r>
      <w:proofErr w:type="spellStart"/>
      <w:r w:rsidR="003A65D5">
        <w:rPr>
          <w:rFonts w:ascii="Cambria" w:hAnsi="Cambria"/>
          <w:sz w:val="24"/>
          <w:szCs w:val="24"/>
        </w:rPr>
        <w:t>Benjaminite</w:t>
      </w:r>
      <w:proofErr w:type="spellEnd"/>
      <w:r w:rsidR="003A65D5">
        <w:rPr>
          <w:rFonts w:ascii="Cambria" w:hAnsi="Cambria"/>
          <w:sz w:val="24"/>
          <w:szCs w:val="24"/>
        </w:rPr>
        <w:t xml:space="preserve"> rather than a Levite.</w:t>
      </w:r>
      <w:r w:rsidR="003A65D5">
        <w:rPr>
          <w:rStyle w:val="FootnoteReference"/>
          <w:rFonts w:ascii="Cambria" w:hAnsi="Cambria"/>
          <w:sz w:val="24"/>
          <w:szCs w:val="24"/>
        </w:rPr>
        <w:footnoteReference w:id="17"/>
      </w:r>
      <w:r w:rsidR="003A65D5">
        <w:rPr>
          <w:rFonts w:ascii="Cambria" w:hAnsi="Cambria"/>
          <w:sz w:val="24"/>
          <w:szCs w:val="24"/>
        </w:rPr>
        <w:t xml:space="preserve"> </w:t>
      </w:r>
    </w:p>
    <w:p w:rsidR="00BE02EC" w:rsidRPr="005150BA" w:rsidRDefault="006C7451" w:rsidP="00581460">
      <w:pPr>
        <w:spacing w:line="360" w:lineRule="auto"/>
        <w:jc w:val="both"/>
        <w:rPr>
          <w:rFonts w:ascii="Cambria" w:hAnsi="Cambria"/>
          <w:sz w:val="24"/>
          <w:szCs w:val="24"/>
        </w:rPr>
      </w:pPr>
      <w:r w:rsidRPr="005150BA">
        <w:rPr>
          <w:rFonts w:ascii="Cambria" w:hAnsi="Cambria"/>
          <w:sz w:val="24"/>
          <w:szCs w:val="24"/>
        </w:rPr>
        <w:t>Opposition to Menelau</w:t>
      </w:r>
      <w:r w:rsidR="00376754" w:rsidRPr="005150BA">
        <w:rPr>
          <w:rFonts w:ascii="Cambria" w:hAnsi="Cambria"/>
          <w:sz w:val="24"/>
          <w:szCs w:val="24"/>
        </w:rPr>
        <w:t>s’ appointment to the High Priesthood grew as it became obvious that he was not capable of generating the funds to pay the Seleukid authorities that cash that he promised them to get himself the job.</w:t>
      </w:r>
      <w:r w:rsidRPr="005150BA">
        <w:rPr>
          <w:rFonts w:ascii="Cambria" w:hAnsi="Cambria"/>
          <w:sz w:val="24"/>
          <w:szCs w:val="24"/>
        </w:rPr>
        <w:t xml:space="preserve"> The lack of ability on Menelau</w:t>
      </w:r>
      <w:r w:rsidR="00376754" w:rsidRPr="005150BA">
        <w:rPr>
          <w:rFonts w:ascii="Cambria" w:hAnsi="Cambria"/>
          <w:sz w:val="24"/>
          <w:szCs w:val="24"/>
        </w:rPr>
        <w:t xml:space="preserve">s’ part to do what he had promised to do from the outset stirred up </w:t>
      </w:r>
      <w:r w:rsidR="0006659D">
        <w:rPr>
          <w:rFonts w:ascii="Cambria" w:hAnsi="Cambria"/>
          <w:sz w:val="24"/>
          <w:szCs w:val="24"/>
        </w:rPr>
        <w:t xml:space="preserve">the </w:t>
      </w:r>
      <w:r w:rsidR="00376754" w:rsidRPr="0006659D">
        <w:rPr>
          <w:rFonts w:ascii="Cambria" w:hAnsi="Cambria"/>
          <w:noProof/>
          <w:sz w:val="24"/>
          <w:szCs w:val="24"/>
        </w:rPr>
        <w:t>internal</w:t>
      </w:r>
      <w:r w:rsidR="00376754" w:rsidRPr="005150BA">
        <w:rPr>
          <w:rFonts w:ascii="Cambria" w:hAnsi="Cambria"/>
          <w:sz w:val="24"/>
          <w:szCs w:val="24"/>
        </w:rPr>
        <w:t xml:space="preserve"> opposition as well as the objections of the Seleukid authorities who were meant to be receiving the cash. This opposition cam</w:t>
      </w:r>
      <w:r w:rsidRPr="005150BA">
        <w:rPr>
          <w:rFonts w:ascii="Cambria" w:hAnsi="Cambria"/>
          <w:sz w:val="24"/>
          <w:szCs w:val="24"/>
        </w:rPr>
        <w:t xml:space="preserve">e to </w:t>
      </w:r>
      <w:r w:rsidR="00936277">
        <w:rPr>
          <w:rFonts w:ascii="Cambria" w:hAnsi="Cambria"/>
          <w:sz w:val="24"/>
          <w:szCs w:val="24"/>
        </w:rPr>
        <w:t xml:space="preserve">the </w:t>
      </w:r>
      <w:r w:rsidRPr="00936277">
        <w:rPr>
          <w:rFonts w:ascii="Cambria" w:hAnsi="Cambria"/>
          <w:noProof/>
          <w:sz w:val="24"/>
          <w:szCs w:val="24"/>
        </w:rPr>
        <w:t>breaking</w:t>
      </w:r>
      <w:r w:rsidRPr="005150BA">
        <w:rPr>
          <w:rFonts w:ascii="Cambria" w:hAnsi="Cambria"/>
          <w:sz w:val="24"/>
          <w:szCs w:val="24"/>
        </w:rPr>
        <w:t xml:space="preserve"> point when Menelau</w:t>
      </w:r>
      <w:r w:rsidR="00376754" w:rsidRPr="005150BA">
        <w:rPr>
          <w:rFonts w:ascii="Cambria" w:hAnsi="Cambria"/>
          <w:sz w:val="24"/>
          <w:szCs w:val="24"/>
        </w:rPr>
        <w:t>s’</w:t>
      </w:r>
      <w:r w:rsidR="00925297">
        <w:rPr>
          <w:rFonts w:ascii="Cambria" w:hAnsi="Cambria"/>
          <w:sz w:val="24"/>
          <w:szCs w:val="24"/>
        </w:rPr>
        <w:t xml:space="preserve"> own brother, Lysimachu</w:t>
      </w:r>
      <w:r w:rsidR="00376754" w:rsidRPr="005150BA">
        <w:rPr>
          <w:rFonts w:ascii="Cambria" w:hAnsi="Cambria"/>
          <w:sz w:val="24"/>
          <w:szCs w:val="24"/>
        </w:rPr>
        <w:t>s, stirred up popular violence, alongside the Seleukid garrison in the city</w:t>
      </w:r>
      <w:r w:rsidR="00925297">
        <w:rPr>
          <w:rFonts w:ascii="Cambria" w:hAnsi="Cambria"/>
          <w:sz w:val="24"/>
          <w:szCs w:val="24"/>
        </w:rPr>
        <w:t>,</w:t>
      </w:r>
      <w:r w:rsidR="00376754" w:rsidRPr="005150BA">
        <w:rPr>
          <w:rFonts w:ascii="Cambria" w:hAnsi="Cambria"/>
          <w:sz w:val="24"/>
          <w:szCs w:val="24"/>
        </w:rPr>
        <w:t xml:space="preserve"> inciting unrest.</w:t>
      </w:r>
      <w:r w:rsidR="00936277">
        <w:rPr>
          <w:rStyle w:val="FootnoteReference"/>
          <w:rFonts w:ascii="Cambria" w:hAnsi="Cambria"/>
          <w:sz w:val="24"/>
          <w:szCs w:val="24"/>
        </w:rPr>
        <w:footnoteReference w:id="18"/>
      </w:r>
      <w:r w:rsidR="00376754" w:rsidRPr="005150BA">
        <w:rPr>
          <w:rFonts w:ascii="Cambria" w:hAnsi="Cambria"/>
          <w:sz w:val="24"/>
          <w:szCs w:val="24"/>
        </w:rPr>
        <w:t xml:space="preserve"> This is again, not a direct clash of ideology; we have, essentially, a Hellenistic king becoming involved in the Jewish religious affairs through the election of the High Priest, civil unrest at this appointment being stirred up by both the Seleukid military presence in the city, and the brother of the perpetrator.</w:t>
      </w:r>
      <w:r w:rsidR="005150BA" w:rsidRPr="005150BA">
        <w:rPr>
          <w:rStyle w:val="FootnoteReference"/>
          <w:rFonts w:ascii="Cambria" w:hAnsi="Cambria"/>
          <w:sz w:val="24"/>
          <w:szCs w:val="24"/>
        </w:rPr>
        <w:footnoteReference w:id="19"/>
      </w:r>
      <w:r w:rsidR="00376754" w:rsidRPr="005150BA">
        <w:rPr>
          <w:rFonts w:ascii="Cambria" w:hAnsi="Cambria"/>
          <w:sz w:val="24"/>
          <w:szCs w:val="24"/>
        </w:rPr>
        <w:t xml:space="preserve">  </w:t>
      </w:r>
      <w:r w:rsidR="00E903FA" w:rsidRPr="005150BA">
        <w:rPr>
          <w:rFonts w:ascii="Cambria" w:hAnsi="Cambria"/>
          <w:sz w:val="24"/>
          <w:szCs w:val="24"/>
        </w:rPr>
        <w:t>The Jewish sources, despite their hostility to the Seleukid authorities, ‘make clear that the problems had their origin in local tensions and developments that invited royal intervention’.</w:t>
      </w:r>
      <w:r w:rsidR="00E903FA" w:rsidRPr="005150BA">
        <w:rPr>
          <w:rStyle w:val="FootnoteReference"/>
          <w:rFonts w:ascii="Cambria" w:hAnsi="Cambria"/>
          <w:sz w:val="24"/>
          <w:szCs w:val="24"/>
        </w:rPr>
        <w:footnoteReference w:id="20"/>
      </w:r>
      <w:r w:rsidR="009C219D">
        <w:rPr>
          <w:rFonts w:ascii="Cambria" w:hAnsi="Cambria"/>
          <w:sz w:val="24"/>
          <w:szCs w:val="24"/>
        </w:rPr>
        <w:t xml:space="preserve"> 1</w:t>
      </w:r>
      <w:r w:rsidR="00576E3A" w:rsidRPr="005150BA">
        <w:rPr>
          <w:rFonts w:ascii="Cambria" w:hAnsi="Cambria"/>
          <w:sz w:val="24"/>
          <w:szCs w:val="24"/>
        </w:rPr>
        <w:t xml:space="preserve"> Maccabees itself states that there ‘came forth from Israel a lawless generation’, and that although the king gave them permission to ‘practise the customs of the heathen’; the initial desire to stray from the path</w:t>
      </w:r>
      <w:r w:rsidR="0006659D">
        <w:rPr>
          <w:rFonts w:ascii="Cambria" w:hAnsi="Cambria"/>
          <w:sz w:val="24"/>
          <w:szCs w:val="24"/>
        </w:rPr>
        <w:t>, in fact,</w:t>
      </w:r>
      <w:r w:rsidR="00576E3A" w:rsidRPr="005150BA">
        <w:rPr>
          <w:rFonts w:ascii="Cambria" w:hAnsi="Cambria"/>
          <w:sz w:val="24"/>
          <w:szCs w:val="24"/>
        </w:rPr>
        <w:t xml:space="preserve"> came from internal forces.</w:t>
      </w:r>
      <w:r w:rsidR="00576E3A" w:rsidRPr="005150BA">
        <w:rPr>
          <w:rStyle w:val="FootnoteReference"/>
          <w:rFonts w:ascii="Cambria" w:hAnsi="Cambria"/>
          <w:sz w:val="24"/>
          <w:szCs w:val="24"/>
        </w:rPr>
        <w:footnoteReference w:id="21"/>
      </w:r>
      <w:r w:rsidR="00301A66" w:rsidRPr="005150BA">
        <w:rPr>
          <w:rFonts w:ascii="Cambria" w:hAnsi="Cambria"/>
          <w:sz w:val="24"/>
          <w:szCs w:val="24"/>
        </w:rPr>
        <w:t xml:space="preserve"> </w:t>
      </w:r>
      <w:r w:rsidR="00BE02EC" w:rsidRPr="005150BA">
        <w:rPr>
          <w:rFonts w:ascii="Cambria" w:hAnsi="Cambria"/>
          <w:sz w:val="24"/>
          <w:szCs w:val="24"/>
        </w:rPr>
        <w:t>Th</w:t>
      </w:r>
      <w:r w:rsidR="00925297">
        <w:rPr>
          <w:rFonts w:ascii="Cambria" w:hAnsi="Cambria"/>
          <w:sz w:val="24"/>
          <w:szCs w:val="24"/>
        </w:rPr>
        <w:t xml:space="preserve">e Books of the Maccabees can be interpreted as having </w:t>
      </w:r>
      <w:r w:rsidR="00925297">
        <w:rPr>
          <w:rFonts w:ascii="Cambria" w:hAnsi="Cambria"/>
          <w:sz w:val="24"/>
          <w:szCs w:val="24"/>
        </w:rPr>
        <w:lastRenderedPageBreak/>
        <w:t>dismay at the Jewish people who were attracted to a Hellenistic lifestyle, but a stronger disagreement with the idea of Hellenism as a whole.</w:t>
      </w:r>
      <w:r w:rsidR="00925297">
        <w:rPr>
          <w:rStyle w:val="FootnoteReference"/>
          <w:rFonts w:ascii="Cambria" w:hAnsi="Cambria"/>
          <w:sz w:val="24"/>
          <w:szCs w:val="24"/>
        </w:rPr>
        <w:footnoteReference w:id="22"/>
      </w:r>
    </w:p>
    <w:p w:rsidR="00376754" w:rsidRPr="00936277" w:rsidRDefault="00301A66" w:rsidP="00581460">
      <w:pPr>
        <w:spacing w:line="360" w:lineRule="auto"/>
        <w:jc w:val="both"/>
        <w:rPr>
          <w:rFonts w:ascii="Cambria" w:hAnsi="Cambria"/>
          <w:sz w:val="24"/>
          <w:szCs w:val="24"/>
        </w:rPr>
      </w:pPr>
      <w:r w:rsidRPr="005150BA">
        <w:rPr>
          <w:rFonts w:ascii="Cambria" w:hAnsi="Cambria"/>
          <w:sz w:val="24"/>
          <w:szCs w:val="24"/>
        </w:rPr>
        <w:t xml:space="preserve">Prior to 169 BC, the conflict was bubbling under the surface, and the tensions between the </w:t>
      </w:r>
      <w:proofErr w:type="spellStart"/>
      <w:r w:rsidRPr="005150BA">
        <w:rPr>
          <w:rFonts w:ascii="Cambria" w:hAnsi="Cambria"/>
          <w:sz w:val="24"/>
          <w:szCs w:val="24"/>
        </w:rPr>
        <w:t>Judaeans</w:t>
      </w:r>
      <w:proofErr w:type="spellEnd"/>
      <w:r w:rsidRPr="005150BA">
        <w:rPr>
          <w:rFonts w:ascii="Cambria" w:hAnsi="Cambria"/>
          <w:sz w:val="24"/>
          <w:szCs w:val="24"/>
        </w:rPr>
        <w:t xml:space="preserve"> </w:t>
      </w:r>
      <w:r w:rsidRPr="00936277">
        <w:rPr>
          <w:rFonts w:ascii="Cambria" w:hAnsi="Cambria"/>
          <w:sz w:val="24"/>
          <w:szCs w:val="24"/>
        </w:rPr>
        <w:t>and the Seleukid authorities came to its first head with the sack</w:t>
      </w:r>
      <w:r w:rsidR="00066E50" w:rsidRPr="00936277">
        <w:rPr>
          <w:rFonts w:ascii="Cambria" w:hAnsi="Cambria"/>
          <w:sz w:val="24"/>
          <w:szCs w:val="24"/>
        </w:rPr>
        <w:t xml:space="preserve">ing of the Temple in Jerusalem, furthering </w:t>
      </w:r>
      <w:r w:rsidR="006C404E" w:rsidRPr="00936277">
        <w:rPr>
          <w:rFonts w:ascii="Cambria" w:hAnsi="Cambria"/>
          <w:sz w:val="24"/>
          <w:szCs w:val="24"/>
        </w:rPr>
        <w:t xml:space="preserve">the anti-Hellenic cause. The sacking was actually sanctioned by Menelaus, the High Priest, and although it can be used as something of an example of the Seleukid irreverence towards Jewish tradition at this exact point in history, it is not indicative of a long-standing bad attitude </w:t>
      </w:r>
      <w:r w:rsidR="006C7451" w:rsidRPr="00936277">
        <w:rPr>
          <w:rFonts w:ascii="Cambria" w:hAnsi="Cambria"/>
          <w:sz w:val="24"/>
          <w:szCs w:val="24"/>
        </w:rPr>
        <w:t xml:space="preserve">from Antiochus </w:t>
      </w:r>
      <w:r w:rsidR="006C404E" w:rsidRPr="00936277">
        <w:rPr>
          <w:rFonts w:ascii="Cambria" w:hAnsi="Cambria"/>
          <w:sz w:val="24"/>
          <w:szCs w:val="24"/>
        </w:rPr>
        <w:t>towards Judaea.</w:t>
      </w:r>
      <w:r w:rsidR="00925297" w:rsidRPr="00936277">
        <w:rPr>
          <w:rStyle w:val="FootnoteReference"/>
          <w:rFonts w:ascii="Cambria" w:hAnsi="Cambria"/>
          <w:sz w:val="24"/>
          <w:szCs w:val="24"/>
        </w:rPr>
        <w:footnoteReference w:id="23"/>
      </w:r>
      <w:r w:rsidR="006C7451" w:rsidRPr="00936277">
        <w:rPr>
          <w:rFonts w:ascii="Cambria" w:hAnsi="Cambria"/>
          <w:sz w:val="24"/>
          <w:szCs w:val="24"/>
        </w:rPr>
        <w:t xml:space="preserve"> </w:t>
      </w:r>
      <w:r w:rsidR="006C404E" w:rsidRPr="00936277">
        <w:rPr>
          <w:rFonts w:ascii="Cambria" w:hAnsi="Cambria"/>
          <w:sz w:val="24"/>
          <w:szCs w:val="24"/>
        </w:rPr>
        <w:t xml:space="preserve">The sanctioning by Menelaus also complicates the matter – we do not have a case of the Hellenistic king coming in and taking the Jewish treasure at the dismay of Jerusalem, rather, the individual who was meant to be leading the Jewish people and looking out for their best interest essentially invites the king to empty the coffers. The Hellenic-leaning Jewish government of Judaea were more of a problem to the city than the </w:t>
      </w:r>
      <w:proofErr w:type="spellStart"/>
      <w:r w:rsidR="006C404E" w:rsidRPr="00936277">
        <w:rPr>
          <w:rFonts w:ascii="Cambria" w:hAnsi="Cambria"/>
          <w:sz w:val="24"/>
          <w:szCs w:val="24"/>
        </w:rPr>
        <w:t>Seleukids</w:t>
      </w:r>
      <w:proofErr w:type="spellEnd"/>
      <w:r w:rsidR="006C404E" w:rsidRPr="00936277">
        <w:rPr>
          <w:rFonts w:ascii="Cambria" w:hAnsi="Cambria"/>
          <w:sz w:val="24"/>
          <w:szCs w:val="24"/>
        </w:rPr>
        <w:t>.</w:t>
      </w:r>
      <w:r w:rsidR="00925297" w:rsidRPr="00936277">
        <w:rPr>
          <w:rStyle w:val="FootnoteReference"/>
          <w:rFonts w:ascii="Cambria" w:hAnsi="Cambria"/>
          <w:sz w:val="24"/>
          <w:szCs w:val="24"/>
        </w:rPr>
        <w:footnoteReference w:id="24"/>
      </w:r>
    </w:p>
    <w:p w:rsidR="004B409D" w:rsidRPr="00936277" w:rsidRDefault="006C404E" w:rsidP="004B409D">
      <w:pPr>
        <w:spacing w:line="360" w:lineRule="auto"/>
        <w:jc w:val="both"/>
        <w:rPr>
          <w:rFonts w:ascii="Cambria" w:hAnsi="Cambria"/>
          <w:sz w:val="24"/>
          <w:szCs w:val="24"/>
        </w:rPr>
      </w:pPr>
      <w:r w:rsidRPr="00936277">
        <w:rPr>
          <w:rFonts w:ascii="Cambria" w:hAnsi="Cambria"/>
          <w:sz w:val="24"/>
          <w:szCs w:val="24"/>
        </w:rPr>
        <w:t xml:space="preserve">We can see, however, from the response of Antiochus IV that he believed that the conflict was rooted in ‘the close association between fundamentalist Jewish religious </w:t>
      </w:r>
      <w:proofErr w:type="gramStart"/>
      <w:r w:rsidRPr="00936277">
        <w:rPr>
          <w:rFonts w:ascii="Cambria" w:hAnsi="Cambria"/>
          <w:sz w:val="24"/>
          <w:szCs w:val="24"/>
        </w:rPr>
        <w:t>observance</w:t>
      </w:r>
      <w:proofErr w:type="gramEnd"/>
      <w:r w:rsidRPr="00936277">
        <w:rPr>
          <w:rFonts w:ascii="Cambria" w:hAnsi="Cambria"/>
          <w:sz w:val="24"/>
          <w:szCs w:val="24"/>
        </w:rPr>
        <w:t xml:space="preserve"> with the political rebellion’.</w:t>
      </w:r>
      <w:r w:rsidRPr="00936277">
        <w:rPr>
          <w:rStyle w:val="FootnoteReference"/>
          <w:rFonts w:ascii="Cambria" w:hAnsi="Cambria"/>
          <w:sz w:val="24"/>
          <w:szCs w:val="24"/>
        </w:rPr>
        <w:footnoteReference w:id="25"/>
      </w:r>
      <w:r w:rsidRPr="00936277">
        <w:rPr>
          <w:rFonts w:ascii="Cambria" w:hAnsi="Cambria"/>
          <w:sz w:val="24"/>
          <w:szCs w:val="24"/>
        </w:rPr>
        <w:t xml:space="preserve"> Antiochus’ retaliation against the unrest in Jerusalem was </w:t>
      </w:r>
      <w:r w:rsidRPr="00936277">
        <w:rPr>
          <w:rFonts w:ascii="Cambria" w:hAnsi="Cambria"/>
          <w:noProof/>
          <w:sz w:val="24"/>
          <w:szCs w:val="24"/>
        </w:rPr>
        <w:t>heavy-</w:t>
      </w:r>
      <w:r w:rsidR="00BA7B08" w:rsidRPr="00936277">
        <w:rPr>
          <w:rFonts w:ascii="Cambria" w:hAnsi="Cambria"/>
          <w:noProof/>
          <w:sz w:val="24"/>
          <w:szCs w:val="24"/>
        </w:rPr>
        <w:t>handed</w:t>
      </w:r>
      <w:r w:rsidR="00BA7B08" w:rsidRPr="00936277">
        <w:rPr>
          <w:rFonts w:ascii="Cambria" w:hAnsi="Cambria"/>
          <w:sz w:val="24"/>
          <w:szCs w:val="24"/>
        </w:rPr>
        <w:t xml:space="preserve"> but did not come from</w:t>
      </w:r>
      <w:r w:rsidR="00F84038" w:rsidRPr="00936277">
        <w:rPr>
          <w:rFonts w:ascii="Cambria" w:hAnsi="Cambria"/>
          <w:sz w:val="24"/>
          <w:szCs w:val="24"/>
        </w:rPr>
        <w:t xml:space="preserve"> a desire to end the Jewish </w:t>
      </w:r>
      <w:r w:rsidR="00F84038" w:rsidRPr="00936277">
        <w:rPr>
          <w:rFonts w:ascii="Cambria" w:hAnsi="Cambria"/>
          <w:noProof/>
          <w:sz w:val="24"/>
          <w:szCs w:val="24"/>
        </w:rPr>
        <w:t>traditions</w:t>
      </w:r>
      <w:r w:rsidR="00F84038" w:rsidRPr="00936277">
        <w:rPr>
          <w:rFonts w:ascii="Cambria" w:hAnsi="Cambria"/>
          <w:sz w:val="24"/>
          <w:szCs w:val="24"/>
        </w:rPr>
        <w:t xml:space="preserve"> or to try to wipe out Judaism </w:t>
      </w:r>
      <w:r w:rsidR="00F84038" w:rsidRPr="00936277">
        <w:rPr>
          <w:rFonts w:ascii="Cambria" w:hAnsi="Cambria"/>
          <w:noProof/>
          <w:sz w:val="24"/>
          <w:szCs w:val="24"/>
        </w:rPr>
        <w:t>altogether</w:t>
      </w:r>
      <w:r w:rsidR="00F84038" w:rsidRPr="00936277">
        <w:rPr>
          <w:rFonts w:ascii="Cambria" w:hAnsi="Cambria"/>
          <w:sz w:val="24"/>
          <w:szCs w:val="24"/>
        </w:rPr>
        <w:t>, although that is what the Jewish sources would have us believe. Rather, he is attempting to rid Judaea of the traditionalist factions that had been causing trouble and refusing to allow any Greek culture into the city. The individuals perpetuating an argument of conflicting ideologies were the more traditional Jews, who were refusing to accept that anything other tha</w:t>
      </w:r>
      <w:r w:rsidR="00B408B3" w:rsidRPr="00936277">
        <w:rPr>
          <w:rFonts w:ascii="Cambria" w:hAnsi="Cambria"/>
          <w:sz w:val="24"/>
          <w:szCs w:val="24"/>
        </w:rPr>
        <w:t>n their way of life was correct. ‘Devotion to Hellenism became identified with loyalty</w:t>
      </w:r>
      <w:r w:rsidR="00BA7B08" w:rsidRPr="00936277">
        <w:rPr>
          <w:rFonts w:ascii="Cambria" w:hAnsi="Cambria"/>
          <w:sz w:val="24"/>
          <w:szCs w:val="24"/>
        </w:rPr>
        <w:t>’</w:t>
      </w:r>
      <w:r w:rsidR="00B408B3" w:rsidRPr="00936277">
        <w:rPr>
          <w:rFonts w:ascii="Cambria" w:hAnsi="Cambria"/>
          <w:sz w:val="24"/>
          <w:szCs w:val="24"/>
        </w:rPr>
        <w:t>, and it can be understood how Antiochus</w:t>
      </w:r>
      <w:r w:rsidR="00F84038" w:rsidRPr="00936277">
        <w:rPr>
          <w:rFonts w:ascii="Cambria" w:hAnsi="Cambria"/>
          <w:sz w:val="24"/>
          <w:szCs w:val="24"/>
        </w:rPr>
        <w:t xml:space="preserve"> </w:t>
      </w:r>
      <w:r w:rsidR="00B408B3" w:rsidRPr="00936277">
        <w:rPr>
          <w:rFonts w:ascii="Cambria" w:hAnsi="Cambria"/>
          <w:sz w:val="24"/>
          <w:szCs w:val="24"/>
        </w:rPr>
        <w:t xml:space="preserve">thought that the best way to ensure the wellbeing of his interests in Judaea and the prevention of any further unrest was to quash the traditionalist opposition and employ a policy of forced </w:t>
      </w:r>
      <w:proofErr w:type="spellStart"/>
      <w:r w:rsidR="00B408B3" w:rsidRPr="00936277">
        <w:rPr>
          <w:rFonts w:ascii="Cambria" w:hAnsi="Cambria"/>
          <w:sz w:val="24"/>
          <w:szCs w:val="24"/>
        </w:rPr>
        <w:t>Hellenisation</w:t>
      </w:r>
      <w:proofErr w:type="spellEnd"/>
      <w:r w:rsidR="00B408B3" w:rsidRPr="00936277">
        <w:rPr>
          <w:rFonts w:ascii="Cambria" w:hAnsi="Cambria"/>
          <w:sz w:val="24"/>
          <w:szCs w:val="24"/>
        </w:rPr>
        <w:t xml:space="preserve"> on those who objected.</w:t>
      </w:r>
      <w:r w:rsidR="00B408B3" w:rsidRPr="00936277">
        <w:rPr>
          <w:rStyle w:val="FootnoteReference"/>
          <w:rFonts w:ascii="Cambria" w:hAnsi="Cambria"/>
          <w:sz w:val="24"/>
          <w:szCs w:val="24"/>
        </w:rPr>
        <w:footnoteReference w:id="26"/>
      </w:r>
      <w:r w:rsidR="00B408B3" w:rsidRPr="00936277">
        <w:rPr>
          <w:rFonts w:ascii="Cambria" w:hAnsi="Cambria"/>
          <w:sz w:val="24"/>
          <w:szCs w:val="24"/>
        </w:rPr>
        <w:t xml:space="preserve"> </w:t>
      </w:r>
      <w:r w:rsidR="00F84038" w:rsidRPr="00936277">
        <w:rPr>
          <w:rFonts w:ascii="Cambria" w:hAnsi="Cambria"/>
          <w:sz w:val="24"/>
          <w:szCs w:val="24"/>
        </w:rPr>
        <w:t xml:space="preserve">This is not to say that Jewish and Greek ideologies could not mesh, but that certain individuals were using it as an excuse </w:t>
      </w:r>
      <w:r w:rsidR="00F84038" w:rsidRPr="00936277">
        <w:rPr>
          <w:rFonts w:ascii="Cambria" w:hAnsi="Cambria"/>
          <w:sz w:val="24"/>
          <w:szCs w:val="24"/>
        </w:rPr>
        <w:lastRenderedPageBreak/>
        <w:t>to not accept the influence of the Greeks, an imposition of ‘otherness’. We have to take into account the fact that the Seleukid influence on Judaea prior to this point was minimal – the backlash from the traditionalists was probably due to their being overwhelmed by the move from the Seleukid powers to try to involved Juda</w:t>
      </w:r>
      <w:r w:rsidR="000A34F4" w:rsidRPr="00936277">
        <w:rPr>
          <w:rFonts w:ascii="Cambria" w:hAnsi="Cambria"/>
          <w:sz w:val="24"/>
          <w:szCs w:val="24"/>
        </w:rPr>
        <w:t xml:space="preserve">ea more. Until the 160s BC, there was little for the </w:t>
      </w:r>
      <w:proofErr w:type="spellStart"/>
      <w:r w:rsidR="000A34F4" w:rsidRPr="00936277">
        <w:rPr>
          <w:rFonts w:ascii="Cambria" w:hAnsi="Cambria"/>
          <w:sz w:val="24"/>
          <w:szCs w:val="24"/>
        </w:rPr>
        <w:t>Seleukids</w:t>
      </w:r>
      <w:proofErr w:type="spellEnd"/>
      <w:r w:rsidR="000A34F4" w:rsidRPr="00936277">
        <w:rPr>
          <w:rFonts w:ascii="Cambria" w:hAnsi="Cambria"/>
          <w:sz w:val="24"/>
          <w:szCs w:val="24"/>
        </w:rPr>
        <w:t xml:space="preserve"> to bother Jerusalem for, save the loaning of mercenaries. Here we find ourselves at the point of increased Seleukid involvement in the region; it has just passed back into their hands from the Ptolemaic Empire, and they have to try to maintain their stability in a world that is increasingly being dominated by Rome. The cruel response of Antiochus is not an attempt to rid the world of a conflicting ideology, rather, there is little to suggest that the majority thought that their ideologies even were in opposition. </w:t>
      </w:r>
      <w:r w:rsidR="004B409D" w:rsidRPr="00936277">
        <w:rPr>
          <w:rFonts w:ascii="Cambria" w:hAnsi="Cambria"/>
          <w:sz w:val="24"/>
          <w:szCs w:val="24"/>
        </w:rPr>
        <w:t xml:space="preserve">As </w:t>
      </w:r>
      <w:proofErr w:type="spellStart"/>
      <w:r w:rsidR="004B409D" w:rsidRPr="00936277">
        <w:rPr>
          <w:rFonts w:ascii="Cambria" w:hAnsi="Cambria"/>
          <w:sz w:val="24"/>
          <w:szCs w:val="24"/>
        </w:rPr>
        <w:t>Scheid</w:t>
      </w:r>
      <w:proofErr w:type="spellEnd"/>
      <w:r w:rsidR="004B409D" w:rsidRPr="00936277">
        <w:rPr>
          <w:rFonts w:ascii="Cambria" w:hAnsi="Cambria"/>
          <w:sz w:val="24"/>
          <w:szCs w:val="24"/>
        </w:rPr>
        <w:t xml:space="preserve"> explores, ‘while the Alexandrian Greeks and Jews exchanged mutual accusations, their aim was to do the other group harm, not to destroy its practices and beliefs’; religion here is taking on the role of a political tool – one that can be used to strengthen or undermine.</w:t>
      </w:r>
      <w:r w:rsidR="004B409D" w:rsidRPr="00936277">
        <w:rPr>
          <w:rStyle w:val="FootnoteReference"/>
          <w:rFonts w:ascii="Cambria" w:hAnsi="Cambria"/>
          <w:sz w:val="24"/>
          <w:szCs w:val="24"/>
        </w:rPr>
        <w:footnoteReference w:id="27"/>
      </w:r>
    </w:p>
    <w:p w:rsidR="00F84038" w:rsidRPr="00936277" w:rsidRDefault="000A34F4" w:rsidP="006C404E">
      <w:pPr>
        <w:spacing w:line="360" w:lineRule="auto"/>
        <w:jc w:val="both"/>
        <w:rPr>
          <w:rFonts w:ascii="Cambria" w:hAnsi="Cambria"/>
          <w:sz w:val="24"/>
          <w:szCs w:val="24"/>
        </w:rPr>
      </w:pPr>
      <w:r w:rsidRPr="00936277">
        <w:rPr>
          <w:rFonts w:ascii="Cambria" w:hAnsi="Cambria"/>
          <w:sz w:val="24"/>
          <w:szCs w:val="24"/>
        </w:rPr>
        <w:t>It</w:t>
      </w:r>
      <w:r w:rsidR="00422734" w:rsidRPr="00936277">
        <w:rPr>
          <w:rFonts w:ascii="Cambria" w:hAnsi="Cambria"/>
          <w:sz w:val="24"/>
          <w:szCs w:val="24"/>
        </w:rPr>
        <w:t xml:space="preserve"> seems to be more of a matter of traditional Jewish factions</w:t>
      </w:r>
      <w:r w:rsidRPr="00936277">
        <w:rPr>
          <w:rFonts w:ascii="Cambria" w:hAnsi="Cambria"/>
          <w:sz w:val="24"/>
          <w:szCs w:val="24"/>
        </w:rPr>
        <w:t xml:space="preserve"> trying to avoid cultural erosion; these precious cultural identifying features were, for some, wrapped up in the practice of Jewish customs and the defence of the J</w:t>
      </w:r>
      <w:r w:rsidR="00422734" w:rsidRPr="00936277">
        <w:rPr>
          <w:rFonts w:ascii="Cambria" w:hAnsi="Cambria"/>
          <w:sz w:val="24"/>
          <w:szCs w:val="24"/>
        </w:rPr>
        <w:t>ewish religious ideologies. Antiochus too to persecuting those who were clinging to traditional Jewish belief not out of desire to wipe out traditional Judaism, but to attempt to more seamlessly integrate Judaea into the Seleukid Empire – the more traditional Jewish groups were the one cause the main conflict, and they had to be punished because of that, not necessarily because of their faith.</w:t>
      </w:r>
      <w:r w:rsidR="00422734" w:rsidRPr="00936277">
        <w:rPr>
          <w:rStyle w:val="FootnoteReference"/>
          <w:rFonts w:ascii="Cambria" w:hAnsi="Cambria"/>
          <w:sz w:val="24"/>
          <w:szCs w:val="24"/>
        </w:rPr>
        <w:footnoteReference w:id="28"/>
      </w:r>
    </w:p>
    <w:p w:rsidR="00576E3A" w:rsidRPr="00936277" w:rsidRDefault="002D68AD" w:rsidP="00581460">
      <w:pPr>
        <w:spacing w:line="360" w:lineRule="auto"/>
        <w:jc w:val="both"/>
        <w:rPr>
          <w:rFonts w:ascii="Cambria" w:hAnsi="Cambria"/>
          <w:sz w:val="24"/>
          <w:szCs w:val="24"/>
        </w:rPr>
      </w:pPr>
      <w:r w:rsidRPr="00936277">
        <w:rPr>
          <w:rFonts w:ascii="Cambria" w:hAnsi="Cambria"/>
          <w:sz w:val="24"/>
          <w:szCs w:val="24"/>
        </w:rPr>
        <w:t xml:space="preserve">The interaction between Judaism and Hellenism in this period has been seen as a force of Greek religion and culture trying to erode Jewish tradition and practices, and that Judaea had to face a choice between standing up to the Hellenistic wave, </w:t>
      </w:r>
      <w:proofErr w:type="gramStart"/>
      <w:r w:rsidRPr="00936277">
        <w:rPr>
          <w:rFonts w:ascii="Cambria" w:hAnsi="Cambria"/>
          <w:sz w:val="24"/>
          <w:szCs w:val="24"/>
        </w:rPr>
        <w:t>or</w:t>
      </w:r>
      <w:proofErr w:type="gramEnd"/>
      <w:r w:rsidRPr="00936277">
        <w:rPr>
          <w:rFonts w:ascii="Cambria" w:hAnsi="Cambria"/>
          <w:sz w:val="24"/>
          <w:szCs w:val="24"/>
        </w:rPr>
        <w:t xml:space="preserve"> disappearing entirely. There has also been something of an argument between ‘reason and religion, between rationality and spirituality’ projected on to the study of the conflict.</w:t>
      </w:r>
      <w:r w:rsidRPr="00936277">
        <w:rPr>
          <w:rStyle w:val="FootnoteReference"/>
          <w:rFonts w:ascii="Cambria" w:hAnsi="Cambria"/>
          <w:sz w:val="24"/>
          <w:szCs w:val="24"/>
        </w:rPr>
        <w:footnoteReference w:id="29"/>
      </w:r>
      <w:r w:rsidRPr="00936277">
        <w:rPr>
          <w:rFonts w:ascii="Cambria" w:hAnsi="Cambria"/>
          <w:sz w:val="24"/>
          <w:szCs w:val="24"/>
        </w:rPr>
        <w:t xml:space="preserve"> The absorption of Judaea into the larger Hellenistic world meant that, whether Jewish traditionalists liked it or not, there would be some Greek traditions and practices permeating their lives. The </w:t>
      </w:r>
      <w:r w:rsidRPr="00936277">
        <w:rPr>
          <w:rFonts w:ascii="Cambria" w:hAnsi="Cambria"/>
          <w:sz w:val="24"/>
          <w:szCs w:val="24"/>
        </w:rPr>
        <w:lastRenderedPageBreak/>
        <w:t xml:space="preserve">conflict, whilst having a religious flavour, is not based solely on ideology – the </w:t>
      </w:r>
      <w:r w:rsidR="001D1E7D" w:rsidRPr="00936277">
        <w:rPr>
          <w:rFonts w:ascii="Cambria" w:hAnsi="Cambria"/>
          <w:sz w:val="24"/>
          <w:szCs w:val="24"/>
        </w:rPr>
        <w:t xml:space="preserve">high priest introduced the first gymnasium, the initiative for turning towards the Hellenistic world came from within Judaea itself. </w:t>
      </w:r>
      <w:proofErr w:type="gramStart"/>
      <w:r w:rsidR="001D1E7D" w:rsidRPr="00936277">
        <w:rPr>
          <w:rFonts w:ascii="Cambria" w:hAnsi="Cambria"/>
          <w:sz w:val="24"/>
          <w:szCs w:val="24"/>
        </w:rPr>
        <w:t>The evidence of the Books of the Maccabees points to the cause of the conflict being internal struggles between the elite bidding for the high priesthood, and the records of Seleukid policy towards the Jewish people prior to and after this point indicate little in the way of the conflict originating in a strong opposition of Hellenistic ideology to Jewish belief.</w:t>
      </w:r>
      <w:proofErr w:type="gramEnd"/>
    </w:p>
    <w:p w:rsidR="00576E3A" w:rsidRPr="00936277" w:rsidRDefault="00576E3A" w:rsidP="00581460">
      <w:pPr>
        <w:spacing w:line="360" w:lineRule="auto"/>
        <w:jc w:val="both"/>
        <w:rPr>
          <w:rFonts w:ascii="Cambria" w:hAnsi="Cambria"/>
          <w:sz w:val="24"/>
          <w:szCs w:val="24"/>
        </w:rPr>
      </w:pPr>
    </w:p>
    <w:p w:rsidR="00576E3A" w:rsidRPr="00936277" w:rsidRDefault="00576E3A" w:rsidP="00581460">
      <w:pPr>
        <w:spacing w:line="360" w:lineRule="auto"/>
        <w:jc w:val="both"/>
        <w:rPr>
          <w:rFonts w:ascii="Cambria" w:hAnsi="Cambria"/>
          <w:sz w:val="24"/>
          <w:szCs w:val="24"/>
        </w:rPr>
      </w:pPr>
    </w:p>
    <w:p w:rsidR="00E56858" w:rsidRPr="00936277" w:rsidRDefault="00E56858"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936277" w:rsidRDefault="00936277" w:rsidP="00581460">
      <w:pPr>
        <w:spacing w:line="360" w:lineRule="auto"/>
        <w:jc w:val="both"/>
        <w:rPr>
          <w:rFonts w:ascii="Cambria" w:hAnsi="Cambria"/>
          <w:sz w:val="24"/>
          <w:szCs w:val="24"/>
          <w:u w:val="single"/>
        </w:rPr>
      </w:pPr>
    </w:p>
    <w:p w:rsidR="00576E3A" w:rsidRPr="00936277" w:rsidRDefault="00576E3A" w:rsidP="00581460">
      <w:pPr>
        <w:spacing w:line="360" w:lineRule="auto"/>
        <w:jc w:val="both"/>
        <w:rPr>
          <w:rFonts w:ascii="Cambria" w:hAnsi="Cambria"/>
          <w:sz w:val="24"/>
          <w:szCs w:val="24"/>
          <w:u w:val="single"/>
        </w:rPr>
      </w:pPr>
      <w:r w:rsidRPr="00936277">
        <w:rPr>
          <w:rFonts w:ascii="Cambria" w:hAnsi="Cambria"/>
          <w:sz w:val="24"/>
          <w:szCs w:val="24"/>
          <w:u w:val="single"/>
        </w:rPr>
        <w:lastRenderedPageBreak/>
        <w:t>Reference List</w:t>
      </w:r>
    </w:p>
    <w:p w:rsidR="00576E3A" w:rsidRPr="00936277" w:rsidRDefault="00576E3A" w:rsidP="00581460">
      <w:pPr>
        <w:spacing w:line="360" w:lineRule="auto"/>
        <w:jc w:val="both"/>
        <w:rPr>
          <w:rFonts w:ascii="Cambria" w:hAnsi="Cambria"/>
          <w:sz w:val="24"/>
          <w:szCs w:val="24"/>
        </w:rPr>
      </w:pPr>
      <w:r w:rsidRPr="00936277">
        <w:rPr>
          <w:rFonts w:ascii="Cambria" w:hAnsi="Cambria"/>
          <w:sz w:val="24"/>
          <w:szCs w:val="24"/>
        </w:rPr>
        <w:t xml:space="preserve">Austin, M. </w:t>
      </w:r>
      <w:r w:rsidRPr="00936277">
        <w:rPr>
          <w:rFonts w:ascii="Cambria" w:hAnsi="Cambria"/>
          <w:i/>
          <w:sz w:val="24"/>
          <w:szCs w:val="24"/>
        </w:rPr>
        <w:t>The Hellenistic World from Alexander to the Roman Conquest: A Selection of Ancient Sources in Translation.</w:t>
      </w:r>
      <w:r w:rsidRPr="00936277">
        <w:rPr>
          <w:rFonts w:ascii="Cambria" w:hAnsi="Cambria"/>
          <w:sz w:val="24"/>
          <w:szCs w:val="24"/>
        </w:rPr>
        <w:t xml:space="preserve"> [2</w:t>
      </w:r>
      <w:r w:rsidRPr="00936277">
        <w:rPr>
          <w:rFonts w:ascii="Cambria" w:hAnsi="Cambria"/>
          <w:sz w:val="24"/>
          <w:szCs w:val="24"/>
          <w:vertAlign w:val="superscript"/>
        </w:rPr>
        <w:t>nd</w:t>
      </w:r>
      <w:r w:rsidRPr="00936277">
        <w:rPr>
          <w:rFonts w:ascii="Cambria" w:hAnsi="Cambria"/>
          <w:sz w:val="24"/>
          <w:szCs w:val="24"/>
        </w:rPr>
        <w:t xml:space="preserve"> edition] Cambridge</w:t>
      </w:r>
      <w:r w:rsidR="00BD2B68" w:rsidRPr="00936277">
        <w:rPr>
          <w:rFonts w:ascii="Cambria" w:hAnsi="Cambria"/>
          <w:sz w:val="24"/>
          <w:szCs w:val="24"/>
        </w:rPr>
        <w:t>: Cambridge</w:t>
      </w:r>
      <w:r w:rsidRPr="00936277">
        <w:rPr>
          <w:rFonts w:ascii="Cambria" w:hAnsi="Cambria"/>
          <w:sz w:val="24"/>
          <w:szCs w:val="24"/>
        </w:rPr>
        <w:t xml:space="preserve"> University Press</w:t>
      </w:r>
      <w:r w:rsidR="00BD2B68" w:rsidRPr="00936277">
        <w:rPr>
          <w:rFonts w:ascii="Cambria" w:hAnsi="Cambria"/>
          <w:sz w:val="24"/>
          <w:szCs w:val="24"/>
        </w:rPr>
        <w:t xml:space="preserve">. </w:t>
      </w:r>
      <w:r w:rsidRPr="00936277">
        <w:rPr>
          <w:rFonts w:ascii="Cambria" w:hAnsi="Cambria"/>
          <w:sz w:val="24"/>
          <w:szCs w:val="24"/>
        </w:rPr>
        <w:t>2006.</w:t>
      </w:r>
    </w:p>
    <w:p w:rsidR="00E56858" w:rsidRPr="00936277" w:rsidRDefault="00DE1900" w:rsidP="00DE1900">
      <w:pPr>
        <w:tabs>
          <w:tab w:val="left" w:pos="2175"/>
        </w:tabs>
        <w:spacing w:line="360" w:lineRule="auto"/>
        <w:jc w:val="both"/>
        <w:rPr>
          <w:rFonts w:ascii="Cambria" w:eastAsia="Calibri" w:hAnsi="Cambria" w:cs="Times New Roman"/>
          <w:sz w:val="24"/>
          <w:szCs w:val="24"/>
        </w:rPr>
      </w:pPr>
      <w:r w:rsidRPr="00936277">
        <w:rPr>
          <w:rFonts w:ascii="Cambria" w:eastAsia="Calibri" w:hAnsi="Cambria" w:cs="Times New Roman"/>
          <w:sz w:val="24"/>
          <w:szCs w:val="24"/>
        </w:rPr>
        <w:t xml:space="preserve">The Bible, </w:t>
      </w:r>
      <w:r w:rsidR="00F010E1" w:rsidRPr="00936277">
        <w:rPr>
          <w:rFonts w:ascii="Cambria" w:eastAsia="Calibri" w:hAnsi="Cambria" w:cs="Times New Roman"/>
          <w:i/>
          <w:sz w:val="24"/>
          <w:szCs w:val="24"/>
        </w:rPr>
        <w:t>Good News Bible</w:t>
      </w:r>
      <w:r w:rsidR="00F010E1" w:rsidRPr="00936277">
        <w:rPr>
          <w:rFonts w:ascii="Cambria" w:eastAsia="Calibri" w:hAnsi="Cambria" w:cs="Times New Roman"/>
          <w:sz w:val="24"/>
          <w:szCs w:val="24"/>
        </w:rPr>
        <w:t xml:space="preserve">. </w:t>
      </w:r>
      <w:proofErr w:type="gramStart"/>
      <w:r w:rsidR="00F010E1" w:rsidRPr="00936277">
        <w:rPr>
          <w:rFonts w:ascii="Cambria" w:eastAsia="Calibri" w:hAnsi="Cambria" w:cs="Times New Roman"/>
          <w:sz w:val="24"/>
          <w:szCs w:val="24"/>
        </w:rPr>
        <w:t>American Bible Society.</w:t>
      </w:r>
      <w:proofErr w:type="gramEnd"/>
      <w:r w:rsidR="00F010E1" w:rsidRPr="00936277">
        <w:rPr>
          <w:rFonts w:ascii="Cambria" w:eastAsia="Calibri" w:hAnsi="Cambria" w:cs="Times New Roman"/>
          <w:sz w:val="24"/>
          <w:szCs w:val="24"/>
        </w:rPr>
        <w:t xml:space="preserve"> New York: HarperCollins. 1976.</w:t>
      </w:r>
    </w:p>
    <w:p w:rsidR="00156545" w:rsidRPr="00936277" w:rsidRDefault="00156545" w:rsidP="00581460">
      <w:pPr>
        <w:spacing w:line="360" w:lineRule="auto"/>
        <w:jc w:val="both"/>
        <w:rPr>
          <w:rFonts w:ascii="Cambria" w:hAnsi="Cambria"/>
          <w:sz w:val="24"/>
          <w:szCs w:val="24"/>
        </w:rPr>
      </w:pPr>
      <w:r w:rsidRPr="00936277">
        <w:rPr>
          <w:rFonts w:ascii="Cambria" w:hAnsi="Cambria"/>
          <w:sz w:val="24"/>
          <w:szCs w:val="24"/>
        </w:rPr>
        <w:t>Campbell, T. ‘</w:t>
      </w:r>
      <w:proofErr w:type="gramStart"/>
      <w:r w:rsidRPr="00936277">
        <w:rPr>
          <w:rFonts w:ascii="Cambria" w:hAnsi="Cambria"/>
          <w:sz w:val="24"/>
          <w:szCs w:val="24"/>
        </w:rPr>
        <w:t>An</w:t>
      </w:r>
      <w:proofErr w:type="gramEnd"/>
      <w:r w:rsidRPr="00936277">
        <w:rPr>
          <w:rFonts w:ascii="Cambria" w:hAnsi="Cambria"/>
          <w:sz w:val="24"/>
          <w:szCs w:val="24"/>
        </w:rPr>
        <w:t xml:space="preserve"> Empire on the Brink of Destruction: The Stability of the Seleucid Empire Under Antiochus IV (175 BC – 164 BC)’. </w:t>
      </w:r>
      <w:proofErr w:type="gramStart"/>
      <w:r w:rsidRPr="00936277">
        <w:rPr>
          <w:rFonts w:ascii="Cambria" w:hAnsi="Cambria"/>
          <w:sz w:val="24"/>
          <w:szCs w:val="24"/>
        </w:rPr>
        <w:t>Honours thesis for the University of Central Florida.</w:t>
      </w:r>
      <w:proofErr w:type="gramEnd"/>
      <w:r w:rsidRPr="00936277">
        <w:rPr>
          <w:rFonts w:ascii="Cambria" w:hAnsi="Cambria"/>
          <w:sz w:val="24"/>
          <w:szCs w:val="24"/>
        </w:rPr>
        <w:t xml:space="preserve"> </w:t>
      </w:r>
      <w:r w:rsidR="00D26DF8" w:rsidRPr="00936277">
        <w:rPr>
          <w:rFonts w:ascii="Cambria" w:hAnsi="Cambria"/>
          <w:i/>
          <w:sz w:val="24"/>
          <w:szCs w:val="24"/>
        </w:rPr>
        <w:t xml:space="preserve">HIM 1990-2015: 1660. </w:t>
      </w:r>
      <w:r w:rsidRPr="00936277">
        <w:rPr>
          <w:rFonts w:ascii="Cambria" w:hAnsi="Cambria"/>
          <w:sz w:val="24"/>
          <w:szCs w:val="24"/>
        </w:rPr>
        <w:t>2014</w:t>
      </w:r>
      <w:r w:rsidR="00BD2B68" w:rsidRPr="00936277">
        <w:rPr>
          <w:rFonts w:ascii="Cambria" w:hAnsi="Cambria"/>
          <w:sz w:val="24"/>
          <w:szCs w:val="24"/>
        </w:rPr>
        <w:t>.</w:t>
      </w:r>
    </w:p>
    <w:p w:rsidR="00634177" w:rsidRPr="00936277" w:rsidRDefault="00634177" w:rsidP="00581460">
      <w:pPr>
        <w:spacing w:line="360" w:lineRule="auto"/>
        <w:jc w:val="both"/>
        <w:rPr>
          <w:rFonts w:ascii="Cambria" w:hAnsi="Cambria"/>
          <w:sz w:val="24"/>
          <w:szCs w:val="24"/>
        </w:rPr>
      </w:pPr>
      <w:r w:rsidRPr="00936277">
        <w:rPr>
          <w:rFonts w:ascii="Cambria" w:hAnsi="Cambria"/>
          <w:sz w:val="24"/>
          <w:szCs w:val="24"/>
        </w:rPr>
        <w:t xml:space="preserve">Collins, J. J. ‘Israel’. In Johnston, S. I. (ed.) </w:t>
      </w:r>
      <w:r w:rsidRPr="00936277">
        <w:rPr>
          <w:rFonts w:ascii="Cambria" w:hAnsi="Cambria"/>
          <w:i/>
          <w:sz w:val="24"/>
          <w:szCs w:val="24"/>
        </w:rPr>
        <w:t>Ancient Religions</w:t>
      </w:r>
      <w:r w:rsidRPr="00936277">
        <w:rPr>
          <w:rFonts w:ascii="Cambria" w:hAnsi="Cambria"/>
          <w:sz w:val="24"/>
          <w:szCs w:val="24"/>
        </w:rPr>
        <w:t xml:space="preserve">. The </w:t>
      </w:r>
      <w:proofErr w:type="spellStart"/>
      <w:r w:rsidRPr="00936277">
        <w:rPr>
          <w:rFonts w:ascii="Cambria" w:hAnsi="Cambria"/>
          <w:sz w:val="24"/>
          <w:szCs w:val="24"/>
        </w:rPr>
        <w:t>Belknap</w:t>
      </w:r>
      <w:proofErr w:type="spellEnd"/>
      <w:r w:rsidRPr="00936277">
        <w:rPr>
          <w:rFonts w:ascii="Cambria" w:hAnsi="Cambria"/>
          <w:sz w:val="24"/>
          <w:szCs w:val="24"/>
        </w:rPr>
        <w:t xml:space="preserve"> Press of Harvard University Press: Cambridge, MA and London. 2007. 181-188.</w:t>
      </w:r>
    </w:p>
    <w:p w:rsidR="0006659D" w:rsidRPr="00936277" w:rsidRDefault="0006659D" w:rsidP="00581460">
      <w:pPr>
        <w:spacing w:line="360" w:lineRule="auto"/>
        <w:jc w:val="both"/>
        <w:rPr>
          <w:rFonts w:ascii="Cambria" w:hAnsi="Cambria"/>
          <w:sz w:val="24"/>
          <w:szCs w:val="24"/>
        </w:rPr>
      </w:pPr>
      <w:proofErr w:type="spellStart"/>
      <w:proofErr w:type="gramStart"/>
      <w:r w:rsidRPr="00936277">
        <w:rPr>
          <w:rFonts w:ascii="Cambria" w:hAnsi="Cambria"/>
          <w:sz w:val="24"/>
          <w:szCs w:val="24"/>
        </w:rPr>
        <w:t>Diodorus</w:t>
      </w:r>
      <w:proofErr w:type="spellEnd"/>
      <w:r w:rsidRPr="00936277">
        <w:rPr>
          <w:rFonts w:ascii="Cambria" w:hAnsi="Cambria"/>
          <w:sz w:val="24"/>
          <w:szCs w:val="24"/>
        </w:rPr>
        <w:t>.</w:t>
      </w:r>
      <w:proofErr w:type="gramEnd"/>
      <w:r w:rsidR="00BD2B68" w:rsidRPr="00936277">
        <w:rPr>
          <w:rFonts w:ascii="Cambria" w:hAnsi="Cambria"/>
          <w:i/>
          <w:sz w:val="24"/>
          <w:szCs w:val="24"/>
        </w:rPr>
        <w:t xml:space="preserve"> </w:t>
      </w:r>
      <w:proofErr w:type="gramStart"/>
      <w:r w:rsidR="00BD2B68" w:rsidRPr="00936277">
        <w:rPr>
          <w:rFonts w:ascii="Cambria" w:hAnsi="Cambria"/>
          <w:i/>
          <w:sz w:val="24"/>
          <w:szCs w:val="24"/>
        </w:rPr>
        <w:t>Library of History</w:t>
      </w:r>
      <w:r w:rsidRPr="00936277">
        <w:rPr>
          <w:rFonts w:ascii="Cambria" w:hAnsi="Cambria"/>
          <w:i/>
          <w:sz w:val="24"/>
          <w:szCs w:val="24"/>
        </w:rPr>
        <w:t>.</w:t>
      </w:r>
      <w:proofErr w:type="gramEnd"/>
      <w:r w:rsidRPr="00936277">
        <w:rPr>
          <w:rFonts w:ascii="Cambria" w:hAnsi="Cambria"/>
          <w:sz w:val="24"/>
          <w:szCs w:val="24"/>
        </w:rPr>
        <w:t xml:space="preserve"> </w:t>
      </w:r>
      <w:r w:rsidR="00BD2B68" w:rsidRPr="00936277">
        <w:rPr>
          <w:rFonts w:ascii="Cambria" w:hAnsi="Cambria"/>
          <w:sz w:val="24"/>
          <w:szCs w:val="24"/>
        </w:rPr>
        <w:t>Walton, F. R. (trans.) Cambridge, MA: Harvard University Press. 1967.</w:t>
      </w:r>
    </w:p>
    <w:p w:rsidR="00953118" w:rsidRPr="00936277" w:rsidRDefault="00953118" w:rsidP="00581460">
      <w:pPr>
        <w:spacing w:line="360" w:lineRule="auto"/>
        <w:jc w:val="both"/>
        <w:rPr>
          <w:rFonts w:ascii="Cambria" w:hAnsi="Cambria"/>
          <w:sz w:val="24"/>
          <w:szCs w:val="24"/>
        </w:rPr>
      </w:pPr>
      <w:r w:rsidRPr="00936277">
        <w:rPr>
          <w:rFonts w:ascii="Cambria" w:hAnsi="Cambria"/>
          <w:sz w:val="24"/>
          <w:szCs w:val="24"/>
        </w:rPr>
        <w:t xml:space="preserve">Errington, R. M. </w:t>
      </w:r>
      <w:proofErr w:type="gramStart"/>
      <w:r w:rsidRPr="00936277">
        <w:rPr>
          <w:rFonts w:ascii="Cambria" w:hAnsi="Cambria"/>
          <w:i/>
          <w:sz w:val="24"/>
          <w:szCs w:val="24"/>
        </w:rPr>
        <w:t>A History of the Hellenistic World 323-30BC.</w:t>
      </w:r>
      <w:proofErr w:type="gramEnd"/>
      <w:r w:rsidRPr="00936277">
        <w:rPr>
          <w:rFonts w:ascii="Cambria" w:hAnsi="Cambria"/>
          <w:i/>
          <w:sz w:val="24"/>
          <w:szCs w:val="24"/>
        </w:rPr>
        <w:t xml:space="preserve"> </w:t>
      </w:r>
      <w:r w:rsidRPr="00936277">
        <w:rPr>
          <w:rFonts w:ascii="Cambria" w:hAnsi="Cambria"/>
          <w:sz w:val="24"/>
          <w:szCs w:val="24"/>
        </w:rPr>
        <w:t>Oxford: Blackwell. 2008.</w:t>
      </w:r>
    </w:p>
    <w:p w:rsidR="0047550E" w:rsidRPr="00936277" w:rsidRDefault="0047550E" w:rsidP="00581460">
      <w:pPr>
        <w:spacing w:line="360" w:lineRule="auto"/>
        <w:jc w:val="both"/>
        <w:rPr>
          <w:rFonts w:ascii="Cambria" w:hAnsi="Cambria"/>
          <w:sz w:val="24"/>
          <w:szCs w:val="24"/>
        </w:rPr>
      </w:pPr>
      <w:r w:rsidRPr="00936277">
        <w:rPr>
          <w:rFonts w:ascii="Cambria" w:hAnsi="Cambria"/>
          <w:sz w:val="24"/>
          <w:szCs w:val="24"/>
        </w:rPr>
        <w:t xml:space="preserve">Flavius Josephus. </w:t>
      </w:r>
      <w:proofErr w:type="gramStart"/>
      <w:r w:rsidRPr="00936277">
        <w:rPr>
          <w:rFonts w:ascii="Cambria" w:hAnsi="Cambria"/>
          <w:i/>
          <w:sz w:val="24"/>
          <w:szCs w:val="24"/>
        </w:rPr>
        <w:t>The Works of Flavius Josephus.</w:t>
      </w:r>
      <w:proofErr w:type="gramEnd"/>
      <w:r w:rsidRPr="00936277">
        <w:rPr>
          <w:rFonts w:ascii="Cambria" w:hAnsi="Cambria"/>
          <w:i/>
          <w:sz w:val="24"/>
          <w:szCs w:val="24"/>
        </w:rPr>
        <w:t xml:space="preserve"> </w:t>
      </w:r>
      <w:proofErr w:type="spellStart"/>
      <w:r w:rsidRPr="00936277">
        <w:rPr>
          <w:rFonts w:ascii="Cambria" w:hAnsi="Cambria"/>
          <w:sz w:val="24"/>
          <w:szCs w:val="24"/>
        </w:rPr>
        <w:t>Whiston</w:t>
      </w:r>
      <w:proofErr w:type="spellEnd"/>
      <w:r w:rsidRPr="00936277">
        <w:rPr>
          <w:rFonts w:ascii="Cambria" w:hAnsi="Cambria"/>
          <w:sz w:val="24"/>
          <w:szCs w:val="24"/>
        </w:rPr>
        <w:t>, W. (trans.) Auburn and Buffalo, NY: John E Beardsley. 1895.</w:t>
      </w:r>
    </w:p>
    <w:p w:rsidR="002D68AD" w:rsidRPr="00936277" w:rsidRDefault="002D68AD" w:rsidP="00581460">
      <w:pPr>
        <w:spacing w:line="360" w:lineRule="auto"/>
        <w:jc w:val="both"/>
        <w:rPr>
          <w:rFonts w:ascii="Cambria" w:hAnsi="Cambria"/>
          <w:sz w:val="24"/>
          <w:szCs w:val="24"/>
        </w:rPr>
      </w:pPr>
      <w:proofErr w:type="spellStart"/>
      <w:r w:rsidRPr="00936277">
        <w:rPr>
          <w:rFonts w:ascii="Cambria" w:hAnsi="Cambria"/>
          <w:sz w:val="24"/>
          <w:szCs w:val="24"/>
        </w:rPr>
        <w:t>Gruen</w:t>
      </w:r>
      <w:proofErr w:type="spellEnd"/>
      <w:r w:rsidRPr="00936277">
        <w:rPr>
          <w:rFonts w:ascii="Cambria" w:hAnsi="Cambria"/>
          <w:sz w:val="24"/>
          <w:szCs w:val="24"/>
        </w:rPr>
        <w:t xml:space="preserve">, E. S. ‘Jews and Greeks’ Chapter 16 in Erskine, </w:t>
      </w:r>
      <w:proofErr w:type="gramStart"/>
      <w:r w:rsidRPr="00936277">
        <w:rPr>
          <w:rFonts w:ascii="Cambria" w:hAnsi="Cambria"/>
          <w:sz w:val="24"/>
          <w:szCs w:val="24"/>
        </w:rPr>
        <w:t>A</w:t>
      </w:r>
      <w:proofErr w:type="gramEnd"/>
      <w:r w:rsidRPr="00936277">
        <w:rPr>
          <w:rFonts w:ascii="Cambria" w:hAnsi="Cambria"/>
          <w:sz w:val="24"/>
          <w:szCs w:val="24"/>
        </w:rPr>
        <w:t xml:space="preserve"> (ed.) </w:t>
      </w:r>
      <w:r w:rsidRPr="00936277">
        <w:rPr>
          <w:rFonts w:ascii="Cambria" w:hAnsi="Cambria"/>
          <w:i/>
          <w:sz w:val="24"/>
          <w:szCs w:val="24"/>
        </w:rPr>
        <w:t>A Companion to the Hellenistic World.</w:t>
      </w:r>
      <w:r w:rsidRPr="00936277">
        <w:rPr>
          <w:rFonts w:ascii="Cambria" w:hAnsi="Cambria"/>
          <w:sz w:val="24"/>
          <w:szCs w:val="24"/>
        </w:rPr>
        <w:t xml:space="preserve"> Malden, MA: Blackwell. 2003 264-279.</w:t>
      </w:r>
    </w:p>
    <w:p w:rsidR="006C7451" w:rsidRPr="00936277" w:rsidRDefault="006C7451" w:rsidP="00581460">
      <w:pPr>
        <w:spacing w:line="360" w:lineRule="auto"/>
        <w:jc w:val="both"/>
        <w:rPr>
          <w:rFonts w:ascii="Cambria" w:hAnsi="Cambria"/>
          <w:sz w:val="24"/>
          <w:szCs w:val="24"/>
        </w:rPr>
      </w:pPr>
      <w:r w:rsidRPr="00936277">
        <w:rPr>
          <w:rFonts w:ascii="Cambria" w:hAnsi="Cambria"/>
          <w:sz w:val="24"/>
          <w:szCs w:val="24"/>
        </w:rPr>
        <w:t xml:space="preserve">Mathews. S. ‘Antiochos Epiphanes and the Jewish State’. </w:t>
      </w:r>
      <w:proofErr w:type="gramStart"/>
      <w:r w:rsidRPr="00936277">
        <w:rPr>
          <w:rFonts w:ascii="Cambria" w:hAnsi="Cambria"/>
          <w:i/>
          <w:sz w:val="24"/>
          <w:szCs w:val="24"/>
        </w:rPr>
        <w:t>The Biblical World.</w:t>
      </w:r>
      <w:proofErr w:type="gramEnd"/>
      <w:r w:rsidRPr="00936277">
        <w:rPr>
          <w:rFonts w:ascii="Cambria" w:hAnsi="Cambria"/>
          <w:sz w:val="24"/>
          <w:szCs w:val="24"/>
        </w:rPr>
        <w:t xml:space="preserve"> Volume 14, Number 2. 1899. 13-26.</w:t>
      </w:r>
    </w:p>
    <w:p w:rsidR="00576E3A" w:rsidRPr="00936277" w:rsidRDefault="00422734" w:rsidP="00581460">
      <w:pPr>
        <w:spacing w:line="360" w:lineRule="auto"/>
        <w:jc w:val="both"/>
        <w:rPr>
          <w:rFonts w:ascii="Cambria" w:hAnsi="Cambria"/>
          <w:sz w:val="24"/>
          <w:szCs w:val="24"/>
        </w:rPr>
      </w:pPr>
      <w:r w:rsidRPr="00936277">
        <w:rPr>
          <w:rFonts w:ascii="Cambria" w:hAnsi="Cambria"/>
          <w:sz w:val="24"/>
          <w:szCs w:val="24"/>
        </w:rPr>
        <w:t xml:space="preserve">Mendenhall, G. E. </w:t>
      </w:r>
      <w:r w:rsidRPr="00936277">
        <w:rPr>
          <w:rFonts w:ascii="Cambria" w:hAnsi="Cambria"/>
          <w:i/>
          <w:sz w:val="24"/>
          <w:szCs w:val="24"/>
        </w:rPr>
        <w:t xml:space="preserve">Ancient Israel’s </w:t>
      </w:r>
      <w:proofErr w:type="gramStart"/>
      <w:r w:rsidRPr="00936277">
        <w:rPr>
          <w:rFonts w:ascii="Cambria" w:hAnsi="Cambria"/>
          <w:i/>
          <w:sz w:val="24"/>
          <w:szCs w:val="24"/>
        </w:rPr>
        <w:t>Faith</w:t>
      </w:r>
      <w:proofErr w:type="gramEnd"/>
      <w:r w:rsidRPr="00936277">
        <w:rPr>
          <w:rFonts w:ascii="Cambria" w:hAnsi="Cambria"/>
          <w:i/>
          <w:sz w:val="24"/>
          <w:szCs w:val="24"/>
        </w:rPr>
        <w:t xml:space="preserve"> and History: An Introduction to the Bible in Context.</w:t>
      </w:r>
      <w:r w:rsidRPr="00936277">
        <w:rPr>
          <w:rFonts w:ascii="Cambria" w:hAnsi="Cambria"/>
          <w:sz w:val="24"/>
          <w:szCs w:val="24"/>
        </w:rPr>
        <w:t xml:space="preserve"> </w:t>
      </w:r>
      <w:r w:rsidR="00BD2B68" w:rsidRPr="00936277">
        <w:rPr>
          <w:rFonts w:ascii="Cambria" w:hAnsi="Cambria"/>
          <w:sz w:val="24"/>
          <w:szCs w:val="24"/>
        </w:rPr>
        <w:t xml:space="preserve">Louisville: </w:t>
      </w:r>
      <w:r w:rsidRPr="00936277">
        <w:rPr>
          <w:rFonts w:ascii="Cambria" w:hAnsi="Cambria"/>
          <w:sz w:val="24"/>
          <w:szCs w:val="24"/>
        </w:rPr>
        <w:t>Westminster John Knox Press. 2001.</w:t>
      </w:r>
    </w:p>
    <w:p w:rsidR="00422734" w:rsidRPr="00936277" w:rsidRDefault="00422734" w:rsidP="00581460">
      <w:pPr>
        <w:spacing w:line="360" w:lineRule="auto"/>
        <w:jc w:val="both"/>
        <w:rPr>
          <w:rFonts w:ascii="Cambria" w:hAnsi="Cambria"/>
          <w:sz w:val="24"/>
          <w:szCs w:val="24"/>
        </w:rPr>
      </w:pPr>
      <w:r w:rsidRPr="00936277">
        <w:rPr>
          <w:rFonts w:ascii="Cambria" w:hAnsi="Cambria"/>
          <w:sz w:val="24"/>
          <w:szCs w:val="24"/>
        </w:rPr>
        <w:t>Potter, D. ‘Hellenistic Religion’</w:t>
      </w:r>
      <w:r w:rsidR="00634177" w:rsidRPr="00936277">
        <w:rPr>
          <w:rFonts w:ascii="Cambria" w:hAnsi="Cambria"/>
          <w:sz w:val="24"/>
          <w:szCs w:val="24"/>
        </w:rPr>
        <w:t>.</w:t>
      </w:r>
      <w:r w:rsidRPr="00936277">
        <w:rPr>
          <w:rFonts w:ascii="Cambria" w:hAnsi="Cambria"/>
          <w:sz w:val="24"/>
          <w:szCs w:val="24"/>
        </w:rPr>
        <w:t xml:space="preserve"> </w:t>
      </w:r>
      <w:r w:rsidR="00634177" w:rsidRPr="00936277">
        <w:rPr>
          <w:rFonts w:ascii="Cambria" w:hAnsi="Cambria"/>
          <w:sz w:val="24"/>
          <w:szCs w:val="24"/>
        </w:rPr>
        <w:t xml:space="preserve">In </w:t>
      </w:r>
      <w:r w:rsidRPr="00936277">
        <w:rPr>
          <w:rFonts w:ascii="Cambria" w:hAnsi="Cambria"/>
          <w:sz w:val="24"/>
          <w:szCs w:val="24"/>
        </w:rPr>
        <w:t xml:space="preserve">Erskine, A. (ed.) </w:t>
      </w:r>
      <w:proofErr w:type="gramStart"/>
      <w:r w:rsidRPr="00936277">
        <w:rPr>
          <w:rFonts w:ascii="Cambria" w:hAnsi="Cambria"/>
          <w:i/>
          <w:sz w:val="24"/>
          <w:szCs w:val="24"/>
        </w:rPr>
        <w:t>A</w:t>
      </w:r>
      <w:proofErr w:type="gramEnd"/>
      <w:r w:rsidRPr="00936277">
        <w:rPr>
          <w:rFonts w:ascii="Cambria" w:hAnsi="Cambria"/>
          <w:i/>
          <w:sz w:val="24"/>
          <w:szCs w:val="24"/>
        </w:rPr>
        <w:t xml:space="preserve"> Companion to the Hellenistic World.</w:t>
      </w:r>
      <w:r w:rsidRPr="00936277">
        <w:rPr>
          <w:rFonts w:ascii="Cambria" w:hAnsi="Cambria"/>
          <w:sz w:val="24"/>
          <w:szCs w:val="24"/>
        </w:rPr>
        <w:t xml:space="preserve"> </w:t>
      </w:r>
      <w:r w:rsidR="00BD2B68" w:rsidRPr="00936277">
        <w:rPr>
          <w:rFonts w:ascii="Cambria" w:hAnsi="Cambria"/>
          <w:sz w:val="24"/>
          <w:szCs w:val="24"/>
        </w:rPr>
        <w:t>Malden, MA: Blackwell</w:t>
      </w:r>
      <w:r w:rsidRPr="00936277">
        <w:rPr>
          <w:rFonts w:ascii="Cambria" w:hAnsi="Cambria"/>
          <w:sz w:val="24"/>
          <w:szCs w:val="24"/>
        </w:rPr>
        <w:t>. 2003.</w:t>
      </w:r>
      <w:r w:rsidR="00634177" w:rsidRPr="00936277">
        <w:rPr>
          <w:rFonts w:ascii="Cambria" w:hAnsi="Cambria"/>
          <w:sz w:val="24"/>
          <w:szCs w:val="24"/>
        </w:rPr>
        <w:t xml:space="preserve"> 407-430.</w:t>
      </w:r>
    </w:p>
    <w:p w:rsidR="00634177" w:rsidRPr="00936277" w:rsidRDefault="00634177" w:rsidP="00581460">
      <w:pPr>
        <w:spacing w:line="360" w:lineRule="auto"/>
        <w:jc w:val="both"/>
        <w:rPr>
          <w:rFonts w:ascii="Cambria" w:hAnsi="Cambria"/>
          <w:sz w:val="24"/>
          <w:szCs w:val="24"/>
        </w:rPr>
      </w:pPr>
      <w:proofErr w:type="spellStart"/>
      <w:r w:rsidRPr="00936277">
        <w:rPr>
          <w:rFonts w:ascii="Cambria" w:hAnsi="Cambria"/>
          <w:sz w:val="24"/>
          <w:szCs w:val="24"/>
        </w:rPr>
        <w:t>Scheid</w:t>
      </w:r>
      <w:proofErr w:type="spellEnd"/>
      <w:r w:rsidRPr="00936277">
        <w:rPr>
          <w:rFonts w:ascii="Cambria" w:hAnsi="Cambria"/>
          <w:sz w:val="24"/>
          <w:szCs w:val="24"/>
        </w:rPr>
        <w:t xml:space="preserve">, J. ‘Religions in Contact’. In Johnston, S. I. </w:t>
      </w:r>
      <w:r w:rsidRPr="00936277">
        <w:rPr>
          <w:rFonts w:ascii="Cambria" w:hAnsi="Cambria"/>
          <w:i/>
          <w:sz w:val="24"/>
          <w:szCs w:val="24"/>
        </w:rPr>
        <w:t>Ancient Religions</w:t>
      </w:r>
      <w:r w:rsidRPr="00936277">
        <w:rPr>
          <w:rFonts w:ascii="Cambria" w:hAnsi="Cambria"/>
          <w:sz w:val="24"/>
          <w:szCs w:val="24"/>
        </w:rPr>
        <w:t xml:space="preserve">. </w:t>
      </w:r>
      <w:r w:rsidR="00BD2B68" w:rsidRPr="00936277">
        <w:rPr>
          <w:rFonts w:ascii="Cambria" w:hAnsi="Cambria"/>
          <w:sz w:val="24"/>
          <w:szCs w:val="24"/>
        </w:rPr>
        <w:t xml:space="preserve">Cambridge, MA and London: </w:t>
      </w:r>
      <w:r w:rsidRPr="00936277">
        <w:rPr>
          <w:rFonts w:ascii="Cambria" w:hAnsi="Cambria"/>
          <w:sz w:val="24"/>
          <w:szCs w:val="24"/>
        </w:rPr>
        <w:t xml:space="preserve">The </w:t>
      </w:r>
      <w:proofErr w:type="spellStart"/>
      <w:r w:rsidRPr="00936277">
        <w:rPr>
          <w:rFonts w:ascii="Cambria" w:hAnsi="Cambria"/>
          <w:sz w:val="24"/>
          <w:szCs w:val="24"/>
        </w:rPr>
        <w:t>Belknap</w:t>
      </w:r>
      <w:proofErr w:type="spellEnd"/>
      <w:r w:rsidRPr="00936277">
        <w:rPr>
          <w:rFonts w:ascii="Cambria" w:hAnsi="Cambria"/>
          <w:sz w:val="24"/>
          <w:szCs w:val="24"/>
        </w:rPr>
        <w:t xml:space="preserve"> Pr</w:t>
      </w:r>
      <w:r w:rsidR="00BD2B68" w:rsidRPr="00936277">
        <w:rPr>
          <w:rFonts w:ascii="Cambria" w:hAnsi="Cambria"/>
          <w:sz w:val="24"/>
          <w:szCs w:val="24"/>
        </w:rPr>
        <w:t>ess of Harvard University Press</w:t>
      </w:r>
      <w:r w:rsidRPr="00936277">
        <w:rPr>
          <w:rFonts w:ascii="Cambria" w:hAnsi="Cambria"/>
          <w:sz w:val="24"/>
          <w:szCs w:val="24"/>
        </w:rPr>
        <w:t>. 2007. 112-126.</w:t>
      </w:r>
    </w:p>
    <w:p w:rsidR="00634177" w:rsidRPr="00936277" w:rsidRDefault="00634177" w:rsidP="00581460">
      <w:pPr>
        <w:spacing w:line="360" w:lineRule="auto"/>
        <w:jc w:val="both"/>
        <w:rPr>
          <w:rFonts w:ascii="Cambria" w:hAnsi="Cambria"/>
          <w:sz w:val="24"/>
          <w:szCs w:val="24"/>
        </w:rPr>
      </w:pPr>
      <w:r w:rsidRPr="00936277">
        <w:rPr>
          <w:rFonts w:ascii="Cambria" w:hAnsi="Cambria"/>
          <w:sz w:val="24"/>
          <w:szCs w:val="24"/>
        </w:rPr>
        <w:t xml:space="preserve">Shipley, G. </w:t>
      </w:r>
      <w:r w:rsidRPr="00936277">
        <w:rPr>
          <w:rFonts w:ascii="Cambria" w:hAnsi="Cambria"/>
          <w:i/>
          <w:sz w:val="24"/>
          <w:szCs w:val="24"/>
        </w:rPr>
        <w:t xml:space="preserve">The Greek World </w:t>
      </w:r>
      <w:proofErr w:type="gramStart"/>
      <w:r w:rsidRPr="00936277">
        <w:rPr>
          <w:rFonts w:ascii="Cambria" w:hAnsi="Cambria"/>
          <w:i/>
          <w:sz w:val="24"/>
          <w:szCs w:val="24"/>
        </w:rPr>
        <w:t>After</w:t>
      </w:r>
      <w:proofErr w:type="gramEnd"/>
      <w:r w:rsidRPr="00936277">
        <w:rPr>
          <w:rFonts w:ascii="Cambria" w:hAnsi="Cambria"/>
          <w:i/>
          <w:sz w:val="24"/>
          <w:szCs w:val="24"/>
        </w:rPr>
        <w:t xml:space="preserve"> Alexander: 323 – 30 BC.</w:t>
      </w:r>
      <w:r w:rsidRPr="00936277">
        <w:rPr>
          <w:rFonts w:ascii="Cambria" w:hAnsi="Cambria"/>
          <w:sz w:val="24"/>
          <w:szCs w:val="24"/>
        </w:rPr>
        <w:t xml:space="preserve"> </w:t>
      </w:r>
      <w:r w:rsidR="00BD2B68" w:rsidRPr="00936277">
        <w:rPr>
          <w:rFonts w:ascii="Cambria" w:hAnsi="Cambria"/>
          <w:sz w:val="24"/>
          <w:szCs w:val="24"/>
        </w:rPr>
        <w:t>Abingdon: Routledge</w:t>
      </w:r>
      <w:r w:rsidR="00997153" w:rsidRPr="00936277">
        <w:rPr>
          <w:rFonts w:ascii="Cambria" w:hAnsi="Cambria"/>
          <w:sz w:val="24"/>
          <w:szCs w:val="24"/>
        </w:rPr>
        <w:t>. 2000.</w:t>
      </w:r>
    </w:p>
    <w:p w:rsidR="00422734" w:rsidRPr="00936277" w:rsidRDefault="0006659D" w:rsidP="00581460">
      <w:pPr>
        <w:spacing w:line="360" w:lineRule="auto"/>
        <w:jc w:val="both"/>
        <w:rPr>
          <w:rFonts w:ascii="Cambria" w:hAnsi="Cambria"/>
          <w:sz w:val="24"/>
          <w:szCs w:val="24"/>
        </w:rPr>
      </w:pPr>
      <w:proofErr w:type="gramStart"/>
      <w:r w:rsidRPr="00936277">
        <w:rPr>
          <w:rFonts w:ascii="Cambria" w:hAnsi="Cambria"/>
          <w:sz w:val="24"/>
          <w:szCs w:val="24"/>
        </w:rPr>
        <w:lastRenderedPageBreak/>
        <w:t xml:space="preserve">Zeitlin, S. ‘“The Tobias Family and the Hasmoneans” A Historical Study in the Political and Economic Life of the Jews in the Hellenistic Period’ </w:t>
      </w:r>
      <w:r w:rsidRPr="00936277">
        <w:rPr>
          <w:rFonts w:ascii="Cambria" w:hAnsi="Cambria"/>
          <w:i/>
          <w:sz w:val="24"/>
          <w:szCs w:val="24"/>
        </w:rPr>
        <w:t>Proceedings of the American Academy for Jewish Research.</w:t>
      </w:r>
      <w:proofErr w:type="gramEnd"/>
      <w:r w:rsidRPr="00936277">
        <w:rPr>
          <w:rFonts w:ascii="Cambria" w:hAnsi="Cambria"/>
          <w:i/>
          <w:sz w:val="24"/>
          <w:szCs w:val="24"/>
        </w:rPr>
        <w:t xml:space="preserve"> </w:t>
      </w:r>
      <w:proofErr w:type="gramStart"/>
      <w:r w:rsidRPr="00936277">
        <w:rPr>
          <w:rFonts w:ascii="Cambria" w:hAnsi="Cambria"/>
          <w:sz w:val="24"/>
          <w:szCs w:val="24"/>
        </w:rPr>
        <w:t>Volume 4.</w:t>
      </w:r>
      <w:proofErr w:type="gramEnd"/>
      <w:r w:rsidRPr="00936277">
        <w:rPr>
          <w:rFonts w:ascii="Cambria" w:hAnsi="Cambria"/>
          <w:sz w:val="24"/>
          <w:szCs w:val="24"/>
        </w:rPr>
        <w:t xml:space="preserve"> 1962. 169-223.</w:t>
      </w:r>
    </w:p>
    <w:sectPr w:rsidR="00422734" w:rsidRPr="009362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F90" w:rsidRDefault="00E67F90" w:rsidP="00E903FA">
      <w:pPr>
        <w:spacing w:after="0" w:line="240" w:lineRule="auto"/>
      </w:pPr>
      <w:r>
        <w:separator/>
      </w:r>
    </w:p>
  </w:endnote>
  <w:endnote w:type="continuationSeparator" w:id="0">
    <w:p w:rsidR="00E67F90" w:rsidRDefault="00E67F90" w:rsidP="00E90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F90" w:rsidRDefault="00E67F90" w:rsidP="00E903FA">
      <w:pPr>
        <w:spacing w:after="0" w:line="240" w:lineRule="auto"/>
      </w:pPr>
      <w:r>
        <w:separator/>
      </w:r>
    </w:p>
  </w:footnote>
  <w:footnote w:type="continuationSeparator" w:id="0">
    <w:p w:rsidR="00E67F90" w:rsidRDefault="00E67F90" w:rsidP="00E903FA">
      <w:pPr>
        <w:spacing w:after="0" w:line="240" w:lineRule="auto"/>
      </w:pPr>
      <w:r>
        <w:continuationSeparator/>
      </w:r>
    </w:p>
  </w:footnote>
  <w:footnote w:id="1">
    <w:p w:rsidR="00066E50" w:rsidRPr="001F593A" w:rsidRDefault="00066E50">
      <w:pPr>
        <w:pStyle w:val="FootnoteText"/>
        <w:rPr>
          <w:rFonts w:ascii="Cambria" w:hAnsi="Cambria"/>
        </w:rPr>
      </w:pPr>
      <w:r w:rsidRPr="00974A0E">
        <w:rPr>
          <w:rStyle w:val="FootnoteReference"/>
          <w:rFonts w:ascii="Cambria" w:hAnsi="Cambria"/>
        </w:rPr>
        <w:footnoteRef/>
      </w:r>
      <w:r w:rsidRPr="00974A0E">
        <w:rPr>
          <w:rFonts w:ascii="Cambria" w:hAnsi="Cambria"/>
        </w:rPr>
        <w:t xml:space="preserve"> </w:t>
      </w:r>
      <w:proofErr w:type="gramStart"/>
      <w:r w:rsidRPr="00974A0E">
        <w:rPr>
          <w:rFonts w:ascii="Cambria" w:hAnsi="Cambria"/>
        </w:rPr>
        <w:t>Potter.</w:t>
      </w:r>
      <w:proofErr w:type="gramEnd"/>
      <w:r w:rsidRPr="00974A0E">
        <w:rPr>
          <w:rFonts w:ascii="Cambria" w:hAnsi="Cambria"/>
        </w:rPr>
        <w:t xml:space="preserve"> </w:t>
      </w:r>
      <w:proofErr w:type="gramStart"/>
      <w:r w:rsidRPr="00974A0E">
        <w:rPr>
          <w:rFonts w:ascii="Cambria" w:hAnsi="Cambria"/>
        </w:rPr>
        <w:t xml:space="preserve">‘ </w:t>
      </w:r>
      <w:r w:rsidRPr="0000287A">
        <w:rPr>
          <w:rFonts w:ascii="Cambria" w:hAnsi="Cambria"/>
        </w:rPr>
        <w:t>Hellenistic</w:t>
      </w:r>
      <w:proofErr w:type="gramEnd"/>
      <w:r w:rsidRPr="0000287A">
        <w:rPr>
          <w:rFonts w:ascii="Cambria" w:hAnsi="Cambria"/>
        </w:rPr>
        <w:t xml:space="preserve"> </w:t>
      </w:r>
      <w:r w:rsidRPr="001F593A">
        <w:rPr>
          <w:rFonts w:ascii="Cambria" w:hAnsi="Cambria"/>
        </w:rPr>
        <w:t xml:space="preserve">Religions’. 2005. 419-426. </w:t>
      </w:r>
    </w:p>
  </w:footnote>
  <w:footnote w:id="2">
    <w:p w:rsidR="00066E50" w:rsidRPr="002D68AD" w:rsidRDefault="00066E50">
      <w:pPr>
        <w:pStyle w:val="FootnoteText"/>
        <w:rPr>
          <w:rFonts w:ascii="Cambria" w:hAnsi="Cambria"/>
        </w:rPr>
      </w:pPr>
      <w:r w:rsidRPr="001F593A">
        <w:rPr>
          <w:rStyle w:val="FootnoteReference"/>
          <w:rFonts w:ascii="Cambria" w:hAnsi="Cambria"/>
        </w:rPr>
        <w:footnoteRef/>
      </w:r>
      <w:r w:rsidRPr="001F593A">
        <w:rPr>
          <w:rFonts w:ascii="Cambria" w:hAnsi="Cambria"/>
        </w:rPr>
        <w:t xml:space="preserve"> </w:t>
      </w:r>
      <w:r w:rsidRPr="002D68AD">
        <w:rPr>
          <w:rFonts w:ascii="Cambria" w:hAnsi="Cambria"/>
        </w:rPr>
        <w:t xml:space="preserve">Campbell. ‘An Empire on the Brink of Destruction: The Stability of the Seleukid Empire </w:t>
      </w:r>
      <w:proofErr w:type="gramStart"/>
      <w:r w:rsidRPr="002D68AD">
        <w:rPr>
          <w:rFonts w:ascii="Cambria" w:hAnsi="Cambria"/>
        </w:rPr>
        <w:t>Under</w:t>
      </w:r>
      <w:proofErr w:type="gramEnd"/>
      <w:r w:rsidRPr="002D68AD">
        <w:rPr>
          <w:rFonts w:ascii="Cambria" w:hAnsi="Cambria"/>
        </w:rPr>
        <w:t xml:space="preserve"> Antiochus IV (175 BC – 164 BC). 2014.</w:t>
      </w:r>
    </w:p>
  </w:footnote>
  <w:footnote w:id="3">
    <w:p w:rsidR="00066E50" w:rsidRPr="002D68AD" w:rsidRDefault="00066E50">
      <w:pPr>
        <w:pStyle w:val="FootnoteText"/>
        <w:rPr>
          <w:rFonts w:ascii="Cambria" w:hAnsi="Cambria"/>
        </w:rPr>
      </w:pPr>
      <w:r w:rsidRPr="002D68AD">
        <w:rPr>
          <w:rStyle w:val="FootnoteReference"/>
          <w:rFonts w:ascii="Cambria" w:hAnsi="Cambria"/>
        </w:rPr>
        <w:footnoteRef/>
      </w:r>
      <w:r w:rsidRPr="002D68AD">
        <w:rPr>
          <w:rFonts w:ascii="Cambria" w:hAnsi="Cambria"/>
        </w:rPr>
        <w:t xml:space="preserve"> </w:t>
      </w:r>
      <w:proofErr w:type="spellStart"/>
      <w:proofErr w:type="gramStart"/>
      <w:r w:rsidRPr="002D68AD">
        <w:rPr>
          <w:rFonts w:ascii="Cambria" w:hAnsi="Cambria"/>
        </w:rPr>
        <w:t>Scheid</w:t>
      </w:r>
      <w:proofErr w:type="spellEnd"/>
      <w:r w:rsidRPr="002D68AD">
        <w:rPr>
          <w:rFonts w:ascii="Cambria" w:hAnsi="Cambria"/>
        </w:rPr>
        <w:t>.</w:t>
      </w:r>
      <w:proofErr w:type="gramEnd"/>
      <w:r w:rsidRPr="002D68AD">
        <w:rPr>
          <w:rFonts w:ascii="Cambria" w:hAnsi="Cambria"/>
        </w:rPr>
        <w:t xml:space="preserve"> </w:t>
      </w:r>
      <w:proofErr w:type="gramStart"/>
      <w:r w:rsidRPr="002D68AD">
        <w:rPr>
          <w:rFonts w:ascii="Cambria" w:hAnsi="Cambria"/>
        </w:rPr>
        <w:t>‘Religions in Contact’.</w:t>
      </w:r>
      <w:proofErr w:type="gramEnd"/>
      <w:r w:rsidRPr="002D68AD">
        <w:rPr>
          <w:rFonts w:ascii="Cambria" w:hAnsi="Cambria"/>
        </w:rPr>
        <w:t xml:space="preserve"> 2007. 114.</w:t>
      </w:r>
    </w:p>
  </w:footnote>
  <w:footnote w:id="4">
    <w:p w:rsidR="002D68AD" w:rsidRDefault="002D68AD">
      <w:pPr>
        <w:pStyle w:val="FootnoteText"/>
      </w:pPr>
      <w:r w:rsidRPr="002D68AD">
        <w:rPr>
          <w:rStyle w:val="FootnoteReference"/>
          <w:rFonts w:ascii="Cambria" w:hAnsi="Cambria"/>
        </w:rPr>
        <w:footnoteRef/>
      </w:r>
      <w:r w:rsidRPr="002D68AD">
        <w:rPr>
          <w:rFonts w:ascii="Cambria" w:hAnsi="Cambria"/>
        </w:rPr>
        <w:t xml:space="preserve"> </w:t>
      </w:r>
      <w:proofErr w:type="spellStart"/>
      <w:proofErr w:type="gramStart"/>
      <w:r w:rsidRPr="002D68AD">
        <w:rPr>
          <w:rFonts w:ascii="Cambria" w:hAnsi="Cambria"/>
        </w:rPr>
        <w:t>Gruen</w:t>
      </w:r>
      <w:proofErr w:type="spellEnd"/>
      <w:r w:rsidRPr="002D68AD">
        <w:rPr>
          <w:rFonts w:ascii="Cambria" w:hAnsi="Cambria"/>
        </w:rPr>
        <w:t>.</w:t>
      </w:r>
      <w:proofErr w:type="gramEnd"/>
      <w:r w:rsidRPr="002D68AD">
        <w:rPr>
          <w:rFonts w:ascii="Cambria" w:hAnsi="Cambria"/>
        </w:rPr>
        <w:t xml:space="preserve"> </w:t>
      </w:r>
      <w:proofErr w:type="gramStart"/>
      <w:r w:rsidRPr="002D68AD">
        <w:rPr>
          <w:rFonts w:ascii="Cambria" w:hAnsi="Cambria"/>
        </w:rPr>
        <w:t>‘Jews and Greeks’.</w:t>
      </w:r>
      <w:proofErr w:type="gramEnd"/>
      <w:r w:rsidRPr="002D68AD">
        <w:rPr>
          <w:rFonts w:ascii="Cambria" w:hAnsi="Cambria"/>
        </w:rPr>
        <w:t xml:space="preserve"> 2003. 267.</w:t>
      </w:r>
    </w:p>
  </w:footnote>
  <w:footnote w:id="5">
    <w:p w:rsidR="00066E50" w:rsidRDefault="00066E50">
      <w:pPr>
        <w:pStyle w:val="FootnoteText"/>
      </w:pPr>
      <w:r w:rsidRPr="001F593A">
        <w:rPr>
          <w:rStyle w:val="FootnoteReference"/>
          <w:rFonts w:ascii="Cambria" w:hAnsi="Cambria"/>
        </w:rPr>
        <w:footnoteRef/>
      </w:r>
      <w:r w:rsidRPr="001F593A">
        <w:rPr>
          <w:rFonts w:ascii="Cambria" w:hAnsi="Cambria"/>
        </w:rPr>
        <w:t xml:space="preserve"> Phillips. ‘Antiochus IV, Epiphanes’. 1910. 127.</w:t>
      </w:r>
    </w:p>
  </w:footnote>
  <w:footnote w:id="6">
    <w:p w:rsidR="00066E50" w:rsidRPr="00E56858" w:rsidRDefault="00066E50" w:rsidP="00190715">
      <w:pPr>
        <w:pStyle w:val="FootnoteText"/>
        <w:jc w:val="both"/>
        <w:rPr>
          <w:rFonts w:ascii="Cambria" w:hAnsi="Cambria"/>
        </w:rPr>
      </w:pPr>
      <w:r w:rsidRPr="00190715">
        <w:rPr>
          <w:rStyle w:val="FootnoteReference"/>
          <w:rFonts w:ascii="Cambria" w:hAnsi="Cambria"/>
        </w:rPr>
        <w:footnoteRef/>
      </w:r>
      <w:r w:rsidRPr="00190715">
        <w:rPr>
          <w:rFonts w:ascii="Cambria" w:hAnsi="Cambria"/>
        </w:rPr>
        <w:t xml:space="preserve"> Daniel 2:43-44 gives us an indication of the ideas that may have been held </w:t>
      </w:r>
      <w:r>
        <w:rPr>
          <w:rFonts w:ascii="Cambria" w:hAnsi="Cambria"/>
        </w:rPr>
        <w:t xml:space="preserve">those who did not support </w:t>
      </w:r>
      <w:proofErr w:type="spellStart"/>
      <w:r>
        <w:rPr>
          <w:rFonts w:ascii="Cambria" w:hAnsi="Cambria"/>
        </w:rPr>
        <w:t>Hellenisation</w:t>
      </w:r>
      <w:proofErr w:type="spellEnd"/>
      <w:r>
        <w:rPr>
          <w:rFonts w:ascii="Cambria" w:hAnsi="Cambria"/>
        </w:rPr>
        <w:t xml:space="preserve">; they would hold strong to their faith and Antiochus and Hellenism would be destroyed. </w:t>
      </w:r>
      <w:r w:rsidRPr="001F593A">
        <w:rPr>
          <w:rFonts w:ascii="Cambria" w:hAnsi="Cambria"/>
        </w:rPr>
        <w:t xml:space="preserve">‘And just as you saw the iron mixed with baked clay, so the people will be a mixture and will not remain united, any more than iron mixes with clay. “In the time of those kings, the God of heaven will set up a kingdom that will never be destroyed, nor will it be left to another people. It will crush all those kingdoms and bring them </w:t>
      </w:r>
      <w:r w:rsidRPr="00E56858">
        <w:rPr>
          <w:rFonts w:ascii="Cambria" w:hAnsi="Cambria"/>
        </w:rPr>
        <w:t>to an end, but it will itself endure forever.”’</w:t>
      </w:r>
    </w:p>
  </w:footnote>
  <w:footnote w:id="7">
    <w:p w:rsidR="00066E50" w:rsidRPr="0001272C" w:rsidRDefault="00066E50" w:rsidP="007A16CB">
      <w:pPr>
        <w:pStyle w:val="FootnoteText"/>
        <w:jc w:val="both"/>
        <w:rPr>
          <w:rFonts w:ascii="Cambria" w:hAnsi="Cambria"/>
        </w:rPr>
      </w:pPr>
      <w:r w:rsidRPr="0001272C">
        <w:rPr>
          <w:rStyle w:val="FootnoteReference"/>
          <w:rFonts w:ascii="Cambria" w:hAnsi="Cambria"/>
        </w:rPr>
        <w:footnoteRef/>
      </w:r>
      <w:r w:rsidRPr="0001272C">
        <w:rPr>
          <w:rFonts w:ascii="Cambria" w:hAnsi="Cambria"/>
        </w:rPr>
        <w:t xml:space="preserve"> </w:t>
      </w:r>
      <w:proofErr w:type="gramStart"/>
      <w:r w:rsidRPr="0001272C">
        <w:rPr>
          <w:rFonts w:ascii="Cambria" w:hAnsi="Cambria"/>
        </w:rPr>
        <w:t>Collins.</w:t>
      </w:r>
      <w:proofErr w:type="gramEnd"/>
      <w:r w:rsidRPr="0001272C">
        <w:rPr>
          <w:rFonts w:ascii="Cambria" w:hAnsi="Cambria"/>
        </w:rPr>
        <w:t xml:space="preserve"> ‘Israel’ 2007. 186</w:t>
      </w:r>
    </w:p>
  </w:footnote>
  <w:footnote w:id="8">
    <w:p w:rsidR="00066E50" w:rsidRPr="0001272C" w:rsidRDefault="00066E50">
      <w:pPr>
        <w:pStyle w:val="FootnoteText"/>
        <w:rPr>
          <w:rFonts w:ascii="Cambria" w:hAnsi="Cambria"/>
        </w:rPr>
      </w:pPr>
      <w:r w:rsidRPr="0001272C">
        <w:rPr>
          <w:rStyle w:val="FootnoteReference"/>
          <w:rFonts w:ascii="Cambria" w:hAnsi="Cambria"/>
        </w:rPr>
        <w:footnoteRef/>
      </w:r>
      <w:r w:rsidRPr="0001272C">
        <w:rPr>
          <w:rFonts w:ascii="Cambria" w:hAnsi="Cambria"/>
        </w:rPr>
        <w:t xml:space="preserve"> </w:t>
      </w:r>
      <w:proofErr w:type="gramStart"/>
      <w:r w:rsidRPr="0001272C">
        <w:rPr>
          <w:rFonts w:ascii="Cambria" w:hAnsi="Cambria"/>
        </w:rPr>
        <w:t>Shipley.</w:t>
      </w:r>
      <w:proofErr w:type="gramEnd"/>
      <w:r w:rsidRPr="0001272C">
        <w:rPr>
          <w:rFonts w:ascii="Cambria" w:hAnsi="Cambria"/>
        </w:rPr>
        <w:t xml:space="preserve"> </w:t>
      </w:r>
      <w:r w:rsidRPr="0001272C">
        <w:rPr>
          <w:rFonts w:ascii="Cambria" w:hAnsi="Cambria"/>
          <w:i/>
        </w:rPr>
        <w:t xml:space="preserve">The Greek World </w:t>
      </w:r>
      <w:proofErr w:type="gramStart"/>
      <w:r w:rsidRPr="0001272C">
        <w:rPr>
          <w:rFonts w:ascii="Cambria" w:hAnsi="Cambria"/>
          <w:i/>
        </w:rPr>
        <w:t>After</w:t>
      </w:r>
      <w:proofErr w:type="gramEnd"/>
      <w:r w:rsidRPr="0001272C">
        <w:rPr>
          <w:rFonts w:ascii="Cambria" w:hAnsi="Cambria"/>
          <w:i/>
        </w:rPr>
        <w:t xml:space="preserve"> Alexander</w:t>
      </w:r>
      <w:r w:rsidRPr="0001272C">
        <w:rPr>
          <w:rFonts w:ascii="Cambria" w:hAnsi="Cambria"/>
        </w:rPr>
        <w:t>. 2000. 303-309.</w:t>
      </w:r>
    </w:p>
  </w:footnote>
  <w:footnote w:id="9">
    <w:p w:rsidR="00066E50" w:rsidRPr="0001272C" w:rsidRDefault="00066E50">
      <w:pPr>
        <w:pStyle w:val="FootnoteText"/>
        <w:rPr>
          <w:rFonts w:ascii="Cambria" w:hAnsi="Cambria"/>
        </w:rPr>
      </w:pPr>
      <w:r w:rsidRPr="0001272C">
        <w:rPr>
          <w:rStyle w:val="FootnoteReference"/>
          <w:rFonts w:ascii="Cambria" w:hAnsi="Cambria"/>
        </w:rPr>
        <w:footnoteRef/>
      </w:r>
      <w:r w:rsidRPr="0001272C">
        <w:rPr>
          <w:rFonts w:ascii="Cambria" w:hAnsi="Cambria"/>
        </w:rPr>
        <w:t xml:space="preserve"> Austin. </w:t>
      </w:r>
      <w:r w:rsidRPr="0001272C">
        <w:rPr>
          <w:rFonts w:ascii="Cambria" w:hAnsi="Cambria"/>
          <w:i/>
        </w:rPr>
        <w:t xml:space="preserve">The Hellenistic World from Alexander to the Roman Conquest: A Selection of Ancient Sources in Translation. </w:t>
      </w:r>
      <w:r w:rsidRPr="0001272C">
        <w:rPr>
          <w:rFonts w:ascii="Cambria" w:hAnsi="Cambria"/>
        </w:rPr>
        <w:t>Sources 214 and 215. 2006. 378-382.</w:t>
      </w:r>
    </w:p>
  </w:footnote>
  <w:footnote w:id="10">
    <w:p w:rsidR="00066E50" w:rsidRDefault="00066E50">
      <w:pPr>
        <w:pStyle w:val="FootnoteText"/>
      </w:pPr>
      <w:r w:rsidRPr="0001272C">
        <w:rPr>
          <w:rStyle w:val="FootnoteReference"/>
          <w:rFonts w:ascii="Cambria" w:hAnsi="Cambria"/>
        </w:rPr>
        <w:footnoteRef/>
      </w:r>
      <w:r w:rsidRPr="0001272C">
        <w:rPr>
          <w:rFonts w:ascii="Cambria" w:hAnsi="Cambria"/>
        </w:rPr>
        <w:t xml:space="preserve"> </w:t>
      </w:r>
      <w:proofErr w:type="gramStart"/>
      <w:r w:rsidRPr="0001272C">
        <w:rPr>
          <w:rFonts w:ascii="Cambria" w:hAnsi="Cambria"/>
        </w:rPr>
        <w:t>Zeitlin.</w:t>
      </w:r>
      <w:proofErr w:type="gramEnd"/>
      <w:r w:rsidRPr="0001272C">
        <w:rPr>
          <w:rFonts w:ascii="Cambria" w:hAnsi="Cambria"/>
        </w:rPr>
        <w:t xml:space="preserve"> </w:t>
      </w:r>
      <w:proofErr w:type="gramStart"/>
      <w:r w:rsidRPr="0001272C">
        <w:rPr>
          <w:rFonts w:ascii="Cambria" w:hAnsi="Cambria"/>
        </w:rPr>
        <w:t>‘The Tobias Family and the Hasmoneans’.</w:t>
      </w:r>
      <w:proofErr w:type="gramEnd"/>
      <w:r w:rsidRPr="0001272C">
        <w:rPr>
          <w:rFonts w:ascii="Cambria" w:hAnsi="Cambria"/>
        </w:rPr>
        <w:t xml:space="preserve"> 1932. 182.</w:t>
      </w:r>
    </w:p>
  </w:footnote>
  <w:footnote w:id="11">
    <w:p w:rsidR="00066E50" w:rsidRPr="001F593A" w:rsidRDefault="00066E50">
      <w:pPr>
        <w:pStyle w:val="FootnoteText"/>
        <w:rPr>
          <w:rFonts w:ascii="Cambria" w:hAnsi="Cambria"/>
        </w:rPr>
      </w:pPr>
      <w:r w:rsidRPr="001F593A">
        <w:rPr>
          <w:rStyle w:val="FootnoteReference"/>
          <w:rFonts w:ascii="Cambria" w:hAnsi="Cambria"/>
        </w:rPr>
        <w:footnoteRef/>
      </w:r>
      <w:r w:rsidRPr="001F593A">
        <w:rPr>
          <w:rFonts w:ascii="Cambria" w:hAnsi="Cambria"/>
        </w:rPr>
        <w:t xml:space="preserve"> </w:t>
      </w:r>
      <w:proofErr w:type="gramStart"/>
      <w:r w:rsidRPr="001F593A">
        <w:rPr>
          <w:rFonts w:ascii="Cambria" w:hAnsi="Cambria"/>
        </w:rPr>
        <w:t>Shipley.</w:t>
      </w:r>
      <w:proofErr w:type="gramEnd"/>
      <w:r w:rsidRPr="001F593A">
        <w:rPr>
          <w:rFonts w:ascii="Cambria" w:hAnsi="Cambria"/>
        </w:rPr>
        <w:t xml:space="preserve"> </w:t>
      </w:r>
      <w:r w:rsidRPr="001F593A">
        <w:rPr>
          <w:rFonts w:ascii="Cambria" w:hAnsi="Cambria"/>
          <w:i/>
        </w:rPr>
        <w:t xml:space="preserve">The Greek World </w:t>
      </w:r>
      <w:proofErr w:type="gramStart"/>
      <w:r w:rsidRPr="001F593A">
        <w:rPr>
          <w:rFonts w:ascii="Cambria" w:hAnsi="Cambria"/>
          <w:i/>
        </w:rPr>
        <w:t>After</w:t>
      </w:r>
      <w:proofErr w:type="gramEnd"/>
      <w:r w:rsidRPr="001F593A">
        <w:rPr>
          <w:rFonts w:ascii="Cambria" w:hAnsi="Cambria"/>
          <w:i/>
        </w:rPr>
        <w:t xml:space="preserve"> Alexander.</w:t>
      </w:r>
      <w:r w:rsidRPr="001F593A">
        <w:rPr>
          <w:rFonts w:ascii="Cambria" w:hAnsi="Cambria"/>
        </w:rPr>
        <w:t xml:space="preserve"> 2000. 307.</w:t>
      </w:r>
    </w:p>
  </w:footnote>
  <w:footnote w:id="12">
    <w:p w:rsidR="00066E50" w:rsidRPr="006C7451" w:rsidRDefault="00066E50">
      <w:pPr>
        <w:pStyle w:val="FootnoteText"/>
        <w:rPr>
          <w:rFonts w:ascii="Cambria" w:hAnsi="Cambria"/>
        </w:rPr>
      </w:pPr>
      <w:r w:rsidRPr="001F593A">
        <w:rPr>
          <w:rStyle w:val="FootnoteReference"/>
          <w:rFonts w:ascii="Cambria" w:hAnsi="Cambria"/>
        </w:rPr>
        <w:footnoteRef/>
      </w:r>
      <w:r w:rsidRPr="001F593A">
        <w:rPr>
          <w:rFonts w:ascii="Cambria" w:hAnsi="Cambria"/>
        </w:rPr>
        <w:t xml:space="preserve"> Mathews. </w:t>
      </w:r>
      <w:proofErr w:type="gramStart"/>
      <w:r w:rsidRPr="001F593A">
        <w:rPr>
          <w:rFonts w:ascii="Cambria" w:hAnsi="Cambria"/>
        </w:rPr>
        <w:t>‘Antiochos Epiphanes and the Jewish State’.</w:t>
      </w:r>
      <w:proofErr w:type="gramEnd"/>
      <w:r w:rsidRPr="001F593A">
        <w:rPr>
          <w:rFonts w:ascii="Cambria" w:hAnsi="Cambria"/>
        </w:rPr>
        <w:t xml:space="preserve"> 1899. 15.</w:t>
      </w:r>
    </w:p>
  </w:footnote>
  <w:footnote w:id="13">
    <w:p w:rsidR="00066E50" w:rsidRPr="00557611" w:rsidRDefault="00066E50">
      <w:pPr>
        <w:pStyle w:val="FootnoteText"/>
        <w:rPr>
          <w:rFonts w:ascii="Cambria" w:hAnsi="Cambria"/>
        </w:rPr>
      </w:pPr>
      <w:r w:rsidRPr="006C7451">
        <w:rPr>
          <w:rStyle w:val="FootnoteReference"/>
          <w:rFonts w:ascii="Cambria" w:hAnsi="Cambria"/>
        </w:rPr>
        <w:footnoteRef/>
      </w:r>
      <w:r w:rsidRPr="006C7451">
        <w:rPr>
          <w:rFonts w:ascii="Cambria" w:hAnsi="Cambria"/>
        </w:rPr>
        <w:t xml:space="preserve"> Campbell, T. ‘</w:t>
      </w:r>
      <w:proofErr w:type="gramStart"/>
      <w:r w:rsidRPr="006C7451">
        <w:rPr>
          <w:rFonts w:ascii="Cambria" w:hAnsi="Cambria"/>
        </w:rPr>
        <w:t>An</w:t>
      </w:r>
      <w:proofErr w:type="gramEnd"/>
      <w:r w:rsidRPr="006C7451">
        <w:rPr>
          <w:rFonts w:ascii="Cambria" w:hAnsi="Cambria"/>
        </w:rPr>
        <w:t xml:space="preserve"> Empire on the Brink </w:t>
      </w:r>
      <w:r w:rsidRPr="00557611">
        <w:rPr>
          <w:rFonts w:ascii="Cambria" w:hAnsi="Cambria"/>
        </w:rPr>
        <w:t>of Destruction: The Stability of the Seleucid Empire Under Antiochus IV (175 BC – 164 BC). 2014. 19.</w:t>
      </w:r>
    </w:p>
  </w:footnote>
  <w:footnote w:id="14">
    <w:p w:rsidR="00066E50" w:rsidRPr="00557611" w:rsidRDefault="00066E50">
      <w:pPr>
        <w:pStyle w:val="FootnoteText"/>
        <w:rPr>
          <w:rFonts w:ascii="Cambria" w:hAnsi="Cambria"/>
        </w:rPr>
      </w:pPr>
      <w:r w:rsidRPr="00557611">
        <w:rPr>
          <w:rStyle w:val="FootnoteReference"/>
          <w:rFonts w:ascii="Cambria" w:hAnsi="Cambria"/>
        </w:rPr>
        <w:footnoteRef/>
      </w:r>
      <w:r w:rsidRPr="00557611">
        <w:rPr>
          <w:rFonts w:ascii="Cambria" w:hAnsi="Cambria"/>
        </w:rPr>
        <w:t xml:space="preserve"> </w:t>
      </w:r>
      <w:proofErr w:type="gramStart"/>
      <w:r w:rsidRPr="00557611">
        <w:rPr>
          <w:rFonts w:ascii="Cambria" w:hAnsi="Cambria"/>
        </w:rPr>
        <w:t>Collins.</w:t>
      </w:r>
      <w:proofErr w:type="gramEnd"/>
      <w:r w:rsidRPr="00557611">
        <w:rPr>
          <w:rFonts w:ascii="Cambria" w:hAnsi="Cambria"/>
        </w:rPr>
        <w:t xml:space="preserve"> ‘Israel’. 2007. 186-187. </w:t>
      </w:r>
    </w:p>
  </w:footnote>
  <w:footnote w:id="15">
    <w:p w:rsidR="00066E50" w:rsidRPr="00557611" w:rsidRDefault="00066E50">
      <w:pPr>
        <w:pStyle w:val="FootnoteText"/>
        <w:rPr>
          <w:rFonts w:ascii="Cambria" w:hAnsi="Cambria"/>
        </w:rPr>
      </w:pPr>
      <w:r w:rsidRPr="00557611">
        <w:rPr>
          <w:rStyle w:val="FootnoteReference"/>
          <w:rFonts w:ascii="Cambria" w:hAnsi="Cambria"/>
        </w:rPr>
        <w:footnoteRef/>
      </w:r>
      <w:r w:rsidRPr="00557611">
        <w:rPr>
          <w:rFonts w:ascii="Cambria" w:hAnsi="Cambria"/>
        </w:rPr>
        <w:t xml:space="preserve"> </w:t>
      </w:r>
      <w:proofErr w:type="spellStart"/>
      <w:r w:rsidRPr="00557611">
        <w:rPr>
          <w:rFonts w:ascii="Cambria" w:hAnsi="Cambria"/>
        </w:rPr>
        <w:t>Diodorus</w:t>
      </w:r>
      <w:proofErr w:type="spellEnd"/>
      <w:r w:rsidRPr="00557611">
        <w:rPr>
          <w:rFonts w:ascii="Cambria" w:hAnsi="Cambria"/>
        </w:rPr>
        <w:t xml:space="preserve"> XL.3 </w:t>
      </w:r>
    </w:p>
  </w:footnote>
  <w:footnote w:id="16">
    <w:p w:rsidR="00066E50" w:rsidRDefault="00066E50">
      <w:pPr>
        <w:pStyle w:val="FootnoteText"/>
      </w:pPr>
      <w:r w:rsidRPr="00557611">
        <w:rPr>
          <w:rStyle w:val="FootnoteReference"/>
          <w:rFonts w:ascii="Cambria" w:hAnsi="Cambria"/>
        </w:rPr>
        <w:footnoteRef/>
      </w:r>
      <w:r w:rsidRPr="00557611">
        <w:rPr>
          <w:rFonts w:ascii="Cambria" w:hAnsi="Cambria"/>
        </w:rPr>
        <w:t xml:space="preserve"> 2 Maccabees 4:7-9</w:t>
      </w:r>
    </w:p>
  </w:footnote>
  <w:footnote w:id="17">
    <w:p w:rsidR="00066E50" w:rsidRPr="00936277" w:rsidRDefault="00066E50">
      <w:pPr>
        <w:pStyle w:val="FootnoteText"/>
        <w:rPr>
          <w:rFonts w:ascii="Cambria" w:hAnsi="Cambria"/>
        </w:rPr>
      </w:pPr>
      <w:r w:rsidRPr="00557611">
        <w:rPr>
          <w:rStyle w:val="FootnoteReference"/>
          <w:rFonts w:ascii="Cambria" w:hAnsi="Cambria"/>
        </w:rPr>
        <w:footnoteRef/>
      </w:r>
      <w:r w:rsidRPr="00557611">
        <w:rPr>
          <w:rFonts w:ascii="Cambria" w:hAnsi="Cambria"/>
        </w:rPr>
        <w:t xml:space="preserve"> 2 Maccabees 4:25.</w:t>
      </w:r>
      <w:r>
        <w:rPr>
          <w:rFonts w:ascii="Cambria" w:hAnsi="Cambria"/>
        </w:rPr>
        <w:t xml:space="preserve"> ‘</w:t>
      </w:r>
      <w:r w:rsidRPr="00557611">
        <w:rPr>
          <w:rFonts w:ascii="Cambria" w:hAnsi="Cambria"/>
        </w:rPr>
        <w:t xml:space="preserve">Menelaus returned to Jerusalem with papers from the king, confirming him as High Priest. </w:t>
      </w:r>
      <w:proofErr w:type="gramStart"/>
      <w:r w:rsidRPr="00557611">
        <w:rPr>
          <w:rFonts w:ascii="Cambria" w:hAnsi="Cambria"/>
        </w:rPr>
        <w:t>But</w:t>
      </w:r>
      <w:proofErr w:type="gramEnd"/>
      <w:r w:rsidRPr="00557611">
        <w:rPr>
          <w:rFonts w:ascii="Cambria" w:hAnsi="Cambria"/>
        </w:rPr>
        <w:t xml:space="preserve"> he possessed no other qualifications</w:t>
      </w:r>
      <w:r>
        <w:rPr>
          <w:rFonts w:ascii="Cambria" w:hAnsi="Cambria"/>
        </w:rPr>
        <w:t>’; Josephus, however, has Menelaus as Jason’</w:t>
      </w:r>
      <w:r w:rsidR="0047550E">
        <w:rPr>
          <w:rFonts w:ascii="Cambria" w:hAnsi="Cambria"/>
        </w:rPr>
        <w:t xml:space="preserve">s brother - </w:t>
      </w:r>
      <w:r w:rsidRPr="00936277">
        <w:rPr>
          <w:rFonts w:ascii="Cambria" w:hAnsi="Cambria"/>
        </w:rPr>
        <w:t xml:space="preserve">Josephus </w:t>
      </w:r>
      <w:r w:rsidRPr="00936277">
        <w:rPr>
          <w:rFonts w:ascii="Cambria" w:hAnsi="Cambria"/>
          <w:i/>
        </w:rPr>
        <w:t>Antiquities of the Jews</w:t>
      </w:r>
      <w:r w:rsidRPr="00936277">
        <w:rPr>
          <w:rFonts w:ascii="Cambria" w:hAnsi="Cambria"/>
        </w:rPr>
        <w:t xml:space="preserve"> 12.237.</w:t>
      </w:r>
    </w:p>
    <w:p w:rsidR="00066E50" w:rsidRPr="00936277" w:rsidRDefault="00066E50">
      <w:pPr>
        <w:pStyle w:val="FootnoteText"/>
        <w:rPr>
          <w:rFonts w:ascii="Cambria" w:hAnsi="Cambria"/>
        </w:rPr>
      </w:pPr>
      <w:r w:rsidRPr="00936277">
        <w:rPr>
          <w:rFonts w:ascii="Cambria" w:hAnsi="Cambria"/>
        </w:rPr>
        <w:t xml:space="preserve">Errington, R. M. </w:t>
      </w:r>
      <w:proofErr w:type="gramStart"/>
      <w:r w:rsidRPr="00936277">
        <w:rPr>
          <w:rFonts w:ascii="Cambria" w:hAnsi="Cambria"/>
          <w:i/>
        </w:rPr>
        <w:t>A History of the Hellenistic World 323-30BC.</w:t>
      </w:r>
      <w:proofErr w:type="gramEnd"/>
      <w:r w:rsidRPr="00936277">
        <w:rPr>
          <w:rFonts w:ascii="Cambria" w:hAnsi="Cambria"/>
          <w:i/>
        </w:rPr>
        <w:t xml:space="preserve"> </w:t>
      </w:r>
      <w:r w:rsidRPr="00936277">
        <w:rPr>
          <w:rFonts w:ascii="Cambria" w:hAnsi="Cambria"/>
        </w:rPr>
        <w:t>2008. 270.</w:t>
      </w:r>
    </w:p>
  </w:footnote>
  <w:footnote w:id="18">
    <w:p w:rsidR="00936277" w:rsidRPr="00936277" w:rsidRDefault="00936277">
      <w:pPr>
        <w:pStyle w:val="FootnoteText"/>
        <w:rPr>
          <w:rFonts w:ascii="Cambria" w:hAnsi="Cambria"/>
        </w:rPr>
      </w:pPr>
      <w:r w:rsidRPr="00936277">
        <w:rPr>
          <w:rStyle w:val="FootnoteReference"/>
          <w:rFonts w:ascii="Cambria" w:hAnsi="Cambria"/>
        </w:rPr>
        <w:footnoteRef/>
      </w:r>
      <w:r w:rsidRPr="00936277">
        <w:rPr>
          <w:rFonts w:ascii="Cambria" w:hAnsi="Cambria"/>
        </w:rPr>
        <w:t xml:space="preserve"> 2 Maccabees 4:39-42 </w:t>
      </w:r>
    </w:p>
  </w:footnote>
  <w:footnote w:id="19">
    <w:p w:rsidR="00066E50" w:rsidRPr="00936277" w:rsidRDefault="00066E50">
      <w:pPr>
        <w:pStyle w:val="FootnoteText"/>
        <w:rPr>
          <w:rFonts w:ascii="Cambria" w:hAnsi="Cambria"/>
        </w:rPr>
      </w:pPr>
      <w:r w:rsidRPr="00936277">
        <w:rPr>
          <w:rStyle w:val="FootnoteReference"/>
          <w:rFonts w:ascii="Cambria" w:hAnsi="Cambria"/>
        </w:rPr>
        <w:footnoteRef/>
      </w:r>
      <w:r w:rsidRPr="00936277">
        <w:rPr>
          <w:rFonts w:ascii="Cambria" w:hAnsi="Cambria"/>
        </w:rPr>
        <w:t xml:space="preserve"> </w:t>
      </w:r>
      <w:proofErr w:type="gramStart"/>
      <w:r w:rsidRPr="00936277">
        <w:rPr>
          <w:rFonts w:ascii="Cambria" w:hAnsi="Cambria"/>
        </w:rPr>
        <w:t>Mendenhall.</w:t>
      </w:r>
      <w:proofErr w:type="gramEnd"/>
      <w:r w:rsidRPr="00936277">
        <w:rPr>
          <w:rFonts w:ascii="Cambria" w:hAnsi="Cambria"/>
        </w:rPr>
        <w:t xml:space="preserve"> </w:t>
      </w:r>
      <w:proofErr w:type="gramStart"/>
      <w:r w:rsidRPr="00936277">
        <w:rPr>
          <w:rFonts w:ascii="Cambria" w:hAnsi="Cambria"/>
          <w:i/>
        </w:rPr>
        <w:t>Ancient Israel’s Faith and History.</w:t>
      </w:r>
      <w:proofErr w:type="gramEnd"/>
      <w:r w:rsidRPr="00936277">
        <w:rPr>
          <w:rFonts w:ascii="Cambria" w:hAnsi="Cambria"/>
          <w:i/>
        </w:rPr>
        <w:t xml:space="preserve"> </w:t>
      </w:r>
      <w:r w:rsidRPr="00936277">
        <w:rPr>
          <w:rFonts w:ascii="Cambria" w:hAnsi="Cambria"/>
        </w:rPr>
        <w:t>2001. 200.</w:t>
      </w:r>
    </w:p>
  </w:footnote>
  <w:footnote w:id="20">
    <w:p w:rsidR="00066E50" w:rsidRPr="00936277" w:rsidRDefault="00066E50">
      <w:pPr>
        <w:pStyle w:val="FootnoteText"/>
        <w:rPr>
          <w:rFonts w:ascii="Cambria" w:hAnsi="Cambria"/>
        </w:rPr>
      </w:pPr>
      <w:r w:rsidRPr="00936277">
        <w:rPr>
          <w:rStyle w:val="FootnoteReference"/>
          <w:rFonts w:ascii="Cambria" w:hAnsi="Cambria"/>
        </w:rPr>
        <w:footnoteRef/>
      </w:r>
      <w:r w:rsidRPr="00936277">
        <w:rPr>
          <w:rFonts w:ascii="Cambria" w:hAnsi="Cambria"/>
        </w:rPr>
        <w:t xml:space="preserve"> Austin. </w:t>
      </w:r>
      <w:r w:rsidRPr="00936277">
        <w:rPr>
          <w:rFonts w:ascii="Cambria" w:hAnsi="Cambria"/>
          <w:i/>
        </w:rPr>
        <w:t xml:space="preserve">The Hellenistic World from Alexander to the Roman Conquest. </w:t>
      </w:r>
      <w:r w:rsidRPr="00936277">
        <w:rPr>
          <w:rFonts w:ascii="Cambria" w:hAnsi="Cambria"/>
        </w:rPr>
        <w:t>2006. 383.</w:t>
      </w:r>
    </w:p>
  </w:footnote>
  <w:footnote w:id="21">
    <w:p w:rsidR="00066E50" w:rsidRPr="00557611" w:rsidRDefault="00066E50">
      <w:pPr>
        <w:pStyle w:val="FootnoteText"/>
        <w:rPr>
          <w:rFonts w:ascii="Cambria" w:hAnsi="Cambria"/>
        </w:rPr>
      </w:pPr>
      <w:r w:rsidRPr="00936277">
        <w:rPr>
          <w:rStyle w:val="FootnoteReference"/>
          <w:rFonts w:ascii="Cambria" w:hAnsi="Cambria"/>
        </w:rPr>
        <w:footnoteRef/>
      </w:r>
      <w:r w:rsidRPr="00936277">
        <w:rPr>
          <w:rFonts w:ascii="Cambria" w:hAnsi="Cambria"/>
        </w:rPr>
        <w:t xml:space="preserve"> Austin. </w:t>
      </w:r>
      <w:proofErr w:type="gramStart"/>
      <w:r w:rsidRPr="00936277">
        <w:rPr>
          <w:rFonts w:ascii="Cambria" w:hAnsi="Cambria"/>
          <w:i/>
        </w:rPr>
        <w:t>The Hellenistic World</w:t>
      </w:r>
      <w:r w:rsidRPr="00936277">
        <w:rPr>
          <w:rFonts w:ascii="Cambria" w:hAnsi="Cambria"/>
        </w:rPr>
        <w:t>.</w:t>
      </w:r>
      <w:proofErr w:type="gramEnd"/>
      <w:r w:rsidRPr="00936277">
        <w:rPr>
          <w:rFonts w:ascii="Cambria" w:hAnsi="Cambria"/>
        </w:rPr>
        <w:t xml:space="preserve"> </w:t>
      </w:r>
      <w:proofErr w:type="spellStart"/>
      <w:proofErr w:type="gramStart"/>
      <w:r w:rsidRPr="00936277">
        <w:rPr>
          <w:rFonts w:ascii="Cambria" w:hAnsi="Cambria"/>
        </w:rPr>
        <w:t>Sourse</w:t>
      </w:r>
      <w:proofErr w:type="spellEnd"/>
      <w:r w:rsidRPr="00557611">
        <w:rPr>
          <w:rFonts w:ascii="Cambria" w:hAnsi="Cambria"/>
        </w:rPr>
        <w:t xml:space="preserve"> 217.</w:t>
      </w:r>
      <w:proofErr w:type="gramEnd"/>
      <w:r w:rsidRPr="00557611">
        <w:rPr>
          <w:rFonts w:ascii="Cambria" w:hAnsi="Cambria"/>
        </w:rPr>
        <w:t xml:space="preserve"> 2006. 385.</w:t>
      </w:r>
    </w:p>
  </w:footnote>
  <w:footnote w:id="22">
    <w:p w:rsidR="00066E50" w:rsidRPr="0011023D" w:rsidRDefault="00066E50">
      <w:pPr>
        <w:pStyle w:val="FootnoteText"/>
        <w:rPr>
          <w:rFonts w:ascii="Cambria" w:hAnsi="Cambria"/>
        </w:rPr>
      </w:pPr>
      <w:r w:rsidRPr="0011023D">
        <w:rPr>
          <w:rStyle w:val="FootnoteReference"/>
          <w:rFonts w:ascii="Cambria" w:hAnsi="Cambria"/>
        </w:rPr>
        <w:footnoteRef/>
      </w:r>
      <w:r w:rsidRPr="0011023D">
        <w:rPr>
          <w:rFonts w:ascii="Cambria" w:hAnsi="Cambria"/>
        </w:rPr>
        <w:t xml:space="preserve"> 2 Maccabees 4:13-17.</w:t>
      </w:r>
    </w:p>
  </w:footnote>
  <w:footnote w:id="23">
    <w:p w:rsidR="00066E50" w:rsidRPr="0011023D" w:rsidRDefault="00066E50">
      <w:pPr>
        <w:pStyle w:val="FootnoteText"/>
        <w:rPr>
          <w:rFonts w:ascii="Cambria" w:hAnsi="Cambria"/>
        </w:rPr>
      </w:pPr>
      <w:r w:rsidRPr="0011023D">
        <w:rPr>
          <w:rStyle w:val="FootnoteReference"/>
          <w:rFonts w:ascii="Cambria" w:hAnsi="Cambria"/>
        </w:rPr>
        <w:footnoteRef/>
      </w:r>
      <w:r w:rsidRPr="0011023D">
        <w:rPr>
          <w:rFonts w:ascii="Cambria" w:hAnsi="Cambria"/>
        </w:rPr>
        <w:t xml:space="preserve"> </w:t>
      </w:r>
      <w:proofErr w:type="spellStart"/>
      <w:proofErr w:type="gramStart"/>
      <w:r w:rsidR="001D1E7D" w:rsidRPr="0011023D">
        <w:rPr>
          <w:rFonts w:ascii="Cambria" w:hAnsi="Cambria"/>
        </w:rPr>
        <w:t>Gruen</w:t>
      </w:r>
      <w:proofErr w:type="spellEnd"/>
      <w:r w:rsidR="001D1E7D" w:rsidRPr="0011023D">
        <w:rPr>
          <w:rFonts w:ascii="Cambria" w:hAnsi="Cambria"/>
        </w:rPr>
        <w:t>.</w:t>
      </w:r>
      <w:proofErr w:type="gramEnd"/>
      <w:r w:rsidR="001D1E7D" w:rsidRPr="0011023D">
        <w:rPr>
          <w:rFonts w:ascii="Cambria" w:hAnsi="Cambria"/>
        </w:rPr>
        <w:t xml:space="preserve"> </w:t>
      </w:r>
      <w:proofErr w:type="gramStart"/>
      <w:r w:rsidR="001D1E7D" w:rsidRPr="0011023D">
        <w:rPr>
          <w:rFonts w:ascii="Cambria" w:hAnsi="Cambria"/>
        </w:rPr>
        <w:t>‘Jews and Greeks’ 2003.</w:t>
      </w:r>
      <w:proofErr w:type="gramEnd"/>
      <w:r w:rsidR="001D1E7D" w:rsidRPr="0011023D">
        <w:rPr>
          <w:rFonts w:ascii="Cambria" w:hAnsi="Cambria"/>
        </w:rPr>
        <w:t xml:space="preserve"> 268.</w:t>
      </w:r>
    </w:p>
  </w:footnote>
  <w:footnote w:id="24">
    <w:p w:rsidR="00066E50" w:rsidRPr="0011023D" w:rsidRDefault="00066E50">
      <w:pPr>
        <w:pStyle w:val="FootnoteText"/>
        <w:rPr>
          <w:rFonts w:ascii="Cambria" w:hAnsi="Cambria"/>
        </w:rPr>
      </w:pPr>
      <w:r w:rsidRPr="0011023D">
        <w:rPr>
          <w:rStyle w:val="FootnoteReference"/>
          <w:rFonts w:ascii="Cambria" w:hAnsi="Cambria"/>
        </w:rPr>
        <w:footnoteRef/>
      </w:r>
      <w:r w:rsidRPr="0011023D">
        <w:rPr>
          <w:rFonts w:ascii="Cambria" w:hAnsi="Cambria"/>
        </w:rPr>
        <w:t xml:space="preserve"> </w:t>
      </w:r>
      <w:proofErr w:type="spellStart"/>
      <w:proofErr w:type="gramStart"/>
      <w:r w:rsidRPr="0011023D">
        <w:rPr>
          <w:rFonts w:ascii="Cambria" w:hAnsi="Cambria"/>
        </w:rPr>
        <w:t>Medenhall</w:t>
      </w:r>
      <w:proofErr w:type="spellEnd"/>
      <w:r w:rsidRPr="0011023D">
        <w:rPr>
          <w:rFonts w:ascii="Cambria" w:hAnsi="Cambria"/>
        </w:rPr>
        <w:t>.</w:t>
      </w:r>
      <w:proofErr w:type="gramEnd"/>
      <w:r w:rsidRPr="0011023D">
        <w:rPr>
          <w:rFonts w:ascii="Cambria" w:hAnsi="Cambria"/>
        </w:rPr>
        <w:t xml:space="preserve"> </w:t>
      </w:r>
      <w:proofErr w:type="gramStart"/>
      <w:r w:rsidRPr="0011023D">
        <w:rPr>
          <w:rFonts w:ascii="Cambria" w:hAnsi="Cambria"/>
          <w:i/>
        </w:rPr>
        <w:t>Ancient Israel’s Faith and History.</w:t>
      </w:r>
      <w:proofErr w:type="gramEnd"/>
      <w:r w:rsidRPr="0011023D">
        <w:rPr>
          <w:rFonts w:ascii="Cambria" w:hAnsi="Cambria"/>
        </w:rPr>
        <w:t xml:space="preserve"> 2001. 200.</w:t>
      </w:r>
    </w:p>
  </w:footnote>
  <w:footnote w:id="25">
    <w:p w:rsidR="00066E50" w:rsidRPr="0011023D" w:rsidRDefault="00066E50" w:rsidP="006C404E">
      <w:pPr>
        <w:pStyle w:val="FootnoteText"/>
        <w:rPr>
          <w:rFonts w:ascii="Cambria" w:hAnsi="Cambria"/>
        </w:rPr>
      </w:pPr>
      <w:r w:rsidRPr="0011023D">
        <w:rPr>
          <w:rStyle w:val="FootnoteReference"/>
          <w:rFonts w:ascii="Cambria" w:hAnsi="Cambria"/>
        </w:rPr>
        <w:footnoteRef/>
      </w:r>
      <w:r w:rsidRPr="0011023D">
        <w:rPr>
          <w:rFonts w:ascii="Cambria" w:hAnsi="Cambria"/>
        </w:rPr>
        <w:t xml:space="preserve"> Errington, R. M. </w:t>
      </w:r>
      <w:r w:rsidRPr="0011023D">
        <w:rPr>
          <w:rFonts w:ascii="Cambria" w:hAnsi="Cambria"/>
          <w:i/>
        </w:rPr>
        <w:t xml:space="preserve">A History of the Hellenistic World 323-30BC. </w:t>
      </w:r>
      <w:r w:rsidRPr="0011023D">
        <w:rPr>
          <w:rFonts w:ascii="Cambria" w:hAnsi="Cambria"/>
        </w:rPr>
        <w:t>2008. 270.</w:t>
      </w:r>
    </w:p>
  </w:footnote>
  <w:footnote w:id="26">
    <w:p w:rsidR="00066E50" w:rsidRPr="00B408B3" w:rsidRDefault="00066E50">
      <w:pPr>
        <w:pStyle w:val="FootnoteText"/>
        <w:rPr>
          <w:i/>
        </w:rPr>
      </w:pPr>
      <w:r w:rsidRPr="0011023D">
        <w:rPr>
          <w:rStyle w:val="FootnoteReference"/>
          <w:rFonts w:ascii="Cambria" w:hAnsi="Cambria"/>
        </w:rPr>
        <w:footnoteRef/>
      </w:r>
      <w:r w:rsidR="00BA7B08" w:rsidRPr="0011023D">
        <w:rPr>
          <w:rFonts w:ascii="Cambria" w:hAnsi="Cambria"/>
        </w:rPr>
        <w:t xml:space="preserve"> Mathews. </w:t>
      </w:r>
      <w:proofErr w:type="gramStart"/>
      <w:r w:rsidR="00BA7B08" w:rsidRPr="0011023D">
        <w:rPr>
          <w:rFonts w:ascii="Cambria" w:hAnsi="Cambria"/>
        </w:rPr>
        <w:t>‘Antiochu</w:t>
      </w:r>
      <w:r w:rsidRPr="0011023D">
        <w:rPr>
          <w:rFonts w:ascii="Cambria" w:hAnsi="Cambria"/>
        </w:rPr>
        <w:t>s Epiphanes and the Jewish State’</w:t>
      </w:r>
      <w:r w:rsidRPr="00B408B3">
        <w:rPr>
          <w:rFonts w:ascii="Cambria" w:hAnsi="Cambria"/>
        </w:rPr>
        <w:t>.</w:t>
      </w:r>
      <w:proofErr w:type="gramEnd"/>
      <w:r w:rsidRPr="00B408B3">
        <w:rPr>
          <w:rFonts w:ascii="Cambria" w:hAnsi="Cambria"/>
        </w:rPr>
        <w:t xml:space="preserve"> 1899. 15.</w:t>
      </w:r>
    </w:p>
  </w:footnote>
  <w:footnote w:id="27">
    <w:p w:rsidR="00066E50" w:rsidRPr="002D68AD" w:rsidRDefault="00066E50">
      <w:pPr>
        <w:pStyle w:val="FootnoteText"/>
        <w:rPr>
          <w:rFonts w:ascii="Cambria" w:hAnsi="Cambria"/>
        </w:rPr>
      </w:pPr>
      <w:r w:rsidRPr="002D68AD">
        <w:rPr>
          <w:rStyle w:val="FootnoteReference"/>
          <w:rFonts w:ascii="Cambria" w:hAnsi="Cambria"/>
        </w:rPr>
        <w:footnoteRef/>
      </w:r>
      <w:r w:rsidRPr="002D68AD">
        <w:rPr>
          <w:rFonts w:ascii="Cambria" w:hAnsi="Cambria"/>
        </w:rPr>
        <w:t xml:space="preserve"> </w:t>
      </w:r>
      <w:proofErr w:type="spellStart"/>
      <w:proofErr w:type="gramStart"/>
      <w:r w:rsidRPr="002D68AD">
        <w:rPr>
          <w:rFonts w:ascii="Cambria" w:hAnsi="Cambria"/>
        </w:rPr>
        <w:t>Scheid</w:t>
      </w:r>
      <w:proofErr w:type="spellEnd"/>
      <w:r w:rsidRPr="002D68AD">
        <w:rPr>
          <w:rFonts w:ascii="Cambria" w:hAnsi="Cambria"/>
        </w:rPr>
        <w:t>.</w:t>
      </w:r>
      <w:proofErr w:type="gramEnd"/>
      <w:r w:rsidRPr="002D68AD">
        <w:rPr>
          <w:rFonts w:ascii="Cambria" w:hAnsi="Cambria"/>
        </w:rPr>
        <w:t xml:space="preserve"> </w:t>
      </w:r>
      <w:proofErr w:type="gramStart"/>
      <w:r w:rsidRPr="002D68AD">
        <w:rPr>
          <w:rFonts w:ascii="Cambria" w:hAnsi="Cambria"/>
        </w:rPr>
        <w:t>‘Religions in Contact’ 2007.</w:t>
      </w:r>
      <w:proofErr w:type="gramEnd"/>
      <w:r w:rsidRPr="002D68AD">
        <w:rPr>
          <w:rFonts w:ascii="Cambria" w:hAnsi="Cambria"/>
        </w:rPr>
        <w:t xml:space="preserve"> 114.</w:t>
      </w:r>
    </w:p>
  </w:footnote>
  <w:footnote w:id="28">
    <w:p w:rsidR="00066E50" w:rsidRPr="002D68AD" w:rsidRDefault="00066E50">
      <w:pPr>
        <w:pStyle w:val="FootnoteText"/>
        <w:rPr>
          <w:rFonts w:ascii="Cambria" w:hAnsi="Cambria"/>
        </w:rPr>
      </w:pPr>
      <w:r w:rsidRPr="002D68AD">
        <w:rPr>
          <w:rStyle w:val="FootnoteReference"/>
          <w:rFonts w:ascii="Cambria" w:hAnsi="Cambria"/>
        </w:rPr>
        <w:footnoteRef/>
      </w:r>
      <w:r w:rsidRPr="002D68AD">
        <w:rPr>
          <w:rFonts w:ascii="Cambria" w:hAnsi="Cambria"/>
        </w:rPr>
        <w:t xml:space="preserve"> </w:t>
      </w:r>
      <w:proofErr w:type="gramStart"/>
      <w:r w:rsidRPr="002D68AD">
        <w:rPr>
          <w:rFonts w:ascii="Cambria" w:hAnsi="Cambria"/>
        </w:rPr>
        <w:t>Mendenhall.</w:t>
      </w:r>
      <w:proofErr w:type="gramEnd"/>
      <w:r w:rsidRPr="002D68AD">
        <w:rPr>
          <w:rFonts w:ascii="Cambria" w:hAnsi="Cambria"/>
        </w:rPr>
        <w:t xml:space="preserve"> </w:t>
      </w:r>
      <w:proofErr w:type="gramStart"/>
      <w:r w:rsidRPr="002D68AD">
        <w:rPr>
          <w:rFonts w:ascii="Cambria" w:hAnsi="Cambria"/>
          <w:i/>
        </w:rPr>
        <w:t>Ancient Israel’s Faith and History.</w:t>
      </w:r>
      <w:proofErr w:type="gramEnd"/>
      <w:r w:rsidRPr="002D68AD">
        <w:rPr>
          <w:rFonts w:ascii="Cambria" w:hAnsi="Cambria"/>
        </w:rPr>
        <w:t xml:space="preserve"> 2001. 200.</w:t>
      </w:r>
    </w:p>
  </w:footnote>
  <w:footnote w:id="29">
    <w:p w:rsidR="002D68AD" w:rsidRDefault="002D68AD">
      <w:pPr>
        <w:pStyle w:val="FootnoteText"/>
      </w:pPr>
      <w:r w:rsidRPr="002D68AD">
        <w:rPr>
          <w:rStyle w:val="FootnoteReference"/>
          <w:rFonts w:ascii="Cambria" w:hAnsi="Cambria"/>
        </w:rPr>
        <w:footnoteRef/>
      </w:r>
      <w:r w:rsidRPr="002D68AD">
        <w:rPr>
          <w:rFonts w:ascii="Cambria" w:hAnsi="Cambria"/>
        </w:rPr>
        <w:t xml:space="preserve"> </w:t>
      </w:r>
      <w:proofErr w:type="spellStart"/>
      <w:proofErr w:type="gramStart"/>
      <w:r w:rsidRPr="002D68AD">
        <w:rPr>
          <w:rFonts w:ascii="Cambria" w:hAnsi="Cambria"/>
        </w:rPr>
        <w:t>Gruen</w:t>
      </w:r>
      <w:proofErr w:type="spellEnd"/>
      <w:r w:rsidRPr="002D68AD">
        <w:rPr>
          <w:rFonts w:ascii="Cambria" w:hAnsi="Cambria"/>
        </w:rPr>
        <w:t>.</w:t>
      </w:r>
      <w:proofErr w:type="gramEnd"/>
      <w:r w:rsidRPr="002D68AD">
        <w:rPr>
          <w:rFonts w:ascii="Cambria" w:hAnsi="Cambria"/>
        </w:rPr>
        <w:t xml:space="preserve"> </w:t>
      </w:r>
      <w:proofErr w:type="gramStart"/>
      <w:r w:rsidRPr="002D68AD">
        <w:rPr>
          <w:rFonts w:ascii="Cambria" w:hAnsi="Cambria"/>
        </w:rPr>
        <w:t>‘Jews and Greeks’ 2003.</w:t>
      </w:r>
      <w:proofErr w:type="gramEnd"/>
      <w:r w:rsidRPr="002D68AD">
        <w:rPr>
          <w:rFonts w:ascii="Cambria" w:hAnsi="Cambria"/>
        </w:rPr>
        <w:t xml:space="preserve"> 264.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8148E0"/>
    <w:multiLevelType w:val="hybridMultilevel"/>
    <w:tmpl w:val="1E06439E"/>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ayMDQwNTY2NTEyNbFQ0lEKTi0uzszPAykwqQUAf+FQhiwAAAA="/>
  </w:docVars>
  <w:rsids>
    <w:rsidRoot w:val="00581460"/>
    <w:rsid w:val="0000287A"/>
    <w:rsid w:val="0001272C"/>
    <w:rsid w:val="0006659D"/>
    <w:rsid w:val="00066E50"/>
    <w:rsid w:val="000A34F4"/>
    <w:rsid w:val="000D254D"/>
    <w:rsid w:val="0011023D"/>
    <w:rsid w:val="00156545"/>
    <w:rsid w:val="00190715"/>
    <w:rsid w:val="001D1E7D"/>
    <w:rsid w:val="001E4C37"/>
    <w:rsid w:val="001F593A"/>
    <w:rsid w:val="002255C7"/>
    <w:rsid w:val="0024206E"/>
    <w:rsid w:val="002D68AD"/>
    <w:rsid w:val="00301A66"/>
    <w:rsid w:val="00376754"/>
    <w:rsid w:val="003A65D5"/>
    <w:rsid w:val="00406A62"/>
    <w:rsid w:val="00422734"/>
    <w:rsid w:val="0047550E"/>
    <w:rsid w:val="00485282"/>
    <w:rsid w:val="004B409D"/>
    <w:rsid w:val="005150BA"/>
    <w:rsid w:val="00557611"/>
    <w:rsid w:val="00576E3A"/>
    <w:rsid w:val="00581460"/>
    <w:rsid w:val="00634177"/>
    <w:rsid w:val="006C404E"/>
    <w:rsid w:val="006C7451"/>
    <w:rsid w:val="006F6DA0"/>
    <w:rsid w:val="00757F07"/>
    <w:rsid w:val="007A16CB"/>
    <w:rsid w:val="007B04D8"/>
    <w:rsid w:val="007E2C96"/>
    <w:rsid w:val="00800703"/>
    <w:rsid w:val="00925297"/>
    <w:rsid w:val="00936277"/>
    <w:rsid w:val="00953118"/>
    <w:rsid w:val="00974A0E"/>
    <w:rsid w:val="00997153"/>
    <w:rsid w:val="009C219D"/>
    <w:rsid w:val="00A028C0"/>
    <w:rsid w:val="00A65EA3"/>
    <w:rsid w:val="00AC72A0"/>
    <w:rsid w:val="00B408B3"/>
    <w:rsid w:val="00BA7B08"/>
    <w:rsid w:val="00BB420F"/>
    <w:rsid w:val="00BD2B68"/>
    <w:rsid w:val="00BE02EC"/>
    <w:rsid w:val="00C81142"/>
    <w:rsid w:val="00CE1EFC"/>
    <w:rsid w:val="00D26DF8"/>
    <w:rsid w:val="00D46D33"/>
    <w:rsid w:val="00DE1900"/>
    <w:rsid w:val="00E56858"/>
    <w:rsid w:val="00E67F90"/>
    <w:rsid w:val="00E903FA"/>
    <w:rsid w:val="00ED3151"/>
    <w:rsid w:val="00F010E1"/>
    <w:rsid w:val="00F60F99"/>
    <w:rsid w:val="00F84038"/>
    <w:rsid w:val="00F9697B"/>
    <w:rsid w:val="00FA3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145F8E-A859-4BC2-8618-A05138EFE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0F99"/>
    <w:pPr>
      <w:spacing w:line="256" w:lineRule="auto"/>
      <w:ind w:left="720"/>
      <w:contextualSpacing/>
    </w:pPr>
    <w:rPr>
      <w:rFonts w:eastAsia="Calibri" w:cs="Times New Roman"/>
    </w:rPr>
  </w:style>
  <w:style w:type="paragraph" w:styleId="FootnoteText">
    <w:name w:val="footnote text"/>
    <w:basedOn w:val="Normal"/>
    <w:link w:val="FootnoteTextChar"/>
    <w:uiPriority w:val="99"/>
    <w:semiHidden/>
    <w:unhideWhenUsed/>
    <w:rsid w:val="00E903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03FA"/>
    <w:rPr>
      <w:sz w:val="20"/>
      <w:szCs w:val="20"/>
    </w:rPr>
  </w:style>
  <w:style w:type="character" w:styleId="FootnoteReference">
    <w:name w:val="footnote reference"/>
    <w:basedOn w:val="DefaultParagraphFont"/>
    <w:uiPriority w:val="99"/>
    <w:semiHidden/>
    <w:unhideWhenUsed/>
    <w:rsid w:val="00E903FA"/>
    <w:rPr>
      <w:vertAlign w:val="superscript"/>
    </w:rPr>
  </w:style>
  <w:style w:type="character" w:styleId="Hyperlink">
    <w:name w:val="Hyperlink"/>
    <w:basedOn w:val="DefaultParagraphFont"/>
    <w:uiPriority w:val="99"/>
    <w:unhideWhenUsed/>
    <w:rsid w:val="001907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11936">
      <w:bodyDiv w:val="1"/>
      <w:marLeft w:val="0"/>
      <w:marRight w:val="0"/>
      <w:marTop w:val="0"/>
      <w:marBottom w:val="0"/>
      <w:divBdr>
        <w:top w:val="none" w:sz="0" w:space="0" w:color="auto"/>
        <w:left w:val="none" w:sz="0" w:space="0" w:color="auto"/>
        <w:bottom w:val="none" w:sz="0" w:space="0" w:color="auto"/>
        <w:right w:val="none" w:sz="0" w:space="0" w:color="auto"/>
      </w:divBdr>
    </w:div>
    <w:div w:id="1128550046">
      <w:bodyDiv w:val="1"/>
      <w:marLeft w:val="0"/>
      <w:marRight w:val="0"/>
      <w:marTop w:val="0"/>
      <w:marBottom w:val="0"/>
      <w:divBdr>
        <w:top w:val="none" w:sz="0" w:space="0" w:color="auto"/>
        <w:left w:val="none" w:sz="0" w:space="0" w:color="auto"/>
        <w:bottom w:val="none" w:sz="0" w:space="0" w:color="auto"/>
        <w:right w:val="none" w:sz="0" w:space="0" w:color="auto"/>
      </w:divBdr>
    </w:div>
    <w:div w:id="178823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6F5AC7-4427-4C14-BA86-97DDBD845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2717</Words>
  <Characters>15491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Bradley</dc:creator>
  <cp:keywords/>
  <dc:description/>
  <cp:lastModifiedBy>Andrew Bradley</cp:lastModifiedBy>
  <cp:revision>3</cp:revision>
  <dcterms:created xsi:type="dcterms:W3CDTF">2018-06-21T13:18:00Z</dcterms:created>
  <dcterms:modified xsi:type="dcterms:W3CDTF">2018-06-21T13:19:00Z</dcterms:modified>
</cp:coreProperties>
</file>