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8147F" w14:textId="77777777" w:rsidR="00CB6071" w:rsidRPr="00CB6071" w:rsidRDefault="00CB6071" w:rsidP="00CB6071">
      <w:pPr>
        <w:rPr>
          <w:rFonts w:ascii="Arial" w:hAnsi="Arial" w:cs="Arial"/>
        </w:rPr>
      </w:pPr>
      <w:r w:rsidRPr="00CB6071">
        <w:rPr>
          <w:rFonts w:ascii="Arial" w:hAnsi="Arial" w:cs="Arial"/>
          <w:b/>
          <w:bCs/>
        </w:rPr>
        <w:t>Examining the physiological and emotional effects of trauma on young people</w:t>
      </w:r>
    </w:p>
    <w:p w14:paraId="7CD750FB" w14:textId="1DA8B03E" w:rsidR="00CB6071" w:rsidRPr="00CB6071" w:rsidRDefault="00CB6071" w:rsidP="00CB6071">
      <w:pPr>
        <w:rPr>
          <w:rFonts w:ascii="Arial" w:hAnsi="Arial" w:cs="Arial"/>
        </w:rPr>
      </w:pPr>
      <w:r w:rsidRPr="00CB6071">
        <w:rPr>
          <w:rFonts w:ascii="Arial" w:hAnsi="Arial" w:cs="Arial"/>
        </w:rPr>
        <w:t>Childhood trauma is not a rare, dramatic exception; for many children and young people in the United Kingdom it is part of ordinary life. Guidance from Traumatic Stress Wales</w:t>
      </w:r>
      <w:r>
        <w:rPr>
          <w:rFonts w:ascii="Arial" w:hAnsi="Arial" w:cs="Arial"/>
        </w:rPr>
        <w:t xml:space="preserve"> (2024)</w:t>
      </w:r>
      <w:r w:rsidRPr="00CB6071">
        <w:rPr>
          <w:rFonts w:ascii="Arial" w:hAnsi="Arial" w:cs="Arial"/>
        </w:rPr>
        <w:t xml:space="preserve"> describes childhood trauma as exposure to events such as serious accidents, domestic abuse, sexual violence or sudden bereavement that overwhelm a young person’s ability to cope and notes that such experiences are common across the population. A large systematic review of studies on adverse childhood experiences across high-income </w:t>
      </w:r>
      <w:proofErr w:type="spellStart"/>
      <w:proofErr w:type="gramStart"/>
      <w:r w:rsidRPr="00CB6071">
        <w:rPr>
          <w:rFonts w:ascii="Arial" w:hAnsi="Arial" w:cs="Arial"/>
        </w:rPr>
        <w:t>countries,including</w:t>
      </w:r>
      <w:proofErr w:type="spellEnd"/>
      <w:proofErr w:type="gramEnd"/>
      <w:r w:rsidRPr="00CB6071">
        <w:rPr>
          <w:rFonts w:ascii="Arial" w:hAnsi="Arial" w:cs="Arial"/>
        </w:rPr>
        <w:t xml:space="preserve"> the United Kingdom, conducted by Hughes </w:t>
      </w:r>
      <w:proofErr w:type="gramStart"/>
      <w:r w:rsidRPr="00CB6071">
        <w:rPr>
          <w:rFonts w:ascii="Arial" w:hAnsi="Arial" w:cs="Arial"/>
        </w:rPr>
        <w:t>et al.(</w:t>
      </w:r>
      <w:proofErr w:type="gramEnd"/>
      <w:r w:rsidRPr="00CB6071">
        <w:rPr>
          <w:rFonts w:ascii="Arial" w:hAnsi="Arial" w:cs="Arial"/>
        </w:rPr>
        <w:t>2020)</w:t>
      </w:r>
      <w:r>
        <w:rPr>
          <w:rFonts w:ascii="Arial" w:hAnsi="Arial" w:cs="Arial"/>
        </w:rPr>
        <w:t xml:space="preserve">, </w:t>
      </w:r>
      <w:r w:rsidRPr="00CB6071">
        <w:rPr>
          <w:rFonts w:ascii="Arial" w:hAnsi="Arial" w:cs="Arial"/>
        </w:rPr>
        <w:t>found that multiple adversities are strongly associated with later mental and physical health problems, underlining trauma as a major public-health issue. For practitioners, the key task is to understand how these experiences shape the body and emotions, and how this then shows up in everyday behaviour at home, in school and in services.</w:t>
      </w:r>
    </w:p>
    <w:p w14:paraId="6B4AAF55" w14:textId="77777777" w:rsidR="00CB6071" w:rsidRPr="00CB6071" w:rsidRDefault="00CB6071" w:rsidP="00CB6071">
      <w:pPr>
        <w:rPr>
          <w:rFonts w:ascii="Arial" w:hAnsi="Arial" w:cs="Arial"/>
        </w:rPr>
      </w:pPr>
      <w:r w:rsidRPr="00CB6071">
        <w:rPr>
          <w:rFonts w:ascii="Arial" w:hAnsi="Arial" w:cs="Arial"/>
        </w:rPr>
        <w:t>Physiologically, trauma is first and foremost a stress response. When a child lives with chronic threat, the body’s alarm systems—the hypothalamic–pituitary–adrenal (HPA) axis and the autonomic nervous system—adapt to a world that feels unsafe. A clinical review by De Bellis and Zisk (2014), drawing on neuroimaging and endocrine studies with children and adolescents exposed to maltreatment, shows consistent alterations in stress hormones, brain regions involved in emotion regulation and areas linked to attention and impulse control. These adaptations help the young person survive danger but can later appear as hypervigilance, concentration problems or explosive reactions in everyday situations (De Bellis and Zisk, 2014).</w:t>
      </w:r>
    </w:p>
    <w:p w14:paraId="2B353D5A" w14:textId="77777777" w:rsidR="00CB6071" w:rsidRPr="00CB6071" w:rsidRDefault="00CB6071" w:rsidP="00CB6071">
      <w:pPr>
        <w:rPr>
          <w:rFonts w:ascii="Arial" w:hAnsi="Arial" w:cs="Arial"/>
        </w:rPr>
      </w:pPr>
      <w:r w:rsidRPr="00CB6071">
        <w:rPr>
          <w:rFonts w:ascii="Arial" w:hAnsi="Arial" w:cs="Arial"/>
        </w:rPr>
        <w:t xml:space="preserve">More recent work in developmental neuroscience reframes these changes as “latent vulnerability”: patterns in brain function that keep a child on high alert and increase risk for later mental health difficulties even when life becomes safer (McCrory, Gerin and </w:t>
      </w:r>
      <w:proofErr w:type="spellStart"/>
      <w:r w:rsidRPr="00CB6071">
        <w:rPr>
          <w:rFonts w:ascii="Arial" w:hAnsi="Arial" w:cs="Arial"/>
        </w:rPr>
        <w:t>Viding</w:t>
      </w:r>
      <w:proofErr w:type="spellEnd"/>
      <w:r w:rsidRPr="00CB6071">
        <w:rPr>
          <w:rFonts w:ascii="Arial" w:hAnsi="Arial" w:cs="Arial"/>
        </w:rPr>
        <w:t xml:space="preserve">, 2017). Synthesising this evidence for clinicians, Samson et al. (2024) emphasise that hyper-reactive threat systems and reduced capacity for cognitive control are not signs of defiance but predictable outcomes of early maltreatment. From a trauma-informed perspective, a young person who startles easily, misreads neutral faces as hostile or seems “on edge” is showing the body’s attempt to stay alive in environments that have previously been dangerous (Samson </w:t>
      </w:r>
      <w:r w:rsidRPr="00CB6071">
        <w:rPr>
          <w:rFonts w:ascii="Arial" w:hAnsi="Arial" w:cs="Arial"/>
          <w:i/>
          <w:iCs/>
        </w:rPr>
        <w:t>et al</w:t>
      </w:r>
      <w:r w:rsidRPr="00CB6071">
        <w:rPr>
          <w:rFonts w:ascii="Arial" w:hAnsi="Arial" w:cs="Arial"/>
        </w:rPr>
        <w:t>., 2024).</w:t>
      </w:r>
    </w:p>
    <w:p w14:paraId="347F67B5" w14:textId="77777777" w:rsidR="00CB6071" w:rsidRPr="00CB6071" w:rsidRDefault="00CB6071" w:rsidP="00CB6071">
      <w:pPr>
        <w:rPr>
          <w:rFonts w:ascii="Arial" w:hAnsi="Arial" w:cs="Arial"/>
        </w:rPr>
      </w:pPr>
      <w:r w:rsidRPr="00CB6071">
        <w:rPr>
          <w:rFonts w:ascii="Arial" w:hAnsi="Arial" w:cs="Arial"/>
        </w:rPr>
        <w:t xml:space="preserve">The impact of trauma is not limited to the brain. Psychoneuroimmunology research led by Danese and Lewis (2017) demonstrates that early-life stress is linked with chronic inflammation and disturbances in immune function, helping to explain why some young people develop headaches, stomach aches and fatigue without clear medical findings. In practice, this means that “mystery” physical symptoms may be trauma-related rather than “attention seeking” (Danese and Lewis, 2017). UK resources on childhood trauma for practitioners describe how young people may present with sleep disturbance, nightmares, heightened startle responses and a range of bodily complaints after frightening events (Perry and Szalavitz, 2017). National Health Service guidance on post-traumatic stress disorder in children </w:t>
      </w:r>
      <w:r w:rsidRPr="00CB6071">
        <w:rPr>
          <w:rFonts w:ascii="Arial" w:hAnsi="Arial" w:cs="Arial"/>
        </w:rPr>
        <w:lastRenderedPageBreak/>
        <w:t>similarly highlights nightmares, poor sleep, irritability and physical symptoms such as aches and pains as core warning signs (National Health Service, 2019). A trauma-informed practitioner therefore treats physical complaints as meaningful signals of distress, not as behaviour to be dismissed.</w:t>
      </w:r>
    </w:p>
    <w:p w14:paraId="16BA6592" w14:textId="77777777" w:rsidR="00CB6071" w:rsidRPr="00CB6071" w:rsidRDefault="00CB6071" w:rsidP="00CB6071">
      <w:pPr>
        <w:rPr>
          <w:rFonts w:ascii="Arial" w:hAnsi="Arial" w:cs="Arial"/>
        </w:rPr>
      </w:pPr>
      <w:r w:rsidRPr="00CB6071">
        <w:rPr>
          <w:rFonts w:ascii="Arial" w:hAnsi="Arial" w:cs="Arial"/>
        </w:rPr>
        <w:t xml:space="preserve">Emotionally, trauma can reshape how a young person understands themselves and other people. In a systematic review and meta-analysis of qualitative and quantitative studies, Downey and Crummy (2022) found that professionals working with trauma-exposed children frequently observed intense shame, self-blame, mistrust of adults and a tendency either to shut down emotionally or to express distress through aggression and substance use. These emotional patterns were described in services in </w:t>
      </w:r>
      <w:proofErr w:type="gramStart"/>
      <w:r w:rsidRPr="00CB6071">
        <w:rPr>
          <w:rFonts w:ascii="Arial" w:hAnsi="Arial" w:cs="Arial"/>
        </w:rPr>
        <w:t>Ireland</w:t>
      </w:r>
      <w:proofErr w:type="gramEnd"/>
      <w:r w:rsidRPr="00CB6071">
        <w:rPr>
          <w:rFonts w:ascii="Arial" w:hAnsi="Arial" w:cs="Arial"/>
        </w:rPr>
        <w:t xml:space="preserve"> but mirror presentations commonly seen in UK child and adolescent mental health settings (Downey and Crummy, 2022). Guidance for Child and Adolescent Mental Health Services (CAMHS) from Blaustein and Kinniburgh (2018) notes that traumatised young people often report intrusive memories, emotional numbing, sudden anger and avoidance of reminders of the trauma.</w:t>
      </w:r>
    </w:p>
    <w:p w14:paraId="07D74B37" w14:textId="77777777" w:rsidR="00CB6071" w:rsidRPr="00CB6071" w:rsidRDefault="00CB6071" w:rsidP="00CB6071">
      <w:pPr>
        <w:rPr>
          <w:rFonts w:ascii="Arial" w:hAnsi="Arial" w:cs="Arial"/>
        </w:rPr>
      </w:pPr>
      <w:r w:rsidRPr="00CB6071">
        <w:rPr>
          <w:rFonts w:ascii="Arial" w:hAnsi="Arial" w:cs="Arial"/>
        </w:rPr>
        <w:t>At a deeper level, trauma may disrupt a young person’s relationship with their own body. Drawing on decades of clinical work and neurobiological research, van der Kolk (2014) argues that repeated trauma can lead to disconnection from bodily sensations and emotions, making it harder for individuals to recognise when they are scared, hungry, tired or safe. This can result in apparently “unprovoked” outbursts or risk-taking behaviour because the young person notices only extremes—panic or numbness—rather than more subtle emotional cues (van der Kolk, 2014). Materials from the UK Trauma Council on childhood trauma and the brain similarly emphasise that difficulties with emotional regulation and trust are typical consequences of trauma rather than signs of a “difficult” child (UK Trauma Council, 2020).</w:t>
      </w:r>
    </w:p>
    <w:p w14:paraId="696D20CB" w14:textId="49949CA5" w:rsidR="00CB6071" w:rsidRPr="00CB6071" w:rsidRDefault="00CB6071" w:rsidP="00CB6071">
      <w:pPr>
        <w:rPr>
          <w:rFonts w:ascii="Arial" w:hAnsi="Arial" w:cs="Arial"/>
        </w:rPr>
      </w:pPr>
      <w:r w:rsidRPr="00CB6071">
        <w:rPr>
          <w:rFonts w:ascii="Arial" w:hAnsi="Arial" w:cs="Arial"/>
        </w:rPr>
        <w:t xml:space="preserve">These physiological and emotional changes are closely linked to behaviour. In school, a young person who has experienced chronic abuse or violence may struggle to sit still, be easily triggered by shouting, or skip lessons to avoid </w:t>
      </w:r>
      <w:proofErr w:type="gramStart"/>
      <w:r w:rsidRPr="00CB6071">
        <w:rPr>
          <w:rFonts w:ascii="Arial" w:hAnsi="Arial" w:cs="Arial"/>
        </w:rPr>
        <w:t>particular adults</w:t>
      </w:r>
      <w:proofErr w:type="gramEnd"/>
      <w:r w:rsidRPr="00CB6071">
        <w:rPr>
          <w:rFonts w:ascii="Arial" w:hAnsi="Arial" w:cs="Arial"/>
        </w:rPr>
        <w:t xml:space="preserve"> or spaces. Downey and Crummy (2022) found that clinicians frequently observed hypervigilant young people scanning for danger, misinterpreting neutral comments as criticism and responding with either confrontation or withdrawal. Trauma-informed guidance for educators and </w:t>
      </w:r>
      <w:proofErr w:type="gramStart"/>
      <w:r w:rsidRPr="00CB6071">
        <w:rPr>
          <w:rFonts w:ascii="Arial" w:hAnsi="Arial" w:cs="Arial"/>
        </w:rPr>
        <w:t>practitioners</w:t>
      </w:r>
      <w:proofErr w:type="gramEnd"/>
      <w:r w:rsidRPr="00CB6071">
        <w:rPr>
          <w:rFonts w:ascii="Arial" w:hAnsi="Arial" w:cs="Arial"/>
        </w:rPr>
        <w:t xml:space="preserve"> stresses that such patterns are best understood as adaptive survival strategies that have become mismatched to the current environment rather than as deliberate “bad behaviour” (Traumatic Stress Wales,</w:t>
      </w:r>
      <w:r>
        <w:rPr>
          <w:rFonts w:ascii="Arial" w:hAnsi="Arial" w:cs="Arial"/>
        </w:rPr>
        <w:t xml:space="preserve"> 2024</w:t>
      </w:r>
      <w:r w:rsidRPr="00CB6071">
        <w:rPr>
          <w:rFonts w:ascii="Arial" w:hAnsi="Arial" w:cs="Arial"/>
        </w:rPr>
        <w:t>).</w:t>
      </w:r>
    </w:p>
    <w:p w14:paraId="1A900535" w14:textId="77777777" w:rsidR="00CB6071" w:rsidRPr="00CB6071" w:rsidRDefault="00CB6071" w:rsidP="00CB6071">
      <w:pPr>
        <w:rPr>
          <w:rFonts w:ascii="Arial" w:hAnsi="Arial" w:cs="Arial"/>
        </w:rPr>
      </w:pPr>
      <w:r w:rsidRPr="00CB6071">
        <w:rPr>
          <w:rFonts w:ascii="Arial" w:hAnsi="Arial" w:cs="Arial"/>
        </w:rPr>
        <w:t xml:space="preserve">Language plays a critical role in how these behaviours are interpreted. An NSPCC Learning blog on professional language warns that describing a young person as “attention seeking” can obscure the reality that the child is “in need of attention” and support after trauma (NSPCC Learning, 2023). Reframing behaviour in this way encourages practitioners to </w:t>
      </w:r>
      <w:proofErr w:type="gramStart"/>
      <w:r w:rsidRPr="00CB6071">
        <w:rPr>
          <w:rFonts w:ascii="Arial" w:hAnsi="Arial" w:cs="Arial"/>
        </w:rPr>
        <w:t>ask</w:t>
      </w:r>
      <w:proofErr w:type="gramEnd"/>
      <w:r w:rsidRPr="00CB6071">
        <w:rPr>
          <w:rFonts w:ascii="Arial" w:hAnsi="Arial" w:cs="Arial"/>
        </w:rPr>
        <w:t xml:space="preserve"> “What has happened to this young person?” rather than “What is wrong with them?”, which aligns closely with trauma-informed practice </w:t>
      </w:r>
      <w:r w:rsidRPr="00CB6071">
        <w:rPr>
          <w:rFonts w:ascii="Arial" w:hAnsi="Arial" w:cs="Arial"/>
        </w:rPr>
        <w:lastRenderedPageBreak/>
        <w:t>principles in UK policy and training (NSPCC Learning, 2023). This shift is particularly important when young people present with self-harm, substance use or aggression, which may be coping strategies developed in the absence of safe support (Downey and Crummy, 2022).</w:t>
      </w:r>
    </w:p>
    <w:p w14:paraId="22248697" w14:textId="331C8804" w:rsidR="00CB6071" w:rsidRPr="00CB6071" w:rsidRDefault="00CB6071" w:rsidP="00CB6071">
      <w:pPr>
        <w:rPr>
          <w:rFonts w:ascii="Arial" w:hAnsi="Arial" w:cs="Arial"/>
        </w:rPr>
      </w:pPr>
      <w:r w:rsidRPr="00CB6071">
        <w:rPr>
          <w:rFonts w:ascii="Arial" w:hAnsi="Arial" w:cs="Arial"/>
        </w:rPr>
        <w:t xml:space="preserve">Implications for support and provision flow directly from this understanding of trauma as embodied and relational. National Institute for Health and Care Excellence guidance on post-traumatic stress disorder recommends trauma-focused cognitive behavioural therapy (TF-CBT) or eye movement desensitisation and reprocessing (EMDR) as first-line treatments for children and young people, with adaptations for developmental stage and involvement of caregivers where appropriate (National Institute for Health and Care Excellence, 2018). A qualitative study of 13 young people aged 17–25 receiving TF-CBT found that participants valued authentic, collaborative relationships with therapists and described therapy, though emotionally demanding, as “like a huge weight lifted off my shoulders” when they felt safe and in control (Eastwood </w:t>
      </w:r>
      <w:r w:rsidRPr="00CB6071">
        <w:rPr>
          <w:rFonts w:ascii="Arial" w:hAnsi="Arial" w:cs="Arial"/>
          <w:i/>
          <w:iCs/>
        </w:rPr>
        <w:t>et al</w:t>
      </w:r>
      <w:r w:rsidRPr="00CB6071">
        <w:rPr>
          <w:rFonts w:ascii="Arial" w:hAnsi="Arial" w:cs="Arial"/>
        </w:rPr>
        <w:t xml:space="preserve">., 2021). This highlights that evidence-based interventions work best when young people experience both emotional safety and a sense of control and participation in decisions about their care and </w:t>
      </w:r>
      <w:r w:rsidRPr="00CB6071">
        <w:rPr>
          <w:rFonts w:ascii="Arial" w:hAnsi="Arial" w:cs="Arial"/>
        </w:rPr>
        <w:t>recovery</w:t>
      </w:r>
      <w:r w:rsidRPr="00CB6071">
        <w:rPr>
          <w:rFonts w:ascii="Arial" w:hAnsi="Arial" w:cs="Arial"/>
        </w:rPr>
        <w:t>.</w:t>
      </w:r>
    </w:p>
    <w:p w14:paraId="6E4C1B81" w14:textId="77777777" w:rsidR="00CB6071" w:rsidRPr="00CB6071" w:rsidRDefault="00CB6071" w:rsidP="00CB6071">
      <w:pPr>
        <w:rPr>
          <w:rFonts w:ascii="Arial" w:hAnsi="Arial" w:cs="Arial"/>
        </w:rPr>
      </w:pPr>
      <w:r w:rsidRPr="00CB6071">
        <w:rPr>
          <w:rFonts w:ascii="Arial" w:hAnsi="Arial" w:cs="Arial"/>
        </w:rPr>
        <w:t>Beyond individual therapy, service-level frameworks in the United Kingdom now emphasise trauma-informed systems. The UK Trauma Council’s guide “Childhood Trauma and the Brain” outlines key principles for creating environments that promote safety, predictability and supportive relationships, stressing that routine, clear boundaries and emotionally regulated adults allow children to reduce constant “scanning for danger” (UK Trauma Council, 2020). National implementation guidance on urgent and emergency mental health care for children and young people from NHS England underlines the need for crisis teams to adopt compassionate, trauma-informed approaches, avoid unnecessary hospital admissions and work collaboratively with families and schools (NHS England, 2024). These documents position trauma-informed care as a whole-system responsibility, not just the job of specialist therapists.</w:t>
      </w:r>
    </w:p>
    <w:p w14:paraId="78C81D18" w14:textId="70CCD528" w:rsidR="00CB6071" w:rsidRPr="00CB6071" w:rsidRDefault="00CB6071" w:rsidP="00CB6071">
      <w:pPr>
        <w:rPr>
          <w:rFonts w:ascii="Arial" w:hAnsi="Arial" w:cs="Arial"/>
        </w:rPr>
      </w:pPr>
      <w:r w:rsidRPr="00CB6071">
        <w:rPr>
          <w:rFonts w:ascii="Arial" w:hAnsi="Arial" w:cs="Arial"/>
        </w:rPr>
        <w:t>However, policy reviews suggest that implementation remains uneven. An independent review of children and young people’s mental health policy in England, conducted by the Children and Young People’s Mental Health Coalition</w:t>
      </w:r>
      <w:r>
        <w:rPr>
          <w:rFonts w:ascii="Arial" w:hAnsi="Arial" w:cs="Arial"/>
        </w:rPr>
        <w:t xml:space="preserve"> (2023)</w:t>
      </w:r>
      <w:r w:rsidRPr="00CB6071">
        <w:rPr>
          <w:rFonts w:ascii="Arial" w:hAnsi="Arial" w:cs="Arial"/>
        </w:rPr>
        <w:t>, found that despite significant investment there are still gaps in early intervention, inconsistent access to high-quality psychological therapies and variable training for staff in trauma-informed practice. This means that many traumatised young people continue to encounter environments where their behaviour is interpreted as defiance or manipulation rather than as an expression of distress, risking further exclusion from education and services (Children and Young People’s Mental Health Coalition, 2023).</w:t>
      </w:r>
    </w:p>
    <w:p w14:paraId="30111E07" w14:textId="77777777" w:rsidR="00CB6071" w:rsidRPr="00CB6071" w:rsidRDefault="00CB6071" w:rsidP="00CB6071">
      <w:pPr>
        <w:rPr>
          <w:rFonts w:ascii="Arial" w:hAnsi="Arial" w:cs="Arial"/>
        </w:rPr>
      </w:pPr>
      <w:r w:rsidRPr="00CB6071">
        <w:rPr>
          <w:rFonts w:ascii="Arial" w:hAnsi="Arial" w:cs="Arial"/>
        </w:rPr>
        <w:t xml:space="preserve">A trauma-informed approach therefore requires more than empathy; it requires consistent changes in how systems respond. For example, Herman (2015) describes </w:t>
      </w:r>
      <w:r w:rsidRPr="00CB6071">
        <w:rPr>
          <w:rFonts w:ascii="Arial" w:hAnsi="Arial" w:cs="Arial"/>
        </w:rPr>
        <w:lastRenderedPageBreak/>
        <w:t>a stepped approach in which psychoeducation about trauma, stabilisation of safety and routine, and support for caregivers are prioritised before intensive trauma processing. National Health Service guidance similarly emphasises that children and young people should, wherever possible, be supported in their communities with coordinated input from schools, primary care and specialist services, reserving inpatient care for the most severe presentations (NHS England, 2024). These models embody an understanding that physiological hyperarousal and emotional dysregulation will only settle when the young person consistently experiences safety, predictability and trustworthy relationships.</w:t>
      </w:r>
    </w:p>
    <w:p w14:paraId="1BB9B335" w14:textId="77777777" w:rsidR="00CB6071" w:rsidRPr="00CB6071" w:rsidRDefault="00CB6071" w:rsidP="00CB6071">
      <w:pPr>
        <w:rPr>
          <w:rFonts w:ascii="Arial" w:hAnsi="Arial" w:cs="Arial"/>
        </w:rPr>
      </w:pPr>
      <w:r w:rsidRPr="00CB6071">
        <w:rPr>
          <w:rFonts w:ascii="Arial" w:hAnsi="Arial" w:cs="Arial"/>
        </w:rPr>
        <w:t>In summary, trauma in childhood and adolescence produces intertwined physiological and emotional effects that strongly shape behaviour. Stress-response systems become recalibrated towards survival, immune and bodily processes are disrupted, and young people may develop patterns of hypervigilance, dissociation or emotional numbing (Danese and Lewis, 2017). These changes, in turn, influence how young people relate to others and to themselves, often leading to behaviours that are easily misread as oppositional or “attention seeking” (Downey and Crummy, 2022). Trauma-informed practice in the United Kingdom calls on professionals to interpret such behaviour through the lens of “what happened” rather than “what is wrong”, to create calm, predictable environments and to offer evidence-based interventions that restore safety, agency and connection (National Institute for Health and Care Excellence, 2018). When services adopt this stance consistently, trauma-related behaviour becomes an important source of information about need rather than a barrier to support.</w:t>
      </w:r>
    </w:p>
    <w:p w14:paraId="3E1CC8BA" w14:textId="7D1A4176" w:rsidR="00CB6071" w:rsidRPr="00CB6071" w:rsidRDefault="00CB6071" w:rsidP="00CB6071">
      <w:pPr>
        <w:rPr>
          <w:rFonts w:ascii="Arial" w:hAnsi="Arial" w:cs="Arial"/>
        </w:rPr>
      </w:pPr>
    </w:p>
    <w:p w14:paraId="714D648E" w14:textId="77777777" w:rsidR="00CB6071" w:rsidRPr="00CB6071" w:rsidRDefault="00CB6071" w:rsidP="00CB6071">
      <w:pPr>
        <w:rPr>
          <w:rFonts w:ascii="Arial" w:hAnsi="Arial" w:cs="Arial"/>
        </w:rPr>
      </w:pPr>
      <w:r w:rsidRPr="00CB6071">
        <w:rPr>
          <w:rFonts w:ascii="Arial" w:hAnsi="Arial" w:cs="Arial"/>
          <w:b/>
          <w:bCs/>
        </w:rPr>
        <w:t>References</w:t>
      </w:r>
    </w:p>
    <w:p w14:paraId="5C11CB58" w14:textId="77777777" w:rsidR="00DE69CF" w:rsidRPr="00CB6071" w:rsidRDefault="00DE69CF" w:rsidP="00CB6071">
      <w:pPr>
        <w:rPr>
          <w:rFonts w:ascii="Arial" w:hAnsi="Arial" w:cs="Arial"/>
        </w:rPr>
      </w:pPr>
      <w:r w:rsidRPr="00CB6071">
        <w:rPr>
          <w:rFonts w:ascii="Arial" w:hAnsi="Arial" w:cs="Arial"/>
        </w:rPr>
        <w:t xml:space="preserve">Blaustein, M.E. and Kinniburgh, K.M. (2018) </w:t>
      </w:r>
      <w:r w:rsidRPr="00CB6071">
        <w:rPr>
          <w:rFonts w:ascii="Arial" w:hAnsi="Arial" w:cs="Arial"/>
          <w:i/>
          <w:iCs/>
        </w:rPr>
        <w:t>Treating traumatic stress in children and adolescents: How to foster resilience through attachment, self-regulation and competency</w:t>
      </w:r>
      <w:r w:rsidRPr="00CB6071">
        <w:rPr>
          <w:rFonts w:ascii="Arial" w:hAnsi="Arial" w:cs="Arial"/>
        </w:rPr>
        <w:t xml:space="preserve">. 2nd </w:t>
      </w:r>
      <w:proofErr w:type="spellStart"/>
      <w:r w:rsidRPr="00CB6071">
        <w:rPr>
          <w:rFonts w:ascii="Arial" w:hAnsi="Arial" w:cs="Arial"/>
        </w:rPr>
        <w:t>edn</w:t>
      </w:r>
      <w:proofErr w:type="spellEnd"/>
      <w:r w:rsidRPr="00CB6071">
        <w:rPr>
          <w:rFonts w:ascii="Arial" w:hAnsi="Arial" w:cs="Arial"/>
        </w:rPr>
        <w:t>. New York: Guilford Press.</w:t>
      </w:r>
    </w:p>
    <w:p w14:paraId="31B2CE81" w14:textId="77777777" w:rsidR="00DE69CF" w:rsidRPr="00CB6071" w:rsidRDefault="00DE69CF" w:rsidP="00CB6071">
      <w:pPr>
        <w:rPr>
          <w:rFonts w:ascii="Arial" w:hAnsi="Arial" w:cs="Arial"/>
        </w:rPr>
      </w:pPr>
      <w:r w:rsidRPr="00CB6071">
        <w:rPr>
          <w:rFonts w:ascii="Arial" w:hAnsi="Arial" w:cs="Arial"/>
        </w:rPr>
        <w:t xml:space="preserve">Children and Young People’s Mental Health Coalition (2023) ‘Children and young people’s mental health: independent review of policy, success and implementation </w:t>
      </w:r>
      <w:proofErr w:type="gramStart"/>
      <w:r w:rsidRPr="00CB6071">
        <w:rPr>
          <w:rFonts w:ascii="Arial" w:hAnsi="Arial" w:cs="Arial"/>
        </w:rPr>
        <w:t>gaps’</w:t>
      </w:r>
      <w:proofErr w:type="gramEnd"/>
      <w:r w:rsidRPr="00CB6071">
        <w:rPr>
          <w:rFonts w:ascii="Arial" w:hAnsi="Arial" w:cs="Arial"/>
        </w:rPr>
        <w:t xml:space="preserve">. London: Local Government Association. Available at: </w:t>
      </w:r>
      <w:r w:rsidRPr="000304B3">
        <w:rPr>
          <w:rFonts w:ascii="Arial" w:hAnsi="Arial" w:cs="Arial"/>
        </w:rPr>
        <w:t>https://www.local.gov.uk/publications/children-and-young-peoples-mental-health-independent-review</w:t>
      </w:r>
      <w:r w:rsidRPr="000304B3">
        <w:rPr>
          <w:rFonts w:ascii="Arial" w:hAnsi="Arial" w:cs="Arial"/>
        </w:rPr>
        <w:t>-</w:t>
      </w:r>
      <w:r w:rsidRPr="000304B3">
        <w:rPr>
          <w:rFonts w:ascii="Arial" w:hAnsi="Arial" w:cs="Arial"/>
        </w:rPr>
        <w:t>policy-success-and</w:t>
      </w:r>
      <w:r>
        <w:rPr>
          <w:rFonts w:ascii="Arial" w:hAnsi="Arial" w:cs="Arial"/>
        </w:rPr>
        <w:t xml:space="preserve">. </w:t>
      </w:r>
      <w:r w:rsidRPr="00CB6071">
        <w:rPr>
          <w:rFonts w:ascii="Arial" w:hAnsi="Arial" w:cs="Arial"/>
        </w:rPr>
        <w:t xml:space="preserve"> (Accessed: </w:t>
      </w:r>
      <w:r>
        <w:rPr>
          <w:rFonts w:ascii="Arial" w:hAnsi="Arial" w:cs="Arial"/>
        </w:rPr>
        <w:t>1</w:t>
      </w:r>
      <w:r w:rsidRPr="00CB6071">
        <w:rPr>
          <w:rFonts w:ascii="Arial" w:hAnsi="Arial" w:cs="Arial"/>
        </w:rPr>
        <w:t xml:space="preserve"> December 2025).</w:t>
      </w:r>
    </w:p>
    <w:p w14:paraId="33A8F50B" w14:textId="77777777" w:rsidR="00DE69CF" w:rsidRPr="00CB6071" w:rsidRDefault="00DE69CF" w:rsidP="00CB6071">
      <w:pPr>
        <w:rPr>
          <w:rFonts w:ascii="Arial" w:hAnsi="Arial" w:cs="Arial"/>
        </w:rPr>
      </w:pPr>
      <w:r w:rsidRPr="00CB6071">
        <w:rPr>
          <w:rFonts w:ascii="Arial" w:hAnsi="Arial" w:cs="Arial"/>
        </w:rPr>
        <w:t xml:space="preserve">Danese, A. and Lewis, S.J. (2017) ‘Psychoneuroimmunology of early-life stress: The hidden wounds of childhood trauma?’, </w:t>
      </w:r>
      <w:r w:rsidRPr="00CB6071">
        <w:rPr>
          <w:rFonts w:ascii="Arial" w:hAnsi="Arial" w:cs="Arial"/>
          <w:i/>
          <w:iCs/>
        </w:rPr>
        <w:t>Neuropsychopharmacology</w:t>
      </w:r>
      <w:r w:rsidRPr="00CB6071">
        <w:rPr>
          <w:rFonts w:ascii="Arial" w:hAnsi="Arial" w:cs="Arial"/>
        </w:rPr>
        <w:t xml:space="preserve">, 42(1), pp. 99–114. Available at: </w:t>
      </w:r>
      <w:r w:rsidRPr="0017448B">
        <w:rPr>
          <w:rFonts w:ascii="Arial" w:hAnsi="Arial" w:cs="Arial"/>
        </w:rPr>
        <w:t>https://www.proquest.com/scholarly-journals/psychoneuroimmunology-early-life-stress-hidden/docview/1845238637/se-2</w:t>
      </w:r>
      <w:r>
        <w:rPr>
          <w:rFonts w:ascii="Arial" w:hAnsi="Arial" w:cs="Arial"/>
        </w:rPr>
        <w:t xml:space="preserve">. </w:t>
      </w:r>
      <w:r w:rsidRPr="00CB6071">
        <w:rPr>
          <w:rFonts w:ascii="Arial" w:hAnsi="Arial" w:cs="Arial"/>
        </w:rPr>
        <w:t xml:space="preserve"> (Accessed: </w:t>
      </w:r>
      <w:r>
        <w:rPr>
          <w:rFonts w:ascii="Arial" w:hAnsi="Arial" w:cs="Arial"/>
        </w:rPr>
        <w:t>2</w:t>
      </w:r>
      <w:r w:rsidRPr="00CB6071">
        <w:rPr>
          <w:rFonts w:ascii="Arial" w:hAnsi="Arial" w:cs="Arial"/>
        </w:rPr>
        <w:t xml:space="preserve"> December 2025).</w:t>
      </w:r>
    </w:p>
    <w:p w14:paraId="73CD7A17" w14:textId="77777777" w:rsidR="00DE69CF" w:rsidRPr="00CB6071" w:rsidRDefault="00DE69CF" w:rsidP="00CB6071">
      <w:pPr>
        <w:rPr>
          <w:rFonts w:ascii="Arial" w:hAnsi="Arial" w:cs="Arial"/>
        </w:rPr>
      </w:pPr>
      <w:r w:rsidRPr="00CB6071">
        <w:rPr>
          <w:rFonts w:ascii="Arial" w:hAnsi="Arial" w:cs="Arial"/>
        </w:rPr>
        <w:t xml:space="preserve">De Bellis, M.D. and Zisk, A. (2014) ‘The biological effects of childhood trauma’, </w:t>
      </w:r>
      <w:r w:rsidRPr="00CB6071">
        <w:rPr>
          <w:rFonts w:ascii="Arial" w:hAnsi="Arial" w:cs="Arial"/>
          <w:i/>
          <w:iCs/>
        </w:rPr>
        <w:t>Child and Adolescent Psychiatric Clinics of North America</w:t>
      </w:r>
      <w:r w:rsidRPr="00CB6071">
        <w:rPr>
          <w:rFonts w:ascii="Arial" w:hAnsi="Arial" w:cs="Arial"/>
        </w:rPr>
        <w:t xml:space="preserve">, 23(2), pp. 185–222. Available </w:t>
      </w:r>
      <w:r w:rsidRPr="00CB6071">
        <w:rPr>
          <w:rFonts w:ascii="Arial" w:hAnsi="Arial" w:cs="Arial"/>
        </w:rPr>
        <w:lastRenderedPageBreak/>
        <w:t xml:space="preserve">at: </w:t>
      </w:r>
      <w:r w:rsidRPr="0017448B">
        <w:rPr>
          <w:rFonts w:ascii="Arial" w:hAnsi="Arial" w:cs="Arial"/>
        </w:rPr>
        <w:t>https://europepmc.org/backend/ptpmcrender.fcgi?accid=PMC3968319&amp;blobtype=pdf</w:t>
      </w:r>
      <w:r>
        <w:rPr>
          <w:rFonts w:ascii="Arial" w:hAnsi="Arial" w:cs="Arial"/>
        </w:rPr>
        <w:t xml:space="preserve">. </w:t>
      </w:r>
      <w:r w:rsidRPr="00CB6071">
        <w:rPr>
          <w:rFonts w:ascii="Arial" w:hAnsi="Arial" w:cs="Arial"/>
        </w:rPr>
        <w:t xml:space="preserve"> (Accessed: </w:t>
      </w:r>
      <w:r>
        <w:rPr>
          <w:rFonts w:ascii="Arial" w:hAnsi="Arial" w:cs="Arial"/>
        </w:rPr>
        <w:t>5</w:t>
      </w:r>
      <w:r w:rsidRPr="00CB6071">
        <w:rPr>
          <w:rFonts w:ascii="Arial" w:hAnsi="Arial" w:cs="Arial"/>
        </w:rPr>
        <w:t xml:space="preserve"> December 2025).</w:t>
      </w:r>
    </w:p>
    <w:p w14:paraId="2CD1AF0E" w14:textId="77777777" w:rsidR="00DE69CF" w:rsidRPr="00CB6071" w:rsidRDefault="00DE69CF" w:rsidP="00CB6071">
      <w:pPr>
        <w:rPr>
          <w:rFonts w:ascii="Arial" w:hAnsi="Arial" w:cs="Arial"/>
        </w:rPr>
      </w:pPr>
      <w:r w:rsidRPr="00CB6071">
        <w:rPr>
          <w:rFonts w:ascii="Arial" w:hAnsi="Arial" w:cs="Arial"/>
        </w:rPr>
        <w:t xml:space="preserve">Downey, C. and Crummy, A. (2022) ‘The impact of childhood trauma on children’s wellbeing and adult </w:t>
      </w:r>
      <w:proofErr w:type="spellStart"/>
      <w:r w:rsidRPr="00CB6071">
        <w:rPr>
          <w:rFonts w:ascii="Arial" w:hAnsi="Arial" w:cs="Arial"/>
        </w:rPr>
        <w:t>behavior</w:t>
      </w:r>
      <w:proofErr w:type="spellEnd"/>
      <w:r w:rsidRPr="00CB6071">
        <w:rPr>
          <w:rFonts w:ascii="Arial" w:hAnsi="Arial" w:cs="Arial"/>
        </w:rPr>
        <w:t xml:space="preserve">’, </w:t>
      </w:r>
      <w:r w:rsidRPr="00CB6071">
        <w:rPr>
          <w:rFonts w:ascii="Arial" w:hAnsi="Arial" w:cs="Arial"/>
          <w:i/>
          <w:iCs/>
        </w:rPr>
        <w:t>European Journal of Trauma and Dissociation</w:t>
      </w:r>
      <w:r w:rsidRPr="00CB6071">
        <w:rPr>
          <w:rFonts w:ascii="Arial" w:hAnsi="Arial" w:cs="Arial"/>
        </w:rPr>
        <w:t xml:space="preserve">, 6(1), p. 100237. Available at: </w:t>
      </w:r>
      <w:r w:rsidRPr="0017448B">
        <w:rPr>
          <w:rFonts w:ascii="Arial" w:hAnsi="Arial" w:cs="Arial"/>
        </w:rPr>
        <w:t>https://doi-org.ezproxy.uwtsd.ac.uk/10.1016/j.ejtd.2021.100237</w:t>
      </w:r>
      <w:r>
        <w:rPr>
          <w:rFonts w:ascii="Arial" w:hAnsi="Arial" w:cs="Arial"/>
        </w:rPr>
        <w:t>.</w:t>
      </w:r>
      <w:r w:rsidRPr="00CB6071">
        <w:rPr>
          <w:rFonts w:ascii="Arial" w:hAnsi="Arial" w:cs="Arial"/>
        </w:rPr>
        <w:t xml:space="preserve"> (Accessed: </w:t>
      </w:r>
      <w:r>
        <w:rPr>
          <w:rFonts w:ascii="Arial" w:hAnsi="Arial" w:cs="Arial"/>
        </w:rPr>
        <w:t>3</w:t>
      </w:r>
      <w:r w:rsidRPr="00CB6071">
        <w:rPr>
          <w:rFonts w:ascii="Arial" w:hAnsi="Arial" w:cs="Arial"/>
        </w:rPr>
        <w:t xml:space="preserve"> December 2025).</w:t>
      </w:r>
    </w:p>
    <w:p w14:paraId="033578BE" w14:textId="77777777" w:rsidR="00DE69CF" w:rsidRPr="00CB6071" w:rsidRDefault="00DE69CF" w:rsidP="00CB6071">
      <w:pPr>
        <w:rPr>
          <w:rFonts w:ascii="Arial" w:hAnsi="Arial" w:cs="Arial"/>
        </w:rPr>
      </w:pPr>
      <w:r w:rsidRPr="00CB6071">
        <w:rPr>
          <w:rFonts w:ascii="Arial" w:hAnsi="Arial" w:cs="Arial"/>
        </w:rPr>
        <w:t xml:space="preserve">Eastwood, O., Peters, W., Cohen, J., Murray, L., Rice, S., Alvarez-Jimenez, M. and Bendall, S. (2021) ‘“Like a huge weight lifted off my shoulders”: Exploring young peoples’ experiences of treatment in a pilot trial of trauma-focused cognitive </w:t>
      </w:r>
      <w:proofErr w:type="spellStart"/>
      <w:r w:rsidRPr="00CB6071">
        <w:rPr>
          <w:rFonts w:ascii="Arial" w:hAnsi="Arial" w:cs="Arial"/>
        </w:rPr>
        <w:t>behavioral</w:t>
      </w:r>
      <w:proofErr w:type="spellEnd"/>
      <w:r w:rsidRPr="00CB6071">
        <w:rPr>
          <w:rFonts w:ascii="Arial" w:hAnsi="Arial" w:cs="Arial"/>
        </w:rPr>
        <w:t xml:space="preserve"> therapy’, </w:t>
      </w:r>
      <w:r w:rsidRPr="00CB6071">
        <w:rPr>
          <w:rFonts w:ascii="Arial" w:hAnsi="Arial" w:cs="Arial"/>
          <w:i/>
          <w:iCs/>
        </w:rPr>
        <w:t>Psychotherapy Research</w:t>
      </w:r>
      <w:r w:rsidRPr="00CB6071">
        <w:rPr>
          <w:rFonts w:ascii="Arial" w:hAnsi="Arial" w:cs="Arial"/>
        </w:rPr>
        <w:t xml:space="preserve">, 31(6), pp. 737–751. Available at: </w:t>
      </w:r>
      <w:r w:rsidRPr="00E87B28">
        <w:rPr>
          <w:rFonts w:ascii="Arial" w:hAnsi="Arial" w:cs="Arial"/>
        </w:rPr>
        <w:t>https://doi-org.ezproxy.uwtsd.ac.uk/10.1080/10503307.2020.1851794</w:t>
      </w:r>
      <w:r>
        <w:rPr>
          <w:rFonts w:ascii="Arial" w:hAnsi="Arial" w:cs="Arial"/>
        </w:rPr>
        <w:t xml:space="preserve">. </w:t>
      </w:r>
      <w:r w:rsidRPr="00CB6071">
        <w:rPr>
          <w:rFonts w:ascii="Arial" w:hAnsi="Arial" w:cs="Arial"/>
        </w:rPr>
        <w:t xml:space="preserve">(Accessed: </w:t>
      </w:r>
      <w:r>
        <w:rPr>
          <w:rFonts w:ascii="Arial" w:hAnsi="Arial" w:cs="Arial"/>
        </w:rPr>
        <w:t>4</w:t>
      </w:r>
      <w:r w:rsidRPr="00CB6071">
        <w:rPr>
          <w:rFonts w:ascii="Arial" w:hAnsi="Arial" w:cs="Arial"/>
        </w:rPr>
        <w:t xml:space="preserve"> December 2025).</w:t>
      </w:r>
    </w:p>
    <w:p w14:paraId="3565BD88" w14:textId="77777777" w:rsidR="00DE69CF" w:rsidRPr="00CB6071" w:rsidRDefault="00DE69CF" w:rsidP="00CB6071">
      <w:pPr>
        <w:rPr>
          <w:rFonts w:ascii="Arial" w:hAnsi="Arial" w:cs="Arial"/>
        </w:rPr>
      </w:pPr>
      <w:r w:rsidRPr="00CB6071">
        <w:rPr>
          <w:rFonts w:ascii="Arial" w:hAnsi="Arial" w:cs="Arial"/>
        </w:rPr>
        <w:t xml:space="preserve">Herman, J.L. (2015) </w:t>
      </w:r>
      <w:r w:rsidRPr="00CB6071">
        <w:rPr>
          <w:rFonts w:ascii="Arial" w:hAnsi="Arial" w:cs="Arial"/>
          <w:i/>
          <w:iCs/>
        </w:rPr>
        <w:t>Trauma and recovery: The aftermath of violence – From domestic abuse to political terror</w:t>
      </w:r>
      <w:r w:rsidRPr="00CB6071">
        <w:rPr>
          <w:rFonts w:ascii="Arial" w:hAnsi="Arial" w:cs="Arial"/>
        </w:rPr>
        <w:t>.</w:t>
      </w:r>
      <w:r>
        <w:rPr>
          <w:rFonts w:ascii="Arial" w:hAnsi="Arial" w:cs="Arial"/>
        </w:rPr>
        <w:t xml:space="preserve"> 2</w:t>
      </w:r>
      <w:r>
        <w:rPr>
          <w:rFonts w:ascii="Arial" w:hAnsi="Arial" w:cs="Arial"/>
          <w:vertAlign w:val="superscript"/>
        </w:rPr>
        <w:t xml:space="preserve">nd </w:t>
      </w:r>
      <w:proofErr w:type="spellStart"/>
      <w:r>
        <w:rPr>
          <w:rFonts w:ascii="Arial" w:hAnsi="Arial" w:cs="Arial"/>
        </w:rPr>
        <w:t>edn</w:t>
      </w:r>
      <w:proofErr w:type="spellEnd"/>
      <w:r>
        <w:rPr>
          <w:rFonts w:ascii="Arial" w:hAnsi="Arial" w:cs="Arial"/>
        </w:rPr>
        <w:t xml:space="preserve">. </w:t>
      </w:r>
      <w:r w:rsidRPr="00CB6071">
        <w:rPr>
          <w:rFonts w:ascii="Arial" w:hAnsi="Arial" w:cs="Arial"/>
        </w:rPr>
        <w:t>New York: Basic Books.</w:t>
      </w:r>
    </w:p>
    <w:p w14:paraId="1B24E034" w14:textId="77777777" w:rsidR="00DE69CF" w:rsidRPr="00CB6071" w:rsidRDefault="00DE69CF" w:rsidP="00CB6071">
      <w:pPr>
        <w:rPr>
          <w:rFonts w:ascii="Arial" w:hAnsi="Arial" w:cs="Arial"/>
        </w:rPr>
      </w:pPr>
      <w:r w:rsidRPr="00CB6071">
        <w:rPr>
          <w:rFonts w:ascii="Arial" w:hAnsi="Arial" w:cs="Arial"/>
        </w:rPr>
        <w:t xml:space="preserve">Hughes, K., Bellis, M.A., Hardcastle, K.A., Sethi, D., Butchart, A., </w:t>
      </w:r>
      <w:proofErr w:type="spellStart"/>
      <w:r w:rsidRPr="00CB6071">
        <w:rPr>
          <w:rFonts w:ascii="Arial" w:hAnsi="Arial" w:cs="Arial"/>
        </w:rPr>
        <w:t>Mikton</w:t>
      </w:r>
      <w:proofErr w:type="spellEnd"/>
      <w:r w:rsidRPr="00CB6071">
        <w:rPr>
          <w:rFonts w:ascii="Arial" w:hAnsi="Arial" w:cs="Arial"/>
        </w:rPr>
        <w:t>, C., Jones, L. and Dunne, M.P. (20</w:t>
      </w:r>
      <w:r>
        <w:rPr>
          <w:rFonts w:ascii="Arial" w:hAnsi="Arial" w:cs="Arial"/>
        </w:rPr>
        <w:t>20</w:t>
      </w:r>
      <w:r w:rsidRPr="00CB6071">
        <w:rPr>
          <w:rFonts w:ascii="Arial" w:hAnsi="Arial" w:cs="Arial"/>
        </w:rPr>
        <w:t xml:space="preserve">) ‘The effect of multiple adverse childhood experiences on health: A systematic review and meta-analysis’, </w:t>
      </w:r>
      <w:r w:rsidRPr="00CB6071">
        <w:rPr>
          <w:rFonts w:ascii="Arial" w:hAnsi="Arial" w:cs="Arial"/>
          <w:i/>
          <w:iCs/>
        </w:rPr>
        <w:t>The Lancet Public Health</w:t>
      </w:r>
      <w:r w:rsidRPr="00CB6071">
        <w:rPr>
          <w:rFonts w:ascii="Arial" w:hAnsi="Arial" w:cs="Arial"/>
        </w:rPr>
        <w:t>, 2(8), pp. e356–e366. Available at: https://doi.org/10.1016/S2468-266</w:t>
      </w:r>
      <w:r w:rsidRPr="00CB6071">
        <w:rPr>
          <w:rFonts w:ascii="Arial" w:hAnsi="Arial" w:cs="Arial"/>
        </w:rPr>
        <w:t>7</w:t>
      </w:r>
      <w:r w:rsidRPr="00CB6071">
        <w:rPr>
          <w:rFonts w:ascii="Arial" w:hAnsi="Arial" w:cs="Arial"/>
        </w:rPr>
        <w:t>(17)30118-4</w:t>
      </w:r>
      <w:r>
        <w:rPr>
          <w:rFonts w:ascii="Arial" w:hAnsi="Arial" w:cs="Arial"/>
        </w:rPr>
        <w:t xml:space="preserve">. </w:t>
      </w:r>
      <w:r w:rsidRPr="00CB6071">
        <w:rPr>
          <w:rFonts w:ascii="Arial" w:hAnsi="Arial" w:cs="Arial"/>
        </w:rPr>
        <w:t xml:space="preserve"> (Accessed: </w:t>
      </w:r>
      <w:r>
        <w:rPr>
          <w:rFonts w:ascii="Arial" w:hAnsi="Arial" w:cs="Arial"/>
        </w:rPr>
        <w:t>3</w:t>
      </w:r>
      <w:r w:rsidRPr="00CB6071">
        <w:rPr>
          <w:rFonts w:ascii="Arial" w:hAnsi="Arial" w:cs="Arial"/>
        </w:rPr>
        <w:t xml:space="preserve"> December 2025).</w:t>
      </w:r>
    </w:p>
    <w:p w14:paraId="70B9F48B" w14:textId="77777777" w:rsidR="00DE69CF" w:rsidRPr="00CB6071" w:rsidRDefault="00DE69CF" w:rsidP="00CB6071">
      <w:pPr>
        <w:rPr>
          <w:rFonts w:ascii="Arial" w:hAnsi="Arial" w:cs="Arial"/>
        </w:rPr>
      </w:pPr>
      <w:r w:rsidRPr="00CB6071">
        <w:rPr>
          <w:rFonts w:ascii="Arial" w:hAnsi="Arial" w:cs="Arial"/>
        </w:rPr>
        <w:t xml:space="preserve">McCrory, E.J., Gerin, M.I. and </w:t>
      </w:r>
      <w:proofErr w:type="spellStart"/>
      <w:r w:rsidRPr="00CB6071">
        <w:rPr>
          <w:rFonts w:ascii="Arial" w:hAnsi="Arial" w:cs="Arial"/>
        </w:rPr>
        <w:t>Viding</w:t>
      </w:r>
      <w:proofErr w:type="spellEnd"/>
      <w:r w:rsidRPr="00CB6071">
        <w:rPr>
          <w:rFonts w:ascii="Arial" w:hAnsi="Arial" w:cs="Arial"/>
        </w:rPr>
        <w:t xml:space="preserve">, E. (2017) ‘Annual Research Review: Childhood maltreatment, latent vulnerability and the shift to preventative psychiatry – the contribution of functional brain imaging’, </w:t>
      </w:r>
      <w:r w:rsidRPr="00CB6071">
        <w:rPr>
          <w:rFonts w:ascii="Arial" w:hAnsi="Arial" w:cs="Arial"/>
          <w:i/>
          <w:iCs/>
        </w:rPr>
        <w:t>Journal of Child Psychology and Psychiatry</w:t>
      </w:r>
      <w:r w:rsidRPr="00CB6071">
        <w:rPr>
          <w:rFonts w:ascii="Arial" w:hAnsi="Arial" w:cs="Arial"/>
        </w:rPr>
        <w:t>, 58(4), pp. 338–357. Available at: htt</w:t>
      </w:r>
      <w:r w:rsidRPr="00CB6071">
        <w:rPr>
          <w:rFonts w:ascii="Arial" w:hAnsi="Arial" w:cs="Arial"/>
        </w:rPr>
        <w:t>p</w:t>
      </w:r>
      <w:r w:rsidRPr="00CB6071">
        <w:rPr>
          <w:rFonts w:ascii="Arial" w:hAnsi="Arial" w:cs="Arial"/>
        </w:rPr>
        <w:t>s://doi.org/10.1111/jcpp.12713</w:t>
      </w:r>
      <w:r>
        <w:rPr>
          <w:rFonts w:ascii="Arial" w:hAnsi="Arial" w:cs="Arial"/>
        </w:rPr>
        <w:t>.</w:t>
      </w:r>
      <w:r w:rsidRPr="00CB6071">
        <w:rPr>
          <w:rFonts w:ascii="Arial" w:hAnsi="Arial" w:cs="Arial"/>
        </w:rPr>
        <w:t xml:space="preserve"> (Accessed: </w:t>
      </w:r>
      <w:r>
        <w:rPr>
          <w:rFonts w:ascii="Arial" w:hAnsi="Arial" w:cs="Arial"/>
        </w:rPr>
        <w:t>4</w:t>
      </w:r>
      <w:r w:rsidRPr="00CB6071">
        <w:rPr>
          <w:rFonts w:ascii="Arial" w:hAnsi="Arial" w:cs="Arial"/>
        </w:rPr>
        <w:t xml:space="preserve"> December 2025).</w:t>
      </w:r>
    </w:p>
    <w:p w14:paraId="28E7678B" w14:textId="77777777" w:rsidR="00DE69CF" w:rsidRPr="00CB6071" w:rsidRDefault="00DE69CF" w:rsidP="00CB6071">
      <w:pPr>
        <w:rPr>
          <w:rFonts w:ascii="Arial" w:hAnsi="Arial" w:cs="Arial"/>
        </w:rPr>
      </w:pPr>
      <w:r w:rsidRPr="00CB6071">
        <w:rPr>
          <w:rFonts w:ascii="Arial" w:hAnsi="Arial" w:cs="Arial"/>
        </w:rPr>
        <w:t>National Health Service (2019) ‘</w:t>
      </w:r>
      <w:proofErr w:type="gramStart"/>
      <w:r w:rsidRPr="00CB6071">
        <w:rPr>
          <w:rFonts w:ascii="Arial" w:hAnsi="Arial" w:cs="Arial"/>
        </w:rPr>
        <w:t>Post-traumatic</w:t>
      </w:r>
      <w:proofErr w:type="gramEnd"/>
      <w:r w:rsidRPr="00CB6071">
        <w:rPr>
          <w:rFonts w:ascii="Arial" w:hAnsi="Arial" w:cs="Arial"/>
        </w:rPr>
        <w:t xml:space="preserve"> stress disorder (PTSD): Overview’. Available at: https://www.nhs.uk/mental-health/conditions/po</w:t>
      </w:r>
      <w:r w:rsidRPr="00CB6071">
        <w:rPr>
          <w:rFonts w:ascii="Arial" w:hAnsi="Arial" w:cs="Arial"/>
        </w:rPr>
        <w:t>s</w:t>
      </w:r>
      <w:r w:rsidRPr="00CB6071">
        <w:rPr>
          <w:rFonts w:ascii="Arial" w:hAnsi="Arial" w:cs="Arial"/>
        </w:rPr>
        <w:t>t-traumatic-stress-disorder-ptsd/overview</w:t>
      </w:r>
      <w:r>
        <w:rPr>
          <w:rFonts w:ascii="Arial" w:hAnsi="Arial" w:cs="Arial"/>
        </w:rPr>
        <w:t>.</w:t>
      </w:r>
      <w:r w:rsidRPr="00CB6071">
        <w:rPr>
          <w:rFonts w:ascii="Arial" w:hAnsi="Arial" w:cs="Arial"/>
        </w:rPr>
        <w:t xml:space="preserve"> (Accessed: </w:t>
      </w:r>
      <w:r>
        <w:rPr>
          <w:rFonts w:ascii="Arial" w:hAnsi="Arial" w:cs="Arial"/>
        </w:rPr>
        <w:t>5</w:t>
      </w:r>
      <w:r w:rsidRPr="00CB6071">
        <w:rPr>
          <w:rFonts w:ascii="Arial" w:hAnsi="Arial" w:cs="Arial"/>
        </w:rPr>
        <w:t xml:space="preserve"> December 2025).</w:t>
      </w:r>
    </w:p>
    <w:p w14:paraId="507BFA77" w14:textId="77777777" w:rsidR="00DE69CF" w:rsidRPr="00CB6071" w:rsidRDefault="00DE69CF" w:rsidP="00CB6071">
      <w:pPr>
        <w:rPr>
          <w:rFonts w:ascii="Arial" w:hAnsi="Arial" w:cs="Arial"/>
        </w:rPr>
      </w:pPr>
      <w:r w:rsidRPr="00CB6071">
        <w:rPr>
          <w:rFonts w:ascii="Arial" w:hAnsi="Arial" w:cs="Arial"/>
        </w:rPr>
        <w:t>National Institute for Health and Care Excellence (2018) ‘</w:t>
      </w:r>
      <w:proofErr w:type="gramStart"/>
      <w:r w:rsidRPr="00CB6071">
        <w:rPr>
          <w:rFonts w:ascii="Arial" w:hAnsi="Arial" w:cs="Arial"/>
        </w:rPr>
        <w:t>Post-traumatic</w:t>
      </w:r>
      <w:proofErr w:type="gramEnd"/>
      <w:r w:rsidRPr="00CB6071">
        <w:rPr>
          <w:rFonts w:ascii="Arial" w:hAnsi="Arial" w:cs="Arial"/>
        </w:rPr>
        <w:t xml:space="preserve"> stress disorder [NG116]’. London: NICE. Available at: https://www.nice.org.uk/guidance/n</w:t>
      </w:r>
      <w:r w:rsidRPr="00CB6071">
        <w:rPr>
          <w:rFonts w:ascii="Arial" w:hAnsi="Arial" w:cs="Arial"/>
        </w:rPr>
        <w:t>g</w:t>
      </w:r>
      <w:r w:rsidRPr="00CB6071">
        <w:rPr>
          <w:rFonts w:ascii="Arial" w:hAnsi="Arial" w:cs="Arial"/>
        </w:rPr>
        <w:t>116</w:t>
      </w:r>
      <w:r>
        <w:rPr>
          <w:rFonts w:ascii="Arial" w:hAnsi="Arial" w:cs="Arial"/>
        </w:rPr>
        <w:t>.</w:t>
      </w:r>
      <w:r w:rsidRPr="00CB6071">
        <w:rPr>
          <w:rFonts w:ascii="Arial" w:hAnsi="Arial" w:cs="Arial"/>
        </w:rPr>
        <w:t xml:space="preserve"> (Accessed: 11 December 2025).</w:t>
      </w:r>
    </w:p>
    <w:p w14:paraId="3F447F32" w14:textId="77777777" w:rsidR="00DE69CF" w:rsidRPr="00CB6071" w:rsidRDefault="00DE69CF" w:rsidP="00CB6071">
      <w:pPr>
        <w:rPr>
          <w:rFonts w:ascii="Arial" w:hAnsi="Arial" w:cs="Arial"/>
        </w:rPr>
      </w:pPr>
      <w:r w:rsidRPr="00CB6071">
        <w:rPr>
          <w:rFonts w:ascii="Arial" w:hAnsi="Arial" w:cs="Arial"/>
        </w:rPr>
        <w:t xml:space="preserve">NHS England (2024) ‘Urgent and emergency mental health care for children and young people: National implementation guidance’. Available at: </w:t>
      </w:r>
      <w:r w:rsidRPr="00F0472C">
        <w:rPr>
          <w:rFonts w:ascii="Arial" w:hAnsi="Arial" w:cs="Arial"/>
        </w:rPr>
        <w:t>https://www.england.nhs.uk/publication/urgent-and-emergency-mental-health-care-for-children-and-young-people-national-implementation-guidance/</w:t>
      </w:r>
      <w:r>
        <w:rPr>
          <w:rFonts w:ascii="Arial" w:hAnsi="Arial" w:cs="Arial"/>
        </w:rPr>
        <w:t xml:space="preserve">. </w:t>
      </w:r>
      <w:r w:rsidRPr="00CB6071">
        <w:rPr>
          <w:rFonts w:ascii="Arial" w:hAnsi="Arial" w:cs="Arial"/>
        </w:rPr>
        <w:t xml:space="preserve"> (Accessed: 11 December 2025).</w:t>
      </w:r>
    </w:p>
    <w:p w14:paraId="41D08472" w14:textId="77777777" w:rsidR="00DE69CF" w:rsidRPr="00CB6071" w:rsidRDefault="00DE69CF" w:rsidP="00CB6071">
      <w:pPr>
        <w:rPr>
          <w:rFonts w:ascii="Arial" w:hAnsi="Arial" w:cs="Arial"/>
        </w:rPr>
      </w:pPr>
      <w:r w:rsidRPr="00CB6071">
        <w:rPr>
          <w:rFonts w:ascii="Arial" w:hAnsi="Arial" w:cs="Arial"/>
        </w:rPr>
        <w:t xml:space="preserve">NSPCC Learning (2023) ‘Why language matters: in need of attention, not “attention seeking”’, </w:t>
      </w:r>
      <w:r w:rsidRPr="00CB6071">
        <w:rPr>
          <w:rFonts w:ascii="Arial" w:hAnsi="Arial" w:cs="Arial"/>
          <w:i/>
          <w:iCs/>
        </w:rPr>
        <w:t>NSPCC Learning – Why Language Matters</w:t>
      </w:r>
      <w:r w:rsidRPr="00CB6071">
        <w:rPr>
          <w:rFonts w:ascii="Arial" w:hAnsi="Arial" w:cs="Arial"/>
        </w:rPr>
        <w:t xml:space="preserve"> blog. Available at: </w:t>
      </w:r>
      <w:r w:rsidRPr="00F0472C">
        <w:rPr>
          <w:rFonts w:ascii="Arial" w:hAnsi="Arial" w:cs="Arial"/>
        </w:rPr>
        <w:lastRenderedPageBreak/>
        <w:t>https://learning.nspcc.org.uk/news/why-language-matters/avoid-using-alleged-talking-about-child-abuse-neglect</w:t>
      </w:r>
      <w:r>
        <w:rPr>
          <w:rFonts w:ascii="Arial" w:hAnsi="Arial" w:cs="Arial"/>
        </w:rPr>
        <w:t>.</w:t>
      </w:r>
      <w:r w:rsidRPr="00F0472C">
        <w:rPr>
          <w:rFonts w:ascii="Arial" w:hAnsi="Arial" w:cs="Arial"/>
        </w:rPr>
        <w:t xml:space="preserve"> </w:t>
      </w:r>
      <w:r w:rsidRPr="00CB6071">
        <w:rPr>
          <w:rFonts w:ascii="Arial" w:hAnsi="Arial" w:cs="Arial"/>
        </w:rPr>
        <w:t xml:space="preserve">(Accessed: </w:t>
      </w:r>
      <w:r>
        <w:rPr>
          <w:rFonts w:ascii="Arial" w:hAnsi="Arial" w:cs="Arial"/>
        </w:rPr>
        <w:t>6</w:t>
      </w:r>
      <w:r w:rsidRPr="00CB6071">
        <w:rPr>
          <w:rFonts w:ascii="Arial" w:hAnsi="Arial" w:cs="Arial"/>
        </w:rPr>
        <w:t xml:space="preserve"> December 2025).</w:t>
      </w:r>
    </w:p>
    <w:p w14:paraId="7775D6BD" w14:textId="77777777" w:rsidR="00DE69CF" w:rsidRPr="00CB6071" w:rsidRDefault="00DE69CF" w:rsidP="00CB6071">
      <w:pPr>
        <w:rPr>
          <w:rFonts w:ascii="Arial" w:hAnsi="Arial" w:cs="Arial"/>
        </w:rPr>
      </w:pPr>
      <w:r w:rsidRPr="00CB6071">
        <w:rPr>
          <w:rFonts w:ascii="Arial" w:hAnsi="Arial" w:cs="Arial"/>
        </w:rPr>
        <w:t xml:space="preserve">Perry, B.D. and Szalavitz, M. (2017) </w:t>
      </w:r>
      <w:r w:rsidRPr="00CB6071">
        <w:rPr>
          <w:rFonts w:ascii="Arial" w:hAnsi="Arial" w:cs="Arial"/>
          <w:i/>
          <w:iCs/>
        </w:rPr>
        <w:t>The boy who was raised as a dog: And other stories from a child psychiatrist’s notebook – What traumatized children can teach us about loss, love and healing</w:t>
      </w:r>
      <w:r w:rsidRPr="00CB6071">
        <w:rPr>
          <w:rFonts w:ascii="Arial" w:hAnsi="Arial" w:cs="Arial"/>
        </w:rPr>
        <w:t>.</w:t>
      </w:r>
      <w:r>
        <w:rPr>
          <w:rFonts w:ascii="Arial" w:hAnsi="Arial" w:cs="Arial"/>
        </w:rPr>
        <w:t xml:space="preserve"> </w:t>
      </w:r>
      <w:r w:rsidRPr="00CB6071">
        <w:rPr>
          <w:rFonts w:ascii="Arial" w:hAnsi="Arial" w:cs="Arial"/>
        </w:rPr>
        <w:t>New York: Basic Books.</w:t>
      </w:r>
    </w:p>
    <w:p w14:paraId="7EBBFBE1" w14:textId="77777777" w:rsidR="00DE69CF" w:rsidRPr="00CB6071" w:rsidRDefault="00DE69CF" w:rsidP="00CB6071">
      <w:pPr>
        <w:rPr>
          <w:rFonts w:ascii="Arial" w:hAnsi="Arial" w:cs="Arial"/>
        </w:rPr>
      </w:pPr>
      <w:r w:rsidRPr="00CB6071">
        <w:rPr>
          <w:rFonts w:ascii="Arial" w:hAnsi="Arial" w:cs="Arial"/>
        </w:rPr>
        <w:t xml:space="preserve">Samson, A.C., </w:t>
      </w:r>
      <w:proofErr w:type="spellStart"/>
      <w:r w:rsidRPr="00CB6071">
        <w:rPr>
          <w:rFonts w:ascii="Arial" w:hAnsi="Arial" w:cs="Arial"/>
        </w:rPr>
        <w:t>Tschoner</w:t>
      </w:r>
      <w:proofErr w:type="spellEnd"/>
      <w:r w:rsidRPr="00CB6071">
        <w:rPr>
          <w:rFonts w:ascii="Arial" w:hAnsi="Arial" w:cs="Arial"/>
        </w:rPr>
        <w:t xml:space="preserve">, T., Rössler, W., Stalder, T., Buchheim, A. and Schmahl, C. (2024) ‘Neurobiological consequences of childhood maltreatment and implications for clinical practice’, </w:t>
      </w:r>
      <w:r w:rsidRPr="00CB6071">
        <w:rPr>
          <w:rFonts w:ascii="Arial" w:hAnsi="Arial" w:cs="Arial"/>
          <w:i/>
          <w:iCs/>
        </w:rPr>
        <w:t>Journal of Child Psychology and Psychiatry</w:t>
      </w:r>
      <w:r w:rsidRPr="00CB6071">
        <w:rPr>
          <w:rFonts w:ascii="Arial" w:hAnsi="Arial" w:cs="Arial"/>
        </w:rPr>
        <w:t>, 65(3), pp. 369–380. Available at: https://doi.org/</w:t>
      </w:r>
      <w:r w:rsidRPr="00CB6071">
        <w:rPr>
          <w:rFonts w:ascii="Arial" w:hAnsi="Arial" w:cs="Arial"/>
        </w:rPr>
        <w:t>1</w:t>
      </w:r>
      <w:r w:rsidRPr="00CB6071">
        <w:rPr>
          <w:rFonts w:ascii="Arial" w:hAnsi="Arial" w:cs="Arial"/>
        </w:rPr>
        <w:t>0.1111/jcpp.13883</w:t>
      </w:r>
      <w:r>
        <w:rPr>
          <w:rFonts w:ascii="Arial" w:hAnsi="Arial" w:cs="Arial"/>
        </w:rPr>
        <w:t>.</w:t>
      </w:r>
      <w:r w:rsidRPr="00CB6071">
        <w:rPr>
          <w:rFonts w:ascii="Arial" w:hAnsi="Arial" w:cs="Arial"/>
        </w:rPr>
        <w:t xml:space="preserve"> (Accessed: </w:t>
      </w:r>
      <w:r>
        <w:rPr>
          <w:rFonts w:ascii="Arial" w:hAnsi="Arial" w:cs="Arial"/>
        </w:rPr>
        <w:t>5</w:t>
      </w:r>
      <w:r w:rsidRPr="00CB6071">
        <w:rPr>
          <w:rFonts w:ascii="Arial" w:hAnsi="Arial" w:cs="Arial"/>
        </w:rPr>
        <w:t xml:space="preserve"> December 2025).</w:t>
      </w:r>
    </w:p>
    <w:p w14:paraId="0CBAE43F" w14:textId="77777777" w:rsidR="00DE69CF" w:rsidRPr="00CB6071" w:rsidRDefault="00DE69CF" w:rsidP="00CB6071">
      <w:pPr>
        <w:rPr>
          <w:rFonts w:ascii="Arial" w:hAnsi="Arial" w:cs="Arial"/>
        </w:rPr>
      </w:pPr>
      <w:r w:rsidRPr="00CB6071">
        <w:rPr>
          <w:rFonts w:ascii="Arial" w:hAnsi="Arial" w:cs="Arial"/>
        </w:rPr>
        <w:t>Traumatic Stress Wales (</w:t>
      </w:r>
      <w:r>
        <w:rPr>
          <w:rFonts w:ascii="Arial" w:hAnsi="Arial" w:cs="Arial"/>
        </w:rPr>
        <w:t>2024</w:t>
      </w:r>
      <w:r w:rsidRPr="00CB6071">
        <w:rPr>
          <w:rFonts w:ascii="Arial" w:hAnsi="Arial" w:cs="Arial"/>
        </w:rPr>
        <w:t xml:space="preserve">) ‘Childhood trauma’, </w:t>
      </w:r>
      <w:r w:rsidRPr="00CB6071">
        <w:rPr>
          <w:rFonts w:ascii="Arial" w:hAnsi="Arial" w:cs="Arial"/>
          <w:i/>
          <w:iCs/>
        </w:rPr>
        <w:t>NHS Wales – Traumatic Stress Wales</w:t>
      </w:r>
      <w:r w:rsidRPr="00CB6071">
        <w:rPr>
          <w:rFonts w:ascii="Arial" w:hAnsi="Arial" w:cs="Arial"/>
        </w:rPr>
        <w:t>. Available at: https://traumaticstress.nhs.wales/children-and-young-people/what-is-trauma/about-child-trauma/childhood-trauma</w:t>
      </w:r>
      <w:r>
        <w:rPr>
          <w:rFonts w:ascii="Arial" w:hAnsi="Arial" w:cs="Arial"/>
        </w:rPr>
        <w:t>.</w:t>
      </w:r>
      <w:r w:rsidRPr="00CB6071">
        <w:rPr>
          <w:rFonts w:ascii="Arial" w:hAnsi="Arial" w:cs="Arial"/>
        </w:rPr>
        <w:t xml:space="preserve"> (Accessed: </w:t>
      </w:r>
      <w:r>
        <w:rPr>
          <w:rFonts w:ascii="Arial" w:hAnsi="Arial" w:cs="Arial"/>
        </w:rPr>
        <w:t>7</w:t>
      </w:r>
      <w:r w:rsidRPr="00CB6071">
        <w:rPr>
          <w:rFonts w:ascii="Arial" w:hAnsi="Arial" w:cs="Arial"/>
        </w:rPr>
        <w:t xml:space="preserve"> December 2025).</w:t>
      </w:r>
    </w:p>
    <w:p w14:paraId="78D301F3" w14:textId="77777777" w:rsidR="00DE69CF" w:rsidRPr="00CB6071" w:rsidRDefault="00DE69CF" w:rsidP="00CB6071">
      <w:pPr>
        <w:rPr>
          <w:rFonts w:ascii="Arial" w:hAnsi="Arial" w:cs="Arial"/>
        </w:rPr>
      </w:pPr>
      <w:r w:rsidRPr="00CB6071">
        <w:rPr>
          <w:rFonts w:ascii="Arial" w:hAnsi="Arial" w:cs="Arial"/>
        </w:rPr>
        <w:t xml:space="preserve">UK Trauma Council (2020) ‘Childhood trauma and the brain: A guide for </w:t>
      </w:r>
      <w:proofErr w:type="gramStart"/>
      <w:r w:rsidRPr="00CB6071">
        <w:rPr>
          <w:rFonts w:ascii="Arial" w:hAnsi="Arial" w:cs="Arial"/>
        </w:rPr>
        <w:t>professionals’</w:t>
      </w:r>
      <w:proofErr w:type="gramEnd"/>
      <w:r w:rsidRPr="00CB6071">
        <w:rPr>
          <w:rFonts w:ascii="Arial" w:hAnsi="Arial" w:cs="Arial"/>
        </w:rPr>
        <w:t xml:space="preserve">. London: Anna Freud National Centre for Children and Families. Available at: </w:t>
      </w:r>
      <w:r w:rsidRPr="008B6926">
        <w:rPr>
          <w:rFonts w:ascii="Arial" w:hAnsi="Arial" w:cs="Arial"/>
        </w:rPr>
        <w:t>https://uktraumacouncil.</w:t>
      </w:r>
      <w:r w:rsidRPr="008B6926">
        <w:rPr>
          <w:rFonts w:ascii="Arial" w:hAnsi="Arial" w:cs="Arial"/>
        </w:rPr>
        <w:t>o</w:t>
      </w:r>
      <w:r w:rsidRPr="008B6926">
        <w:rPr>
          <w:rFonts w:ascii="Arial" w:hAnsi="Arial" w:cs="Arial"/>
        </w:rPr>
        <w:t>rg/resources/childhood-trauma-and-the-brain</w:t>
      </w:r>
      <w:r>
        <w:rPr>
          <w:rFonts w:ascii="Arial" w:hAnsi="Arial" w:cs="Arial"/>
        </w:rPr>
        <w:t xml:space="preserve">. </w:t>
      </w:r>
      <w:r w:rsidRPr="00CB6071">
        <w:rPr>
          <w:rFonts w:ascii="Arial" w:hAnsi="Arial" w:cs="Arial"/>
        </w:rPr>
        <w:t xml:space="preserve">Accessed: </w:t>
      </w:r>
      <w:r>
        <w:rPr>
          <w:rFonts w:ascii="Arial" w:hAnsi="Arial" w:cs="Arial"/>
        </w:rPr>
        <w:t>4</w:t>
      </w:r>
      <w:r w:rsidRPr="00CB6071">
        <w:rPr>
          <w:rFonts w:ascii="Arial" w:hAnsi="Arial" w:cs="Arial"/>
        </w:rPr>
        <w:t xml:space="preserve"> December 2025).</w:t>
      </w:r>
    </w:p>
    <w:p w14:paraId="51FEC8E7" w14:textId="77777777" w:rsidR="00DE69CF" w:rsidRPr="00CB6071" w:rsidRDefault="00DE69CF" w:rsidP="00CB6071">
      <w:pPr>
        <w:rPr>
          <w:rFonts w:ascii="Arial" w:hAnsi="Arial" w:cs="Arial"/>
        </w:rPr>
      </w:pPr>
      <w:r w:rsidRPr="00CB6071">
        <w:rPr>
          <w:rFonts w:ascii="Arial" w:hAnsi="Arial" w:cs="Arial"/>
        </w:rPr>
        <w:t xml:space="preserve">van der Kolk, B. (2014) </w:t>
      </w:r>
      <w:r w:rsidRPr="00CB6071">
        <w:rPr>
          <w:rFonts w:ascii="Arial" w:hAnsi="Arial" w:cs="Arial"/>
          <w:i/>
          <w:iCs/>
        </w:rPr>
        <w:t>The body keeps the score: Brain, mind and body in the healing of trauma</w:t>
      </w:r>
      <w:r w:rsidRPr="00CB6071">
        <w:rPr>
          <w:rFonts w:ascii="Arial" w:hAnsi="Arial" w:cs="Arial"/>
        </w:rPr>
        <w:t>. New York: Viking.</w:t>
      </w:r>
      <w:r>
        <w:rPr>
          <w:rFonts w:ascii="Arial" w:hAnsi="Arial" w:cs="Arial"/>
        </w:rPr>
        <w:t xml:space="preserve"> </w:t>
      </w:r>
      <w:r w:rsidRPr="00CB6071">
        <w:rPr>
          <w:rFonts w:ascii="Arial" w:hAnsi="Arial" w:cs="Arial"/>
        </w:rPr>
        <w:t xml:space="preserve">(Accessed: </w:t>
      </w:r>
      <w:r>
        <w:rPr>
          <w:rFonts w:ascii="Arial" w:hAnsi="Arial" w:cs="Arial"/>
        </w:rPr>
        <w:t>5</w:t>
      </w:r>
      <w:r w:rsidRPr="00CB6071">
        <w:rPr>
          <w:rFonts w:ascii="Arial" w:hAnsi="Arial" w:cs="Arial"/>
        </w:rPr>
        <w:t xml:space="preserve"> December 2025).</w:t>
      </w:r>
    </w:p>
    <w:p w14:paraId="6C6D393F" w14:textId="029353DA" w:rsidR="00CB6071" w:rsidRPr="00CB6071" w:rsidRDefault="00CB6071" w:rsidP="00CB6071">
      <w:pPr>
        <w:rPr>
          <w:rFonts w:ascii="Arial" w:hAnsi="Arial" w:cs="Arial"/>
        </w:rPr>
      </w:pPr>
    </w:p>
    <w:p w14:paraId="2DB1C32B" w14:textId="77777777" w:rsidR="00844D71" w:rsidRPr="00CB6071" w:rsidRDefault="00844D71">
      <w:pPr>
        <w:rPr>
          <w:rFonts w:ascii="Arial" w:hAnsi="Arial" w:cs="Arial"/>
        </w:rPr>
      </w:pPr>
    </w:p>
    <w:sectPr w:rsidR="00844D71" w:rsidRPr="00CB6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D71"/>
    <w:rsid w:val="000304B3"/>
    <w:rsid w:val="0017448B"/>
    <w:rsid w:val="00284AB9"/>
    <w:rsid w:val="00844D71"/>
    <w:rsid w:val="008B6926"/>
    <w:rsid w:val="009E4F3E"/>
    <w:rsid w:val="00CB6071"/>
    <w:rsid w:val="00DE69CF"/>
    <w:rsid w:val="00E87B28"/>
    <w:rsid w:val="00F0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4D745"/>
  <w15:chartTrackingRefBased/>
  <w15:docId w15:val="{55E1FB6F-C777-4B80-A0D0-796FDB1E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4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4D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4D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4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4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4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4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4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4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4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4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4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4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4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4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4D71"/>
    <w:rPr>
      <w:rFonts w:eastAsiaTheme="majorEastAsia" w:cstheme="majorBidi"/>
      <w:color w:val="272727" w:themeColor="text1" w:themeTint="D8"/>
    </w:rPr>
  </w:style>
  <w:style w:type="paragraph" w:styleId="Title">
    <w:name w:val="Title"/>
    <w:basedOn w:val="Normal"/>
    <w:next w:val="Normal"/>
    <w:link w:val="TitleChar"/>
    <w:uiPriority w:val="10"/>
    <w:qFormat/>
    <w:rsid w:val="00844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4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4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4D71"/>
    <w:pPr>
      <w:spacing w:before="160"/>
      <w:jc w:val="center"/>
    </w:pPr>
    <w:rPr>
      <w:i/>
      <w:iCs/>
      <w:color w:val="404040" w:themeColor="text1" w:themeTint="BF"/>
    </w:rPr>
  </w:style>
  <w:style w:type="character" w:customStyle="1" w:styleId="QuoteChar">
    <w:name w:val="Quote Char"/>
    <w:basedOn w:val="DefaultParagraphFont"/>
    <w:link w:val="Quote"/>
    <w:uiPriority w:val="29"/>
    <w:rsid w:val="00844D71"/>
    <w:rPr>
      <w:i/>
      <w:iCs/>
      <w:color w:val="404040" w:themeColor="text1" w:themeTint="BF"/>
    </w:rPr>
  </w:style>
  <w:style w:type="paragraph" w:styleId="ListParagraph">
    <w:name w:val="List Paragraph"/>
    <w:basedOn w:val="Normal"/>
    <w:uiPriority w:val="34"/>
    <w:qFormat/>
    <w:rsid w:val="00844D71"/>
    <w:pPr>
      <w:ind w:left="720"/>
      <w:contextualSpacing/>
    </w:pPr>
  </w:style>
  <w:style w:type="character" w:styleId="IntenseEmphasis">
    <w:name w:val="Intense Emphasis"/>
    <w:basedOn w:val="DefaultParagraphFont"/>
    <w:uiPriority w:val="21"/>
    <w:qFormat/>
    <w:rsid w:val="00844D71"/>
    <w:rPr>
      <w:i/>
      <w:iCs/>
      <w:color w:val="0F4761" w:themeColor="accent1" w:themeShade="BF"/>
    </w:rPr>
  </w:style>
  <w:style w:type="paragraph" w:styleId="IntenseQuote">
    <w:name w:val="Intense Quote"/>
    <w:basedOn w:val="Normal"/>
    <w:next w:val="Normal"/>
    <w:link w:val="IntenseQuoteChar"/>
    <w:uiPriority w:val="30"/>
    <w:qFormat/>
    <w:rsid w:val="00844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4D71"/>
    <w:rPr>
      <w:i/>
      <w:iCs/>
      <w:color w:val="0F4761" w:themeColor="accent1" w:themeShade="BF"/>
    </w:rPr>
  </w:style>
  <w:style w:type="character" w:styleId="IntenseReference">
    <w:name w:val="Intense Reference"/>
    <w:basedOn w:val="DefaultParagraphFont"/>
    <w:uiPriority w:val="32"/>
    <w:qFormat/>
    <w:rsid w:val="00844D71"/>
    <w:rPr>
      <w:b/>
      <w:bCs/>
      <w:smallCaps/>
      <w:color w:val="0F4761" w:themeColor="accent1" w:themeShade="BF"/>
      <w:spacing w:val="5"/>
    </w:rPr>
  </w:style>
  <w:style w:type="character" w:styleId="Hyperlink">
    <w:name w:val="Hyperlink"/>
    <w:basedOn w:val="DefaultParagraphFont"/>
    <w:uiPriority w:val="99"/>
    <w:unhideWhenUsed/>
    <w:rsid w:val="00CB6071"/>
    <w:rPr>
      <w:color w:val="467886" w:themeColor="hyperlink"/>
      <w:u w:val="single"/>
    </w:rPr>
  </w:style>
  <w:style w:type="character" w:styleId="UnresolvedMention">
    <w:name w:val="Unresolved Mention"/>
    <w:basedOn w:val="DefaultParagraphFont"/>
    <w:uiPriority w:val="99"/>
    <w:semiHidden/>
    <w:unhideWhenUsed/>
    <w:rsid w:val="00CB6071"/>
    <w:rPr>
      <w:color w:val="605E5C"/>
      <w:shd w:val="clear" w:color="auto" w:fill="E1DFDD"/>
    </w:rPr>
  </w:style>
  <w:style w:type="character" w:styleId="FollowedHyperlink">
    <w:name w:val="FollowedHyperlink"/>
    <w:basedOn w:val="DefaultParagraphFont"/>
    <w:uiPriority w:val="99"/>
    <w:semiHidden/>
    <w:unhideWhenUsed/>
    <w:rsid w:val="000304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6</Pages>
  <Words>2211</Words>
  <Characters>14088</Characters>
  <Application>Microsoft Office Word</Application>
  <DocSecurity>0</DocSecurity>
  <Lines>220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Cojocaru (2207413)</dc:creator>
  <cp:keywords/>
  <dc:description/>
  <cp:lastModifiedBy>Paul Cojocaru (2207413)</cp:lastModifiedBy>
  <cp:revision>10</cp:revision>
  <dcterms:created xsi:type="dcterms:W3CDTF">2025-12-12T04:06:00Z</dcterms:created>
  <dcterms:modified xsi:type="dcterms:W3CDTF">2025-12-12T06:01:00Z</dcterms:modified>
</cp:coreProperties>
</file>