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4526D" w14:textId="5FCDBF02" w:rsidR="00B2031A" w:rsidRPr="00FE0325" w:rsidRDefault="00B2031A" w:rsidP="00B2031A">
      <w:pPr>
        <w:jc w:val="center"/>
        <w:textAlignment w:val="baseline"/>
        <w:rPr>
          <w:rFonts w:ascii="Arial" w:eastAsia="Times New Roman" w:hAnsi="Arial" w:cs="Arial"/>
          <w:kern w:val="0"/>
          <w:sz w:val="22"/>
          <w:szCs w:val="22"/>
          <w:lang w:eastAsia="en-GB"/>
          <w14:ligatures w14:val="none"/>
        </w:rPr>
      </w:pPr>
      <w:r w:rsidRPr="00B2031A">
        <w:rPr>
          <w:rFonts w:ascii="Arial" w:eastAsia="Times New Roman" w:hAnsi="Arial" w:cs="Arial"/>
          <w:kern w:val="0"/>
          <w:sz w:val="22"/>
          <w:szCs w:val="22"/>
          <w:lang w:eastAsia="en-GB"/>
          <w14:ligatures w14:val="none"/>
        </w:rPr>
        <w:t> </w:t>
      </w:r>
      <w:r w:rsidR="00FE0325" w:rsidRPr="00FE0325">
        <w:rPr>
          <w:rFonts w:ascii="Arial" w:eastAsia="Times New Roman" w:hAnsi="Arial" w:cs="Arial"/>
          <w:kern w:val="0"/>
          <w:sz w:val="22"/>
          <w:szCs w:val="22"/>
          <w:lang w:eastAsia="en-GB"/>
          <w14:ligatures w14:val="none"/>
        </w:rPr>
        <w:t>ECAD6009</w:t>
      </w:r>
    </w:p>
    <w:p w14:paraId="06991D9F" w14:textId="31CEFF45" w:rsidR="00FE0325" w:rsidRPr="00FE0325" w:rsidRDefault="00FE0325" w:rsidP="00B2031A">
      <w:pPr>
        <w:jc w:val="center"/>
        <w:textAlignment w:val="baseline"/>
        <w:rPr>
          <w:rFonts w:ascii="Arial" w:eastAsia="Times New Roman" w:hAnsi="Arial" w:cs="Arial"/>
          <w:kern w:val="0"/>
          <w:sz w:val="22"/>
          <w:szCs w:val="22"/>
          <w:lang w:eastAsia="en-GB"/>
          <w14:ligatures w14:val="none"/>
        </w:rPr>
      </w:pPr>
      <w:r w:rsidRPr="00FE0325">
        <w:rPr>
          <w:rFonts w:ascii="Arial" w:eastAsia="Times New Roman" w:hAnsi="Arial" w:cs="Arial"/>
          <w:kern w:val="0"/>
          <w:sz w:val="22"/>
          <w:szCs w:val="22"/>
          <w:lang w:eastAsia="en-GB"/>
          <w14:ligatures w14:val="none"/>
        </w:rPr>
        <w:t>Name: Chloe Annie Thomas</w:t>
      </w:r>
    </w:p>
    <w:p w14:paraId="101B38C3" w14:textId="1456C85A" w:rsidR="00FE0325" w:rsidRPr="00B2031A" w:rsidRDefault="00FE0325" w:rsidP="00B2031A">
      <w:pPr>
        <w:jc w:val="center"/>
        <w:textAlignment w:val="baseline"/>
        <w:rPr>
          <w:rFonts w:ascii="Arial" w:eastAsia="Times New Roman" w:hAnsi="Arial" w:cs="Arial"/>
          <w:kern w:val="0"/>
          <w:sz w:val="22"/>
          <w:szCs w:val="22"/>
          <w:lang w:eastAsia="en-GB"/>
          <w14:ligatures w14:val="none"/>
        </w:rPr>
      </w:pPr>
      <w:r w:rsidRPr="00FE0325">
        <w:rPr>
          <w:rFonts w:ascii="Arial" w:eastAsia="Times New Roman" w:hAnsi="Arial" w:cs="Arial"/>
          <w:kern w:val="0"/>
          <w:sz w:val="22"/>
          <w:szCs w:val="22"/>
          <w:lang w:eastAsia="en-GB"/>
          <w14:ligatures w14:val="none"/>
        </w:rPr>
        <w:t>Student Number: 1900854</w:t>
      </w:r>
    </w:p>
    <w:tbl>
      <w:tblPr>
        <w:tblpPr w:leftFromText="180" w:rightFromText="180" w:vertAnchor="page" w:horzAnchor="margin" w:tblpY="3298"/>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3585"/>
        <w:gridCol w:w="3585"/>
      </w:tblGrid>
      <w:tr w:rsidR="00FE0325" w:rsidRPr="00B2031A" w14:paraId="687DF875" w14:textId="77777777" w:rsidTr="00FE0325">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7B77D06" w14:textId="77777777" w:rsidR="00FE0325" w:rsidRPr="00B2031A" w:rsidRDefault="00FE0325" w:rsidP="00FE0325">
            <w:pPr>
              <w:textAlignment w:val="baseline"/>
              <w:rPr>
                <w:rFonts w:ascii="Times New Roman" w:eastAsia="Times New Roman" w:hAnsi="Times New Roman" w:cs="Times New Roman"/>
                <w:kern w:val="0"/>
                <w:lang w:eastAsia="en-GB"/>
                <w14:ligatures w14:val="none"/>
              </w:rPr>
            </w:pPr>
            <w:proofErr w:type="spellStart"/>
            <w:r w:rsidRPr="00B2031A">
              <w:rPr>
                <w:rFonts w:ascii="Arial" w:eastAsia="Times New Roman" w:hAnsi="Arial" w:cs="Arial"/>
                <w:b/>
                <w:bCs/>
                <w:kern w:val="0"/>
                <w:sz w:val="20"/>
                <w:szCs w:val="20"/>
                <w:lang w:eastAsia="en-GB"/>
                <w14:ligatures w14:val="none"/>
              </w:rPr>
              <w:t>Targedau</w:t>
            </w:r>
            <w:proofErr w:type="spellEnd"/>
            <w:r w:rsidRPr="00B2031A">
              <w:rPr>
                <w:rFonts w:ascii="Arial" w:eastAsia="Times New Roman" w:hAnsi="Arial" w:cs="Arial"/>
                <w:b/>
                <w:bCs/>
                <w:kern w:val="0"/>
                <w:sz w:val="20"/>
                <w:szCs w:val="20"/>
                <w:lang w:eastAsia="en-GB"/>
                <w14:ligatures w14:val="none"/>
              </w:rPr>
              <w:t xml:space="preserve"> / Targets</w:t>
            </w:r>
            <w:r w:rsidRPr="00B2031A">
              <w:rPr>
                <w:rFonts w:ascii="Arial" w:eastAsia="Times New Roman" w:hAnsi="Arial" w:cs="Arial"/>
                <w:kern w:val="0"/>
                <w:sz w:val="20"/>
                <w:szCs w:val="20"/>
                <w:lang w:eastAsia="en-GB"/>
                <w14:ligatures w14:val="none"/>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15442E7E" w14:textId="77777777" w:rsidR="00FE0325" w:rsidRPr="00B2031A" w:rsidRDefault="00FE0325" w:rsidP="00FE0325">
            <w:pPr>
              <w:textAlignment w:val="baseline"/>
              <w:rPr>
                <w:rFonts w:ascii="Times New Roman" w:eastAsia="Times New Roman" w:hAnsi="Times New Roman" w:cs="Times New Roman"/>
                <w:kern w:val="0"/>
                <w:lang w:eastAsia="en-GB"/>
                <w14:ligatures w14:val="none"/>
              </w:rPr>
            </w:pPr>
            <w:r w:rsidRPr="00B2031A">
              <w:rPr>
                <w:rFonts w:ascii="Arial" w:eastAsia="Times New Roman" w:hAnsi="Arial" w:cs="Arial"/>
                <w:b/>
                <w:bCs/>
                <w:kern w:val="0"/>
                <w:sz w:val="20"/>
                <w:szCs w:val="20"/>
                <w:lang w:eastAsia="en-GB"/>
                <w14:ligatures w14:val="none"/>
              </w:rPr>
              <w:t xml:space="preserve">Sut </w:t>
            </w:r>
            <w:proofErr w:type="spellStart"/>
            <w:r w:rsidRPr="00B2031A">
              <w:rPr>
                <w:rFonts w:ascii="Arial" w:eastAsia="Times New Roman" w:hAnsi="Arial" w:cs="Arial"/>
                <w:b/>
                <w:bCs/>
                <w:kern w:val="0"/>
                <w:sz w:val="20"/>
                <w:szCs w:val="20"/>
                <w:lang w:eastAsia="en-GB"/>
                <w14:ligatures w14:val="none"/>
              </w:rPr>
              <w:t>rydych</w:t>
            </w:r>
            <w:proofErr w:type="spellEnd"/>
            <w:r w:rsidRPr="00B2031A">
              <w:rPr>
                <w:rFonts w:ascii="Arial" w:eastAsia="Times New Roman" w:hAnsi="Arial" w:cs="Arial"/>
                <w:b/>
                <w:bCs/>
                <w:kern w:val="0"/>
                <w:sz w:val="20"/>
                <w:szCs w:val="20"/>
                <w:lang w:eastAsia="en-GB"/>
                <w14:ligatures w14:val="none"/>
              </w:rPr>
              <w:t xml:space="preserve"> </w:t>
            </w:r>
            <w:proofErr w:type="spellStart"/>
            <w:r w:rsidRPr="00B2031A">
              <w:rPr>
                <w:rFonts w:ascii="Arial" w:eastAsia="Times New Roman" w:hAnsi="Arial" w:cs="Arial"/>
                <w:b/>
                <w:bCs/>
                <w:kern w:val="0"/>
                <w:sz w:val="20"/>
                <w:szCs w:val="20"/>
                <w:lang w:eastAsia="en-GB"/>
                <w14:ligatures w14:val="none"/>
              </w:rPr>
              <w:t>wedi</w:t>
            </w:r>
            <w:proofErr w:type="spellEnd"/>
            <w:r w:rsidRPr="00B2031A">
              <w:rPr>
                <w:rFonts w:ascii="Arial" w:eastAsia="Times New Roman" w:hAnsi="Arial" w:cs="Arial"/>
                <w:b/>
                <w:bCs/>
                <w:kern w:val="0"/>
                <w:sz w:val="20"/>
                <w:szCs w:val="20"/>
                <w:lang w:eastAsia="en-GB"/>
                <w14:ligatures w14:val="none"/>
              </w:rPr>
              <w:t xml:space="preserve"> </w:t>
            </w:r>
            <w:proofErr w:type="spellStart"/>
            <w:r w:rsidRPr="00B2031A">
              <w:rPr>
                <w:rFonts w:ascii="Arial" w:eastAsia="Times New Roman" w:hAnsi="Arial" w:cs="Arial"/>
                <w:b/>
                <w:bCs/>
                <w:kern w:val="0"/>
                <w:sz w:val="20"/>
                <w:szCs w:val="20"/>
                <w:lang w:eastAsia="en-GB"/>
                <w14:ligatures w14:val="none"/>
              </w:rPr>
              <w:t>gweithio</w:t>
            </w:r>
            <w:proofErr w:type="spellEnd"/>
            <w:r w:rsidRPr="00B2031A">
              <w:rPr>
                <w:rFonts w:ascii="Arial" w:eastAsia="Times New Roman" w:hAnsi="Arial" w:cs="Arial"/>
                <w:b/>
                <w:bCs/>
                <w:kern w:val="0"/>
                <w:sz w:val="20"/>
                <w:szCs w:val="20"/>
                <w:lang w:eastAsia="en-GB"/>
                <w14:ligatures w14:val="none"/>
              </w:rPr>
              <w:t xml:space="preserve"> </w:t>
            </w:r>
            <w:proofErr w:type="spellStart"/>
            <w:r w:rsidRPr="00B2031A">
              <w:rPr>
                <w:rFonts w:ascii="Arial" w:eastAsia="Times New Roman" w:hAnsi="Arial" w:cs="Arial"/>
                <w:b/>
                <w:bCs/>
                <w:kern w:val="0"/>
                <w:sz w:val="20"/>
                <w:szCs w:val="20"/>
                <w:lang w:eastAsia="en-GB"/>
                <w14:ligatures w14:val="none"/>
              </w:rPr>
              <w:t>ar</w:t>
            </w:r>
            <w:proofErr w:type="spellEnd"/>
            <w:r w:rsidRPr="00B2031A">
              <w:rPr>
                <w:rFonts w:ascii="Arial" w:eastAsia="Times New Roman" w:hAnsi="Arial" w:cs="Arial"/>
                <w:b/>
                <w:bCs/>
                <w:kern w:val="0"/>
                <w:sz w:val="20"/>
                <w:szCs w:val="20"/>
                <w:lang w:eastAsia="en-GB"/>
                <w14:ligatures w14:val="none"/>
              </w:rPr>
              <w:t xml:space="preserve"> </w:t>
            </w:r>
            <w:proofErr w:type="spellStart"/>
            <w:r w:rsidRPr="00B2031A">
              <w:rPr>
                <w:rFonts w:ascii="Arial" w:eastAsia="Times New Roman" w:hAnsi="Arial" w:cs="Arial"/>
                <w:b/>
                <w:bCs/>
                <w:kern w:val="0"/>
                <w:sz w:val="20"/>
                <w:szCs w:val="20"/>
                <w:lang w:eastAsia="en-GB"/>
                <w14:ligatures w14:val="none"/>
              </w:rPr>
              <w:t>hwn</w:t>
            </w:r>
            <w:proofErr w:type="spellEnd"/>
            <w:r w:rsidRPr="00B2031A">
              <w:rPr>
                <w:rFonts w:ascii="Arial" w:eastAsia="Times New Roman" w:hAnsi="Arial" w:cs="Arial"/>
                <w:b/>
                <w:bCs/>
                <w:kern w:val="0"/>
                <w:sz w:val="20"/>
                <w:szCs w:val="20"/>
                <w:lang w:eastAsia="en-GB"/>
                <w14:ligatures w14:val="none"/>
              </w:rPr>
              <w:t xml:space="preserve"> /</w:t>
            </w:r>
            <w:r w:rsidRPr="00B2031A">
              <w:rPr>
                <w:rFonts w:ascii="Arial" w:eastAsia="Times New Roman" w:hAnsi="Arial" w:cs="Arial"/>
                <w:kern w:val="0"/>
                <w:sz w:val="20"/>
                <w:szCs w:val="20"/>
                <w:lang w:eastAsia="en-GB"/>
                <w14:ligatures w14:val="none"/>
              </w:rPr>
              <w:t>  </w:t>
            </w:r>
          </w:p>
          <w:p w14:paraId="73B84D0B" w14:textId="77777777" w:rsidR="00FE0325" w:rsidRPr="00B2031A" w:rsidRDefault="00FE0325" w:rsidP="00FE0325">
            <w:pPr>
              <w:textAlignment w:val="baseline"/>
              <w:rPr>
                <w:rFonts w:ascii="Times New Roman" w:eastAsia="Times New Roman" w:hAnsi="Times New Roman" w:cs="Times New Roman"/>
                <w:kern w:val="0"/>
                <w:lang w:eastAsia="en-GB"/>
                <w14:ligatures w14:val="none"/>
              </w:rPr>
            </w:pPr>
            <w:r w:rsidRPr="00B2031A">
              <w:rPr>
                <w:rFonts w:ascii="Arial" w:eastAsia="Times New Roman" w:hAnsi="Arial" w:cs="Arial"/>
                <w:b/>
                <w:bCs/>
                <w:kern w:val="0"/>
                <w:sz w:val="20"/>
                <w:szCs w:val="20"/>
                <w:lang w:eastAsia="en-GB"/>
                <w14:ligatures w14:val="none"/>
              </w:rPr>
              <w:t>How you have worked on this</w:t>
            </w:r>
            <w:r w:rsidRPr="00B2031A">
              <w:rPr>
                <w:rFonts w:ascii="Arial" w:eastAsia="Times New Roman" w:hAnsi="Arial" w:cs="Arial"/>
                <w:kern w:val="0"/>
                <w:sz w:val="20"/>
                <w:szCs w:val="20"/>
                <w:lang w:eastAsia="en-GB"/>
                <w14:ligatures w14:val="none"/>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0070A4D2" w14:textId="77777777" w:rsidR="00FE0325" w:rsidRPr="00B2031A" w:rsidRDefault="00FE0325" w:rsidP="00FE0325">
            <w:pPr>
              <w:textAlignment w:val="baseline"/>
              <w:rPr>
                <w:rFonts w:ascii="Times New Roman" w:eastAsia="Times New Roman" w:hAnsi="Times New Roman" w:cs="Times New Roman"/>
                <w:kern w:val="0"/>
                <w:lang w:eastAsia="en-GB"/>
                <w14:ligatures w14:val="none"/>
              </w:rPr>
            </w:pPr>
            <w:proofErr w:type="spellStart"/>
            <w:r w:rsidRPr="00B2031A">
              <w:rPr>
                <w:rFonts w:ascii="Arial" w:eastAsia="Times New Roman" w:hAnsi="Arial" w:cs="Arial"/>
                <w:b/>
                <w:bCs/>
                <w:kern w:val="0"/>
                <w:sz w:val="20"/>
                <w:szCs w:val="20"/>
                <w:lang w:eastAsia="en-GB"/>
                <w14:ligatures w14:val="none"/>
              </w:rPr>
              <w:t>Ceir</w:t>
            </w:r>
            <w:proofErr w:type="spellEnd"/>
            <w:r w:rsidRPr="00B2031A">
              <w:rPr>
                <w:rFonts w:ascii="Arial" w:eastAsia="Times New Roman" w:hAnsi="Arial" w:cs="Arial"/>
                <w:b/>
                <w:bCs/>
                <w:kern w:val="0"/>
                <w:sz w:val="20"/>
                <w:szCs w:val="20"/>
                <w:lang w:eastAsia="en-GB"/>
                <w14:ligatures w14:val="none"/>
              </w:rPr>
              <w:t xml:space="preserve"> </w:t>
            </w:r>
            <w:proofErr w:type="spellStart"/>
            <w:r w:rsidRPr="00B2031A">
              <w:rPr>
                <w:rFonts w:ascii="Arial" w:eastAsia="Times New Roman" w:hAnsi="Arial" w:cs="Arial"/>
                <w:b/>
                <w:bCs/>
                <w:kern w:val="0"/>
                <w:sz w:val="20"/>
                <w:szCs w:val="20"/>
                <w:lang w:eastAsia="en-GB"/>
                <w14:ligatures w14:val="none"/>
              </w:rPr>
              <w:t>enghraifft</w:t>
            </w:r>
            <w:proofErr w:type="spellEnd"/>
            <w:r w:rsidRPr="00B2031A">
              <w:rPr>
                <w:rFonts w:ascii="Arial" w:eastAsia="Times New Roman" w:hAnsi="Arial" w:cs="Arial"/>
                <w:b/>
                <w:bCs/>
                <w:kern w:val="0"/>
                <w:sz w:val="20"/>
                <w:szCs w:val="20"/>
                <w:lang w:eastAsia="en-GB"/>
                <w14:ligatures w14:val="none"/>
              </w:rPr>
              <w:t xml:space="preserve"> </w:t>
            </w:r>
            <w:proofErr w:type="spellStart"/>
            <w:r w:rsidRPr="00B2031A">
              <w:rPr>
                <w:rFonts w:ascii="Arial" w:eastAsia="Times New Roman" w:hAnsi="Arial" w:cs="Arial"/>
                <w:b/>
                <w:bCs/>
                <w:kern w:val="0"/>
                <w:sz w:val="20"/>
                <w:szCs w:val="20"/>
                <w:lang w:eastAsia="en-GB"/>
                <w14:ligatures w14:val="none"/>
              </w:rPr>
              <w:t>ar</w:t>
            </w:r>
            <w:proofErr w:type="spellEnd"/>
            <w:r w:rsidRPr="00B2031A">
              <w:rPr>
                <w:rFonts w:ascii="Arial" w:eastAsia="Times New Roman" w:hAnsi="Arial" w:cs="Arial"/>
                <w:b/>
                <w:bCs/>
                <w:kern w:val="0"/>
                <w:sz w:val="20"/>
                <w:szCs w:val="20"/>
                <w:lang w:eastAsia="en-GB"/>
                <w14:ligatures w14:val="none"/>
              </w:rPr>
              <w:t xml:space="preserve"> /</w:t>
            </w:r>
            <w:r w:rsidRPr="00B2031A">
              <w:rPr>
                <w:rFonts w:ascii="Arial" w:eastAsia="Times New Roman" w:hAnsi="Arial" w:cs="Arial"/>
                <w:kern w:val="0"/>
                <w:sz w:val="20"/>
                <w:szCs w:val="20"/>
                <w:lang w:eastAsia="en-GB"/>
                <w14:ligatures w14:val="none"/>
              </w:rPr>
              <w:t>  </w:t>
            </w:r>
          </w:p>
          <w:p w14:paraId="7C6FCFA5" w14:textId="77777777" w:rsidR="00FE0325" w:rsidRPr="00B2031A" w:rsidRDefault="00FE0325" w:rsidP="00FE0325">
            <w:pPr>
              <w:textAlignment w:val="baseline"/>
              <w:rPr>
                <w:rFonts w:ascii="Times New Roman" w:eastAsia="Times New Roman" w:hAnsi="Times New Roman" w:cs="Times New Roman"/>
                <w:kern w:val="0"/>
                <w:lang w:eastAsia="en-GB"/>
                <w14:ligatures w14:val="none"/>
              </w:rPr>
            </w:pPr>
            <w:r w:rsidRPr="00B2031A">
              <w:rPr>
                <w:rFonts w:ascii="Arial" w:eastAsia="Times New Roman" w:hAnsi="Arial" w:cs="Arial"/>
                <w:b/>
                <w:bCs/>
                <w:kern w:val="0"/>
                <w:sz w:val="20"/>
                <w:szCs w:val="20"/>
                <w:lang w:eastAsia="en-GB"/>
                <w14:ligatures w14:val="none"/>
              </w:rPr>
              <w:t>An example can be found on</w:t>
            </w:r>
            <w:r w:rsidRPr="00B2031A">
              <w:rPr>
                <w:rFonts w:ascii="Arial" w:eastAsia="Times New Roman" w:hAnsi="Arial" w:cs="Arial"/>
                <w:kern w:val="0"/>
                <w:sz w:val="20"/>
                <w:szCs w:val="20"/>
                <w:lang w:eastAsia="en-GB"/>
                <w14:ligatures w14:val="none"/>
              </w:rPr>
              <w:t>  </w:t>
            </w:r>
          </w:p>
        </w:tc>
      </w:tr>
      <w:tr w:rsidR="00FE0325" w:rsidRPr="00B2031A" w14:paraId="2D7414DA" w14:textId="77777777" w:rsidTr="00FE0325">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3B18E20" w14:textId="1CB91736" w:rsidR="00FE0325" w:rsidRPr="00B2031A" w:rsidRDefault="008A7513" w:rsidP="00FE0325">
            <w:pPr>
              <w:textAlignment w:val="baseline"/>
              <w:rPr>
                <w:rFonts w:ascii="Times New Roman" w:eastAsia="Times New Roman" w:hAnsi="Times New Roman" w:cs="Times New Roman"/>
                <w:kern w:val="0"/>
                <w:lang w:eastAsia="en-GB"/>
                <w14:ligatures w14:val="none"/>
              </w:rPr>
            </w:pPr>
            <w:r>
              <w:rPr>
                <w:rFonts w:ascii="Roboto" w:hAnsi="Roboto"/>
                <w:color w:val="283041"/>
                <w:sz w:val="21"/>
                <w:szCs w:val="21"/>
                <w:shd w:val="clear" w:color="auto" w:fill="FFFFFF"/>
              </w:rPr>
              <w:t>Please continue to read a wide range of texts - this will continue to support you as you progress in your career.</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0DA63181" w14:textId="1B76435F" w:rsidR="00FE0325" w:rsidRPr="00B2031A" w:rsidRDefault="00DC7F86" w:rsidP="00FE0325">
            <w:pPr>
              <w:textAlignment w:val="baseline"/>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Throughout this assignment I have ensured to read a range of relevant sources to inform my writing.</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3BC5C71A" w14:textId="7EDC5AFF" w:rsidR="00FE0325" w:rsidRPr="00B2031A" w:rsidRDefault="00DC7F86" w:rsidP="00FE0325">
            <w:pPr>
              <w:textAlignment w:val="baseline"/>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Throughout wide range of citations within the assignment. </w:t>
            </w:r>
          </w:p>
        </w:tc>
      </w:tr>
      <w:tr w:rsidR="00FE0325" w:rsidRPr="00B2031A" w14:paraId="586AB253" w14:textId="77777777" w:rsidTr="00FE0325">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950B1F5" w14:textId="3A71EA9B" w:rsidR="00FE0325" w:rsidRPr="00B2031A" w:rsidRDefault="000D4CDB" w:rsidP="00FE0325">
            <w:pPr>
              <w:textAlignment w:val="baseline"/>
              <w:rPr>
                <w:rFonts w:ascii="Times New Roman" w:eastAsia="Times New Roman" w:hAnsi="Times New Roman" w:cs="Times New Roman"/>
                <w:kern w:val="0"/>
                <w:lang w:eastAsia="en-GB"/>
                <w14:ligatures w14:val="none"/>
              </w:rPr>
            </w:pPr>
            <w:r>
              <w:rPr>
                <w:rFonts w:ascii="Roboto" w:hAnsi="Roboto"/>
                <w:color w:val="283041"/>
                <w:sz w:val="21"/>
                <w:szCs w:val="21"/>
                <w:shd w:val="clear" w:color="auto" w:fill="FFFFFF"/>
              </w:rPr>
              <w:t>Please refer to </w:t>
            </w:r>
            <w:hyperlink r:id="rId6" w:history="1">
              <w:r>
                <w:rPr>
                  <w:rStyle w:val="Hyperlink"/>
                  <w:rFonts w:ascii="Roboto" w:hAnsi="Roboto"/>
                  <w:color w:val="1E7BBB"/>
                  <w:sz w:val="21"/>
                  <w:szCs w:val="21"/>
                  <w:shd w:val="clear" w:color="auto" w:fill="FFFFFF"/>
                </w:rPr>
                <w:t>Harvard-eng_v.1.2.pdf</w:t>
              </w:r>
            </w:hyperlink>
            <w:r>
              <w:rPr>
                <w:rFonts w:ascii="Roboto" w:hAnsi="Roboto"/>
                <w:color w:val="283041"/>
                <w:sz w:val="21"/>
                <w:szCs w:val="21"/>
                <w:shd w:val="clear" w:color="auto" w:fill="FFFFFF"/>
              </w:rPr>
              <w:t> to help your proficiency in your referencing.</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07C7D7C7" w14:textId="1F35ADE4" w:rsidR="00FE0325" w:rsidRPr="00B2031A" w:rsidRDefault="000D4CDB" w:rsidP="00FE0325">
            <w:pPr>
              <w:textAlignment w:val="baseline"/>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 identified the mistake I made in my previous assignment which was forgetting italics </w:t>
            </w:r>
            <w:r w:rsidR="00CB1A0B">
              <w:rPr>
                <w:rFonts w:ascii="Times New Roman" w:eastAsia="Times New Roman" w:hAnsi="Times New Roman" w:cs="Times New Roman"/>
                <w:kern w:val="0"/>
                <w:lang w:eastAsia="en-GB"/>
                <w14:ligatures w14:val="none"/>
              </w:rPr>
              <w:t>for ‘et al’. I have ensured to rectify this error throughout this assignment.</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18ADA39E" w14:textId="1DFD0F66" w:rsidR="00FE0325" w:rsidRPr="00B2031A" w:rsidRDefault="00DC7F86" w:rsidP="00FE0325">
            <w:pPr>
              <w:textAlignment w:val="baseline"/>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Page 3. </w:t>
            </w:r>
          </w:p>
        </w:tc>
      </w:tr>
    </w:tbl>
    <w:p w14:paraId="794DB702" w14:textId="77777777" w:rsidR="007336F6" w:rsidRDefault="00000000"/>
    <w:p w14:paraId="36010C3B" w14:textId="77777777" w:rsidR="00D24C82" w:rsidRPr="00D24C82" w:rsidRDefault="00D24C82" w:rsidP="00D24C82"/>
    <w:p w14:paraId="4AF88795" w14:textId="77777777" w:rsidR="00D24C82" w:rsidRPr="00D24C82" w:rsidRDefault="00D24C82" w:rsidP="00D24C82"/>
    <w:p w14:paraId="44AA6EC7" w14:textId="77777777" w:rsidR="00D24C82" w:rsidRPr="00D24C82" w:rsidRDefault="00D24C82" w:rsidP="00D24C82"/>
    <w:p w14:paraId="1FA7B270" w14:textId="77777777" w:rsidR="00D24C82" w:rsidRPr="00D24C82" w:rsidRDefault="00D24C82" w:rsidP="00D24C82"/>
    <w:p w14:paraId="4E7391D7" w14:textId="77777777" w:rsidR="00D24C82" w:rsidRPr="00D24C82" w:rsidRDefault="00D24C82" w:rsidP="00D24C82"/>
    <w:p w14:paraId="45BA91C2" w14:textId="5AE4D6EC" w:rsidR="00D24C82" w:rsidRPr="00D24C82" w:rsidRDefault="00EC32E0" w:rsidP="00D24C82">
      <w:r>
        <w:t>Word Count: 2420</w:t>
      </w:r>
    </w:p>
    <w:p w14:paraId="5CE1D5BC" w14:textId="77777777" w:rsidR="00D24C82" w:rsidRPr="00D24C82" w:rsidRDefault="00D24C82" w:rsidP="00D24C82"/>
    <w:p w14:paraId="26344FEF" w14:textId="77777777" w:rsidR="00D24C82" w:rsidRDefault="00D24C82" w:rsidP="00D24C82">
      <w:pPr>
        <w:jc w:val="center"/>
      </w:pPr>
    </w:p>
    <w:p w14:paraId="5F2F6C60" w14:textId="77777777" w:rsidR="00D24C82" w:rsidRDefault="00D24C82" w:rsidP="00D24C82">
      <w:pPr>
        <w:jc w:val="center"/>
      </w:pPr>
    </w:p>
    <w:p w14:paraId="54EF337E" w14:textId="77777777" w:rsidR="00D24C82" w:rsidRDefault="00D24C82" w:rsidP="00D24C82">
      <w:pPr>
        <w:jc w:val="center"/>
      </w:pPr>
    </w:p>
    <w:p w14:paraId="02088585" w14:textId="77777777" w:rsidR="00D24C82" w:rsidRDefault="00D24C82" w:rsidP="00D24C82">
      <w:pPr>
        <w:jc w:val="center"/>
      </w:pPr>
    </w:p>
    <w:p w14:paraId="6BFB2559" w14:textId="77777777" w:rsidR="00D24C82" w:rsidRDefault="00D24C82" w:rsidP="00D24C82">
      <w:pPr>
        <w:jc w:val="center"/>
      </w:pPr>
    </w:p>
    <w:p w14:paraId="29370D1C" w14:textId="77777777" w:rsidR="00D24C82" w:rsidRDefault="00D24C82" w:rsidP="00D24C82">
      <w:pPr>
        <w:jc w:val="center"/>
      </w:pPr>
    </w:p>
    <w:p w14:paraId="272A2BB1" w14:textId="77777777" w:rsidR="00D24C82" w:rsidRDefault="00D24C82" w:rsidP="00D24C82">
      <w:pPr>
        <w:jc w:val="center"/>
      </w:pPr>
    </w:p>
    <w:p w14:paraId="463BC81B" w14:textId="77777777" w:rsidR="00D24C82" w:rsidRDefault="00D24C82" w:rsidP="00D24C82">
      <w:pPr>
        <w:jc w:val="center"/>
      </w:pPr>
    </w:p>
    <w:p w14:paraId="715D90CB" w14:textId="77777777" w:rsidR="00D24C82" w:rsidRDefault="00D24C82" w:rsidP="00D24C82">
      <w:pPr>
        <w:jc w:val="center"/>
      </w:pPr>
    </w:p>
    <w:p w14:paraId="709C76A9" w14:textId="77777777" w:rsidR="00D24C82" w:rsidRDefault="00D24C82" w:rsidP="00D24C82">
      <w:pPr>
        <w:jc w:val="center"/>
      </w:pPr>
    </w:p>
    <w:p w14:paraId="1F69F6FD" w14:textId="77777777" w:rsidR="00D24C82" w:rsidRDefault="00D24C82" w:rsidP="00D24C82">
      <w:pPr>
        <w:jc w:val="center"/>
      </w:pPr>
    </w:p>
    <w:p w14:paraId="73CFBAC2" w14:textId="77777777" w:rsidR="00D24C82" w:rsidRDefault="00D24C82" w:rsidP="00D24C82">
      <w:pPr>
        <w:jc w:val="center"/>
      </w:pPr>
    </w:p>
    <w:p w14:paraId="44398A6A" w14:textId="77777777" w:rsidR="00D24C82" w:rsidRDefault="00D24C82" w:rsidP="00D24C82">
      <w:pPr>
        <w:jc w:val="center"/>
      </w:pPr>
    </w:p>
    <w:p w14:paraId="3B427C58" w14:textId="77777777" w:rsidR="00D24C82" w:rsidRDefault="00D24C82" w:rsidP="00D24C82">
      <w:pPr>
        <w:jc w:val="center"/>
      </w:pPr>
    </w:p>
    <w:p w14:paraId="6F27155B" w14:textId="77777777" w:rsidR="00D24C82" w:rsidRDefault="00D24C82" w:rsidP="00D24C82">
      <w:pPr>
        <w:jc w:val="center"/>
      </w:pPr>
    </w:p>
    <w:p w14:paraId="3029FE07" w14:textId="77777777" w:rsidR="00D24C82" w:rsidRDefault="00D24C82" w:rsidP="00D24C82">
      <w:pPr>
        <w:jc w:val="center"/>
      </w:pPr>
    </w:p>
    <w:p w14:paraId="5129B006" w14:textId="77777777" w:rsidR="00D24C82" w:rsidRDefault="00D24C82" w:rsidP="00D24C82">
      <w:pPr>
        <w:jc w:val="center"/>
      </w:pPr>
    </w:p>
    <w:p w14:paraId="4D763C1D" w14:textId="77777777" w:rsidR="00D24C82" w:rsidRDefault="00D24C82" w:rsidP="00D24C82">
      <w:pPr>
        <w:jc w:val="center"/>
      </w:pPr>
    </w:p>
    <w:p w14:paraId="5D941E4C" w14:textId="77777777" w:rsidR="00D24C82" w:rsidRPr="00D24C82" w:rsidRDefault="00D24C82" w:rsidP="00D24C82">
      <w:pPr>
        <w:jc w:val="center"/>
      </w:pPr>
    </w:p>
    <w:p w14:paraId="42D9DB6A" w14:textId="77777777" w:rsidR="00D24C82" w:rsidRPr="00D24C82" w:rsidRDefault="00D24C82" w:rsidP="00D24C82"/>
    <w:p w14:paraId="6FF7F4F8" w14:textId="77777777" w:rsidR="00D24C82" w:rsidRPr="00D24C82" w:rsidRDefault="00D24C82" w:rsidP="00D24C82"/>
    <w:p w14:paraId="71046683" w14:textId="77777777" w:rsidR="00D24C82" w:rsidRPr="00D24C82" w:rsidRDefault="00D24C82" w:rsidP="00D24C82"/>
    <w:p w14:paraId="621E4264" w14:textId="77777777" w:rsidR="00D24C82" w:rsidRPr="00D24C82" w:rsidRDefault="00D24C82" w:rsidP="00D24C82"/>
    <w:p w14:paraId="3630CE12"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lastRenderedPageBreak/>
        <w:t>The main aim of this assignment is to demonstrate understanding of how one aspect of a school’s development plan (SDP) is addressed, and its impact measured. Welsh Government (2014a) define an SDP as a school’s strategic plan for improvement. For this assignment, the SDP of my final Professional Teaching Experience (PTE) school will be used. The school will be referred to as School X throughout the body of this assignment for anonymity purposes in line with the British Educational Research Association (BERA) guidelines (BERA, 2018). Within the SDP, the school has identified five main priorities for improvement. The aspect of focus within this assignment is the SDP’s priority to further develop provision for Additional Learning Needs (ALN) pupils. Due to the broad spectrum within this priority, this assignment will focus on the creation of a sensory room within the school. School X is based within the Swansea Local Authority in South Wales. Currently, there are 119 pupils on roll at the school including 16 part time nursery pupils. There are four mixed-year classes at the school. Around 15.4% of pupils have ALN, which is below the national average of 16.1% (School X, 2023; Estyn, 2023). There is currently no published data regarding the number of pupils with individual development plans (IDPs) in the school.</w:t>
      </w:r>
    </w:p>
    <w:p w14:paraId="095E5AE4" w14:textId="77777777" w:rsidR="00756058" w:rsidRPr="00F50914" w:rsidRDefault="00756058" w:rsidP="00756058">
      <w:pPr>
        <w:spacing w:line="360" w:lineRule="auto"/>
        <w:rPr>
          <w:rFonts w:ascii="Arial" w:hAnsi="Arial" w:cs="Arial"/>
          <w:color w:val="000000" w:themeColor="text1"/>
          <w:sz w:val="22"/>
          <w:szCs w:val="22"/>
        </w:rPr>
      </w:pPr>
    </w:p>
    <w:p w14:paraId="03D181D9"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 xml:space="preserve">The school development process in Wales is guided by the National Mission for Education (Welsh Government, 2022b). As of 2014, the implementation of an SDP has been enacted as legislation in Wales (Welsh Government, 2014b). The overarching purpose of school development is to provide a strategic framework to ensure schools provide high quality learning experiences and outcomes for all learners (Welsh Government, 2022b). As previously mentioned, the SDP is a strategic plan that outlines aims, priorities and actions necessary to improve the overall performance and effectiveness of a school (Welsh Government, 2014a; Department of Education, 2015). Best and Dunlap (2014) and Welsh Government (2022b) suggest that schools can enhance their development through implementing evidence-based and continuous improvement strategies. Continuous improvement has been defined as a process representing an ongoing effort to improve outcomes (Best and Dunlap, 2014). SDPs can be seen as a form of continuous improvement as the Welsh Government (2014a) state that SDPs should be a regularly updated document to reflect progress made within each priority. </w:t>
      </w:r>
    </w:p>
    <w:p w14:paraId="176F0AF8" w14:textId="77777777" w:rsidR="00756058" w:rsidRPr="00F50914" w:rsidRDefault="00756058" w:rsidP="00756058">
      <w:pPr>
        <w:spacing w:line="360" w:lineRule="auto"/>
        <w:rPr>
          <w:rFonts w:ascii="Arial" w:hAnsi="Arial" w:cs="Arial"/>
          <w:color w:val="000000" w:themeColor="text1"/>
          <w:sz w:val="22"/>
          <w:szCs w:val="22"/>
          <w:highlight w:val="yellow"/>
        </w:rPr>
      </w:pPr>
    </w:p>
    <w:p w14:paraId="1A049B38"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 xml:space="preserve">Welsh Government (2014a) describe the SDP as a disciplined process involving four key stages – self-evaluation, strategic planning, making actions and reviewing the impact. However, it is important to note that Welsh Government (2022b) have released further guidance surrounding school improvement to replace this source, placing the requirements of legislation in the context of an updated framework. Despite this, this source should not be </w:t>
      </w:r>
      <w:r w:rsidRPr="00F50914">
        <w:rPr>
          <w:rFonts w:ascii="Arial" w:hAnsi="Arial" w:cs="Arial"/>
          <w:color w:val="000000" w:themeColor="text1"/>
          <w:sz w:val="22"/>
          <w:szCs w:val="22"/>
        </w:rPr>
        <w:lastRenderedPageBreak/>
        <w:t xml:space="preserve">regarded as outdated within this assignment as it specifically provides deeper insight into the processes of SDPs. </w:t>
      </w:r>
    </w:p>
    <w:p w14:paraId="3DC385FD" w14:textId="77777777" w:rsidR="00756058" w:rsidRPr="00F50914" w:rsidRDefault="00756058" w:rsidP="00756058">
      <w:pPr>
        <w:spacing w:line="360" w:lineRule="auto"/>
        <w:rPr>
          <w:rFonts w:ascii="Arial" w:hAnsi="Arial" w:cs="Arial"/>
          <w:color w:val="000000" w:themeColor="text1"/>
          <w:sz w:val="22"/>
          <w:szCs w:val="22"/>
        </w:rPr>
      </w:pPr>
    </w:p>
    <w:p w14:paraId="10F8222A"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SDPs should set out how the school intends to meet its targets, including the use of resources such as funding (Welsh Government, 2014a). As outlined within legislation, SDPs should involve all stakeholders and school partners to ensure a consistent agenda for school improvement (Welsh Government, 2014b). Stakeholders involved within an SDP can include, but are not limited to, the governing body, the headteacher and school staff (Welsh Government, 2014a). Analysis of both qualitative and quantitative data such as academic attainment and attendance rates can allow schools to identify strengths and areas for improvement (</w:t>
      </w:r>
      <w:proofErr w:type="spellStart"/>
      <w:r w:rsidRPr="00F50914">
        <w:rPr>
          <w:rFonts w:ascii="Arial" w:hAnsi="Arial" w:cs="Arial"/>
          <w:color w:val="000000" w:themeColor="text1"/>
          <w:sz w:val="22"/>
          <w:szCs w:val="22"/>
        </w:rPr>
        <w:t>Schildkamp</w:t>
      </w:r>
      <w:proofErr w:type="spellEnd"/>
      <w:r w:rsidRPr="00F50914">
        <w:rPr>
          <w:rFonts w:ascii="Arial" w:hAnsi="Arial" w:cs="Arial"/>
          <w:color w:val="000000" w:themeColor="text1"/>
          <w:sz w:val="22"/>
          <w:szCs w:val="22"/>
        </w:rPr>
        <w:t xml:space="preserve">, 2019). In Wales, each school’s SDP should also include how they plan to address the national priorities of raising standards in literacy and numeracy and reduce the effect of poverty on attainment (Welsh Government, 2014a).  </w:t>
      </w:r>
    </w:p>
    <w:p w14:paraId="1A436446" w14:textId="77777777" w:rsidR="00756058" w:rsidRPr="00F50914" w:rsidRDefault="00756058" w:rsidP="00756058">
      <w:pPr>
        <w:spacing w:line="360" w:lineRule="auto"/>
        <w:rPr>
          <w:rFonts w:ascii="Arial" w:hAnsi="Arial" w:cs="Arial"/>
          <w:color w:val="000000" w:themeColor="text1"/>
          <w:sz w:val="22"/>
          <w:szCs w:val="22"/>
        </w:rPr>
      </w:pPr>
    </w:p>
    <w:p w14:paraId="266AA20E" w14:textId="77777777" w:rsidR="00756058" w:rsidRPr="0050203C"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 xml:space="preserve">Sensory rooms are spaces described as containing specialised equipment such as different lights, sounds and textures to modify the environment (Unwin, </w:t>
      </w:r>
      <w:proofErr w:type="gramStart"/>
      <w:r w:rsidRPr="00F50914">
        <w:rPr>
          <w:rFonts w:ascii="Arial" w:hAnsi="Arial" w:cs="Arial"/>
          <w:color w:val="000000" w:themeColor="text1"/>
          <w:sz w:val="22"/>
          <w:szCs w:val="22"/>
        </w:rPr>
        <w:t>Powell</w:t>
      </w:r>
      <w:proofErr w:type="gramEnd"/>
      <w:r w:rsidRPr="00F50914">
        <w:rPr>
          <w:rFonts w:ascii="Arial" w:hAnsi="Arial" w:cs="Arial"/>
          <w:color w:val="000000" w:themeColor="text1"/>
          <w:sz w:val="22"/>
          <w:szCs w:val="22"/>
        </w:rPr>
        <w:t xml:space="preserve"> and Jones, 2021). Sensory rooms can be designed to provide a safe, stimulating environment where children can explore their senses promoting relaxation and sensory integration (Pfeiffer </w:t>
      </w:r>
      <w:r w:rsidRPr="00F50914">
        <w:rPr>
          <w:rFonts w:ascii="Arial" w:hAnsi="Arial" w:cs="Arial"/>
          <w:i/>
          <w:iCs/>
          <w:color w:val="000000" w:themeColor="text1"/>
          <w:sz w:val="22"/>
          <w:szCs w:val="22"/>
        </w:rPr>
        <w:t>et al</w:t>
      </w:r>
      <w:r w:rsidRPr="00F50914">
        <w:rPr>
          <w:rFonts w:ascii="Arial" w:hAnsi="Arial" w:cs="Arial"/>
          <w:color w:val="000000" w:themeColor="text1"/>
          <w:sz w:val="22"/>
          <w:szCs w:val="22"/>
        </w:rPr>
        <w:t xml:space="preserve">., 2011). Jones (2023) has recently conducted an evidence-based study around the creation of sensory rooms to maximise potential of learning and well-being. The importance of pupil well-being in education is evident throughout numerous bodies of research (Welsh Government, 2015, Welsh Government, 2022a; Wolff and Digby, 2023). Anderson (2020) suggests these factors are interlinked, stating that learning cannot take place if a pupil is not in the correct mind frame. This suggests that the addition of a sensory room within the school would be beneficial to the progress of pupils with ALN. Additionally, through engaging with sensory equipment, pupils can develop their sensory processing skills, leading to improved regulation in behaviour and attention in the classroom (Cumbria County Council, n.d.). </w:t>
      </w:r>
    </w:p>
    <w:p w14:paraId="63D7B7A5" w14:textId="77777777" w:rsidR="00756058" w:rsidRPr="00F50914" w:rsidRDefault="00756058" w:rsidP="00756058">
      <w:pPr>
        <w:spacing w:line="360" w:lineRule="auto"/>
        <w:rPr>
          <w:rFonts w:ascii="Arial" w:hAnsi="Arial" w:cs="Arial"/>
          <w:color w:val="000000" w:themeColor="text1"/>
          <w:sz w:val="22"/>
          <w:szCs w:val="22"/>
        </w:rPr>
      </w:pPr>
    </w:p>
    <w:p w14:paraId="65AD167F"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 xml:space="preserve">Sensory rooms can also provide a calming and relaxing environment that can help children to reduce anxiety and stress levels (West </w:t>
      </w:r>
      <w:r w:rsidRPr="00F50914">
        <w:rPr>
          <w:rFonts w:ascii="Arial" w:hAnsi="Arial" w:cs="Arial"/>
          <w:i/>
          <w:iCs/>
          <w:color w:val="000000" w:themeColor="text1"/>
          <w:sz w:val="22"/>
          <w:szCs w:val="22"/>
        </w:rPr>
        <w:t>et al</w:t>
      </w:r>
      <w:r w:rsidRPr="00F50914">
        <w:rPr>
          <w:rFonts w:ascii="Arial" w:hAnsi="Arial" w:cs="Arial"/>
          <w:color w:val="000000" w:themeColor="text1"/>
          <w:sz w:val="22"/>
          <w:szCs w:val="22"/>
        </w:rPr>
        <w:t xml:space="preserve">., 2017). This may be helpful for children with ALN who have difficulty regulating their emotions, particularly within a busy classroom environment. </w:t>
      </w:r>
      <w:r w:rsidRPr="00F50914">
        <w:rPr>
          <w:rFonts w:ascii="Arial" w:hAnsi="Arial" w:cs="Arial"/>
          <w:color w:val="000000" w:themeColor="text1"/>
          <w:sz w:val="22"/>
          <w:szCs w:val="22"/>
          <w:shd w:val="clear" w:color="auto" w:fill="F7F7F8"/>
        </w:rPr>
        <w:t xml:space="preserve">By having a designated space to go to, children may be able to focus on classroom tasks and participate in learning activities. </w:t>
      </w:r>
      <w:r w:rsidRPr="00F50914">
        <w:rPr>
          <w:rFonts w:ascii="Arial" w:hAnsi="Arial" w:cs="Arial"/>
          <w:color w:val="000000" w:themeColor="text1"/>
          <w:sz w:val="22"/>
          <w:szCs w:val="22"/>
        </w:rPr>
        <w:t xml:space="preserve">On the other hand, it is important to consider that for some pupils, this may possibly lead to overstimulation, leading to increased anxiety and stress levels (Van den </w:t>
      </w:r>
      <w:proofErr w:type="spellStart"/>
      <w:r w:rsidRPr="00F50914">
        <w:rPr>
          <w:rFonts w:ascii="Arial" w:hAnsi="Arial" w:cs="Arial"/>
          <w:color w:val="000000" w:themeColor="text1"/>
          <w:sz w:val="22"/>
          <w:szCs w:val="22"/>
        </w:rPr>
        <w:t>Boogert</w:t>
      </w:r>
      <w:proofErr w:type="spellEnd"/>
      <w:r w:rsidRPr="00F50914">
        <w:rPr>
          <w:rFonts w:ascii="Arial" w:hAnsi="Arial" w:cs="Arial"/>
          <w:color w:val="000000" w:themeColor="text1"/>
          <w:sz w:val="22"/>
          <w:szCs w:val="22"/>
        </w:rPr>
        <w:t xml:space="preserve"> </w:t>
      </w:r>
      <w:r w:rsidRPr="00F50914">
        <w:rPr>
          <w:rFonts w:ascii="Arial" w:hAnsi="Arial" w:cs="Arial"/>
          <w:i/>
          <w:iCs/>
          <w:color w:val="000000" w:themeColor="text1"/>
          <w:sz w:val="22"/>
          <w:szCs w:val="22"/>
        </w:rPr>
        <w:t>et al</w:t>
      </w:r>
      <w:r w:rsidRPr="00F50914">
        <w:rPr>
          <w:rFonts w:ascii="Arial" w:hAnsi="Arial" w:cs="Arial"/>
          <w:color w:val="000000" w:themeColor="text1"/>
          <w:sz w:val="22"/>
          <w:szCs w:val="22"/>
        </w:rPr>
        <w:t xml:space="preserve">., 2022). </w:t>
      </w:r>
    </w:p>
    <w:p w14:paraId="3C44F302" w14:textId="77777777" w:rsidR="00756058" w:rsidRPr="00F50914" w:rsidRDefault="00756058" w:rsidP="00756058">
      <w:pPr>
        <w:spacing w:line="360" w:lineRule="auto"/>
        <w:rPr>
          <w:rFonts w:ascii="Arial" w:hAnsi="Arial" w:cs="Arial"/>
          <w:color w:val="000000" w:themeColor="text1"/>
          <w:sz w:val="22"/>
          <w:szCs w:val="22"/>
        </w:rPr>
      </w:pPr>
    </w:p>
    <w:p w14:paraId="3C2B6AA5"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lastRenderedPageBreak/>
        <w:t>Additionally, Sensory rooms can be used for social activities, such as group play and interaction, which can help children to develop their social skills and improve their communication with others (Pfeiffer et al., 2011). Within education,</w:t>
      </w:r>
      <w:r w:rsidRPr="00F50914">
        <w:rPr>
          <w:rFonts w:ascii="Arial" w:hAnsi="Arial" w:cs="Arial"/>
          <w:color w:val="000000" w:themeColor="text1"/>
          <w:sz w:val="22"/>
          <w:szCs w:val="22"/>
          <w:shd w:val="clear" w:color="auto" w:fill="F7F7F8"/>
        </w:rPr>
        <w:t xml:space="preserve"> social interactions have been regarded as integral to children's learning and development (Vygotsky, 1978; Bruner</w:t>
      </w:r>
      <w:r>
        <w:rPr>
          <w:rFonts w:ascii="Arial" w:hAnsi="Arial" w:cs="Arial"/>
          <w:color w:val="000000" w:themeColor="text1"/>
          <w:sz w:val="22"/>
          <w:szCs w:val="22"/>
          <w:shd w:val="clear" w:color="auto" w:fill="F7F7F8"/>
        </w:rPr>
        <w:t>, 1978</w:t>
      </w:r>
      <w:r w:rsidRPr="00F50914">
        <w:rPr>
          <w:rFonts w:ascii="Arial" w:hAnsi="Arial" w:cs="Arial"/>
          <w:color w:val="000000" w:themeColor="text1"/>
          <w:sz w:val="22"/>
          <w:szCs w:val="22"/>
          <w:shd w:val="clear" w:color="auto" w:fill="F7F7F8"/>
        </w:rPr>
        <w:t xml:space="preserve">). This suggests that the creation of a sensory room would be beneficial to improving outcomes for pupils with ALN, as prioritised within the SDP. </w:t>
      </w:r>
    </w:p>
    <w:p w14:paraId="68A70A64" w14:textId="77777777" w:rsidR="00756058" w:rsidRPr="00F50914" w:rsidRDefault="00756058" w:rsidP="00756058">
      <w:pPr>
        <w:spacing w:line="360" w:lineRule="auto"/>
        <w:rPr>
          <w:rFonts w:ascii="Arial" w:hAnsi="Arial" w:cs="Arial"/>
          <w:color w:val="000000" w:themeColor="text1"/>
          <w:sz w:val="22"/>
          <w:szCs w:val="22"/>
        </w:rPr>
      </w:pPr>
    </w:p>
    <w:p w14:paraId="6B467EFC"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However, it is important to note that research surrounding sensory rooms usually refers to children with Autistic Spectrum Condition (ASC). Due to the high costs of sensory room creation (</w:t>
      </w:r>
      <w:proofErr w:type="spellStart"/>
      <w:r w:rsidRPr="00F50914">
        <w:rPr>
          <w:rFonts w:ascii="Arial" w:hAnsi="Arial" w:cs="Arial"/>
          <w:color w:val="000000" w:themeColor="text1"/>
          <w:sz w:val="22"/>
          <w:szCs w:val="22"/>
        </w:rPr>
        <w:t>Habbak</w:t>
      </w:r>
      <w:proofErr w:type="spellEnd"/>
      <w:r w:rsidRPr="00F50914">
        <w:rPr>
          <w:rFonts w:ascii="Arial" w:hAnsi="Arial" w:cs="Arial"/>
          <w:color w:val="000000" w:themeColor="text1"/>
          <w:sz w:val="22"/>
          <w:szCs w:val="22"/>
        </w:rPr>
        <w:t xml:space="preserve"> and </w:t>
      </w:r>
      <w:proofErr w:type="spellStart"/>
      <w:r w:rsidRPr="00F50914">
        <w:rPr>
          <w:rFonts w:ascii="Arial" w:hAnsi="Arial" w:cs="Arial"/>
          <w:color w:val="000000" w:themeColor="text1"/>
          <w:sz w:val="22"/>
          <w:szCs w:val="22"/>
        </w:rPr>
        <w:t>Khodeir</w:t>
      </w:r>
      <w:proofErr w:type="spellEnd"/>
      <w:r w:rsidRPr="00F50914">
        <w:rPr>
          <w:rFonts w:ascii="Arial" w:hAnsi="Arial" w:cs="Arial"/>
          <w:color w:val="000000" w:themeColor="text1"/>
          <w:sz w:val="22"/>
          <w:szCs w:val="22"/>
        </w:rPr>
        <w:t xml:space="preserve">, 2022), it is important to consider whether a sensory room would also be beneficial for other learners with ALN, not limited to those with ASC considering the lower-than-average percentage of pupils with ALN in School X. As School X’s SDP outlines the improvement of provision for </w:t>
      </w:r>
      <w:r w:rsidRPr="00F50914">
        <w:rPr>
          <w:rFonts w:ascii="Arial" w:hAnsi="Arial" w:cs="Arial"/>
          <w:i/>
          <w:iCs/>
          <w:color w:val="000000" w:themeColor="text1"/>
          <w:sz w:val="22"/>
          <w:szCs w:val="22"/>
        </w:rPr>
        <w:t>all</w:t>
      </w:r>
      <w:r w:rsidRPr="00F50914">
        <w:rPr>
          <w:rFonts w:ascii="Arial" w:hAnsi="Arial" w:cs="Arial"/>
          <w:color w:val="000000" w:themeColor="text1"/>
          <w:sz w:val="22"/>
          <w:szCs w:val="22"/>
        </w:rPr>
        <w:t xml:space="preserve"> ALN pupils, it is important to consider both positives and limitations regarding the creation of a sensory room within the school. </w:t>
      </w:r>
    </w:p>
    <w:p w14:paraId="0A826F87" w14:textId="77777777" w:rsidR="00756058" w:rsidRPr="00F50914" w:rsidRDefault="00756058" w:rsidP="00756058">
      <w:pPr>
        <w:spacing w:line="360" w:lineRule="auto"/>
        <w:rPr>
          <w:rFonts w:ascii="Arial" w:hAnsi="Arial" w:cs="Arial"/>
          <w:color w:val="000000" w:themeColor="text1"/>
          <w:sz w:val="22"/>
          <w:szCs w:val="22"/>
        </w:rPr>
      </w:pPr>
    </w:p>
    <w:p w14:paraId="48FD49C3"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 xml:space="preserve">Regarding their SDP, School X must follow specific processes as outlined by Welsh Government legislation (Welsh Government, 2014b; Welsh Government, 2022b). In terms of self-evaluation, School X follows the National Resource for Evaluation and Improvement (NREI) processes set out by Welsh Government (2022b). Within this document, School X has generated responses to questions regarding the effectiveness of the school’s leadership, curriculum, learning and teaching and well-being, equity, and inclusion (School X, 2023). Each area encompasses specific components, allowing School X to pinpoint both areas of strength and improvement to inform the creation of the SDP. This assignment is particularly interested with the processes discussing inclusion as this relates to the chosen priority surrounding provision for pupils with ALN. </w:t>
      </w:r>
    </w:p>
    <w:p w14:paraId="38038EC3" w14:textId="77777777" w:rsidR="00756058" w:rsidRPr="00F50914" w:rsidRDefault="00756058" w:rsidP="00756058">
      <w:pPr>
        <w:spacing w:line="360" w:lineRule="auto"/>
        <w:rPr>
          <w:rFonts w:ascii="Arial" w:hAnsi="Arial" w:cs="Arial"/>
          <w:color w:val="000000" w:themeColor="text1"/>
          <w:sz w:val="22"/>
          <w:szCs w:val="22"/>
        </w:rPr>
      </w:pPr>
    </w:p>
    <w:p w14:paraId="7B88AF45"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 xml:space="preserve">Within the NREI document, School X highlights future implementations that are planned to improve the relating component (School X, 2023). However, within the NREI School X fails to highlight the processes used to monitor and review the progress, well-being, and attainment of learners with ALN. Nevertheless, within the SDP there is a small section of actions including </w:t>
      </w:r>
      <w:proofErr w:type="spellStart"/>
      <w:r w:rsidRPr="00F50914">
        <w:rPr>
          <w:rFonts w:ascii="Arial" w:hAnsi="Arial" w:cs="Arial"/>
          <w:color w:val="000000" w:themeColor="text1"/>
          <w:sz w:val="22"/>
          <w:szCs w:val="22"/>
        </w:rPr>
        <w:t>Wellcomm</w:t>
      </w:r>
      <w:proofErr w:type="spellEnd"/>
      <w:r w:rsidRPr="00F50914">
        <w:rPr>
          <w:rFonts w:ascii="Arial" w:hAnsi="Arial" w:cs="Arial"/>
          <w:color w:val="000000" w:themeColor="text1"/>
          <w:sz w:val="22"/>
          <w:szCs w:val="22"/>
        </w:rPr>
        <w:t xml:space="preserve">, Impulse and Boxall Profiles Online which upon further personal research could be assumed as programmes to monitor and review the progress of learners within the highlighted areas (GL Assessment, 2017; The Boxall Profile, 2019; CACI, 2023). However, the implementation of these programmes is not specifically stated within the SDP. During PTE these programmes were also not observed in practice as means of monitoring progress of learners. </w:t>
      </w:r>
    </w:p>
    <w:p w14:paraId="45B8E181" w14:textId="77777777" w:rsidR="00756058" w:rsidRPr="00F50914" w:rsidRDefault="00756058" w:rsidP="00756058">
      <w:pPr>
        <w:spacing w:line="360" w:lineRule="auto"/>
        <w:rPr>
          <w:rFonts w:ascii="Arial" w:hAnsi="Arial" w:cs="Arial"/>
          <w:color w:val="000000" w:themeColor="text1"/>
          <w:sz w:val="22"/>
          <w:szCs w:val="22"/>
        </w:rPr>
      </w:pPr>
    </w:p>
    <w:p w14:paraId="60AFDA04"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lastRenderedPageBreak/>
        <w:t>To further identify areas of strength and improvement, School X should analyse both qualitative and quantitative data (</w:t>
      </w:r>
      <w:proofErr w:type="spellStart"/>
      <w:r w:rsidRPr="00F50914">
        <w:rPr>
          <w:rFonts w:ascii="Arial" w:hAnsi="Arial" w:cs="Arial"/>
          <w:color w:val="000000" w:themeColor="text1"/>
          <w:sz w:val="22"/>
          <w:szCs w:val="22"/>
        </w:rPr>
        <w:t>Schildkamp</w:t>
      </w:r>
      <w:proofErr w:type="spellEnd"/>
      <w:r w:rsidRPr="00F50914">
        <w:rPr>
          <w:rFonts w:ascii="Arial" w:hAnsi="Arial" w:cs="Arial"/>
          <w:color w:val="000000" w:themeColor="text1"/>
          <w:sz w:val="22"/>
          <w:szCs w:val="22"/>
        </w:rPr>
        <w:t>, 2019). Qualitative data refers to information that is non-numeric (</w:t>
      </w:r>
      <w:proofErr w:type="spellStart"/>
      <w:r w:rsidRPr="00F50914">
        <w:rPr>
          <w:rFonts w:ascii="Arial" w:hAnsi="Arial" w:cs="Arial"/>
          <w:color w:val="000000" w:themeColor="text1"/>
          <w:sz w:val="22"/>
          <w:szCs w:val="22"/>
        </w:rPr>
        <w:t>Arghode</w:t>
      </w:r>
      <w:proofErr w:type="spellEnd"/>
      <w:r w:rsidRPr="00F50914">
        <w:rPr>
          <w:rFonts w:ascii="Arial" w:hAnsi="Arial" w:cs="Arial"/>
          <w:color w:val="000000" w:themeColor="text1"/>
          <w:sz w:val="22"/>
          <w:szCs w:val="22"/>
        </w:rPr>
        <w:t>, 2012). School X (2023) collects qualitative data through monitoring and reporting mechanisms such as parental feedback and meetings with governors. In contrast, quantitative data refers to the use of numerical information which can be quantified to present common themes (</w:t>
      </w:r>
      <w:proofErr w:type="spellStart"/>
      <w:r w:rsidRPr="00F50914">
        <w:rPr>
          <w:rFonts w:ascii="Arial" w:hAnsi="Arial" w:cs="Arial"/>
          <w:color w:val="000000" w:themeColor="text1"/>
          <w:sz w:val="22"/>
          <w:szCs w:val="22"/>
        </w:rPr>
        <w:t>Arghode</w:t>
      </w:r>
      <w:proofErr w:type="spellEnd"/>
      <w:r w:rsidRPr="00F50914">
        <w:rPr>
          <w:rFonts w:ascii="Arial" w:hAnsi="Arial" w:cs="Arial"/>
          <w:color w:val="000000" w:themeColor="text1"/>
          <w:sz w:val="22"/>
          <w:szCs w:val="22"/>
        </w:rPr>
        <w:t xml:space="preserve">, 2012). The previously mentioned programme of </w:t>
      </w:r>
      <w:proofErr w:type="spellStart"/>
      <w:r w:rsidRPr="00F50914">
        <w:rPr>
          <w:rFonts w:ascii="Arial" w:hAnsi="Arial" w:cs="Arial"/>
          <w:color w:val="000000" w:themeColor="text1"/>
          <w:sz w:val="22"/>
          <w:szCs w:val="22"/>
        </w:rPr>
        <w:t>Wellcomm</w:t>
      </w:r>
      <w:proofErr w:type="spellEnd"/>
      <w:r w:rsidRPr="00F50914">
        <w:rPr>
          <w:rFonts w:ascii="Arial" w:hAnsi="Arial" w:cs="Arial"/>
          <w:color w:val="000000" w:themeColor="text1"/>
          <w:sz w:val="22"/>
          <w:szCs w:val="22"/>
        </w:rPr>
        <w:t xml:space="preserve"> is used in schools as a way of quantifying data through tracking pupil progress in communication, language, and interaction (GL Assessment, 2017). However, School X has not shared the ways in which they collect and analyse quantitative data and the use of this programme </w:t>
      </w:r>
      <w:proofErr w:type="gramStart"/>
      <w:r w:rsidRPr="00F50914">
        <w:rPr>
          <w:rFonts w:ascii="Arial" w:hAnsi="Arial" w:cs="Arial"/>
          <w:color w:val="000000" w:themeColor="text1"/>
          <w:sz w:val="22"/>
          <w:szCs w:val="22"/>
        </w:rPr>
        <w:t>is based on an assumption</w:t>
      </w:r>
      <w:proofErr w:type="gramEnd"/>
      <w:r w:rsidRPr="00F50914">
        <w:rPr>
          <w:rFonts w:ascii="Arial" w:hAnsi="Arial" w:cs="Arial"/>
          <w:color w:val="000000" w:themeColor="text1"/>
          <w:sz w:val="22"/>
          <w:szCs w:val="22"/>
        </w:rPr>
        <w:t xml:space="preserve"> following reading of the SDP. Analysis of assessment data would be effective in identifying areas of strength and improvement of pupils across School X, including those with ALN (Welsh Government, 2022b). In line with the Curriculum for Wales, collection of evidence around learner progress should inform School X’s self-evaluation and subsequent improvement (Welsh Government, 2022b). </w:t>
      </w:r>
    </w:p>
    <w:p w14:paraId="554BC895" w14:textId="77777777" w:rsidR="00756058" w:rsidRPr="00F50914" w:rsidRDefault="00756058" w:rsidP="00756058">
      <w:pPr>
        <w:spacing w:line="360" w:lineRule="auto"/>
        <w:rPr>
          <w:rFonts w:ascii="Arial" w:hAnsi="Arial" w:cs="Arial"/>
          <w:color w:val="000000" w:themeColor="text1"/>
          <w:sz w:val="22"/>
          <w:szCs w:val="22"/>
        </w:rPr>
      </w:pPr>
    </w:p>
    <w:p w14:paraId="575AE301"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Within the SDP process, School X outlines the specific stakeholders involved within each priority (School X, 2023). Within the SDP, School X discusses the need for improved collaboration between home, school and multiagency to provide high level care for pupils, specifically pupils with ALN (School X,2023). Regarding the priority of interest within this assignment, various stakeholders are involved including the Headteacher, Additional Learning Needs Coordinator (</w:t>
      </w:r>
      <w:proofErr w:type="spellStart"/>
      <w:r w:rsidRPr="00F50914">
        <w:rPr>
          <w:rFonts w:ascii="Arial" w:hAnsi="Arial" w:cs="Arial"/>
          <w:color w:val="000000" w:themeColor="text1"/>
          <w:sz w:val="22"/>
          <w:szCs w:val="22"/>
        </w:rPr>
        <w:t>ALNCo</w:t>
      </w:r>
      <w:proofErr w:type="spellEnd"/>
      <w:r w:rsidRPr="00F50914">
        <w:rPr>
          <w:rFonts w:ascii="Arial" w:hAnsi="Arial" w:cs="Arial"/>
          <w:color w:val="000000" w:themeColor="text1"/>
          <w:sz w:val="22"/>
          <w:szCs w:val="22"/>
        </w:rPr>
        <w:t xml:space="preserve">), ALN Governor, teaching staff and parents of ALN pupils. Through involvement of stakeholders, the SDP is ensured to reflect the needs and priorities for pupils with ALN (Welsh Government, 2022c). Estyn (2017) deem the involvement of stakeholders to identify school improvement as a form of effective practice - further supporting School X’s clear involvement with stakeholders. Involvement of stakeholders is part of the strategic planning stage of school improvement. During the strategic planning process, schools use the self-evaluation to concisely outline the school’s targets for improvement (Chang, 2008; Welsh Government, 2014a). Legally, schools are required to have one SDP (Welsh Government, 2014a). However, during the process of strategic planning to create the SDP, schools may have numerous plans such as spending plans for grants and professional development of staff (Welsh Government, 2014a). In School X, an additional plan was devised amongst staff for the spending of an ALN grant, specifically related to the priority of interest within this assignment through creation of a sensory room within the school (School X, 2023).  However, this has not been included within the SDP. </w:t>
      </w:r>
    </w:p>
    <w:p w14:paraId="54C38643" w14:textId="77777777" w:rsidR="00756058" w:rsidRPr="00F50914" w:rsidRDefault="00756058" w:rsidP="00756058">
      <w:pPr>
        <w:spacing w:line="360" w:lineRule="auto"/>
        <w:rPr>
          <w:rFonts w:ascii="Arial" w:hAnsi="Arial" w:cs="Arial"/>
          <w:color w:val="000000" w:themeColor="text1"/>
          <w:sz w:val="22"/>
          <w:szCs w:val="22"/>
        </w:rPr>
      </w:pPr>
    </w:p>
    <w:p w14:paraId="6C029D91"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lastRenderedPageBreak/>
        <w:t xml:space="preserve">Finally, School X must also measure the impact of implementations to achieve the priority. Within the SDP, School X plans to measure impact of improvement of provision for pupils with ALN through half-termly Red, Amber, Green (RAG) ratings. Each priority outlines a success criterion in which can be used to measure progress against. RAG ratings are a form of traffic light system to indicate a project’s progress within a priority (School X,2023). However, there is no credible literature available discussing the use of RAG ratings as a means of measuring impact. As a result of this, it is difficult to determine the effectiveness of School X’s current means of measuring impact. </w:t>
      </w:r>
    </w:p>
    <w:p w14:paraId="3B63ACBA" w14:textId="77777777" w:rsidR="00756058" w:rsidRPr="00F50914" w:rsidRDefault="00756058" w:rsidP="00756058">
      <w:pPr>
        <w:spacing w:line="360" w:lineRule="auto"/>
        <w:rPr>
          <w:rFonts w:ascii="Arial" w:hAnsi="Arial" w:cs="Arial"/>
          <w:color w:val="000000" w:themeColor="text1"/>
          <w:sz w:val="22"/>
          <w:szCs w:val="22"/>
        </w:rPr>
      </w:pPr>
    </w:p>
    <w:p w14:paraId="79E62885" w14:textId="77777777" w:rsidR="00756058" w:rsidRPr="00F50914" w:rsidRDefault="00756058" w:rsidP="00756058">
      <w:pPr>
        <w:spacing w:line="360" w:lineRule="auto"/>
        <w:rPr>
          <w:rFonts w:ascii="Arial" w:hAnsi="Arial" w:cs="Arial"/>
          <w:color w:val="000000" w:themeColor="text1"/>
          <w:sz w:val="22"/>
          <w:szCs w:val="22"/>
        </w:rPr>
      </w:pPr>
      <w:r>
        <w:rPr>
          <w:rFonts w:ascii="Arial" w:hAnsi="Arial" w:cs="Arial"/>
          <w:color w:val="000000" w:themeColor="text1"/>
          <w:sz w:val="22"/>
          <w:szCs w:val="22"/>
        </w:rPr>
        <w:t>As previously mentioned,</w:t>
      </w:r>
      <w:r w:rsidRPr="00F50914">
        <w:rPr>
          <w:rFonts w:ascii="Arial" w:hAnsi="Arial" w:cs="Arial"/>
          <w:color w:val="000000" w:themeColor="text1"/>
          <w:sz w:val="22"/>
          <w:szCs w:val="22"/>
        </w:rPr>
        <w:t xml:space="preserve"> the </w:t>
      </w:r>
      <w:r>
        <w:rPr>
          <w:rFonts w:ascii="Arial" w:hAnsi="Arial" w:cs="Arial"/>
          <w:color w:val="000000" w:themeColor="text1"/>
          <w:sz w:val="22"/>
          <w:szCs w:val="22"/>
        </w:rPr>
        <w:t>addition</w:t>
      </w:r>
      <w:r w:rsidRPr="00F50914">
        <w:rPr>
          <w:rFonts w:ascii="Arial" w:hAnsi="Arial" w:cs="Arial"/>
          <w:color w:val="000000" w:themeColor="text1"/>
          <w:sz w:val="22"/>
          <w:szCs w:val="22"/>
        </w:rPr>
        <w:t xml:space="preserve"> of a sensory room </w:t>
      </w:r>
      <w:r>
        <w:rPr>
          <w:rFonts w:ascii="Arial" w:hAnsi="Arial" w:cs="Arial"/>
          <w:color w:val="000000" w:themeColor="text1"/>
          <w:sz w:val="22"/>
          <w:szCs w:val="22"/>
        </w:rPr>
        <w:t>is in motion as a</w:t>
      </w:r>
      <w:r w:rsidRPr="00F50914">
        <w:rPr>
          <w:rFonts w:ascii="Arial" w:hAnsi="Arial" w:cs="Arial"/>
          <w:color w:val="000000" w:themeColor="text1"/>
          <w:sz w:val="22"/>
          <w:szCs w:val="22"/>
        </w:rPr>
        <w:t xml:space="preserve"> form of developing provision to meet the needs of all learners with ALN in School X. It is important to note that currently, this is being implemented within the school and is not yet complete. </w:t>
      </w:r>
      <w:proofErr w:type="gramStart"/>
      <w:r w:rsidRPr="00F50914">
        <w:rPr>
          <w:rFonts w:ascii="Arial" w:hAnsi="Arial" w:cs="Arial"/>
          <w:color w:val="000000" w:themeColor="text1"/>
          <w:sz w:val="22"/>
          <w:szCs w:val="22"/>
        </w:rPr>
        <w:t>In light of</w:t>
      </w:r>
      <w:proofErr w:type="gramEnd"/>
      <w:r w:rsidRPr="00F50914">
        <w:rPr>
          <w:rFonts w:ascii="Arial" w:hAnsi="Arial" w:cs="Arial"/>
          <w:color w:val="000000" w:themeColor="text1"/>
          <w:sz w:val="22"/>
          <w:szCs w:val="22"/>
        </w:rPr>
        <w:t xml:space="preserve"> both research and personal experience surrounding sensory rooms, this is an implementation that could prove beneficial in aiding the development of pupils with ALN. As previously discussed, sensory rooms have numerous benefits to pupils with ALN, including positively affecting their ability to work within the classroom environment (Cumbria County Council, n.d.; Pfeiffer </w:t>
      </w:r>
      <w:r w:rsidRPr="00F50914">
        <w:rPr>
          <w:rFonts w:ascii="Arial" w:hAnsi="Arial" w:cs="Arial"/>
          <w:i/>
          <w:iCs/>
          <w:color w:val="000000" w:themeColor="text1"/>
          <w:sz w:val="22"/>
          <w:szCs w:val="22"/>
        </w:rPr>
        <w:t>et al</w:t>
      </w:r>
      <w:r w:rsidRPr="00F50914">
        <w:rPr>
          <w:rFonts w:ascii="Arial" w:hAnsi="Arial" w:cs="Arial"/>
          <w:color w:val="000000" w:themeColor="text1"/>
          <w:sz w:val="22"/>
          <w:szCs w:val="22"/>
        </w:rPr>
        <w:t xml:space="preserve">., 2011; West </w:t>
      </w:r>
      <w:r w:rsidRPr="00F50914">
        <w:rPr>
          <w:rFonts w:ascii="Arial" w:hAnsi="Arial" w:cs="Arial"/>
          <w:i/>
          <w:iCs/>
          <w:color w:val="000000" w:themeColor="text1"/>
          <w:sz w:val="22"/>
          <w:szCs w:val="22"/>
        </w:rPr>
        <w:t>et al</w:t>
      </w:r>
      <w:r w:rsidRPr="00F50914">
        <w:rPr>
          <w:rFonts w:ascii="Arial" w:hAnsi="Arial" w:cs="Arial"/>
          <w:color w:val="000000" w:themeColor="text1"/>
          <w:sz w:val="22"/>
          <w:szCs w:val="22"/>
        </w:rPr>
        <w:t>., 2017). The emphasis on supporting well-being through use of sensory rooms is also an important factor considering well-being is an integral part of Curriculum for Wales (Welsh Government, 2022a). This implies that in addition to pupils with ALN, the sensory room could also be used as a whole school approach to well-being. However, it is also important to consider possible implications of the introduction of a sensory room within the school. Sensory rooms are costly to implement (</w:t>
      </w:r>
      <w:proofErr w:type="spellStart"/>
      <w:r w:rsidRPr="00F50914">
        <w:rPr>
          <w:rFonts w:ascii="Arial" w:hAnsi="Arial" w:cs="Arial"/>
          <w:color w:val="000000" w:themeColor="text1"/>
          <w:sz w:val="22"/>
          <w:szCs w:val="22"/>
        </w:rPr>
        <w:t>Habbak</w:t>
      </w:r>
      <w:proofErr w:type="spellEnd"/>
      <w:r w:rsidRPr="00F50914">
        <w:rPr>
          <w:rFonts w:ascii="Arial" w:hAnsi="Arial" w:cs="Arial"/>
          <w:color w:val="000000" w:themeColor="text1"/>
          <w:sz w:val="22"/>
          <w:szCs w:val="22"/>
        </w:rPr>
        <w:t xml:space="preserve"> and </w:t>
      </w:r>
      <w:proofErr w:type="spellStart"/>
      <w:r w:rsidRPr="00F50914">
        <w:rPr>
          <w:rFonts w:ascii="Arial" w:hAnsi="Arial" w:cs="Arial"/>
          <w:color w:val="000000" w:themeColor="text1"/>
          <w:sz w:val="22"/>
          <w:szCs w:val="22"/>
        </w:rPr>
        <w:t>Khodeir</w:t>
      </w:r>
      <w:proofErr w:type="spellEnd"/>
      <w:r w:rsidRPr="00F50914">
        <w:rPr>
          <w:rFonts w:ascii="Arial" w:hAnsi="Arial" w:cs="Arial"/>
          <w:color w:val="000000" w:themeColor="text1"/>
          <w:sz w:val="22"/>
          <w:szCs w:val="22"/>
        </w:rPr>
        <w:t xml:space="preserve">, 2022). Although School X has used an ALN grant to aid its creation, it is important to consider future maintenance costs that could occur to ensure the room remains safe for use. Additionally, as there is no current empty space within the school, it is important to consider both staff and time constraints around clearing and creating a sensory room. </w:t>
      </w:r>
    </w:p>
    <w:p w14:paraId="0DAD6510" w14:textId="77777777" w:rsidR="00756058" w:rsidRPr="00F50914" w:rsidRDefault="00756058" w:rsidP="00756058">
      <w:pPr>
        <w:spacing w:line="360" w:lineRule="auto"/>
        <w:rPr>
          <w:rFonts w:ascii="Arial" w:hAnsi="Arial" w:cs="Arial"/>
          <w:color w:val="000000" w:themeColor="text1"/>
          <w:sz w:val="22"/>
          <w:szCs w:val="22"/>
        </w:rPr>
      </w:pPr>
    </w:p>
    <w:p w14:paraId="500ADC45" w14:textId="77777777" w:rsidR="00756058" w:rsidRPr="00F50914" w:rsidRDefault="00756058" w:rsidP="00756058">
      <w:pPr>
        <w:spacing w:line="360" w:lineRule="auto"/>
        <w:rPr>
          <w:rFonts w:ascii="Arial" w:hAnsi="Arial" w:cs="Arial"/>
          <w:color w:val="000000" w:themeColor="text1"/>
          <w:sz w:val="22"/>
          <w:szCs w:val="22"/>
        </w:rPr>
      </w:pPr>
      <w:r w:rsidRPr="00F50914">
        <w:rPr>
          <w:rFonts w:ascii="Arial" w:hAnsi="Arial" w:cs="Arial"/>
          <w:color w:val="000000" w:themeColor="text1"/>
          <w:sz w:val="22"/>
          <w:szCs w:val="22"/>
        </w:rPr>
        <w:t xml:space="preserve">In review of the evaluation around this priority, one suggestion would be to study further evidence-based research to maximise the benefits of the sensory room such as Jones (2023). Additionally, collaboration between </w:t>
      </w:r>
      <w:proofErr w:type="spellStart"/>
      <w:r w:rsidRPr="00F50914">
        <w:rPr>
          <w:rFonts w:ascii="Arial" w:hAnsi="Arial" w:cs="Arial"/>
          <w:color w:val="000000" w:themeColor="text1"/>
          <w:sz w:val="22"/>
          <w:szCs w:val="22"/>
        </w:rPr>
        <w:t>ALNCos</w:t>
      </w:r>
      <w:proofErr w:type="spellEnd"/>
      <w:r w:rsidRPr="00F50914">
        <w:rPr>
          <w:rFonts w:ascii="Arial" w:hAnsi="Arial" w:cs="Arial"/>
          <w:color w:val="000000" w:themeColor="text1"/>
          <w:sz w:val="22"/>
          <w:szCs w:val="22"/>
        </w:rPr>
        <w:t xml:space="preserve"> in other schools with specific provision for ALN pupils could prove beneficial in implementing new strategies to aid learners in School X. Finally, further professional training in approaches such as Thrive could prove beneficial alongside a sensory room. The Thrive Approach aims to improve behaviour and learning outcomes through tackling the underlying cause (Parks, 2019). This approach is a socio-emotional model underpinned by neuroscience and attachment theory to suggest interventions for various social and emotional difficulties following an online testing system (Parks,2019). However, training to become a Thrive practitioner is costly and may not be </w:t>
      </w:r>
      <w:r w:rsidRPr="00F50914">
        <w:rPr>
          <w:rFonts w:ascii="Arial" w:hAnsi="Arial" w:cs="Arial"/>
          <w:color w:val="000000" w:themeColor="text1"/>
          <w:sz w:val="22"/>
          <w:szCs w:val="22"/>
        </w:rPr>
        <w:lastRenderedPageBreak/>
        <w:t xml:space="preserve">suitable for School X dependent on current budget. Within this situation, I would suggest collaboration with a trained Thrive practitioner in a </w:t>
      </w:r>
      <w:r>
        <w:rPr>
          <w:rFonts w:ascii="Arial" w:hAnsi="Arial" w:cs="Arial"/>
          <w:color w:val="000000" w:themeColor="text1"/>
          <w:sz w:val="22"/>
          <w:szCs w:val="22"/>
        </w:rPr>
        <w:t>cluster</w:t>
      </w:r>
      <w:r w:rsidRPr="00F50914">
        <w:rPr>
          <w:rFonts w:ascii="Arial" w:hAnsi="Arial" w:cs="Arial"/>
          <w:color w:val="000000" w:themeColor="text1"/>
          <w:sz w:val="22"/>
          <w:szCs w:val="22"/>
        </w:rPr>
        <w:t xml:space="preserve"> school to share effective practice for the provision of ALN pupils. </w:t>
      </w:r>
    </w:p>
    <w:p w14:paraId="4BB12B84" w14:textId="77777777" w:rsidR="00756058" w:rsidRPr="00F50914" w:rsidRDefault="00756058" w:rsidP="00756058">
      <w:pPr>
        <w:spacing w:line="360" w:lineRule="auto"/>
        <w:rPr>
          <w:rFonts w:ascii="Arial" w:hAnsi="Arial" w:cs="Arial"/>
          <w:color w:val="000000" w:themeColor="text1"/>
          <w:sz w:val="22"/>
          <w:szCs w:val="22"/>
        </w:rPr>
      </w:pPr>
    </w:p>
    <w:p w14:paraId="66DF48BC" w14:textId="77777777" w:rsidR="00756058" w:rsidRPr="00F50914" w:rsidRDefault="00756058" w:rsidP="00756058">
      <w:pPr>
        <w:spacing w:line="360" w:lineRule="auto"/>
        <w:rPr>
          <w:rFonts w:ascii="Arial" w:hAnsi="Arial" w:cs="Arial"/>
          <w:color w:val="000000" w:themeColor="text1"/>
          <w:sz w:val="22"/>
          <w:szCs w:val="22"/>
          <w:shd w:val="clear" w:color="auto" w:fill="F7F7F8"/>
        </w:rPr>
      </w:pPr>
      <w:r w:rsidRPr="00F50914">
        <w:rPr>
          <w:rFonts w:ascii="Arial" w:hAnsi="Arial" w:cs="Arial"/>
          <w:color w:val="000000" w:themeColor="text1"/>
          <w:sz w:val="22"/>
          <w:szCs w:val="22"/>
        </w:rPr>
        <w:t xml:space="preserve">In conclusion, this assignment has explored the processes involved in creating an SDP, showing understanding of how an SDP is addressed and its impact measured in the context of School X. This assignment has concluded that </w:t>
      </w:r>
      <w:r w:rsidRPr="00F50914">
        <w:rPr>
          <w:rFonts w:ascii="Arial" w:hAnsi="Arial" w:cs="Arial"/>
          <w:color w:val="000000" w:themeColor="text1"/>
          <w:sz w:val="22"/>
          <w:szCs w:val="22"/>
          <w:shd w:val="clear" w:color="auto" w:fill="F7F7F8"/>
        </w:rPr>
        <w:t xml:space="preserve">the addition of a sensory room would be beneficial to the progress of pupils with ALN, helping to develop their sensory processing skills, leading to improved regulation in behaviour and attention in the classroom, and reducing anxiety and stress levels </w:t>
      </w:r>
      <w:r w:rsidRPr="00F50914">
        <w:rPr>
          <w:rFonts w:ascii="Arial" w:hAnsi="Arial" w:cs="Arial"/>
          <w:color w:val="000000" w:themeColor="text1"/>
          <w:sz w:val="22"/>
          <w:szCs w:val="22"/>
        </w:rPr>
        <w:t xml:space="preserve">(Cumbria County Council, n.d.; Pfeiffer </w:t>
      </w:r>
      <w:r w:rsidRPr="00F50914">
        <w:rPr>
          <w:rFonts w:ascii="Arial" w:hAnsi="Arial" w:cs="Arial"/>
          <w:i/>
          <w:iCs/>
          <w:color w:val="000000" w:themeColor="text1"/>
          <w:sz w:val="22"/>
          <w:szCs w:val="22"/>
        </w:rPr>
        <w:t>et al</w:t>
      </w:r>
      <w:r w:rsidRPr="00F50914">
        <w:rPr>
          <w:rFonts w:ascii="Arial" w:hAnsi="Arial" w:cs="Arial"/>
          <w:color w:val="000000" w:themeColor="text1"/>
          <w:sz w:val="22"/>
          <w:szCs w:val="22"/>
        </w:rPr>
        <w:t xml:space="preserve">., 2011; West </w:t>
      </w:r>
      <w:r w:rsidRPr="00F50914">
        <w:rPr>
          <w:rFonts w:ascii="Arial" w:hAnsi="Arial" w:cs="Arial"/>
          <w:i/>
          <w:iCs/>
          <w:color w:val="000000" w:themeColor="text1"/>
          <w:sz w:val="22"/>
          <w:szCs w:val="22"/>
        </w:rPr>
        <w:t>et al</w:t>
      </w:r>
      <w:r w:rsidRPr="00F50914">
        <w:rPr>
          <w:rFonts w:ascii="Arial" w:hAnsi="Arial" w:cs="Arial"/>
          <w:color w:val="000000" w:themeColor="text1"/>
          <w:sz w:val="22"/>
          <w:szCs w:val="22"/>
        </w:rPr>
        <w:t>., 2017).</w:t>
      </w:r>
      <w:r w:rsidRPr="00F50914">
        <w:rPr>
          <w:rFonts w:ascii="Arial" w:hAnsi="Arial" w:cs="Arial"/>
          <w:color w:val="000000" w:themeColor="text1"/>
          <w:sz w:val="22"/>
          <w:szCs w:val="22"/>
          <w:shd w:val="clear" w:color="auto" w:fill="F7F7F8"/>
        </w:rPr>
        <w:t xml:space="preserve"> However, it is important that School X is also aware of the possible implications with the addition of a sensory room. </w:t>
      </w:r>
    </w:p>
    <w:p w14:paraId="1EF62FB6" w14:textId="77777777" w:rsidR="00756058" w:rsidRPr="00F50914" w:rsidRDefault="00756058" w:rsidP="00756058">
      <w:pPr>
        <w:spacing w:line="360" w:lineRule="auto"/>
        <w:rPr>
          <w:rFonts w:ascii="Arial" w:hAnsi="Arial" w:cs="Arial"/>
          <w:color w:val="000000" w:themeColor="text1"/>
          <w:sz w:val="22"/>
          <w:szCs w:val="22"/>
          <w:shd w:val="clear" w:color="auto" w:fill="F7F7F8"/>
        </w:rPr>
      </w:pPr>
    </w:p>
    <w:p w14:paraId="659123AB" w14:textId="6542B4A6" w:rsidR="00756058" w:rsidRPr="00F50914" w:rsidRDefault="00756058" w:rsidP="00756058">
      <w:pPr>
        <w:spacing w:line="360" w:lineRule="auto"/>
        <w:rPr>
          <w:rFonts w:ascii="Arial" w:hAnsi="Arial" w:cs="Arial"/>
          <w:color w:val="000000" w:themeColor="text1"/>
          <w:sz w:val="22"/>
          <w:szCs w:val="22"/>
          <w:shd w:val="clear" w:color="auto" w:fill="F7F7F8"/>
        </w:rPr>
      </w:pPr>
      <w:r w:rsidRPr="00F50914">
        <w:rPr>
          <w:rFonts w:ascii="Arial" w:hAnsi="Arial" w:cs="Arial"/>
          <w:color w:val="000000" w:themeColor="text1"/>
          <w:sz w:val="22"/>
          <w:szCs w:val="22"/>
          <w:shd w:val="clear" w:color="auto" w:fill="F7F7F8"/>
        </w:rPr>
        <w:t xml:space="preserve">In terms of personal professional practice, this assignment has enabled a deeper understanding of the processes of an SDP including my role as stakeholder in future as a qualified practitioner. Through wide engagement of current literature, I have taken a critical stance on an SDP, enabling personal recommendations for the future that can be used in my own practice. </w:t>
      </w:r>
      <w:proofErr w:type="gramStart"/>
      <w:r w:rsidRPr="00F50914">
        <w:rPr>
          <w:rFonts w:ascii="Arial" w:hAnsi="Arial" w:cs="Arial"/>
          <w:color w:val="000000" w:themeColor="text1"/>
          <w:sz w:val="22"/>
          <w:szCs w:val="22"/>
          <w:shd w:val="clear" w:color="auto" w:fill="F7F7F8"/>
        </w:rPr>
        <w:t>Looking forward,</w:t>
      </w:r>
      <w:r>
        <w:rPr>
          <w:rFonts w:ascii="Arial" w:hAnsi="Arial" w:cs="Arial"/>
          <w:color w:val="000000" w:themeColor="text1"/>
          <w:sz w:val="22"/>
          <w:szCs w:val="22"/>
          <w:shd w:val="clear" w:color="auto" w:fill="F7F7F8"/>
        </w:rPr>
        <w:t xml:space="preserve"> </w:t>
      </w:r>
      <w:r w:rsidRPr="00F50914">
        <w:rPr>
          <w:rFonts w:ascii="Arial" w:hAnsi="Arial" w:cs="Arial"/>
          <w:color w:val="000000" w:themeColor="text1"/>
          <w:sz w:val="22"/>
          <w:szCs w:val="22"/>
          <w:shd w:val="clear" w:color="auto" w:fill="F7F7F8"/>
        </w:rPr>
        <w:t>deeper understanding of the SDP</w:t>
      </w:r>
      <w:proofErr w:type="gramEnd"/>
      <w:r w:rsidRPr="00F50914">
        <w:rPr>
          <w:rFonts w:ascii="Arial" w:hAnsi="Arial" w:cs="Arial"/>
          <w:color w:val="000000" w:themeColor="text1"/>
          <w:sz w:val="22"/>
          <w:szCs w:val="22"/>
          <w:shd w:val="clear" w:color="auto" w:fill="F7F7F8"/>
        </w:rPr>
        <w:t xml:space="preserve"> will allow for </w:t>
      </w:r>
      <w:r w:rsidR="00EC32E0">
        <w:rPr>
          <w:rFonts w:ascii="Arial" w:hAnsi="Arial" w:cs="Arial"/>
          <w:color w:val="000000" w:themeColor="text1"/>
          <w:sz w:val="22"/>
          <w:szCs w:val="22"/>
          <w:shd w:val="clear" w:color="auto" w:fill="F7F7F8"/>
        </w:rPr>
        <w:t xml:space="preserve">personal </w:t>
      </w:r>
      <w:r w:rsidRPr="00F50914">
        <w:rPr>
          <w:rFonts w:ascii="Arial" w:hAnsi="Arial" w:cs="Arial"/>
          <w:color w:val="000000" w:themeColor="text1"/>
          <w:sz w:val="22"/>
          <w:szCs w:val="22"/>
          <w:shd w:val="clear" w:color="auto" w:fill="F7F7F8"/>
        </w:rPr>
        <w:t xml:space="preserve">progress within the ‘Exercising Corporate Responsibility’ professional standard for teaching at an induction level (Welsh Government, 2020). </w:t>
      </w:r>
    </w:p>
    <w:p w14:paraId="0C124D10" w14:textId="77777777" w:rsidR="00756058" w:rsidRPr="00A87C67" w:rsidRDefault="00756058" w:rsidP="00756058">
      <w:pPr>
        <w:spacing w:line="360" w:lineRule="auto"/>
        <w:rPr>
          <w:rFonts w:ascii="Arial" w:hAnsi="Arial" w:cs="Arial"/>
          <w:sz w:val="22"/>
          <w:szCs w:val="22"/>
        </w:rPr>
      </w:pPr>
    </w:p>
    <w:p w14:paraId="35230E8B" w14:textId="77777777" w:rsidR="00756058" w:rsidRDefault="00756058" w:rsidP="00756058">
      <w:pPr>
        <w:spacing w:line="360" w:lineRule="auto"/>
        <w:rPr>
          <w:rFonts w:ascii="Arial" w:hAnsi="Arial" w:cs="Arial"/>
          <w:color w:val="000000" w:themeColor="text1"/>
          <w:sz w:val="22"/>
          <w:szCs w:val="22"/>
        </w:rPr>
      </w:pPr>
    </w:p>
    <w:p w14:paraId="0C5C59C0" w14:textId="77777777" w:rsidR="00D24C82" w:rsidRPr="00D24C82" w:rsidRDefault="00D24C82" w:rsidP="00756058">
      <w:pPr>
        <w:spacing w:line="360" w:lineRule="auto"/>
      </w:pPr>
    </w:p>
    <w:p w14:paraId="1BD65C66" w14:textId="77777777" w:rsidR="007A4420" w:rsidRDefault="007A4420" w:rsidP="00E10C6F">
      <w:pPr>
        <w:pStyle w:val="NormalWeb"/>
        <w:spacing w:before="0" w:beforeAutospacing="0" w:after="240" w:afterAutospacing="0" w:line="360" w:lineRule="auto"/>
        <w:rPr>
          <w:rFonts w:ascii="Arial" w:hAnsi="Arial" w:cs="Arial"/>
          <w:sz w:val="22"/>
          <w:szCs w:val="22"/>
        </w:rPr>
      </w:pPr>
    </w:p>
    <w:p w14:paraId="41116293" w14:textId="5F7A7DB8" w:rsidR="00E10C6F" w:rsidRPr="007A4420" w:rsidRDefault="00E10C6F" w:rsidP="00E10C6F">
      <w:pPr>
        <w:pStyle w:val="NormalWeb"/>
        <w:spacing w:before="0" w:beforeAutospacing="0" w:after="240" w:afterAutospacing="0" w:line="360" w:lineRule="auto"/>
        <w:rPr>
          <w:rFonts w:ascii="Arial" w:hAnsi="Arial" w:cs="Arial"/>
          <w:sz w:val="22"/>
          <w:szCs w:val="22"/>
          <w:u w:val="single"/>
        </w:rPr>
      </w:pPr>
      <w:r w:rsidRPr="007A4420">
        <w:rPr>
          <w:rFonts w:ascii="Arial" w:hAnsi="Arial" w:cs="Arial"/>
          <w:sz w:val="22"/>
          <w:szCs w:val="22"/>
          <w:u w:val="single"/>
        </w:rPr>
        <w:t xml:space="preserve">Reference </w:t>
      </w:r>
      <w:r w:rsidR="007A4420" w:rsidRPr="007A4420">
        <w:rPr>
          <w:rFonts w:ascii="Arial" w:hAnsi="Arial" w:cs="Arial"/>
          <w:sz w:val="22"/>
          <w:szCs w:val="22"/>
          <w:u w:val="single"/>
        </w:rPr>
        <w:t>L</w:t>
      </w:r>
      <w:r w:rsidRPr="007A4420">
        <w:rPr>
          <w:rFonts w:ascii="Arial" w:hAnsi="Arial" w:cs="Arial"/>
          <w:sz w:val="22"/>
          <w:szCs w:val="22"/>
          <w:u w:val="single"/>
        </w:rPr>
        <w:t>ist</w:t>
      </w:r>
    </w:p>
    <w:p w14:paraId="52FF7C24"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British Educational Research Association (2018). </w:t>
      </w:r>
      <w:r w:rsidRPr="00E10C6F">
        <w:rPr>
          <w:rFonts w:ascii="Arial" w:hAnsi="Arial" w:cs="Arial"/>
          <w:i/>
          <w:iCs/>
          <w:sz w:val="22"/>
          <w:szCs w:val="22"/>
        </w:rPr>
        <w:t>Ethical Guidelines for Educational Research, Fourth Edition (2018)</w:t>
      </w:r>
      <w:r w:rsidRPr="00E10C6F">
        <w:rPr>
          <w:rFonts w:ascii="Arial" w:hAnsi="Arial" w:cs="Arial"/>
          <w:sz w:val="22"/>
          <w:szCs w:val="22"/>
        </w:rPr>
        <w:t>. [online] Bera.ac.uk. Available at: https://www.bera.ac.uk/publication/ethical-guidelines-for-educational-research-2018 [Accessed 11 May 2023].</w:t>
      </w:r>
    </w:p>
    <w:p w14:paraId="2E4A49A5"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Bruner, J.S. (1978). The Role of Dialogue in Language Acquisition. </w:t>
      </w:r>
      <w:r w:rsidRPr="00E10C6F">
        <w:rPr>
          <w:rFonts w:ascii="Arial" w:hAnsi="Arial" w:cs="Arial"/>
          <w:i/>
          <w:iCs/>
          <w:sz w:val="22"/>
          <w:szCs w:val="22"/>
        </w:rPr>
        <w:t>The Child’s Concept of Language</w:t>
      </w:r>
      <w:r w:rsidRPr="00E10C6F">
        <w:rPr>
          <w:rFonts w:ascii="Arial" w:hAnsi="Arial" w:cs="Arial"/>
          <w:sz w:val="22"/>
          <w:szCs w:val="22"/>
        </w:rPr>
        <w:t>.</w:t>
      </w:r>
    </w:p>
    <w:p w14:paraId="72F80D3D"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CACI (2023). </w:t>
      </w:r>
      <w:r w:rsidRPr="00E10C6F">
        <w:rPr>
          <w:rFonts w:ascii="Arial" w:hAnsi="Arial" w:cs="Arial"/>
          <w:i/>
          <w:iCs/>
          <w:sz w:val="22"/>
          <w:szCs w:val="22"/>
        </w:rPr>
        <w:t>IMPULSE Nexus</w:t>
      </w:r>
      <w:r w:rsidRPr="00E10C6F">
        <w:rPr>
          <w:rFonts w:ascii="Arial" w:hAnsi="Arial" w:cs="Arial"/>
          <w:sz w:val="22"/>
          <w:szCs w:val="22"/>
        </w:rPr>
        <w:t>. [online] CACI. Available at: https://www.caci.co.uk/software/impulse/ [Accessed 13 May 2023].</w:t>
      </w:r>
    </w:p>
    <w:p w14:paraId="3120D63F"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lastRenderedPageBreak/>
        <w:t xml:space="preserve">Chang, G.-C. (2008). </w:t>
      </w:r>
      <w:r w:rsidRPr="00E10C6F">
        <w:rPr>
          <w:rFonts w:ascii="Arial" w:hAnsi="Arial" w:cs="Arial"/>
          <w:i/>
          <w:iCs/>
          <w:sz w:val="22"/>
          <w:szCs w:val="22"/>
        </w:rPr>
        <w:t>Strategic Planning in Education: Some Concepts and Methods</w:t>
      </w:r>
      <w:r w:rsidRPr="00E10C6F">
        <w:rPr>
          <w:rFonts w:ascii="Arial" w:hAnsi="Arial" w:cs="Arial"/>
          <w:sz w:val="22"/>
          <w:szCs w:val="22"/>
        </w:rPr>
        <w:t>. [online] Available at: http://www.dr-ama.com/wp-content/uploads/2013/04/strategic-education.pdf [Accessed 12 May 2023].</w:t>
      </w:r>
    </w:p>
    <w:p w14:paraId="53C7F6BE"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Cumbria County Council (n.d.). </w:t>
      </w:r>
      <w:r w:rsidRPr="00E10C6F">
        <w:rPr>
          <w:rFonts w:ascii="Arial" w:hAnsi="Arial" w:cs="Arial"/>
          <w:i/>
          <w:iCs/>
          <w:sz w:val="22"/>
          <w:szCs w:val="22"/>
        </w:rPr>
        <w:t>Supporting Children with Sensory Processing Needs in the Early Years</w:t>
      </w:r>
      <w:r w:rsidRPr="00E10C6F">
        <w:rPr>
          <w:rFonts w:ascii="Arial" w:hAnsi="Arial" w:cs="Arial"/>
          <w:sz w:val="22"/>
          <w:szCs w:val="22"/>
        </w:rPr>
        <w:t>. [online] Available at: https://www.cumbria.gov.uk/elibrary/Content/Internet/537/1459/7037/18016/4450511357.pdf [Accessed 12 May 2023].</w:t>
      </w:r>
    </w:p>
    <w:p w14:paraId="3951B848"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Department of Education (2015). </w:t>
      </w:r>
      <w:r w:rsidRPr="00E10C6F">
        <w:rPr>
          <w:rFonts w:ascii="Arial" w:hAnsi="Arial" w:cs="Arial"/>
          <w:i/>
          <w:iCs/>
          <w:sz w:val="22"/>
          <w:szCs w:val="22"/>
        </w:rPr>
        <w:t>School Development Planning | Department of Education</w:t>
      </w:r>
      <w:r w:rsidRPr="00E10C6F">
        <w:rPr>
          <w:rFonts w:ascii="Arial" w:hAnsi="Arial" w:cs="Arial"/>
          <w:sz w:val="22"/>
          <w:szCs w:val="22"/>
        </w:rPr>
        <w:t>. [online] Education. Available at: https://www.education-ni.gov.uk/articles/school-development-planning [Accessed 11 May 2023].</w:t>
      </w:r>
    </w:p>
    <w:p w14:paraId="0F177328"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Estyn (2017). </w:t>
      </w:r>
      <w:r w:rsidRPr="00E10C6F">
        <w:rPr>
          <w:rFonts w:ascii="Arial" w:hAnsi="Arial" w:cs="Arial"/>
          <w:i/>
          <w:iCs/>
          <w:sz w:val="22"/>
          <w:szCs w:val="22"/>
        </w:rPr>
        <w:t>Involving All Stakeholders in Identifying Priorities for School Improvement | Estyn</w:t>
      </w:r>
      <w:r w:rsidRPr="00E10C6F">
        <w:rPr>
          <w:rFonts w:ascii="Arial" w:hAnsi="Arial" w:cs="Arial"/>
          <w:sz w:val="22"/>
          <w:szCs w:val="22"/>
        </w:rPr>
        <w:t>. [online] www.estyn.gov.wales. Available at: https://www.estyn.gov.wales/effective-practice/involving-all-stakeholders-identifying-priorities-school-improvement.</w:t>
      </w:r>
    </w:p>
    <w:p w14:paraId="11A98692"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Estyn (2023). </w:t>
      </w:r>
      <w:r w:rsidRPr="00E10C6F">
        <w:rPr>
          <w:rFonts w:ascii="Arial" w:hAnsi="Arial" w:cs="Arial"/>
          <w:i/>
          <w:iCs/>
          <w:sz w:val="22"/>
          <w:szCs w:val="22"/>
        </w:rPr>
        <w:t xml:space="preserve">A Report on Ysgol </w:t>
      </w:r>
      <w:proofErr w:type="spellStart"/>
      <w:r w:rsidRPr="00E10C6F">
        <w:rPr>
          <w:rFonts w:ascii="Arial" w:hAnsi="Arial" w:cs="Arial"/>
          <w:i/>
          <w:iCs/>
          <w:sz w:val="22"/>
          <w:szCs w:val="22"/>
        </w:rPr>
        <w:t>Gymuned</w:t>
      </w:r>
      <w:proofErr w:type="spellEnd"/>
      <w:r w:rsidRPr="00E10C6F">
        <w:rPr>
          <w:rFonts w:ascii="Arial" w:hAnsi="Arial" w:cs="Arial"/>
          <w:i/>
          <w:iCs/>
          <w:sz w:val="22"/>
          <w:szCs w:val="22"/>
        </w:rPr>
        <w:t xml:space="preserve"> </w:t>
      </w:r>
      <w:proofErr w:type="spellStart"/>
      <w:r w:rsidRPr="00E10C6F">
        <w:rPr>
          <w:rFonts w:ascii="Arial" w:hAnsi="Arial" w:cs="Arial"/>
          <w:i/>
          <w:iCs/>
          <w:sz w:val="22"/>
          <w:szCs w:val="22"/>
        </w:rPr>
        <w:t>Moelfre</w:t>
      </w:r>
      <w:proofErr w:type="spellEnd"/>
      <w:r w:rsidRPr="00E10C6F">
        <w:rPr>
          <w:rFonts w:ascii="Arial" w:hAnsi="Arial" w:cs="Arial"/>
          <w:i/>
          <w:iCs/>
          <w:sz w:val="22"/>
          <w:szCs w:val="22"/>
        </w:rPr>
        <w:t xml:space="preserve"> </w:t>
      </w:r>
      <w:proofErr w:type="spellStart"/>
      <w:r w:rsidRPr="00E10C6F">
        <w:rPr>
          <w:rFonts w:ascii="Arial" w:hAnsi="Arial" w:cs="Arial"/>
          <w:i/>
          <w:iCs/>
          <w:sz w:val="22"/>
          <w:szCs w:val="22"/>
        </w:rPr>
        <w:t>Moelfre</w:t>
      </w:r>
      <w:proofErr w:type="spellEnd"/>
      <w:r w:rsidRPr="00E10C6F">
        <w:rPr>
          <w:rFonts w:ascii="Arial" w:hAnsi="Arial" w:cs="Arial"/>
          <w:i/>
          <w:iCs/>
          <w:sz w:val="22"/>
          <w:szCs w:val="22"/>
        </w:rPr>
        <w:t xml:space="preserve"> Anglesey LL72 8HA Date of inspection: March 2023 by Estyn, His Majesty’s Inspectorate for Education and Training in Wales</w:t>
      </w:r>
      <w:r w:rsidRPr="00E10C6F">
        <w:rPr>
          <w:rFonts w:ascii="Arial" w:hAnsi="Arial" w:cs="Arial"/>
          <w:sz w:val="22"/>
          <w:szCs w:val="22"/>
        </w:rPr>
        <w:t>. [online] Available at: https://www.estyn.gov.wales/system/files/2023-05/Inspection%20report%20Ysgol%20Gymuned%20Moelfre%202023_0.pdf [Accessed 12 May 2023].</w:t>
      </w:r>
    </w:p>
    <w:p w14:paraId="2F9C5BFE"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Gibson, W.J. and Brown, A. (2009). </w:t>
      </w:r>
      <w:r w:rsidRPr="00E10C6F">
        <w:rPr>
          <w:rFonts w:ascii="Arial" w:hAnsi="Arial" w:cs="Arial"/>
          <w:i/>
          <w:iCs/>
          <w:sz w:val="22"/>
          <w:szCs w:val="22"/>
        </w:rPr>
        <w:t>Working with Qualitative Data</w:t>
      </w:r>
      <w:r w:rsidRPr="00E10C6F">
        <w:rPr>
          <w:rFonts w:ascii="Arial" w:hAnsi="Arial" w:cs="Arial"/>
          <w:sz w:val="22"/>
          <w:szCs w:val="22"/>
        </w:rPr>
        <w:t xml:space="preserve">. </w:t>
      </w:r>
      <w:proofErr w:type="gramStart"/>
      <w:r w:rsidRPr="00E10C6F">
        <w:rPr>
          <w:rFonts w:ascii="Arial" w:hAnsi="Arial" w:cs="Arial"/>
          <w:sz w:val="22"/>
          <w:szCs w:val="22"/>
        </w:rPr>
        <w:t>London ;</w:t>
      </w:r>
      <w:proofErr w:type="gramEnd"/>
      <w:r w:rsidRPr="00E10C6F">
        <w:rPr>
          <w:rFonts w:ascii="Arial" w:hAnsi="Arial" w:cs="Arial"/>
          <w:sz w:val="22"/>
          <w:szCs w:val="22"/>
        </w:rPr>
        <w:t xml:space="preserve"> Thousand Oaks, Calif.: Sage.</w:t>
      </w:r>
    </w:p>
    <w:p w14:paraId="1C81E7A8"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GL Assessment (2017). </w:t>
      </w:r>
      <w:proofErr w:type="spellStart"/>
      <w:r w:rsidRPr="00E10C6F">
        <w:rPr>
          <w:rFonts w:ascii="Arial" w:hAnsi="Arial" w:cs="Arial"/>
          <w:i/>
          <w:iCs/>
          <w:sz w:val="22"/>
          <w:szCs w:val="22"/>
        </w:rPr>
        <w:t>WellComm</w:t>
      </w:r>
      <w:proofErr w:type="spellEnd"/>
      <w:r w:rsidRPr="00E10C6F">
        <w:rPr>
          <w:rFonts w:ascii="Arial" w:hAnsi="Arial" w:cs="Arial"/>
          <w:sz w:val="22"/>
          <w:szCs w:val="22"/>
        </w:rPr>
        <w:t>. [online] GL Assessment. Available at: https://www.gl-assessment.co.uk/assessments/products/wellcomm/ [Accessed 12 May 2023].</w:t>
      </w:r>
    </w:p>
    <w:p w14:paraId="3EA0DD57"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proofErr w:type="spellStart"/>
      <w:r w:rsidRPr="00E10C6F">
        <w:rPr>
          <w:rFonts w:ascii="Arial" w:hAnsi="Arial" w:cs="Arial"/>
          <w:sz w:val="22"/>
          <w:szCs w:val="22"/>
        </w:rPr>
        <w:t>Habbak</w:t>
      </w:r>
      <w:proofErr w:type="spellEnd"/>
      <w:r w:rsidRPr="00E10C6F">
        <w:rPr>
          <w:rFonts w:ascii="Arial" w:hAnsi="Arial" w:cs="Arial"/>
          <w:sz w:val="22"/>
          <w:szCs w:val="22"/>
        </w:rPr>
        <w:t xml:space="preserve">, A.L.Z. and </w:t>
      </w:r>
      <w:proofErr w:type="spellStart"/>
      <w:r w:rsidRPr="00E10C6F">
        <w:rPr>
          <w:rFonts w:ascii="Arial" w:hAnsi="Arial" w:cs="Arial"/>
          <w:sz w:val="22"/>
          <w:szCs w:val="22"/>
        </w:rPr>
        <w:t>Khodeir</w:t>
      </w:r>
      <w:proofErr w:type="spellEnd"/>
      <w:r w:rsidRPr="00E10C6F">
        <w:rPr>
          <w:rFonts w:ascii="Arial" w:hAnsi="Arial" w:cs="Arial"/>
          <w:sz w:val="22"/>
          <w:szCs w:val="22"/>
        </w:rPr>
        <w:t xml:space="preserve">, L. (2022). Multi-sensory Interactive Interior Design for Enhancing Skills in Children with Autism. </w:t>
      </w:r>
      <w:r w:rsidRPr="00E10C6F">
        <w:rPr>
          <w:rFonts w:ascii="Arial" w:hAnsi="Arial" w:cs="Arial"/>
          <w:i/>
          <w:iCs/>
          <w:sz w:val="22"/>
          <w:szCs w:val="22"/>
        </w:rPr>
        <w:t>Ain Shams Engineering Journal</w:t>
      </w:r>
      <w:r w:rsidRPr="00E10C6F">
        <w:rPr>
          <w:rFonts w:ascii="Arial" w:hAnsi="Arial" w:cs="Arial"/>
          <w:sz w:val="22"/>
          <w:szCs w:val="22"/>
        </w:rPr>
        <w:t xml:space="preserve">, [online] p.102039. </w:t>
      </w:r>
      <w:proofErr w:type="spellStart"/>
      <w:proofErr w:type="gramStart"/>
      <w:r w:rsidRPr="00E10C6F">
        <w:rPr>
          <w:rFonts w:ascii="Arial" w:hAnsi="Arial" w:cs="Arial"/>
          <w:sz w:val="22"/>
          <w:szCs w:val="22"/>
        </w:rPr>
        <w:t>doi:https</w:t>
      </w:r>
      <w:proofErr w:type="spellEnd"/>
      <w:r w:rsidRPr="00E10C6F">
        <w:rPr>
          <w:rFonts w:ascii="Arial" w:hAnsi="Arial" w:cs="Arial"/>
          <w:sz w:val="22"/>
          <w:szCs w:val="22"/>
        </w:rPr>
        <w:t>://doi.org/10.1016/j.asej.2022.102039</w:t>
      </w:r>
      <w:proofErr w:type="gramEnd"/>
      <w:r w:rsidRPr="00E10C6F">
        <w:rPr>
          <w:rFonts w:ascii="Arial" w:hAnsi="Arial" w:cs="Arial"/>
          <w:sz w:val="22"/>
          <w:szCs w:val="22"/>
        </w:rPr>
        <w:t>.</w:t>
      </w:r>
    </w:p>
    <w:p w14:paraId="3C582D1F"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Jones, C. (2023). </w:t>
      </w:r>
      <w:r w:rsidRPr="00E10C6F">
        <w:rPr>
          <w:rFonts w:ascii="Arial" w:hAnsi="Arial" w:cs="Arial"/>
          <w:i/>
          <w:iCs/>
          <w:sz w:val="22"/>
          <w:szCs w:val="22"/>
        </w:rPr>
        <w:t>Improving Learning and Wellbeing for Autistic Children</w:t>
      </w:r>
      <w:r w:rsidRPr="00E10C6F">
        <w:rPr>
          <w:rFonts w:ascii="Arial" w:hAnsi="Arial" w:cs="Arial"/>
          <w:sz w:val="22"/>
          <w:szCs w:val="22"/>
        </w:rPr>
        <w:t>. [online] Cardiff University. Available at: https://www.cardiff.ac.uk/news/view/2715846-improving-learning-and-wellbeing-for-autistic-children [Accessed 12 May 2023].</w:t>
      </w:r>
    </w:p>
    <w:p w14:paraId="1DC7C1ED"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Parks, L. (2019). </w:t>
      </w:r>
      <w:r w:rsidRPr="00E10C6F">
        <w:rPr>
          <w:rFonts w:ascii="Arial" w:hAnsi="Arial" w:cs="Arial"/>
          <w:i/>
          <w:iCs/>
          <w:sz w:val="22"/>
          <w:szCs w:val="22"/>
        </w:rPr>
        <w:t>The Thrive Approach</w:t>
      </w:r>
      <w:r w:rsidRPr="00E10C6F">
        <w:rPr>
          <w:rFonts w:ascii="Arial" w:hAnsi="Arial" w:cs="Arial"/>
          <w:sz w:val="22"/>
          <w:szCs w:val="22"/>
        </w:rPr>
        <w:t>. [online] The Thrive Approach. Available at: https://www.thriveapproach.com/ [Accessed 12 May 2023].</w:t>
      </w:r>
    </w:p>
    <w:p w14:paraId="13675567" w14:textId="5075BC7B"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lastRenderedPageBreak/>
        <w:t xml:space="preserve">Pfeiffer, B.A., Koenig, K., </w:t>
      </w:r>
      <w:proofErr w:type="spellStart"/>
      <w:r w:rsidRPr="00E10C6F">
        <w:rPr>
          <w:rFonts w:ascii="Arial" w:hAnsi="Arial" w:cs="Arial"/>
          <w:sz w:val="22"/>
          <w:szCs w:val="22"/>
        </w:rPr>
        <w:t>Kinnealey</w:t>
      </w:r>
      <w:proofErr w:type="spellEnd"/>
      <w:r w:rsidRPr="00E10C6F">
        <w:rPr>
          <w:rFonts w:ascii="Arial" w:hAnsi="Arial" w:cs="Arial"/>
          <w:sz w:val="22"/>
          <w:szCs w:val="22"/>
        </w:rPr>
        <w:t xml:space="preserve">, M., Sheppard, M. and Henderson, L. (2011). Effectiveness of Sensory Integration Interventions in Children with Autism Spectrum disorders: a Pilot Study. </w:t>
      </w:r>
      <w:r w:rsidRPr="00E10C6F">
        <w:rPr>
          <w:rFonts w:ascii="Arial" w:hAnsi="Arial" w:cs="Arial"/>
          <w:i/>
          <w:iCs/>
          <w:sz w:val="22"/>
          <w:szCs w:val="22"/>
        </w:rPr>
        <w:t>The American Journal of Occupational Therapy: Official Publication of the American Occupational Therapy Association</w:t>
      </w:r>
      <w:r w:rsidRPr="00E10C6F">
        <w:rPr>
          <w:rFonts w:ascii="Arial" w:hAnsi="Arial" w:cs="Arial"/>
          <w:sz w:val="22"/>
          <w:szCs w:val="22"/>
        </w:rPr>
        <w:t xml:space="preserve">, [online] 65(1), pp.76–85. </w:t>
      </w:r>
      <w:proofErr w:type="spellStart"/>
      <w:proofErr w:type="gramStart"/>
      <w:r w:rsidRPr="00E10C6F">
        <w:rPr>
          <w:rFonts w:ascii="Arial" w:hAnsi="Arial" w:cs="Arial"/>
          <w:sz w:val="22"/>
          <w:szCs w:val="22"/>
        </w:rPr>
        <w:t>doi:https</w:t>
      </w:r>
      <w:proofErr w:type="spellEnd"/>
      <w:r w:rsidRPr="00E10C6F">
        <w:rPr>
          <w:rFonts w:ascii="Arial" w:hAnsi="Arial" w:cs="Arial"/>
          <w:sz w:val="22"/>
          <w:szCs w:val="22"/>
        </w:rPr>
        <w:t>://doi.org/10.5014/ajot.2011.09205</w:t>
      </w:r>
      <w:proofErr w:type="gramEnd"/>
      <w:r w:rsidRPr="00E10C6F">
        <w:rPr>
          <w:rFonts w:ascii="Arial" w:hAnsi="Arial" w:cs="Arial"/>
          <w:sz w:val="22"/>
          <w:szCs w:val="22"/>
        </w:rPr>
        <w:t>.</w:t>
      </w:r>
    </w:p>
    <w:p w14:paraId="7E43FBA6"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proofErr w:type="spellStart"/>
      <w:r w:rsidRPr="00E10C6F">
        <w:rPr>
          <w:rFonts w:ascii="Arial" w:hAnsi="Arial" w:cs="Arial"/>
          <w:sz w:val="22"/>
          <w:szCs w:val="22"/>
        </w:rPr>
        <w:t>Schildkamp</w:t>
      </w:r>
      <w:proofErr w:type="spellEnd"/>
      <w:r w:rsidRPr="00E10C6F">
        <w:rPr>
          <w:rFonts w:ascii="Arial" w:hAnsi="Arial" w:cs="Arial"/>
          <w:sz w:val="22"/>
          <w:szCs w:val="22"/>
        </w:rPr>
        <w:t xml:space="preserve">, K. (2019). Data-based decision-making for School improvement: Research Insights and Gaps. </w:t>
      </w:r>
      <w:r w:rsidRPr="00E10C6F">
        <w:rPr>
          <w:rFonts w:ascii="Arial" w:hAnsi="Arial" w:cs="Arial"/>
          <w:i/>
          <w:iCs/>
          <w:sz w:val="22"/>
          <w:szCs w:val="22"/>
        </w:rPr>
        <w:t>Educational Research</w:t>
      </w:r>
      <w:r w:rsidRPr="00E10C6F">
        <w:rPr>
          <w:rFonts w:ascii="Arial" w:hAnsi="Arial" w:cs="Arial"/>
          <w:sz w:val="22"/>
          <w:szCs w:val="22"/>
        </w:rPr>
        <w:t xml:space="preserve">, [online] 61(3), pp.1–17. </w:t>
      </w:r>
      <w:proofErr w:type="spellStart"/>
      <w:proofErr w:type="gramStart"/>
      <w:r w:rsidRPr="00E10C6F">
        <w:rPr>
          <w:rFonts w:ascii="Arial" w:hAnsi="Arial" w:cs="Arial"/>
          <w:sz w:val="22"/>
          <w:szCs w:val="22"/>
        </w:rPr>
        <w:t>doi:https</w:t>
      </w:r>
      <w:proofErr w:type="spellEnd"/>
      <w:r w:rsidRPr="00E10C6F">
        <w:rPr>
          <w:rFonts w:ascii="Arial" w:hAnsi="Arial" w:cs="Arial"/>
          <w:sz w:val="22"/>
          <w:szCs w:val="22"/>
        </w:rPr>
        <w:t>://doi.org/10.1080/00131881.2019.1625716</w:t>
      </w:r>
      <w:proofErr w:type="gramEnd"/>
      <w:r w:rsidRPr="00E10C6F">
        <w:rPr>
          <w:rFonts w:ascii="Arial" w:hAnsi="Arial" w:cs="Arial"/>
          <w:sz w:val="22"/>
          <w:szCs w:val="22"/>
        </w:rPr>
        <w:t>.</w:t>
      </w:r>
    </w:p>
    <w:p w14:paraId="111A0818"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School X (2023). </w:t>
      </w:r>
      <w:r w:rsidRPr="00E10C6F">
        <w:rPr>
          <w:rFonts w:ascii="Arial" w:hAnsi="Arial" w:cs="Arial"/>
          <w:i/>
          <w:iCs/>
          <w:sz w:val="22"/>
          <w:szCs w:val="22"/>
        </w:rPr>
        <w:t>School Development Plan.</w:t>
      </w:r>
      <w:r w:rsidRPr="00E10C6F">
        <w:rPr>
          <w:rFonts w:ascii="Arial" w:hAnsi="Arial" w:cs="Arial"/>
          <w:sz w:val="22"/>
          <w:szCs w:val="22"/>
        </w:rPr>
        <w:t xml:space="preserve"> Unpublished. </w:t>
      </w:r>
    </w:p>
    <w:p w14:paraId="2EB52CB4"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The Boxall Profile (2019). </w:t>
      </w:r>
      <w:r w:rsidRPr="00E10C6F">
        <w:rPr>
          <w:rFonts w:ascii="Arial" w:hAnsi="Arial" w:cs="Arial"/>
          <w:i/>
          <w:iCs/>
          <w:sz w:val="22"/>
          <w:szCs w:val="22"/>
        </w:rPr>
        <w:t>Boxall</w:t>
      </w:r>
      <w:r w:rsidRPr="00E10C6F">
        <w:rPr>
          <w:rFonts w:ascii="Arial" w:hAnsi="Arial" w:cs="Arial"/>
          <w:sz w:val="22"/>
          <w:szCs w:val="22"/>
        </w:rPr>
        <w:t>. [online] new.boxallprofile.org. Available at: https://new.boxallprofile.org/ [Accessed 12 May 2023].</w:t>
      </w:r>
    </w:p>
    <w:p w14:paraId="7780C0C4"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Unwin, K.L., Powell, G. and Jones, C.R. (2021). The Use of Multi-Sensory Environments with Autistic children: Exploring the Effect of Having Control of Sensory Changes. </w:t>
      </w:r>
      <w:r w:rsidRPr="00E10C6F">
        <w:rPr>
          <w:rFonts w:ascii="Arial" w:hAnsi="Arial" w:cs="Arial"/>
          <w:i/>
          <w:iCs/>
          <w:sz w:val="22"/>
          <w:szCs w:val="22"/>
        </w:rPr>
        <w:t>Autism</w:t>
      </w:r>
      <w:r w:rsidRPr="00E10C6F">
        <w:rPr>
          <w:rFonts w:ascii="Arial" w:hAnsi="Arial" w:cs="Arial"/>
          <w:sz w:val="22"/>
          <w:szCs w:val="22"/>
        </w:rPr>
        <w:t xml:space="preserve">, [online] 26(6), p.136236132110501. </w:t>
      </w:r>
      <w:proofErr w:type="spellStart"/>
      <w:proofErr w:type="gramStart"/>
      <w:r w:rsidRPr="00E10C6F">
        <w:rPr>
          <w:rFonts w:ascii="Arial" w:hAnsi="Arial" w:cs="Arial"/>
          <w:sz w:val="22"/>
          <w:szCs w:val="22"/>
        </w:rPr>
        <w:t>doi:https</w:t>
      </w:r>
      <w:proofErr w:type="spellEnd"/>
      <w:r w:rsidRPr="00E10C6F">
        <w:rPr>
          <w:rFonts w:ascii="Arial" w:hAnsi="Arial" w:cs="Arial"/>
          <w:sz w:val="22"/>
          <w:szCs w:val="22"/>
        </w:rPr>
        <w:t>://doi.org/10.1177/13623613211050176</w:t>
      </w:r>
      <w:proofErr w:type="gramEnd"/>
      <w:r w:rsidRPr="00E10C6F">
        <w:rPr>
          <w:rFonts w:ascii="Arial" w:hAnsi="Arial" w:cs="Arial"/>
          <w:sz w:val="22"/>
          <w:szCs w:val="22"/>
        </w:rPr>
        <w:t>.</w:t>
      </w:r>
    </w:p>
    <w:p w14:paraId="21701511"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van den </w:t>
      </w:r>
      <w:proofErr w:type="spellStart"/>
      <w:r w:rsidRPr="00E10C6F">
        <w:rPr>
          <w:rFonts w:ascii="Arial" w:hAnsi="Arial" w:cs="Arial"/>
          <w:sz w:val="22"/>
          <w:szCs w:val="22"/>
        </w:rPr>
        <w:t>Boogert</w:t>
      </w:r>
      <w:proofErr w:type="spellEnd"/>
      <w:r w:rsidRPr="00E10C6F">
        <w:rPr>
          <w:rFonts w:ascii="Arial" w:hAnsi="Arial" w:cs="Arial"/>
          <w:sz w:val="22"/>
          <w:szCs w:val="22"/>
        </w:rPr>
        <w:t xml:space="preserve">, F., </w:t>
      </w:r>
      <w:proofErr w:type="spellStart"/>
      <w:r w:rsidRPr="00E10C6F">
        <w:rPr>
          <w:rFonts w:ascii="Arial" w:hAnsi="Arial" w:cs="Arial"/>
          <w:sz w:val="22"/>
          <w:szCs w:val="22"/>
        </w:rPr>
        <w:t>Spaan</w:t>
      </w:r>
      <w:proofErr w:type="spellEnd"/>
      <w:r w:rsidRPr="00E10C6F">
        <w:rPr>
          <w:rFonts w:ascii="Arial" w:hAnsi="Arial" w:cs="Arial"/>
          <w:sz w:val="22"/>
          <w:szCs w:val="22"/>
        </w:rPr>
        <w:t xml:space="preserve">, P., </w:t>
      </w:r>
      <w:proofErr w:type="spellStart"/>
      <w:r w:rsidRPr="00E10C6F">
        <w:rPr>
          <w:rFonts w:ascii="Arial" w:hAnsi="Arial" w:cs="Arial"/>
          <w:sz w:val="22"/>
          <w:szCs w:val="22"/>
        </w:rPr>
        <w:t>Sizoo</w:t>
      </w:r>
      <w:proofErr w:type="spellEnd"/>
      <w:r w:rsidRPr="00E10C6F">
        <w:rPr>
          <w:rFonts w:ascii="Arial" w:hAnsi="Arial" w:cs="Arial"/>
          <w:sz w:val="22"/>
          <w:szCs w:val="22"/>
        </w:rPr>
        <w:t xml:space="preserve">, B., </w:t>
      </w:r>
      <w:proofErr w:type="spellStart"/>
      <w:r w:rsidRPr="00E10C6F">
        <w:rPr>
          <w:rFonts w:ascii="Arial" w:hAnsi="Arial" w:cs="Arial"/>
          <w:sz w:val="22"/>
          <w:szCs w:val="22"/>
        </w:rPr>
        <w:t>Bouman</w:t>
      </w:r>
      <w:proofErr w:type="spellEnd"/>
      <w:r w:rsidRPr="00E10C6F">
        <w:rPr>
          <w:rFonts w:ascii="Arial" w:hAnsi="Arial" w:cs="Arial"/>
          <w:sz w:val="22"/>
          <w:szCs w:val="22"/>
        </w:rPr>
        <w:t xml:space="preserve">, Y.H.A., </w:t>
      </w:r>
      <w:proofErr w:type="spellStart"/>
      <w:r w:rsidRPr="00E10C6F">
        <w:rPr>
          <w:rFonts w:ascii="Arial" w:hAnsi="Arial" w:cs="Arial"/>
          <w:sz w:val="22"/>
          <w:szCs w:val="22"/>
        </w:rPr>
        <w:t>Hoogendijk</w:t>
      </w:r>
      <w:proofErr w:type="spellEnd"/>
      <w:r w:rsidRPr="00E10C6F">
        <w:rPr>
          <w:rFonts w:ascii="Arial" w:hAnsi="Arial" w:cs="Arial"/>
          <w:sz w:val="22"/>
          <w:szCs w:val="22"/>
        </w:rPr>
        <w:t xml:space="preserve">, W.J.G. and </w:t>
      </w:r>
      <w:proofErr w:type="spellStart"/>
      <w:r w:rsidRPr="00E10C6F">
        <w:rPr>
          <w:rFonts w:ascii="Arial" w:hAnsi="Arial" w:cs="Arial"/>
          <w:sz w:val="22"/>
          <w:szCs w:val="22"/>
        </w:rPr>
        <w:t>Roza</w:t>
      </w:r>
      <w:proofErr w:type="spellEnd"/>
      <w:r w:rsidRPr="00E10C6F">
        <w:rPr>
          <w:rFonts w:ascii="Arial" w:hAnsi="Arial" w:cs="Arial"/>
          <w:sz w:val="22"/>
          <w:szCs w:val="22"/>
        </w:rPr>
        <w:t xml:space="preserve">, S.J. (2022). Sensory Processing, Perceived Stress and Burnout Symptoms in a Working Population during the COVID-19 Crisis. </w:t>
      </w:r>
      <w:r w:rsidRPr="00E10C6F">
        <w:rPr>
          <w:rFonts w:ascii="Arial" w:hAnsi="Arial" w:cs="Arial"/>
          <w:i/>
          <w:iCs/>
          <w:sz w:val="22"/>
          <w:szCs w:val="22"/>
        </w:rPr>
        <w:t>International Journal of Environmental Research and Public Health</w:t>
      </w:r>
      <w:r w:rsidRPr="00E10C6F">
        <w:rPr>
          <w:rFonts w:ascii="Arial" w:hAnsi="Arial" w:cs="Arial"/>
          <w:sz w:val="22"/>
          <w:szCs w:val="22"/>
        </w:rPr>
        <w:t xml:space="preserve">, [online] 19(4), p.2043. </w:t>
      </w:r>
      <w:proofErr w:type="spellStart"/>
      <w:proofErr w:type="gramStart"/>
      <w:r w:rsidRPr="00E10C6F">
        <w:rPr>
          <w:rFonts w:ascii="Arial" w:hAnsi="Arial" w:cs="Arial"/>
          <w:sz w:val="22"/>
          <w:szCs w:val="22"/>
        </w:rPr>
        <w:t>doi:https</w:t>
      </w:r>
      <w:proofErr w:type="spellEnd"/>
      <w:r w:rsidRPr="00E10C6F">
        <w:rPr>
          <w:rFonts w:ascii="Arial" w:hAnsi="Arial" w:cs="Arial"/>
          <w:sz w:val="22"/>
          <w:szCs w:val="22"/>
        </w:rPr>
        <w:t>://doi.org/10.3390/ijerph19042043</w:t>
      </w:r>
      <w:proofErr w:type="gramEnd"/>
      <w:r w:rsidRPr="00E10C6F">
        <w:rPr>
          <w:rFonts w:ascii="Arial" w:hAnsi="Arial" w:cs="Arial"/>
          <w:sz w:val="22"/>
          <w:szCs w:val="22"/>
        </w:rPr>
        <w:t>.</w:t>
      </w:r>
    </w:p>
    <w:p w14:paraId="63E4FC60"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Vygotsky, L. (1978). </w:t>
      </w:r>
      <w:r w:rsidRPr="00E10C6F">
        <w:rPr>
          <w:rFonts w:ascii="Arial" w:hAnsi="Arial" w:cs="Arial"/>
          <w:i/>
          <w:iCs/>
          <w:sz w:val="22"/>
          <w:szCs w:val="22"/>
        </w:rPr>
        <w:t xml:space="preserve">Mind in Society: </w:t>
      </w:r>
      <w:proofErr w:type="gramStart"/>
      <w:r w:rsidRPr="00E10C6F">
        <w:rPr>
          <w:rFonts w:ascii="Arial" w:hAnsi="Arial" w:cs="Arial"/>
          <w:i/>
          <w:iCs/>
          <w:sz w:val="22"/>
          <w:szCs w:val="22"/>
        </w:rPr>
        <w:t>the</w:t>
      </w:r>
      <w:proofErr w:type="gramEnd"/>
      <w:r w:rsidRPr="00E10C6F">
        <w:rPr>
          <w:rFonts w:ascii="Arial" w:hAnsi="Arial" w:cs="Arial"/>
          <w:i/>
          <w:iCs/>
          <w:sz w:val="22"/>
          <w:szCs w:val="22"/>
        </w:rPr>
        <w:t xml:space="preserve"> Development of Higher Psychological Processes</w:t>
      </w:r>
      <w:r w:rsidRPr="00E10C6F">
        <w:rPr>
          <w:rFonts w:ascii="Arial" w:hAnsi="Arial" w:cs="Arial"/>
          <w:sz w:val="22"/>
          <w:szCs w:val="22"/>
        </w:rPr>
        <w:t>. Cambridge: Harvard University Press.</w:t>
      </w:r>
    </w:p>
    <w:p w14:paraId="62B2C87D"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Welsh Government (2014a). </w:t>
      </w:r>
      <w:r w:rsidRPr="00E10C6F">
        <w:rPr>
          <w:rFonts w:ascii="Arial" w:hAnsi="Arial" w:cs="Arial"/>
          <w:i/>
          <w:iCs/>
          <w:sz w:val="22"/>
          <w:szCs w:val="22"/>
        </w:rPr>
        <w:t>School Development Plans Guidance</w:t>
      </w:r>
      <w:r w:rsidRPr="00E10C6F">
        <w:rPr>
          <w:rFonts w:ascii="Arial" w:hAnsi="Arial" w:cs="Arial"/>
          <w:sz w:val="22"/>
          <w:szCs w:val="22"/>
        </w:rPr>
        <w:t>. [online] Available at: https://www.gov.wales/sites/default/files/publications/2018-03/school-development-plans.pdf [Accessed 11 May 2023].</w:t>
      </w:r>
    </w:p>
    <w:p w14:paraId="7FC24689"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Welsh Government (2014b). </w:t>
      </w:r>
      <w:r w:rsidRPr="00E10C6F">
        <w:rPr>
          <w:rFonts w:ascii="Arial" w:hAnsi="Arial" w:cs="Arial"/>
          <w:i/>
          <w:iCs/>
          <w:sz w:val="22"/>
          <w:szCs w:val="22"/>
        </w:rPr>
        <w:t>The Education (School Development Plans) (Wales) Regulations 2014</w:t>
      </w:r>
      <w:r w:rsidRPr="00E10C6F">
        <w:rPr>
          <w:rFonts w:ascii="Arial" w:hAnsi="Arial" w:cs="Arial"/>
          <w:sz w:val="22"/>
          <w:szCs w:val="22"/>
        </w:rPr>
        <w:t>. [online] Legislation.gov.uk. Available at: https://www.legislation.gov.uk/wsi/2014/2677/contents/made [Accessed 12 May 2023].</w:t>
      </w:r>
    </w:p>
    <w:p w14:paraId="5B1901E2"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Welsh Government (2015). </w:t>
      </w:r>
      <w:r w:rsidRPr="00E10C6F">
        <w:rPr>
          <w:rFonts w:ascii="Arial" w:hAnsi="Arial" w:cs="Arial"/>
          <w:i/>
          <w:iCs/>
          <w:sz w:val="22"/>
          <w:szCs w:val="22"/>
        </w:rPr>
        <w:t>Well-being of Future Generations (Wales) Act 2015 – the Future Generations Commissioner for Wales</w:t>
      </w:r>
      <w:r w:rsidRPr="00E10C6F">
        <w:rPr>
          <w:rFonts w:ascii="Arial" w:hAnsi="Arial" w:cs="Arial"/>
          <w:sz w:val="22"/>
          <w:szCs w:val="22"/>
        </w:rPr>
        <w:t>. [online] www.futuregenerations.wales. Available at: https://www.futuregenerations.wales/about-us/future-generations-act/.</w:t>
      </w:r>
    </w:p>
    <w:p w14:paraId="696A2EB7"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lastRenderedPageBreak/>
        <w:t xml:space="preserve">Welsh Government (2020). </w:t>
      </w:r>
      <w:r w:rsidRPr="00E10C6F">
        <w:rPr>
          <w:rFonts w:ascii="Arial" w:hAnsi="Arial" w:cs="Arial"/>
          <w:i/>
          <w:iCs/>
          <w:sz w:val="22"/>
          <w:szCs w:val="22"/>
        </w:rPr>
        <w:t>Professional Standards</w:t>
      </w:r>
      <w:r w:rsidRPr="00E10C6F">
        <w:rPr>
          <w:rFonts w:ascii="Arial" w:hAnsi="Arial" w:cs="Arial"/>
          <w:sz w:val="22"/>
          <w:szCs w:val="22"/>
        </w:rPr>
        <w:t xml:space="preserve">. [online] </w:t>
      </w:r>
      <w:proofErr w:type="spellStart"/>
      <w:proofErr w:type="gramStart"/>
      <w:r w:rsidRPr="00E10C6F">
        <w:rPr>
          <w:rFonts w:ascii="Arial" w:hAnsi="Arial" w:cs="Arial"/>
          <w:sz w:val="22"/>
          <w:szCs w:val="22"/>
        </w:rPr>
        <w:t>hwb.gov.wales</w:t>
      </w:r>
      <w:proofErr w:type="spellEnd"/>
      <w:proofErr w:type="gramEnd"/>
      <w:r w:rsidRPr="00E10C6F">
        <w:rPr>
          <w:rFonts w:ascii="Arial" w:hAnsi="Arial" w:cs="Arial"/>
          <w:sz w:val="22"/>
          <w:szCs w:val="22"/>
        </w:rPr>
        <w:t>. Available at: https://hwb.gov.wales/professional-development/professional-standards [Accessed 12 May 2023].</w:t>
      </w:r>
    </w:p>
    <w:p w14:paraId="298F06BC"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Welsh Government (2022a). </w:t>
      </w:r>
      <w:r w:rsidRPr="00E10C6F">
        <w:rPr>
          <w:rFonts w:ascii="Arial" w:hAnsi="Arial" w:cs="Arial"/>
          <w:i/>
          <w:iCs/>
          <w:sz w:val="22"/>
          <w:szCs w:val="22"/>
        </w:rPr>
        <w:t>Curriculum for Wales - Hwb</w:t>
      </w:r>
      <w:r w:rsidRPr="00E10C6F">
        <w:rPr>
          <w:rFonts w:ascii="Arial" w:hAnsi="Arial" w:cs="Arial"/>
          <w:sz w:val="22"/>
          <w:szCs w:val="22"/>
        </w:rPr>
        <w:t xml:space="preserve">. [online] </w:t>
      </w:r>
      <w:proofErr w:type="spellStart"/>
      <w:proofErr w:type="gramStart"/>
      <w:r w:rsidRPr="00E10C6F">
        <w:rPr>
          <w:rFonts w:ascii="Arial" w:hAnsi="Arial" w:cs="Arial"/>
          <w:sz w:val="22"/>
          <w:szCs w:val="22"/>
        </w:rPr>
        <w:t>hwb.gov.wales</w:t>
      </w:r>
      <w:proofErr w:type="spellEnd"/>
      <w:proofErr w:type="gramEnd"/>
      <w:r w:rsidRPr="00E10C6F">
        <w:rPr>
          <w:rFonts w:ascii="Arial" w:hAnsi="Arial" w:cs="Arial"/>
          <w:sz w:val="22"/>
          <w:szCs w:val="22"/>
        </w:rPr>
        <w:t>. Available at: https://hwb.gov.wales/curriculum-for-wales/ [Accessed 12 May 2023].</w:t>
      </w:r>
    </w:p>
    <w:p w14:paraId="6F02357B"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Welsh Government (2022b). </w:t>
      </w:r>
      <w:r w:rsidRPr="00E10C6F">
        <w:rPr>
          <w:rFonts w:ascii="Arial" w:hAnsi="Arial" w:cs="Arial"/>
          <w:i/>
          <w:iCs/>
          <w:sz w:val="22"/>
          <w:szCs w:val="22"/>
        </w:rPr>
        <w:t>School Improvement guidance: Framework for evaluation, Improvement and Accountability - Hwb</w:t>
      </w:r>
      <w:r w:rsidRPr="00E10C6F">
        <w:rPr>
          <w:rFonts w:ascii="Arial" w:hAnsi="Arial" w:cs="Arial"/>
          <w:sz w:val="22"/>
          <w:szCs w:val="22"/>
        </w:rPr>
        <w:t xml:space="preserve">. [online] </w:t>
      </w:r>
      <w:proofErr w:type="spellStart"/>
      <w:proofErr w:type="gramStart"/>
      <w:r w:rsidRPr="00E10C6F">
        <w:rPr>
          <w:rFonts w:ascii="Arial" w:hAnsi="Arial" w:cs="Arial"/>
          <w:sz w:val="22"/>
          <w:szCs w:val="22"/>
        </w:rPr>
        <w:t>hwb.gov.wales</w:t>
      </w:r>
      <w:proofErr w:type="spellEnd"/>
      <w:proofErr w:type="gramEnd"/>
      <w:r w:rsidRPr="00E10C6F">
        <w:rPr>
          <w:rFonts w:ascii="Arial" w:hAnsi="Arial" w:cs="Arial"/>
          <w:sz w:val="22"/>
          <w:szCs w:val="22"/>
        </w:rPr>
        <w:t>. Available at: https://hwb.gov.wales/evaluation-improvement-and-accountability/school-improvement-guidance-framework-for-evaluation-improvement-and-accountability/#framework-for-evaluation [Accessed 12 May 2023].</w:t>
      </w:r>
    </w:p>
    <w:p w14:paraId="42CAB20F" w14:textId="7BB100B9"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Welsh Government (2022c). </w:t>
      </w:r>
      <w:r w:rsidRPr="00E10C6F">
        <w:rPr>
          <w:rFonts w:ascii="Arial" w:hAnsi="Arial" w:cs="Arial"/>
          <w:i/>
          <w:iCs/>
          <w:sz w:val="22"/>
          <w:szCs w:val="22"/>
        </w:rPr>
        <w:t>School Improvement guidance: Impact Assessment</w:t>
      </w:r>
      <w:r w:rsidRPr="00E10C6F">
        <w:rPr>
          <w:rFonts w:ascii="Arial" w:hAnsi="Arial" w:cs="Arial"/>
          <w:sz w:val="22"/>
          <w:szCs w:val="22"/>
        </w:rPr>
        <w:t>. [online] GOV.WALES. Available at: https://www.gov.wales/school-improvement-guidance-impact-assessment-html [Accessed 12 May 2023].</w:t>
      </w:r>
    </w:p>
    <w:p w14:paraId="751DC562"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West, M., Melvin, G., McNamara, F. and Gordon, M. (2017). An Evaluation of the Use and Efficacy of a Sensory Room within an Adolescent Psychiatric Inpatient Unit. </w:t>
      </w:r>
      <w:r w:rsidRPr="00E10C6F">
        <w:rPr>
          <w:rFonts w:ascii="Arial" w:hAnsi="Arial" w:cs="Arial"/>
          <w:i/>
          <w:iCs/>
          <w:sz w:val="22"/>
          <w:szCs w:val="22"/>
        </w:rPr>
        <w:t>Australian Occupational Therapy Journal</w:t>
      </w:r>
      <w:r w:rsidRPr="00E10C6F">
        <w:rPr>
          <w:rFonts w:ascii="Arial" w:hAnsi="Arial" w:cs="Arial"/>
          <w:sz w:val="22"/>
          <w:szCs w:val="22"/>
        </w:rPr>
        <w:t xml:space="preserve">, 64(3), pp.253–263. </w:t>
      </w:r>
      <w:proofErr w:type="spellStart"/>
      <w:proofErr w:type="gramStart"/>
      <w:r w:rsidRPr="00E10C6F">
        <w:rPr>
          <w:rFonts w:ascii="Arial" w:hAnsi="Arial" w:cs="Arial"/>
          <w:sz w:val="22"/>
          <w:szCs w:val="22"/>
        </w:rPr>
        <w:t>doi:https</w:t>
      </w:r>
      <w:proofErr w:type="spellEnd"/>
      <w:r w:rsidRPr="00E10C6F">
        <w:rPr>
          <w:rFonts w:ascii="Arial" w:hAnsi="Arial" w:cs="Arial"/>
          <w:sz w:val="22"/>
          <w:szCs w:val="22"/>
        </w:rPr>
        <w:t>://doi.org/10.1111/1440-1630.12358</w:t>
      </w:r>
      <w:proofErr w:type="gramEnd"/>
      <w:r w:rsidRPr="00E10C6F">
        <w:rPr>
          <w:rFonts w:ascii="Arial" w:hAnsi="Arial" w:cs="Arial"/>
          <w:sz w:val="22"/>
          <w:szCs w:val="22"/>
        </w:rPr>
        <w:t>.</w:t>
      </w:r>
    </w:p>
    <w:p w14:paraId="122A3BF0" w14:textId="77777777" w:rsidR="00E10C6F" w:rsidRPr="00E10C6F" w:rsidRDefault="00E10C6F" w:rsidP="00E10C6F">
      <w:pPr>
        <w:pStyle w:val="NormalWeb"/>
        <w:spacing w:before="0" w:beforeAutospacing="0" w:after="240" w:afterAutospacing="0" w:line="360" w:lineRule="auto"/>
        <w:rPr>
          <w:rFonts w:ascii="Arial" w:hAnsi="Arial" w:cs="Arial"/>
          <w:sz w:val="22"/>
          <w:szCs w:val="22"/>
        </w:rPr>
      </w:pPr>
      <w:r w:rsidRPr="00E10C6F">
        <w:rPr>
          <w:rFonts w:ascii="Arial" w:hAnsi="Arial" w:cs="Arial"/>
          <w:sz w:val="22"/>
          <w:szCs w:val="22"/>
        </w:rPr>
        <w:t xml:space="preserve">Wolff, P. and Digby, J. (2023). </w:t>
      </w:r>
      <w:r w:rsidRPr="00E10C6F">
        <w:rPr>
          <w:rFonts w:ascii="Arial" w:hAnsi="Arial" w:cs="Arial"/>
          <w:i/>
          <w:iCs/>
          <w:sz w:val="22"/>
          <w:szCs w:val="22"/>
        </w:rPr>
        <w:t xml:space="preserve">Student Wellbeing: </w:t>
      </w:r>
      <w:proofErr w:type="gramStart"/>
      <w:r w:rsidRPr="00E10C6F">
        <w:rPr>
          <w:rFonts w:ascii="Arial" w:hAnsi="Arial" w:cs="Arial"/>
          <w:i/>
          <w:iCs/>
          <w:sz w:val="22"/>
          <w:szCs w:val="22"/>
        </w:rPr>
        <w:t>an</w:t>
      </w:r>
      <w:proofErr w:type="gramEnd"/>
      <w:r w:rsidRPr="00E10C6F">
        <w:rPr>
          <w:rFonts w:ascii="Arial" w:hAnsi="Arial" w:cs="Arial"/>
          <w:i/>
          <w:iCs/>
          <w:sz w:val="22"/>
          <w:szCs w:val="22"/>
        </w:rPr>
        <w:t xml:space="preserve"> Analysis of the Evidence</w:t>
      </w:r>
      <w:r w:rsidRPr="00E10C6F">
        <w:rPr>
          <w:rFonts w:ascii="Arial" w:hAnsi="Arial" w:cs="Arial"/>
          <w:sz w:val="22"/>
          <w:szCs w:val="22"/>
        </w:rPr>
        <w:t>. [online] Available at: https://oxfordimpact.oup.com/wp-content/uploads/2023/03/Student-wellbeing-An-analysis-of-the-evidence.pdf [Accessed 12 May 2023].</w:t>
      </w:r>
    </w:p>
    <w:p w14:paraId="7CB905DD" w14:textId="77777777" w:rsidR="00D24C82" w:rsidRPr="00E10C6F" w:rsidRDefault="00D24C82" w:rsidP="00E10C6F">
      <w:pPr>
        <w:spacing w:line="360" w:lineRule="auto"/>
        <w:rPr>
          <w:rFonts w:ascii="Arial" w:hAnsi="Arial" w:cs="Arial"/>
          <w:sz w:val="22"/>
          <w:szCs w:val="22"/>
        </w:rPr>
      </w:pPr>
    </w:p>
    <w:p w14:paraId="155B73F3" w14:textId="77777777" w:rsidR="00D24C82" w:rsidRPr="00E10C6F" w:rsidRDefault="00D24C82" w:rsidP="00E10C6F">
      <w:pPr>
        <w:spacing w:line="360" w:lineRule="auto"/>
        <w:rPr>
          <w:rFonts w:ascii="Arial" w:hAnsi="Arial" w:cs="Arial"/>
          <w:sz w:val="22"/>
          <w:szCs w:val="22"/>
        </w:rPr>
      </w:pPr>
    </w:p>
    <w:p w14:paraId="5CDB2816" w14:textId="77777777" w:rsidR="00D24C82" w:rsidRPr="00E10C6F" w:rsidRDefault="00D24C82" w:rsidP="00E10C6F">
      <w:pPr>
        <w:spacing w:line="360" w:lineRule="auto"/>
        <w:rPr>
          <w:rFonts w:ascii="Arial" w:hAnsi="Arial" w:cs="Arial"/>
          <w:sz w:val="22"/>
          <w:szCs w:val="22"/>
        </w:rPr>
      </w:pPr>
    </w:p>
    <w:p w14:paraId="61C0DA72" w14:textId="77777777" w:rsidR="00D24C82" w:rsidRPr="00E10C6F" w:rsidRDefault="00D24C82" w:rsidP="00E10C6F">
      <w:pPr>
        <w:spacing w:line="360" w:lineRule="auto"/>
        <w:rPr>
          <w:rFonts w:ascii="Arial" w:hAnsi="Arial" w:cs="Arial"/>
          <w:sz w:val="22"/>
          <w:szCs w:val="22"/>
        </w:rPr>
      </w:pPr>
    </w:p>
    <w:sectPr w:rsidR="00D24C82" w:rsidRPr="00E10C6F">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929EF" w14:textId="77777777" w:rsidR="004A291D" w:rsidRDefault="004A291D" w:rsidP="00EC32E0">
      <w:r>
        <w:separator/>
      </w:r>
    </w:p>
  </w:endnote>
  <w:endnote w:type="continuationSeparator" w:id="0">
    <w:p w14:paraId="5D7CB69D" w14:textId="77777777" w:rsidR="004A291D" w:rsidRDefault="004A291D" w:rsidP="00EC3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6390332"/>
      <w:docPartObj>
        <w:docPartGallery w:val="Page Numbers (Bottom of Page)"/>
        <w:docPartUnique/>
      </w:docPartObj>
    </w:sdtPr>
    <w:sdtContent>
      <w:p w14:paraId="1EE8CB96" w14:textId="4A363645" w:rsidR="00EC32E0" w:rsidRDefault="00EC32E0" w:rsidP="002419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77B85E" w14:textId="77777777" w:rsidR="00EC32E0" w:rsidRDefault="00EC32E0" w:rsidP="00EC32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2354"/>
      <w:docPartObj>
        <w:docPartGallery w:val="Page Numbers (Bottom of Page)"/>
        <w:docPartUnique/>
      </w:docPartObj>
    </w:sdtPr>
    <w:sdtContent>
      <w:p w14:paraId="4F35D436" w14:textId="60F65504" w:rsidR="00EC32E0" w:rsidRDefault="00EC32E0" w:rsidP="002419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612784" w14:textId="77777777" w:rsidR="00EC32E0" w:rsidRDefault="00EC32E0" w:rsidP="00EC32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EEF2A" w14:textId="77777777" w:rsidR="004A291D" w:rsidRDefault="004A291D" w:rsidP="00EC32E0">
      <w:r>
        <w:separator/>
      </w:r>
    </w:p>
  </w:footnote>
  <w:footnote w:type="continuationSeparator" w:id="0">
    <w:p w14:paraId="0FCC6150" w14:textId="77777777" w:rsidR="004A291D" w:rsidRDefault="004A291D" w:rsidP="00EC32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15"/>
    <w:rsid w:val="00003742"/>
    <w:rsid w:val="0006676E"/>
    <w:rsid w:val="0007395E"/>
    <w:rsid w:val="000D4CDB"/>
    <w:rsid w:val="00163A49"/>
    <w:rsid w:val="001C35F9"/>
    <w:rsid w:val="001F6260"/>
    <w:rsid w:val="00287223"/>
    <w:rsid w:val="002C03B3"/>
    <w:rsid w:val="002C633B"/>
    <w:rsid w:val="002F6A97"/>
    <w:rsid w:val="00326E8D"/>
    <w:rsid w:val="00357ACC"/>
    <w:rsid w:val="00362BA9"/>
    <w:rsid w:val="00376F35"/>
    <w:rsid w:val="00394FBD"/>
    <w:rsid w:val="003B4392"/>
    <w:rsid w:val="003F2215"/>
    <w:rsid w:val="004176CF"/>
    <w:rsid w:val="00440313"/>
    <w:rsid w:val="004821AD"/>
    <w:rsid w:val="004911E7"/>
    <w:rsid w:val="004A291D"/>
    <w:rsid w:val="004A613F"/>
    <w:rsid w:val="004F6A46"/>
    <w:rsid w:val="00511E38"/>
    <w:rsid w:val="005A2E5F"/>
    <w:rsid w:val="006255CC"/>
    <w:rsid w:val="00631B00"/>
    <w:rsid w:val="00632C87"/>
    <w:rsid w:val="00637E92"/>
    <w:rsid w:val="00683238"/>
    <w:rsid w:val="00727F7D"/>
    <w:rsid w:val="00756058"/>
    <w:rsid w:val="007A4420"/>
    <w:rsid w:val="008223F7"/>
    <w:rsid w:val="00832587"/>
    <w:rsid w:val="0086491A"/>
    <w:rsid w:val="00871A82"/>
    <w:rsid w:val="008A36FF"/>
    <w:rsid w:val="008A7513"/>
    <w:rsid w:val="00905C44"/>
    <w:rsid w:val="00956159"/>
    <w:rsid w:val="0098751B"/>
    <w:rsid w:val="009E1AED"/>
    <w:rsid w:val="009F5B1E"/>
    <w:rsid w:val="00A0561A"/>
    <w:rsid w:val="00A250EF"/>
    <w:rsid w:val="00A410BC"/>
    <w:rsid w:val="00B2031A"/>
    <w:rsid w:val="00B3488E"/>
    <w:rsid w:val="00B458D7"/>
    <w:rsid w:val="00BD234F"/>
    <w:rsid w:val="00BD3F28"/>
    <w:rsid w:val="00BD5B86"/>
    <w:rsid w:val="00C01921"/>
    <w:rsid w:val="00C1282B"/>
    <w:rsid w:val="00C35D13"/>
    <w:rsid w:val="00CB1A0B"/>
    <w:rsid w:val="00CE2AF7"/>
    <w:rsid w:val="00CF4B95"/>
    <w:rsid w:val="00D24C82"/>
    <w:rsid w:val="00D77379"/>
    <w:rsid w:val="00D97CFD"/>
    <w:rsid w:val="00DC7F86"/>
    <w:rsid w:val="00DD0D3F"/>
    <w:rsid w:val="00DE7A8F"/>
    <w:rsid w:val="00DF13FF"/>
    <w:rsid w:val="00E1037F"/>
    <w:rsid w:val="00E10C6F"/>
    <w:rsid w:val="00E2150C"/>
    <w:rsid w:val="00E25F24"/>
    <w:rsid w:val="00E33F37"/>
    <w:rsid w:val="00E34707"/>
    <w:rsid w:val="00E9668C"/>
    <w:rsid w:val="00EC32E0"/>
    <w:rsid w:val="00EF443B"/>
    <w:rsid w:val="00F23187"/>
    <w:rsid w:val="00F33576"/>
    <w:rsid w:val="00F425FC"/>
    <w:rsid w:val="00F54B1D"/>
    <w:rsid w:val="00F75027"/>
    <w:rsid w:val="00FE0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39608F"/>
  <w15:chartTrackingRefBased/>
  <w15:docId w15:val="{B7324973-2055-9343-903D-D7C94037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2031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B2031A"/>
  </w:style>
  <w:style w:type="character" w:customStyle="1" w:styleId="eop">
    <w:name w:val="eop"/>
    <w:basedOn w:val="DefaultParagraphFont"/>
    <w:rsid w:val="00B2031A"/>
  </w:style>
  <w:style w:type="character" w:styleId="Hyperlink">
    <w:name w:val="Hyperlink"/>
    <w:basedOn w:val="DefaultParagraphFont"/>
    <w:uiPriority w:val="99"/>
    <w:semiHidden/>
    <w:unhideWhenUsed/>
    <w:rsid w:val="000D4CDB"/>
    <w:rPr>
      <w:color w:val="0000FF"/>
      <w:u w:val="single"/>
    </w:rPr>
  </w:style>
  <w:style w:type="paragraph" w:styleId="NormalWeb">
    <w:name w:val="Normal (Web)"/>
    <w:basedOn w:val="Normal"/>
    <w:uiPriority w:val="99"/>
    <w:semiHidden/>
    <w:unhideWhenUsed/>
    <w:rsid w:val="0075605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C32E0"/>
    <w:pPr>
      <w:tabs>
        <w:tab w:val="center" w:pos="4513"/>
        <w:tab w:val="right" w:pos="9026"/>
      </w:tabs>
    </w:pPr>
  </w:style>
  <w:style w:type="character" w:customStyle="1" w:styleId="FooterChar">
    <w:name w:val="Footer Char"/>
    <w:basedOn w:val="DefaultParagraphFont"/>
    <w:link w:val="Footer"/>
    <w:uiPriority w:val="99"/>
    <w:rsid w:val="00EC32E0"/>
  </w:style>
  <w:style w:type="character" w:styleId="PageNumber">
    <w:name w:val="page number"/>
    <w:basedOn w:val="DefaultParagraphFont"/>
    <w:uiPriority w:val="99"/>
    <w:semiHidden/>
    <w:unhideWhenUsed/>
    <w:rsid w:val="00EC3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82379">
      <w:bodyDiv w:val="1"/>
      <w:marLeft w:val="0"/>
      <w:marRight w:val="0"/>
      <w:marTop w:val="0"/>
      <w:marBottom w:val="0"/>
      <w:divBdr>
        <w:top w:val="none" w:sz="0" w:space="0" w:color="auto"/>
        <w:left w:val="none" w:sz="0" w:space="0" w:color="auto"/>
        <w:bottom w:val="none" w:sz="0" w:space="0" w:color="auto"/>
        <w:right w:val="none" w:sz="0" w:space="0" w:color="auto"/>
      </w:divBdr>
      <w:divsChild>
        <w:div w:id="499658755">
          <w:marLeft w:val="0"/>
          <w:marRight w:val="0"/>
          <w:marTop w:val="0"/>
          <w:marBottom w:val="0"/>
          <w:divBdr>
            <w:top w:val="none" w:sz="0" w:space="0" w:color="auto"/>
            <w:left w:val="none" w:sz="0" w:space="0" w:color="auto"/>
            <w:bottom w:val="none" w:sz="0" w:space="0" w:color="auto"/>
            <w:right w:val="none" w:sz="0" w:space="0" w:color="auto"/>
          </w:divBdr>
        </w:div>
      </w:divsChild>
    </w:div>
    <w:div w:id="578825851">
      <w:bodyDiv w:val="1"/>
      <w:marLeft w:val="0"/>
      <w:marRight w:val="0"/>
      <w:marTop w:val="0"/>
      <w:marBottom w:val="0"/>
      <w:divBdr>
        <w:top w:val="none" w:sz="0" w:space="0" w:color="auto"/>
        <w:left w:val="none" w:sz="0" w:space="0" w:color="auto"/>
        <w:bottom w:val="none" w:sz="0" w:space="0" w:color="auto"/>
        <w:right w:val="none" w:sz="0" w:space="0" w:color="auto"/>
      </w:divBdr>
      <w:divsChild>
        <w:div w:id="1966151941">
          <w:marLeft w:val="0"/>
          <w:marRight w:val="0"/>
          <w:marTop w:val="0"/>
          <w:marBottom w:val="0"/>
          <w:divBdr>
            <w:top w:val="none" w:sz="0" w:space="0" w:color="auto"/>
            <w:left w:val="none" w:sz="0" w:space="0" w:color="auto"/>
            <w:bottom w:val="none" w:sz="0" w:space="0" w:color="auto"/>
            <w:right w:val="none" w:sz="0" w:space="0" w:color="auto"/>
          </w:divBdr>
          <w:divsChild>
            <w:div w:id="1352489990">
              <w:marLeft w:val="0"/>
              <w:marRight w:val="0"/>
              <w:marTop w:val="30"/>
              <w:marBottom w:val="30"/>
              <w:divBdr>
                <w:top w:val="none" w:sz="0" w:space="0" w:color="auto"/>
                <w:left w:val="none" w:sz="0" w:space="0" w:color="auto"/>
                <w:bottom w:val="none" w:sz="0" w:space="0" w:color="auto"/>
                <w:right w:val="none" w:sz="0" w:space="0" w:color="auto"/>
              </w:divBdr>
              <w:divsChild>
                <w:div w:id="1647927828">
                  <w:marLeft w:val="0"/>
                  <w:marRight w:val="0"/>
                  <w:marTop w:val="0"/>
                  <w:marBottom w:val="0"/>
                  <w:divBdr>
                    <w:top w:val="none" w:sz="0" w:space="0" w:color="auto"/>
                    <w:left w:val="none" w:sz="0" w:space="0" w:color="auto"/>
                    <w:bottom w:val="none" w:sz="0" w:space="0" w:color="auto"/>
                    <w:right w:val="none" w:sz="0" w:space="0" w:color="auto"/>
                  </w:divBdr>
                  <w:divsChild>
                    <w:div w:id="669598574">
                      <w:marLeft w:val="0"/>
                      <w:marRight w:val="0"/>
                      <w:marTop w:val="0"/>
                      <w:marBottom w:val="0"/>
                      <w:divBdr>
                        <w:top w:val="none" w:sz="0" w:space="0" w:color="auto"/>
                        <w:left w:val="none" w:sz="0" w:space="0" w:color="auto"/>
                        <w:bottom w:val="none" w:sz="0" w:space="0" w:color="auto"/>
                        <w:right w:val="none" w:sz="0" w:space="0" w:color="auto"/>
                      </w:divBdr>
                    </w:div>
                  </w:divsChild>
                </w:div>
                <w:div w:id="1867983654">
                  <w:marLeft w:val="0"/>
                  <w:marRight w:val="0"/>
                  <w:marTop w:val="0"/>
                  <w:marBottom w:val="0"/>
                  <w:divBdr>
                    <w:top w:val="none" w:sz="0" w:space="0" w:color="auto"/>
                    <w:left w:val="none" w:sz="0" w:space="0" w:color="auto"/>
                    <w:bottom w:val="none" w:sz="0" w:space="0" w:color="auto"/>
                    <w:right w:val="none" w:sz="0" w:space="0" w:color="auto"/>
                  </w:divBdr>
                  <w:divsChild>
                    <w:div w:id="795754885">
                      <w:marLeft w:val="0"/>
                      <w:marRight w:val="0"/>
                      <w:marTop w:val="0"/>
                      <w:marBottom w:val="0"/>
                      <w:divBdr>
                        <w:top w:val="none" w:sz="0" w:space="0" w:color="auto"/>
                        <w:left w:val="none" w:sz="0" w:space="0" w:color="auto"/>
                        <w:bottom w:val="none" w:sz="0" w:space="0" w:color="auto"/>
                        <w:right w:val="none" w:sz="0" w:space="0" w:color="auto"/>
                      </w:divBdr>
                    </w:div>
                    <w:div w:id="820854287">
                      <w:marLeft w:val="0"/>
                      <w:marRight w:val="0"/>
                      <w:marTop w:val="0"/>
                      <w:marBottom w:val="0"/>
                      <w:divBdr>
                        <w:top w:val="none" w:sz="0" w:space="0" w:color="auto"/>
                        <w:left w:val="none" w:sz="0" w:space="0" w:color="auto"/>
                        <w:bottom w:val="none" w:sz="0" w:space="0" w:color="auto"/>
                        <w:right w:val="none" w:sz="0" w:space="0" w:color="auto"/>
                      </w:divBdr>
                    </w:div>
                  </w:divsChild>
                </w:div>
                <w:div w:id="638996519">
                  <w:marLeft w:val="0"/>
                  <w:marRight w:val="0"/>
                  <w:marTop w:val="0"/>
                  <w:marBottom w:val="0"/>
                  <w:divBdr>
                    <w:top w:val="none" w:sz="0" w:space="0" w:color="auto"/>
                    <w:left w:val="none" w:sz="0" w:space="0" w:color="auto"/>
                    <w:bottom w:val="none" w:sz="0" w:space="0" w:color="auto"/>
                    <w:right w:val="none" w:sz="0" w:space="0" w:color="auto"/>
                  </w:divBdr>
                  <w:divsChild>
                    <w:div w:id="1963882605">
                      <w:marLeft w:val="0"/>
                      <w:marRight w:val="0"/>
                      <w:marTop w:val="0"/>
                      <w:marBottom w:val="0"/>
                      <w:divBdr>
                        <w:top w:val="none" w:sz="0" w:space="0" w:color="auto"/>
                        <w:left w:val="none" w:sz="0" w:space="0" w:color="auto"/>
                        <w:bottom w:val="none" w:sz="0" w:space="0" w:color="auto"/>
                        <w:right w:val="none" w:sz="0" w:space="0" w:color="auto"/>
                      </w:divBdr>
                    </w:div>
                    <w:div w:id="380910861">
                      <w:marLeft w:val="0"/>
                      <w:marRight w:val="0"/>
                      <w:marTop w:val="0"/>
                      <w:marBottom w:val="0"/>
                      <w:divBdr>
                        <w:top w:val="none" w:sz="0" w:space="0" w:color="auto"/>
                        <w:left w:val="none" w:sz="0" w:space="0" w:color="auto"/>
                        <w:bottom w:val="none" w:sz="0" w:space="0" w:color="auto"/>
                        <w:right w:val="none" w:sz="0" w:space="0" w:color="auto"/>
                      </w:divBdr>
                    </w:div>
                  </w:divsChild>
                </w:div>
                <w:div w:id="1734549434">
                  <w:marLeft w:val="0"/>
                  <w:marRight w:val="0"/>
                  <w:marTop w:val="0"/>
                  <w:marBottom w:val="0"/>
                  <w:divBdr>
                    <w:top w:val="none" w:sz="0" w:space="0" w:color="auto"/>
                    <w:left w:val="none" w:sz="0" w:space="0" w:color="auto"/>
                    <w:bottom w:val="none" w:sz="0" w:space="0" w:color="auto"/>
                    <w:right w:val="none" w:sz="0" w:space="0" w:color="auto"/>
                  </w:divBdr>
                  <w:divsChild>
                    <w:div w:id="34816357">
                      <w:marLeft w:val="0"/>
                      <w:marRight w:val="0"/>
                      <w:marTop w:val="0"/>
                      <w:marBottom w:val="0"/>
                      <w:divBdr>
                        <w:top w:val="none" w:sz="0" w:space="0" w:color="auto"/>
                        <w:left w:val="none" w:sz="0" w:space="0" w:color="auto"/>
                        <w:bottom w:val="none" w:sz="0" w:space="0" w:color="auto"/>
                        <w:right w:val="none" w:sz="0" w:space="0" w:color="auto"/>
                      </w:divBdr>
                    </w:div>
                  </w:divsChild>
                </w:div>
                <w:div w:id="1406685658">
                  <w:marLeft w:val="0"/>
                  <w:marRight w:val="0"/>
                  <w:marTop w:val="0"/>
                  <w:marBottom w:val="0"/>
                  <w:divBdr>
                    <w:top w:val="none" w:sz="0" w:space="0" w:color="auto"/>
                    <w:left w:val="none" w:sz="0" w:space="0" w:color="auto"/>
                    <w:bottom w:val="none" w:sz="0" w:space="0" w:color="auto"/>
                    <w:right w:val="none" w:sz="0" w:space="0" w:color="auto"/>
                  </w:divBdr>
                  <w:divsChild>
                    <w:div w:id="1184709982">
                      <w:marLeft w:val="0"/>
                      <w:marRight w:val="0"/>
                      <w:marTop w:val="0"/>
                      <w:marBottom w:val="0"/>
                      <w:divBdr>
                        <w:top w:val="none" w:sz="0" w:space="0" w:color="auto"/>
                        <w:left w:val="none" w:sz="0" w:space="0" w:color="auto"/>
                        <w:bottom w:val="none" w:sz="0" w:space="0" w:color="auto"/>
                        <w:right w:val="none" w:sz="0" w:space="0" w:color="auto"/>
                      </w:divBdr>
                    </w:div>
                  </w:divsChild>
                </w:div>
                <w:div w:id="955912980">
                  <w:marLeft w:val="0"/>
                  <w:marRight w:val="0"/>
                  <w:marTop w:val="0"/>
                  <w:marBottom w:val="0"/>
                  <w:divBdr>
                    <w:top w:val="none" w:sz="0" w:space="0" w:color="auto"/>
                    <w:left w:val="none" w:sz="0" w:space="0" w:color="auto"/>
                    <w:bottom w:val="none" w:sz="0" w:space="0" w:color="auto"/>
                    <w:right w:val="none" w:sz="0" w:space="0" w:color="auto"/>
                  </w:divBdr>
                  <w:divsChild>
                    <w:div w:id="755327198">
                      <w:marLeft w:val="0"/>
                      <w:marRight w:val="0"/>
                      <w:marTop w:val="0"/>
                      <w:marBottom w:val="0"/>
                      <w:divBdr>
                        <w:top w:val="none" w:sz="0" w:space="0" w:color="auto"/>
                        <w:left w:val="none" w:sz="0" w:space="0" w:color="auto"/>
                        <w:bottom w:val="none" w:sz="0" w:space="0" w:color="auto"/>
                        <w:right w:val="none" w:sz="0" w:space="0" w:color="auto"/>
                      </w:divBdr>
                    </w:div>
                  </w:divsChild>
                </w:div>
                <w:div w:id="1932355412">
                  <w:marLeft w:val="0"/>
                  <w:marRight w:val="0"/>
                  <w:marTop w:val="0"/>
                  <w:marBottom w:val="0"/>
                  <w:divBdr>
                    <w:top w:val="none" w:sz="0" w:space="0" w:color="auto"/>
                    <w:left w:val="none" w:sz="0" w:space="0" w:color="auto"/>
                    <w:bottom w:val="none" w:sz="0" w:space="0" w:color="auto"/>
                    <w:right w:val="none" w:sz="0" w:space="0" w:color="auto"/>
                  </w:divBdr>
                  <w:divsChild>
                    <w:div w:id="2135324450">
                      <w:marLeft w:val="0"/>
                      <w:marRight w:val="0"/>
                      <w:marTop w:val="0"/>
                      <w:marBottom w:val="0"/>
                      <w:divBdr>
                        <w:top w:val="none" w:sz="0" w:space="0" w:color="auto"/>
                        <w:left w:val="none" w:sz="0" w:space="0" w:color="auto"/>
                        <w:bottom w:val="none" w:sz="0" w:space="0" w:color="auto"/>
                        <w:right w:val="none" w:sz="0" w:space="0" w:color="auto"/>
                      </w:divBdr>
                    </w:div>
                  </w:divsChild>
                </w:div>
                <w:div w:id="1640525705">
                  <w:marLeft w:val="0"/>
                  <w:marRight w:val="0"/>
                  <w:marTop w:val="0"/>
                  <w:marBottom w:val="0"/>
                  <w:divBdr>
                    <w:top w:val="none" w:sz="0" w:space="0" w:color="auto"/>
                    <w:left w:val="none" w:sz="0" w:space="0" w:color="auto"/>
                    <w:bottom w:val="none" w:sz="0" w:space="0" w:color="auto"/>
                    <w:right w:val="none" w:sz="0" w:space="0" w:color="auto"/>
                  </w:divBdr>
                  <w:divsChild>
                    <w:div w:id="643780045">
                      <w:marLeft w:val="0"/>
                      <w:marRight w:val="0"/>
                      <w:marTop w:val="0"/>
                      <w:marBottom w:val="0"/>
                      <w:divBdr>
                        <w:top w:val="none" w:sz="0" w:space="0" w:color="auto"/>
                        <w:left w:val="none" w:sz="0" w:space="0" w:color="auto"/>
                        <w:bottom w:val="none" w:sz="0" w:space="0" w:color="auto"/>
                        <w:right w:val="none" w:sz="0" w:space="0" w:color="auto"/>
                      </w:divBdr>
                    </w:div>
                  </w:divsChild>
                </w:div>
                <w:div w:id="1369992364">
                  <w:marLeft w:val="0"/>
                  <w:marRight w:val="0"/>
                  <w:marTop w:val="0"/>
                  <w:marBottom w:val="0"/>
                  <w:divBdr>
                    <w:top w:val="none" w:sz="0" w:space="0" w:color="auto"/>
                    <w:left w:val="none" w:sz="0" w:space="0" w:color="auto"/>
                    <w:bottom w:val="none" w:sz="0" w:space="0" w:color="auto"/>
                    <w:right w:val="none" w:sz="0" w:space="0" w:color="auto"/>
                  </w:divBdr>
                  <w:divsChild>
                    <w:div w:id="2047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522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edu-gp/OneDrive%20-%20University%20of%20Wales%20Trinity%20Saint%20David/Desktop/Harvard-eng_v.1.2.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10</Pages>
  <Words>3477</Words>
  <Characters>19577</Characters>
  <Application>Microsoft Office Word</Application>
  <DocSecurity>0</DocSecurity>
  <Lines>301</Lines>
  <Paragraphs>31</Paragraphs>
  <ScaleCrop>false</ScaleCrop>
  <Company/>
  <LinksUpToDate>false</LinksUpToDate>
  <CharactersWithSpaces>23023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(1900854)</dc:creator>
  <cp:keywords/>
  <dc:description/>
  <cp:lastModifiedBy>Chloe Thomas (1900854)</cp:lastModifiedBy>
  <cp:revision>78</cp:revision>
  <dcterms:created xsi:type="dcterms:W3CDTF">2023-05-11T20:40:00Z</dcterms:created>
  <dcterms:modified xsi:type="dcterms:W3CDTF">2023-05-15T14:49:00Z</dcterms:modified>
</cp:coreProperties>
</file>