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831826870"/>
        <w:docPartObj>
          <w:docPartGallery w:val="Cover Pages"/>
          <w:docPartUnique/>
        </w:docPartObj>
      </w:sdtPr>
      <w:sdtEndPr>
        <w:rPr>
          <w:color w:val="auto"/>
        </w:rPr>
      </w:sdtEndPr>
      <w:sdtContent>
        <w:p w14:paraId="5DBD67CF" w14:textId="02072580" w:rsidR="00754C28" w:rsidRDefault="00754C28">
          <w:pPr>
            <w:pStyle w:val="NoSpacing"/>
            <w:spacing w:before="1540" w:after="240"/>
            <w:jc w:val="center"/>
            <w:rPr>
              <w:color w:val="156082" w:themeColor="accent1"/>
            </w:rPr>
          </w:pPr>
          <w:r>
            <w:rPr>
              <w:noProof/>
              <w:color w:val="156082" w:themeColor="accent1"/>
            </w:rPr>
            <w:drawing>
              <wp:inline distT="0" distB="0" distL="0" distR="0" wp14:anchorId="177D6E68" wp14:editId="42014CF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02460D57EBE4104B856019E07C65B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444A43" w14:textId="43EA7EE2" w:rsidR="00754C28" w:rsidRDefault="00754C2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Strategic chANGE PLAN OF                                  GYMSHARK</w:t>
              </w:r>
            </w:p>
          </w:sdtContent>
        </w:sdt>
        <w:p w14:paraId="44E1D2EB" w14:textId="58DE5C98" w:rsidR="00754C28" w:rsidRDefault="00754C28" w:rsidP="00754C28">
          <w:pPr>
            <w:pStyle w:val="NoSpacing"/>
            <w:rPr>
              <w:color w:val="156082" w:themeColor="accent1"/>
              <w:sz w:val="28"/>
              <w:szCs w:val="28"/>
            </w:rPr>
          </w:pPr>
        </w:p>
        <w:p w14:paraId="26654E66" w14:textId="77777777" w:rsidR="00754C28" w:rsidRDefault="00754C2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6F2A0FB" wp14:editId="6516A3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B1DEF" w14:textId="4EAF6B5B" w:rsidR="00754C28" w:rsidRDefault="00000000" w:rsidP="00754C28">
                                <w:pPr>
                                  <w:pStyle w:val="NoSpacing"/>
                                  <w:rPr>
                                    <w:caps/>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54C28">
                                      <w:rPr>
                                        <w:caps/>
                                        <w:color w:val="156082" w:themeColor="accent1"/>
                                      </w:rPr>
                                      <w:t>mODULE NAME: LEADING AND IMPLEMENTING CHANGE</w:t>
                                    </w:r>
                                  </w:sdtContent>
                                </w:sdt>
                              </w:p>
                              <w:p w14:paraId="02A264B4" w14:textId="25FACA6A" w:rsidR="00754C28" w:rsidRDefault="00754C28" w:rsidP="00754C28">
                                <w:pPr>
                                  <w:pStyle w:val="NoSpacing"/>
                                  <w:rPr>
                                    <w:caps/>
                                    <w:color w:val="156082" w:themeColor="accent1"/>
                                  </w:rPr>
                                </w:pPr>
                                <w:r>
                                  <w:rPr>
                                    <w:caps/>
                                    <w:color w:val="156082" w:themeColor="accent1"/>
                                  </w:rPr>
                                  <w:t>mODULE CODE: lclm6003</w:t>
                                </w:r>
                              </w:p>
                              <w:p w14:paraId="65FEBF34" w14:textId="43B779B7" w:rsidR="00754C28" w:rsidRDefault="00754C28" w:rsidP="00754C28">
                                <w:pPr>
                                  <w:pStyle w:val="NoSpacing"/>
                                  <w:rPr>
                                    <w:caps/>
                                    <w:color w:val="156082" w:themeColor="accent1"/>
                                  </w:rPr>
                                </w:pPr>
                                <w:r>
                                  <w:rPr>
                                    <w:caps/>
                                    <w:color w:val="156082" w:themeColor="accent1"/>
                                  </w:rPr>
                                  <w:t>lECTURER nAME: nADEEM mIRZA</w:t>
                                </w:r>
                              </w:p>
                              <w:p w14:paraId="56E0E8B9" w14:textId="4497AE11" w:rsidR="00754C28" w:rsidRDefault="00754C28" w:rsidP="00754C28">
                                <w:pPr>
                                  <w:pStyle w:val="NoSpacing"/>
                                  <w:rPr>
                                    <w:caps/>
                                    <w:color w:val="156082" w:themeColor="accent1"/>
                                  </w:rPr>
                                </w:pPr>
                                <w:r>
                                  <w:rPr>
                                    <w:caps/>
                                    <w:color w:val="156082" w:themeColor="accent1"/>
                                  </w:rPr>
                                  <w:t>sTUDENT nAME: eRIKA vEGH</w:t>
                                </w:r>
                              </w:p>
                              <w:p w14:paraId="63EC44D8" w14:textId="5B38B238" w:rsidR="00754C28" w:rsidRDefault="00754C28" w:rsidP="00754C28">
                                <w:pPr>
                                  <w:pStyle w:val="NoSpacing"/>
                                  <w:rPr>
                                    <w:color w:val="156082" w:themeColor="accent1"/>
                                  </w:rPr>
                                </w:pPr>
                                <w:r>
                                  <w:rPr>
                                    <w:caps/>
                                    <w:color w:val="156082" w:themeColor="accent1"/>
                                  </w:rPr>
                                  <w:t>sTUDENT id: 2245805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F2A0F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99B1DEF" w14:textId="4EAF6B5B" w:rsidR="00754C28" w:rsidRDefault="00000000" w:rsidP="00754C28">
                          <w:pPr>
                            <w:pStyle w:val="NoSpacing"/>
                            <w:rPr>
                              <w:caps/>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54C28">
                                <w:rPr>
                                  <w:caps/>
                                  <w:color w:val="156082" w:themeColor="accent1"/>
                                </w:rPr>
                                <w:t>mODULE NAME: LEADING AND IMPLEMENTING CHANGE</w:t>
                              </w:r>
                            </w:sdtContent>
                          </w:sdt>
                        </w:p>
                        <w:p w14:paraId="02A264B4" w14:textId="25FACA6A" w:rsidR="00754C28" w:rsidRDefault="00754C28" w:rsidP="00754C28">
                          <w:pPr>
                            <w:pStyle w:val="NoSpacing"/>
                            <w:rPr>
                              <w:caps/>
                              <w:color w:val="156082" w:themeColor="accent1"/>
                            </w:rPr>
                          </w:pPr>
                          <w:r>
                            <w:rPr>
                              <w:caps/>
                              <w:color w:val="156082" w:themeColor="accent1"/>
                            </w:rPr>
                            <w:t>mODULE CODE: lclm6003</w:t>
                          </w:r>
                        </w:p>
                        <w:p w14:paraId="65FEBF34" w14:textId="43B779B7" w:rsidR="00754C28" w:rsidRDefault="00754C28" w:rsidP="00754C28">
                          <w:pPr>
                            <w:pStyle w:val="NoSpacing"/>
                            <w:rPr>
                              <w:caps/>
                              <w:color w:val="156082" w:themeColor="accent1"/>
                            </w:rPr>
                          </w:pPr>
                          <w:r>
                            <w:rPr>
                              <w:caps/>
                              <w:color w:val="156082" w:themeColor="accent1"/>
                            </w:rPr>
                            <w:t>lECTURER nAME: nADEEM mIRZA</w:t>
                          </w:r>
                        </w:p>
                        <w:p w14:paraId="56E0E8B9" w14:textId="4497AE11" w:rsidR="00754C28" w:rsidRDefault="00754C28" w:rsidP="00754C28">
                          <w:pPr>
                            <w:pStyle w:val="NoSpacing"/>
                            <w:rPr>
                              <w:caps/>
                              <w:color w:val="156082" w:themeColor="accent1"/>
                            </w:rPr>
                          </w:pPr>
                          <w:r>
                            <w:rPr>
                              <w:caps/>
                              <w:color w:val="156082" w:themeColor="accent1"/>
                            </w:rPr>
                            <w:t>sTUDENT nAME: eRIKA vEGH</w:t>
                          </w:r>
                        </w:p>
                        <w:p w14:paraId="63EC44D8" w14:textId="5B38B238" w:rsidR="00754C28" w:rsidRDefault="00754C28" w:rsidP="00754C28">
                          <w:pPr>
                            <w:pStyle w:val="NoSpacing"/>
                            <w:rPr>
                              <w:color w:val="156082" w:themeColor="accent1"/>
                            </w:rPr>
                          </w:pPr>
                          <w:r>
                            <w:rPr>
                              <w:caps/>
                              <w:color w:val="156082" w:themeColor="accent1"/>
                            </w:rPr>
                            <w:t>sTUDENT id: 2245805</w:t>
                          </w:r>
                        </w:p>
                      </w:txbxContent>
                    </v:textbox>
                    <w10:wrap anchorx="margin" anchory="page"/>
                  </v:shape>
                </w:pict>
              </mc:Fallback>
            </mc:AlternateContent>
          </w:r>
          <w:r>
            <w:rPr>
              <w:noProof/>
              <w:color w:val="156082" w:themeColor="accent1"/>
            </w:rPr>
            <w:drawing>
              <wp:inline distT="0" distB="0" distL="0" distR="0" wp14:anchorId="30925CFF" wp14:editId="7A06761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2BA562" w14:textId="7C4B43FC" w:rsidR="00754C28" w:rsidRDefault="00754C28">
          <w:pPr>
            <w:rPr>
              <w:rFonts w:asciiTheme="majorHAnsi" w:eastAsiaTheme="majorEastAsia" w:hAnsiTheme="majorHAnsi" w:cstheme="majorBidi"/>
              <w:color w:val="0F4761" w:themeColor="accent1" w:themeShade="BF"/>
              <w:sz w:val="40"/>
              <w:szCs w:val="40"/>
            </w:rPr>
          </w:pPr>
          <w:r>
            <w:br w:type="page"/>
          </w:r>
        </w:p>
      </w:sdtContent>
    </w:sdt>
    <w:p w14:paraId="494423D5" w14:textId="77777777" w:rsidR="00CD2931" w:rsidRDefault="00CD2931">
      <w:pPr>
        <w:pStyle w:val="TOCHeading"/>
        <w:rPr>
          <w:rFonts w:ascii="Arial" w:eastAsiaTheme="minorHAnsi" w:hAnsi="Arial" w:cs="Arial"/>
          <w:color w:val="auto"/>
          <w:kern w:val="2"/>
          <w:sz w:val="22"/>
          <w:szCs w:val="22"/>
          <w:lang w:val="en-GB"/>
          <w14:ligatures w14:val="standardContextual"/>
        </w:rPr>
      </w:pPr>
    </w:p>
    <w:tbl>
      <w:tblPr>
        <w:tblStyle w:val="TableGrid"/>
        <w:tblpPr w:leftFromText="180" w:rightFromText="180" w:horzAnchor="margin" w:tblpY="1967"/>
        <w:tblW w:w="0" w:type="auto"/>
        <w:tblLook w:val="04A0" w:firstRow="1" w:lastRow="0" w:firstColumn="1" w:lastColumn="0" w:noHBand="0" w:noVBand="1"/>
      </w:tblPr>
      <w:tblGrid>
        <w:gridCol w:w="2122"/>
        <w:gridCol w:w="5670"/>
        <w:gridCol w:w="1224"/>
      </w:tblGrid>
      <w:tr w:rsidR="00CD2931" w14:paraId="2712563E" w14:textId="77777777" w:rsidTr="00B07C2F">
        <w:tc>
          <w:tcPr>
            <w:tcW w:w="2122" w:type="dxa"/>
          </w:tcPr>
          <w:p w14:paraId="5E011912" w14:textId="77777777" w:rsidR="00CD2931" w:rsidRDefault="00CD2931" w:rsidP="00B07C2F">
            <w:pPr>
              <w:rPr>
                <w:rFonts w:ascii="Arial" w:hAnsi="Arial" w:cs="Arial"/>
                <w:sz w:val="22"/>
                <w:szCs w:val="22"/>
              </w:rPr>
            </w:pPr>
          </w:p>
          <w:p w14:paraId="00B65F97" w14:textId="7D37BAAA" w:rsidR="00CD2931" w:rsidRDefault="00CD2931" w:rsidP="00B07C2F">
            <w:pPr>
              <w:rPr>
                <w:rFonts w:ascii="Arial" w:hAnsi="Arial" w:cs="Arial"/>
                <w:sz w:val="22"/>
                <w:szCs w:val="22"/>
              </w:rPr>
            </w:pPr>
            <w:r w:rsidRPr="00CD2931">
              <w:rPr>
                <w:rFonts w:ascii="Arial" w:hAnsi="Arial" w:cs="Arial"/>
                <w:sz w:val="22"/>
                <w:szCs w:val="22"/>
              </w:rPr>
              <w:t>RESEARCH</w:t>
            </w:r>
          </w:p>
        </w:tc>
        <w:tc>
          <w:tcPr>
            <w:tcW w:w="5670" w:type="dxa"/>
          </w:tcPr>
          <w:p w14:paraId="6F7DCCFD" w14:textId="7AC67AB7" w:rsidR="00CD2931" w:rsidRPr="00CD2931" w:rsidRDefault="00CD2931" w:rsidP="00B07C2F">
            <w:pPr>
              <w:rPr>
                <w:rFonts w:ascii="Arial" w:hAnsi="Arial" w:cs="Arial"/>
                <w:sz w:val="22"/>
                <w:szCs w:val="22"/>
              </w:rPr>
            </w:pPr>
            <w:r w:rsidRPr="00CD2931">
              <w:rPr>
                <w:rFonts w:ascii="Arial" w:hAnsi="Arial" w:cs="Arial"/>
                <w:sz w:val="22"/>
                <w:szCs w:val="22"/>
              </w:rPr>
              <w:t>For this assessment, you can use Generative AI to support you in research and data analysis.</w:t>
            </w:r>
          </w:p>
        </w:tc>
        <w:tc>
          <w:tcPr>
            <w:tcW w:w="1224" w:type="dxa"/>
          </w:tcPr>
          <w:p w14:paraId="6A9FEA9E" w14:textId="5EDF19F8" w:rsidR="00CD2931" w:rsidRDefault="00CD2931" w:rsidP="00B07C2F">
            <w:pPr>
              <w:rPr>
                <w:rFonts w:ascii="Arial" w:hAnsi="Arial" w:cs="Arial"/>
                <w:sz w:val="22"/>
                <w:szCs w:val="22"/>
              </w:rPr>
            </w:pPr>
            <w:r w:rsidRPr="00CD2931">
              <w:rPr>
                <w:rFonts w:ascii="Arial" w:hAnsi="Arial" w:cs="Arial"/>
                <w:sz w:val="22"/>
                <w:szCs w:val="22"/>
              </w:rPr>
              <w:t xml:space="preserve">Yes </w:t>
            </w:r>
            <w:r w:rsidRPr="00CD2931">
              <w:rPr>
                <w:rFonts w:ascii="Segoe UI Symbol" w:hAnsi="Segoe UI Symbol" w:cs="Segoe UI Symbol"/>
                <w:sz w:val="22"/>
                <w:szCs w:val="22"/>
              </w:rPr>
              <w:t>☐</w:t>
            </w:r>
            <w:r w:rsidRPr="00CD2931">
              <w:rPr>
                <w:rFonts w:ascii="Arial" w:hAnsi="Arial" w:cs="Arial"/>
                <w:sz w:val="22"/>
                <w:szCs w:val="22"/>
              </w:rPr>
              <w:t xml:space="preserve"> </w:t>
            </w:r>
          </w:p>
          <w:p w14:paraId="67744620" w14:textId="77777777" w:rsidR="00B07C2F" w:rsidRDefault="00B07C2F" w:rsidP="00B07C2F">
            <w:pPr>
              <w:rPr>
                <w:rFonts w:ascii="Arial" w:hAnsi="Arial" w:cs="Arial"/>
                <w:sz w:val="22"/>
                <w:szCs w:val="22"/>
              </w:rPr>
            </w:pPr>
          </w:p>
          <w:p w14:paraId="482DFB66" w14:textId="60278709" w:rsidR="00CD2931" w:rsidRDefault="00CD2931" w:rsidP="00B07C2F">
            <w:pPr>
              <w:rPr>
                <w:rFonts w:ascii="Arial" w:hAnsi="Arial" w:cs="Arial"/>
                <w:sz w:val="22"/>
                <w:szCs w:val="22"/>
              </w:rPr>
            </w:pPr>
            <w:r w:rsidRPr="00CD2931">
              <w:rPr>
                <w:rFonts w:ascii="Arial" w:hAnsi="Arial" w:cs="Arial"/>
                <w:sz w:val="22"/>
                <w:szCs w:val="22"/>
              </w:rPr>
              <w:t xml:space="preserve">No </w:t>
            </w:r>
            <w:r w:rsidRPr="00CD2931">
              <w:rPr>
                <w:rFonts w:ascii="Segoe UI Symbol" w:hAnsi="Segoe UI Symbol" w:cs="Segoe UI Symbol"/>
                <w:sz w:val="22"/>
                <w:szCs w:val="22"/>
              </w:rPr>
              <w:t>☒</w:t>
            </w:r>
          </w:p>
        </w:tc>
      </w:tr>
      <w:tr w:rsidR="00CD2931" w14:paraId="0CCD190F" w14:textId="77777777" w:rsidTr="00B07C2F">
        <w:tc>
          <w:tcPr>
            <w:tcW w:w="2122" w:type="dxa"/>
          </w:tcPr>
          <w:p w14:paraId="072DB1A2" w14:textId="77777777" w:rsidR="00CD2931" w:rsidRDefault="00CD2931" w:rsidP="00B07C2F">
            <w:pPr>
              <w:rPr>
                <w:rFonts w:ascii="Arial" w:hAnsi="Arial" w:cs="Arial"/>
                <w:sz w:val="22"/>
                <w:szCs w:val="22"/>
              </w:rPr>
            </w:pPr>
          </w:p>
          <w:p w14:paraId="0583485E" w14:textId="6B2BB78E" w:rsidR="00CD2931" w:rsidRDefault="00CD2931" w:rsidP="00B07C2F">
            <w:pPr>
              <w:rPr>
                <w:rFonts w:ascii="Arial" w:hAnsi="Arial" w:cs="Arial"/>
                <w:sz w:val="22"/>
                <w:szCs w:val="22"/>
              </w:rPr>
            </w:pPr>
            <w:r w:rsidRPr="00CD2931">
              <w:rPr>
                <w:rFonts w:ascii="Arial" w:hAnsi="Arial" w:cs="Arial"/>
                <w:sz w:val="22"/>
                <w:szCs w:val="22"/>
              </w:rPr>
              <w:t>STRUCTURE</w:t>
            </w:r>
          </w:p>
        </w:tc>
        <w:tc>
          <w:tcPr>
            <w:tcW w:w="5670" w:type="dxa"/>
          </w:tcPr>
          <w:p w14:paraId="187BE856" w14:textId="2ECA3142" w:rsidR="00CD2931" w:rsidRDefault="00CD2931" w:rsidP="00B07C2F">
            <w:pPr>
              <w:rPr>
                <w:rFonts w:ascii="Arial" w:hAnsi="Arial" w:cs="Arial"/>
                <w:sz w:val="22"/>
                <w:szCs w:val="22"/>
              </w:rPr>
            </w:pPr>
            <w:r w:rsidRPr="00CD2931">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224" w:type="dxa"/>
          </w:tcPr>
          <w:p w14:paraId="04A979F3" w14:textId="77777777" w:rsidR="00B07C2F" w:rsidRDefault="00CD2931" w:rsidP="00B07C2F">
            <w:pPr>
              <w:rPr>
                <w:rFonts w:ascii="Segoe UI Symbol" w:hAnsi="Segoe UI Symbol" w:cs="Segoe UI Symbol"/>
                <w:sz w:val="22"/>
                <w:szCs w:val="22"/>
              </w:rPr>
            </w:pPr>
            <w:r w:rsidRPr="00CD2931">
              <w:rPr>
                <w:rFonts w:ascii="Arial" w:hAnsi="Arial" w:cs="Arial"/>
                <w:sz w:val="22"/>
                <w:szCs w:val="22"/>
              </w:rPr>
              <w:t xml:space="preserve">Yes </w:t>
            </w:r>
            <w:r w:rsidRPr="00CD2931">
              <w:rPr>
                <w:rFonts w:ascii="Segoe UI Symbol" w:hAnsi="Segoe UI Symbol" w:cs="Segoe UI Symbol"/>
                <w:sz w:val="22"/>
                <w:szCs w:val="22"/>
              </w:rPr>
              <w:t>☐</w:t>
            </w:r>
          </w:p>
          <w:p w14:paraId="55520A59" w14:textId="6D23776D" w:rsidR="00CD2931" w:rsidRDefault="00CD2931" w:rsidP="00B07C2F">
            <w:pPr>
              <w:rPr>
                <w:rFonts w:ascii="Arial" w:hAnsi="Arial" w:cs="Arial"/>
                <w:sz w:val="22"/>
                <w:szCs w:val="22"/>
              </w:rPr>
            </w:pPr>
            <w:r w:rsidRPr="00CD2931">
              <w:rPr>
                <w:rFonts w:ascii="Arial" w:hAnsi="Arial" w:cs="Arial"/>
                <w:sz w:val="22"/>
                <w:szCs w:val="22"/>
              </w:rPr>
              <w:t xml:space="preserve"> </w:t>
            </w:r>
          </w:p>
          <w:p w14:paraId="648CE8D5" w14:textId="15FE3C0A" w:rsidR="00CD2931" w:rsidRDefault="00CD2931" w:rsidP="00B07C2F">
            <w:pPr>
              <w:rPr>
                <w:rFonts w:ascii="Arial" w:hAnsi="Arial" w:cs="Arial"/>
                <w:sz w:val="22"/>
                <w:szCs w:val="22"/>
              </w:rPr>
            </w:pPr>
            <w:r w:rsidRPr="00CD2931">
              <w:rPr>
                <w:rFonts w:ascii="Arial" w:hAnsi="Arial" w:cs="Arial"/>
                <w:sz w:val="22"/>
                <w:szCs w:val="22"/>
              </w:rPr>
              <w:t xml:space="preserve">No </w:t>
            </w:r>
            <w:r w:rsidRPr="00CD2931">
              <w:rPr>
                <w:rFonts w:ascii="Segoe UI Symbol" w:hAnsi="Segoe UI Symbol" w:cs="Segoe UI Symbol"/>
                <w:sz w:val="22"/>
                <w:szCs w:val="22"/>
              </w:rPr>
              <w:t>☒</w:t>
            </w:r>
          </w:p>
        </w:tc>
      </w:tr>
      <w:tr w:rsidR="00CD2931" w14:paraId="2E528DB8" w14:textId="77777777" w:rsidTr="00B07C2F">
        <w:tc>
          <w:tcPr>
            <w:tcW w:w="2122" w:type="dxa"/>
          </w:tcPr>
          <w:p w14:paraId="103FB624" w14:textId="77777777" w:rsidR="00CD2931" w:rsidRDefault="00CD2931" w:rsidP="00B07C2F">
            <w:pPr>
              <w:rPr>
                <w:rFonts w:ascii="Arial" w:hAnsi="Arial" w:cs="Arial"/>
                <w:sz w:val="22"/>
                <w:szCs w:val="22"/>
              </w:rPr>
            </w:pPr>
          </w:p>
          <w:p w14:paraId="33471A95" w14:textId="1AFA529B" w:rsidR="00CD2931" w:rsidRDefault="00CD2931" w:rsidP="00B07C2F">
            <w:pPr>
              <w:rPr>
                <w:rFonts w:ascii="Arial" w:hAnsi="Arial" w:cs="Arial"/>
                <w:sz w:val="22"/>
                <w:szCs w:val="22"/>
              </w:rPr>
            </w:pPr>
            <w:r w:rsidRPr="00CD2931">
              <w:rPr>
                <w:rFonts w:ascii="Arial" w:hAnsi="Arial" w:cs="Arial"/>
                <w:sz w:val="22"/>
                <w:szCs w:val="22"/>
              </w:rPr>
              <w:t>PROOFREADING</w:t>
            </w:r>
          </w:p>
        </w:tc>
        <w:tc>
          <w:tcPr>
            <w:tcW w:w="5670" w:type="dxa"/>
          </w:tcPr>
          <w:p w14:paraId="49D3A091" w14:textId="206E5C54" w:rsidR="00CD2931" w:rsidRDefault="00CD2931" w:rsidP="00B07C2F">
            <w:pPr>
              <w:rPr>
                <w:rFonts w:ascii="Arial" w:hAnsi="Arial" w:cs="Arial"/>
                <w:sz w:val="22"/>
                <w:szCs w:val="22"/>
              </w:rPr>
            </w:pPr>
            <w:r w:rsidRPr="00CD2931">
              <w:rPr>
                <w:rFonts w:ascii="Arial" w:hAnsi="Arial" w:cs="Arial"/>
                <w:sz w:val="22"/>
                <w:szCs w:val="22"/>
              </w:rPr>
              <w:t>For this assessment, you can use Generative AI to check your own text/creation for grammatical and syntactical mistakes, including getting suggestions to rephrase your work.</w:t>
            </w:r>
          </w:p>
        </w:tc>
        <w:tc>
          <w:tcPr>
            <w:tcW w:w="1224" w:type="dxa"/>
          </w:tcPr>
          <w:p w14:paraId="3FBA0859" w14:textId="6CF28E77" w:rsidR="00B07C2F" w:rsidRDefault="00B07C2F" w:rsidP="00B07C2F">
            <w:pPr>
              <w:rPr>
                <w:rFonts w:ascii="Segoe UI Symbol" w:hAnsi="Segoe UI Symbol" w:cs="Segoe UI Symbol"/>
                <w:sz w:val="22"/>
                <w:szCs w:val="22"/>
              </w:rPr>
            </w:pPr>
            <w:r w:rsidRPr="00B07C2F">
              <w:rPr>
                <w:rFonts w:ascii="Arial" w:hAnsi="Arial" w:cs="Arial"/>
                <w:sz w:val="22"/>
                <w:szCs w:val="22"/>
              </w:rPr>
              <w:t xml:space="preserve">Yes </w:t>
            </w:r>
            <w:r w:rsidRPr="00B07C2F">
              <w:rPr>
                <w:rFonts w:ascii="Segoe UI Symbol" w:hAnsi="Segoe UI Symbol" w:cs="Segoe UI Symbol"/>
                <w:sz w:val="22"/>
                <w:szCs w:val="22"/>
              </w:rPr>
              <w:t>☒</w:t>
            </w:r>
          </w:p>
          <w:p w14:paraId="204AB58C" w14:textId="77777777" w:rsidR="00B07C2F" w:rsidRDefault="00B07C2F" w:rsidP="00B07C2F">
            <w:pPr>
              <w:rPr>
                <w:rFonts w:ascii="Segoe UI Symbol" w:hAnsi="Segoe UI Symbol" w:cs="Segoe UI Symbol"/>
                <w:sz w:val="22"/>
                <w:szCs w:val="22"/>
              </w:rPr>
            </w:pPr>
          </w:p>
          <w:p w14:paraId="56C3BDBB" w14:textId="72B31C01" w:rsidR="00CD2931" w:rsidRDefault="00B07C2F" w:rsidP="00B07C2F">
            <w:pPr>
              <w:rPr>
                <w:rFonts w:ascii="Arial" w:hAnsi="Arial" w:cs="Arial"/>
                <w:sz w:val="22"/>
                <w:szCs w:val="22"/>
              </w:rPr>
            </w:pPr>
            <w:r w:rsidRPr="00B07C2F">
              <w:rPr>
                <w:rFonts w:ascii="Arial" w:hAnsi="Arial" w:cs="Arial"/>
                <w:sz w:val="22"/>
                <w:szCs w:val="22"/>
              </w:rPr>
              <w:t xml:space="preserve">No </w:t>
            </w:r>
            <w:r w:rsidRPr="00B07C2F">
              <w:rPr>
                <w:rFonts w:ascii="Segoe UI Symbol" w:hAnsi="Segoe UI Symbol" w:cs="Segoe UI Symbol"/>
                <w:sz w:val="22"/>
                <w:szCs w:val="22"/>
              </w:rPr>
              <w:t>☐</w:t>
            </w:r>
          </w:p>
        </w:tc>
      </w:tr>
      <w:tr w:rsidR="00CD2931" w14:paraId="67F528D9" w14:textId="77777777" w:rsidTr="00B07C2F">
        <w:tc>
          <w:tcPr>
            <w:tcW w:w="2122" w:type="dxa"/>
          </w:tcPr>
          <w:p w14:paraId="527D91C2" w14:textId="77777777" w:rsidR="00CD2931" w:rsidRDefault="00CD2931" w:rsidP="00B07C2F">
            <w:pPr>
              <w:rPr>
                <w:rFonts w:ascii="Arial" w:hAnsi="Arial" w:cs="Arial"/>
                <w:sz w:val="22"/>
                <w:szCs w:val="22"/>
              </w:rPr>
            </w:pPr>
          </w:p>
          <w:p w14:paraId="658CF455" w14:textId="77777777" w:rsidR="00CD2931" w:rsidRDefault="00CD2931" w:rsidP="00B07C2F">
            <w:pPr>
              <w:rPr>
                <w:rFonts w:ascii="Arial" w:hAnsi="Arial" w:cs="Arial"/>
                <w:sz w:val="22"/>
                <w:szCs w:val="22"/>
              </w:rPr>
            </w:pPr>
            <w:r w:rsidRPr="00CD2931">
              <w:rPr>
                <w:rFonts w:ascii="Arial" w:hAnsi="Arial" w:cs="Arial"/>
                <w:sz w:val="22"/>
                <w:szCs w:val="22"/>
              </w:rPr>
              <w:t>WRITING</w:t>
            </w:r>
          </w:p>
          <w:p w14:paraId="30139D11" w14:textId="13A59624" w:rsidR="00B07C2F" w:rsidRDefault="00B07C2F" w:rsidP="00B07C2F">
            <w:pPr>
              <w:rPr>
                <w:rFonts w:ascii="Arial" w:hAnsi="Arial" w:cs="Arial"/>
                <w:sz w:val="22"/>
                <w:szCs w:val="22"/>
              </w:rPr>
            </w:pPr>
          </w:p>
        </w:tc>
        <w:tc>
          <w:tcPr>
            <w:tcW w:w="5670" w:type="dxa"/>
          </w:tcPr>
          <w:p w14:paraId="7B7D6B1D" w14:textId="7F7004DD" w:rsidR="00CD2931" w:rsidRDefault="00CD2931" w:rsidP="00B07C2F">
            <w:pPr>
              <w:rPr>
                <w:rFonts w:ascii="Arial" w:hAnsi="Arial" w:cs="Arial"/>
                <w:sz w:val="22"/>
                <w:szCs w:val="22"/>
              </w:rPr>
            </w:pPr>
            <w:r w:rsidRPr="00CD2931">
              <w:rPr>
                <w:rFonts w:ascii="Arial" w:hAnsi="Arial" w:cs="Arial"/>
                <w:sz w:val="22"/>
                <w:szCs w:val="22"/>
              </w:rPr>
              <w:t>For this assessment, you can use Generative AI to create text for submission.</w:t>
            </w:r>
          </w:p>
        </w:tc>
        <w:tc>
          <w:tcPr>
            <w:tcW w:w="1224" w:type="dxa"/>
          </w:tcPr>
          <w:p w14:paraId="0A39F82D" w14:textId="77777777" w:rsidR="00B07C2F" w:rsidRDefault="00B07C2F" w:rsidP="00B07C2F">
            <w:pPr>
              <w:rPr>
                <w:rFonts w:ascii="Arial" w:hAnsi="Arial" w:cs="Arial"/>
                <w:sz w:val="22"/>
                <w:szCs w:val="22"/>
              </w:rPr>
            </w:pPr>
            <w:r w:rsidRPr="00B07C2F">
              <w:rPr>
                <w:rFonts w:ascii="Arial" w:hAnsi="Arial" w:cs="Arial"/>
                <w:sz w:val="22"/>
                <w:szCs w:val="22"/>
              </w:rPr>
              <w:t xml:space="preserve">Yes </w:t>
            </w:r>
            <w:r w:rsidRPr="00B07C2F">
              <w:rPr>
                <w:rFonts w:ascii="Segoe UI Symbol" w:hAnsi="Segoe UI Symbol" w:cs="Segoe UI Symbol"/>
                <w:sz w:val="22"/>
                <w:szCs w:val="22"/>
              </w:rPr>
              <w:t>☐</w:t>
            </w:r>
            <w:r w:rsidRPr="00B07C2F">
              <w:rPr>
                <w:rFonts w:ascii="Arial" w:hAnsi="Arial" w:cs="Arial"/>
                <w:sz w:val="22"/>
                <w:szCs w:val="22"/>
              </w:rPr>
              <w:t xml:space="preserve"> </w:t>
            </w:r>
          </w:p>
          <w:p w14:paraId="4461347D" w14:textId="77777777" w:rsidR="00B07C2F" w:rsidRDefault="00B07C2F" w:rsidP="00B07C2F">
            <w:pPr>
              <w:rPr>
                <w:rFonts w:ascii="Arial" w:hAnsi="Arial" w:cs="Arial"/>
                <w:sz w:val="22"/>
                <w:szCs w:val="22"/>
              </w:rPr>
            </w:pPr>
          </w:p>
          <w:p w14:paraId="158344DA" w14:textId="1CE2D063" w:rsidR="00CD2931" w:rsidRDefault="00B07C2F" w:rsidP="00B07C2F">
            <w:pPr>
              <w:rPr>
                <w:rFonts w:ascii="Arial" w:hAnsi="Arial" w:cs="Arial"/>
                <w:sz w:val="22"/>
                <w:szCs w:val="22"/>
              </w:rPr>
            </w:pPr>
            <w:r w:rsidRPr="00B07C2F">
              <w:rPr>
                <w:rFonts w:ascii="Arial" w:hAnsi="Arial" w:cs="Arial"/>
                <w:sz w:val="22"/>
                <w:szCs w:val="22"/>
              </w:rPr>
              <w:t xml:space="preserve">No </w:t>
            </w:r>
            <w:r w:rsidRPr="00B07C2F">
              <w:rPr>
                <w:rFonts w:ascii="Segoe UI Symbol" w:hAnsi="Segoe UI Symbol" w:cs="Segoe UI Symbol"/>
                <w:sz w:val="22"/>
                <w:szCs w:val="22"/>
              </w:rPr>
              <w:t>☒</w:t>
            </w:r>
          </w:p>
        </w:tc>
      </w:tr>
      <w:tr w:rsidR="00CD2931" w14:paraId="0F64C658" w14:textId="77777777" w:rsidTr="00B07C2F">
        <w:tc>
          <w:tcPr>
            <w:tcW w:w="2122" w:type="dxa"/>
          </w:tcPr>
          <w:p w14:paraId="5B4DE0B7" w14:textId="77777777" w:rsidR="00B07C2F" w:rsidRDefault="00B07C2F" w:rsidP="00B07C2F">
            <w:pPr>
              <w:rPr>
                <w:rFonts w:ascii="Arial" w:hAnsi="Arial" w:cs="Arial"/>
                <w:sz w:val="22"/>
                <w:szCs w:val="22"/>
              </w:rPr>
            </w:pPr>
          </w:p>
          <w:p w14:paraId="3477ED43" w14:textId="77777777" w:rsidR="00CD2931" w:rsidRDefault="00B07C2F" w:rsidP="00B07C2F">
            <w:pPr>
              <w:rPr>
                <w:rFonts w:ascii="Arial" w:hAnsi="Arial" w:cs="Arial"/>
                <w:sz w:val="22"/>
                <w:szCs w:val="22"/>
              </w:rPr>
            </w:pPr>
            <w:r w:rsidRPr="00B07C2F">
              <w:rPr>
                <w:rFonts w:ascii="Arial" w:hAnsi="Arial" w:cs="Arial"/>
                <w:sz w:val="22"/>
                <w:szCs w:val="22"/>
              </w:rPr>
              <w:t>CREATIVE</w:t>
            </w:r>
          </w:p>
          <w:p w14:paraId="432CFBE0" w14:textId="4A69E39D" w:rsidR="00B07C2F" w:rsidRDefault="00B07C2F" w:rsidP="00B07C2F">
            <w:pPr>
              <w:rPr>
                <w:rFonts w:ascii="Arial" w:hAnsi="Arial" w:cs="Arial"/>
                <w:sz w:val="22"/>
                <w:szCs w:val="22"/>
              </w:rPr>
            </w:pPr>
          </w:p>
        </w:tc>
        <w:tc>
          <w:tcPr>
            <w:tcW w:w="5670" w:type="dxa"/>
          </w:tcPr>
          <w:p w14:paraId="2FC7A18F" w14:textId="14616DE2" w:rsidR="00CD2931" w:rsidRDefault="00B07C2F" w:rsidP="00B07C2F">
            <w:pPr>
              <w:rPr>
                <w:rFonts w:ascii="Arial" w:hAnsi="Arial" w:cs="Arial"/>
                <w:sz w:val="22"/>
                <w:szCs w:val="22"/>
              </w:rPr>
            </w:pPr>
            <w:r w:rsidRPr="00B07C2F">
              <w:rPr>
                <w:rFonts w:ascii="Arial" w:hAnsi="Arial" w:cs="Arial"/>
                <w:sz w:val="22"/>
                <w:szCs w:val="22"/>
              </w:rPr>
              <w:t>For this assessment, you can use Generative AI to create creative materials, such as images.</w:t>
            </w:r>
          </w:p>
        </w:tc>
        <w:tc>
          <w:tcPr>
            <w:tcW w:w="1224" w:type="dxa"/>
          </w:tcPr>
          <w:p w14:paraId="5BC5C9AD" w14:textId="77777777" w:rsidR="00B07C2F" w:rsidRDefault="00B07C2F" w:rsidP="00B07C2F">
            <w:pPr>
              <w:rPr>
                <w:rFonts w:ascii="Segoe UI Symbol" w:hAnsi="Segoe UI Symbol" w:cs="Segoe UI Symbol"/>
                <w:sz w:val="22"/>
                <w:szCs w:val="22"/>
              </w:rPr>
            </w:pPr>
            <w:r w:rsidRPr="00B07C2F">
              <w:rPr>
                <w:rFonts w:ascii="Arial" w:hAnsi="Arial" w:cs="Arial"/>
                <w:sz w:val="22"/>
                <w:szCs w:val="22"/>
              </w:rPr>
              <w:t xml:space="preserve">Yes </w:t>
            </w:r>
            <w:r w:rsidRPr="00B07C2F">
              <w:rPr>
                <w:rFonts w:ascii="Segoe UI Symbol" w:hAnsi="Segoe UI Symbol" w:cs="Segoe UI Symbol"/>
                <w:sz w:val="22"/>
                <w:szCs w:val="22"/>
              </w:rPr>
              <w:t>☐</w:t>
            </w:r>
          </w:p>
          <w:p w14:paraId="0DF1D7D9" w14:textId="77777777" w:rsidR="00B07C2F" w:rsidRDefault="00B07C2F" w:rsidP="00B07C2F">
            <w:pPr>
              <w:rPr>
                <w:rFonts w:ascii="Arial" w:hAnsi="Arial" w:cs="Arial"/>
                <w:sz w:val="22"/>
                <w:szCs w:val="22"/>
              </w:rPr>
            </w:pPr>
          </w:p>
          <w:p w14:paraId="188DB4FB" w14:textId="11F24C0B" w:rsidR="00CD2931" w:rsidRDefault="00B07C2F" w:rsidP="00B07C2F">
            <w:pPr>
              <w:rPr>
                <w:rFonts w:ascii="Arial" w:hAnsi="Arial" w:cs="Arial"/>
                <w:sz w:val="22"/>
                <w:szCs w:val="22"/>
              </w:rPr>
            </w:pPr>
            <w:r w:rsidRPr="00B07C2F">
              <w:rPr>
                <w:rFonts w:ascii="Arial" w:hAnsi="Arial" w:cs="Arial"/>
                <w:sz w:val="22"/>
                <w:szCs w:val="22"/>
              </w:rPr>
              <w:t xml:space="preserve">No </w:t>
            </w:r>
            <w:r w:rsidRPr="00B07C2F">
              <w:rPr>
                <w:rFonts w:ascii="Segoe UI Symbol" w:hAnsi="Segoe UI Symbol" w:cs="Segoe UI Symbol"/>
                <w:sz w:val="22"/>
                <w:szCs w:val="22"/>
              </w:rPr>
              <w:t>☒</w:t>
            </w:r>
          </w:p>
        </w:tc>
      </w:tr>
      <w:tr w:rsidR="00CD2931" w14:paraId="142256C2" w14:textId="77777777" w:rsidTr="00B07C2F">
        <w:tc>
          <w:tcPr>
            <w:tcW w:w="2122" w:type="dxa"/>
          </w:tcPr>
          <w:p w14:paraId="0DDF31E5" w14:textId="77777777" w:rsidR="00B07C2F" w:rsidRDefault="00B07C2F" w:rsidP="00B07C2F">
            <w:pPr>
              <w:rPr>
                <w:rFonts w:ascii="Arial" w:hAnsi="Arial" w:cs="Arial"/>
                <w:sz w:val="22"/>
                <w:szCs w:val="22"/>
              </w:rPr>
            </w:pPr>
          </w:p>
          <w:p w14:paraId="2819EA8C" w14:textId="7A28E4D1" w:rsidR="00CD2931" w:rsidRDefault="00B07C2F" w:rsidP="00B07C2F">
            <w:pPr>
              <w:rPr>
                <w:rFonts w:ascii="Arial" w:hAnsi="Arial" w:cs="Arial"/>
                <w:sz w:val="22"/>
                <w:szCs w:val="22"/>
              </w:rPr>
            </w:pPr>
            <w:r w:rsidRPr="00B07C2F">
              <w:rPr>
                <w:rFonts w:ascii="Arial" w:hAnsi="Arial" w:cs="Arial"/>
                <w:sz w:val="22"/>
                <w:szCs w:val="22"/>
              </w:rPr>
              <w:t>PROGRAMING</w:t>
            </w:r>
          </w:p>
        </w:tc>
        <w:tc>
          <w:tcPr>
            <w:tcW w:w="5670" w:type="dxa"/>
          </w:tcPr>
          <w:p w14:paraId="0547C8C4" w14:textId="3AD611FC" w:rsidR="00CD2931" w:rsidRDefault="00B07C2F" w:rsidP="00B07C2F">
            <w:pPr>
              <w:rPr>
                <w:rFonts w:ascii="Arial" w:hAnsi="Arial" w:cs="Arial"/>
                <w:sz w:val="22"/>
                <w:szCs w:val="22"/>
              </w:rPr>
            </w:pPr>
            <w:r w:rsidRPr="00B07C2F">
              <w:rPr>
                <w:rFonts w:ascii="Arial" w:hAnsi="Arial" w:cs="Arial"/>
                <w:sz w:val="22"/>
                <w:szCs w:val="22"/>
              </w:rPr>
              <w:t>For this assessment, you can use Generative AI to create and check code.</w:t>
            </w:r>
          </w:p>
        </w:tc>
        <w:tc>
          <w:tcPr>
            <w:tcW w:w="1224" w:type="dxa"/>
          </w:tcPr>
          <w:p w14:paraId="4B37B2F4" w14:textId="77777777" w:rsidR="00B07C2F" w:rsidRDefault="00B07C2F" w:rsidP="00B07C2F">
            <w:pPr>
              <w:rPr>
                <w:rFonts w:ascii="Arial" w:hAnsi="Arial" w:cs="Arial"/>
                <w:sz w:val="22"/>
                <w:szCs w:val="22"/>
              </w:rPr>
            </w:pPr>
            <w:r w:rsidRPr="00B07C2F">
              <w:rPr>
                <w:rFonts w:ascii="Arial" w:hAnsi="Arial" w:cs="Arial"/>
                <w:sz w:val="22"/>
                <w:szCs w:val="22"/>
              </w:rPr>
              <w:t xml:space="preserve">Yes </w:t>
            </w:r>
            <w:r w:rsidRPr="00B07C2F">
              <w:rPr>
                <w:rFonts w:ascii="Segoe UI Symbol" w:hAnsi="Segoe UI Symbol" w:cs="Segoe UI Symbol"/>
                <w:sz w:val="22"/>
                <w:szCs w:val="22"/>
              </w:rPr>
              <w:t>☐</w:t>
            </w:r>
            <w:r w:rsidRPr="00B07C2F">
              <w:rPr>
                <w:rFonts w:ascii="Arial" w:hAnsi="Arial" w:cs="Arial"/>
                <w:sz w:val="22"/>
                <w:szCs w:val="22"/>
              </w:rPr>
              <w:t xml:space="preserve"> </w:t>
            </w:r>
          </w:p>
          <w:p w14:paraId="4C808987" w14:textId="77777777" w:rsidR="00B07C2F" w:rsidRDefault="00B07C2F" w:rsidP="00B07C2F">
            <w:pPr>
              <w:rPr>
                <w:rFonts w:ascii="Arial" w:hAnsi="Arial" w:cs="Arial"/>
                <w:sz w:val="22"/>
                <w:szCs w:val="22"/>
              </w:rPr>
            </w:pPr>
          </w:p>
          <w:p w14:paraId="2DEDBAC1" w14:textId="32D9117C" w:rsidR="00CD2931" w:rsidRDefault="00B07C2F" w:rsidP="00B07C2F">
            <w:pPr>
              <w:rPr>
                <w:rFonts w:ascii="Arial" w:hAnsi="Arial" w:cs="Arial"/>
                <w:sz w:val="22"/>
                <w:szCs w:val="22"/>
              </w:rPr>
            </w:pPr>
            <w:r w:rsidRPr="00B07C2F">
              <w:rPr>
                <w:rFonts w:ascii="Arial" w:hAnsi="Arial" w:cs="Arial"/>
                <w:sz w:val="22"/>
                <w:szCs w:val="22"/>
              </w:rPr>
              <w:t xml:space="preserve">No </w:t>
            </w:r>
            <w:r w:rsidRPr="00B07C2F">
              <w:rPr>
                <w:rFonts w:ascii="Segoe UI Symbol" w:hAnsi="Segoe UI Symbol" w:cs="Segoe UI Symbol"/>
                <w:sz w:val="22"/>
                <w:szCs w:val="22"/>
              </w:rPr>
              <w:t>☒</w:t>
            </w:r>
          </w:p>
        </w:tc>
      </w:tr>
    </w:tbl>
    <w:p w14:paraId="13CA410A" w14:textId="51BED69E" w:rsidR="00CD2931" w:rsidRPr="00B07C2F" w:rsidRDefault="00B07C2F" w:rsidP="00B07C2F">
      <w:pPr>
        <w:jc w:val="center"/>
        <w:rPr>
          <w:rFonts w:ascii="Arial" w:hAnsi="Arial" w:cs="Arial"/>
          <w:sz w:val="40"/>
          <w:szCs w:val="40"/>
        </w:rPr>
      </w:pPr>
      <w:r w:rsidRPr="00B07C2F">
        <w:rPr>
          <w:rFonts w:ascii="Arial" w:hAnsi="Arial" w:cs="Arial"/>
          <w:sz w:val="40"/>
          <w:szCs w:val="40"/>
        </w:rPr>
        <w:t>Declaration of Generative AI</w:t>
      </w:r>
      <w:r w:rsidR="00CD2931" w:rsidRPr="00B07C2F">
        <w:rPr>
          <w:rFonts w:ascii="Arial" w:hAnsi="Arial" w:cs="Arial"/>
          <w:sz w:val="40"/>
          <w:szCs w:val="40"/>
        </w:rPr>
        <w:br w:type="page"/>
      </w:r>
    </w:p>
    <w:sdt>
      <w:sdtPr>
        <w:rPr>
          <w:rFonts w:ascii="Arial" w:eastAsiaTheme="minorHAnsi" w:hAnsi="Arial" w:cs="Arial"/>
          <w:color w:val="auto"/>
          <w:kern w:val="2"/>
          <w:sz w:val="22"/>
          <w:szCs w:val="22"/>
          <w:lang w:val="en-GB"/>
          <w14:ligatures w14:val="standardContextual"/>
        </w:rPr>
        <w:id w:val="-300158821"/>
        <w:docPartObj>
          <w:docPartGallery w:val="Table of Contents"/>
          <w:docPartUnique/>
        </w:docPartObj>
      </w:sdtPr>
      <w:sdtEndPr>
        <w:rPr>
          <w:b/>
          <w:bCs/>
          <w:noProof/>
        </w:rPr>
      </w:sdtEndPr>
      <w:sdtContent>
        <w:p w14:paraId="50A41799" w14:textId="561F8F53" w:rsidR="00754C28" w:rsidRPr="00CD2931" w:rsidRDefault="00754C28">
          <w:pPr>
            <w:pStyle w:val="TOCHeading"/>
            <w:rPr>
              <w:rFonts w:ascii="Arial" w:eastAsiaTheme="minorHAnsi" w:hAnsi="Arial" w:cs="Arial"/>
              <w:color w:val="auto"/>
              <w:kern w:val="2"/>
              <w:sz w:val="22"/>
              <w:szCs w:val="22"/>
              <w:lang w:val="en-GB"/>
              <w14:ligatures w14:val="standardContextual"/>
            </w:rPr>
          </w:pPr>
          <w:r w:rsidRPr="00754C28">
            <w:rPr>
              <w:rFonts w:ascii="Arial" w:hAnsi="Arial" w:cs="Arial"/>
              <w:sz w:val="22"/>
              <w:szCs w:val="22"/>
            </w:rPr>
            <w:t>Contents</w:t>
          </w:r>
        </w:p>
        <w:p w14:paraId="653EEB08" w14:textId="2AAD2A5B" w:rsidR="00754C28" w:rsidRPr="00754C28" w:rsidRDefault="00754C28">
          <w:pPr>
            <w:pStyle w:val="TOC1"/>
            <w:tabs>
              <w:tab w:val="right" w:leader="dot" w:pos="9016"/>
            </w:tabs>
            <w:rPr>
              <w:rFonts w:ascii="Arial" w:eastAsiaTheme="minorEastAsia" w:hAnsi="Arial" w:cs="Arial"/>
              <w:noProof/>
              <w:sz w:val="22"/>
              <w:szCs w:val="22"/>
              <w:lang w:eastAsia="en-GB"/>
            </w:rPr>
          </w:pPr>
          <w:r w:rsidRPr="00754C28">
            <w:rPr>
              <w:rFonts w:ascii="Arial" w:hAnsi="Arial" w:cs="Arial"/>
              <w:sz w:val="22"/>
              <w:szCs w:val="22"/>
            </w:rPr>
            <w:fldChar w:fldCharType="begin"/>
          </w:r>
          <w:r w:rsidRPr="00754C28">
            <w:rPr>
              <w:rFonts w:ascii="Arial" w:hAnsi="Arial" w:cs="Arial"/>
              <w:sz w:val="22"/>
              <w:szCs w:val="22"/>
            </w:rPr>
            <w:instrText xml:space="preserve"> TOC \o "1-3" \h \z \u </w:instrText>
          </w:r>
          <w:r w:rsidRPr="00754C28">
            <w:rPr>
              <w:rFonts w:ascii="Arial" w:hAnsi="Arial" w:cs="Arial"/>
              <w:sz w:val="22"/>
              <w:szCs w:val="22"/>
            </w:rPr>
            <w:fldChar w:fldCharType="separate"/>
          </w:r>
          <w:hyperlink w:anchor="_Toc215334791" w:history="1">
            <w:r w:rsidRPr="00754C28">
              <w:rPr>
                <w:rStyle w:val="Hyperlink"/>
                <w:rFonts w:ascii="Arial" w:hAnsi="Arial" w:cs="Arial"/>
                <w:noProof/>
                <w:sz w:val="22"/>
                <w:szCs w:val="22"/>
              </w:rPr>
              <w:t>Executive Summary</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_Toc215334791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3</w:t>
            </w:r>
            <w:r w:rsidRPr="00754C28">
              <w:rPr>
                <w:rFonts w:ascii="Arial" w:hAnsi="Arial" w:cs="Arial"/>
                <w:noProof/>
                <w:webHidden/>
                <w:sz w:val="22"/>
                <w:szCs w:val="22"/>
              </w:rPr>
              <w:fldChar w:fldCharType="end"/>
            </w:r>
          </w:hyperlink>
        </w:p>
        <w:p w14:paraId="39CB8825" w14:textId="10768304"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792" w:history="1">
            <w:r w:rsidRPr="00754C28">
              <w:rPr>
                <w:rStyle w:val="Hyperlink"/>
                <w:rFonts w:ascii="Arial" w:hAnsi="Arial" w:cs="Arial"/>
                <w:noProof/>
                <w:sz w:val="22"/>
                <w:szCs w:val="22"/>
              </w:rPr>
              <w:t>Introduction</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_Toc215334792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3</w:t>
            </w:r>
            <w:r w:rsidRPr="00754C28">
              <w:rPr>
                <w:rFonts w:ascii="Arial" w:hAnsi="Arial" w:cs="Arial"/>
                <w:noProof/>
                <w:webHidden/>
                <w:sz w:val="22"/>
                <w:szCs w:val="22"/>
              </w:rPr>
              <w:fldChar w:fldCharType="end"/>
            </w:r>
          </w:hyperlink>
        </w:p>
        <w:p w14:paraId="5032BF0B" w14:textId="1380B712"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793" w:history="1">
            <w:r w:rsidRPr="00754C28">
              <w:rPr>
                <w:rStyle w:val="Hyperlink"/>
                <w:rFonts w:ascii="Arial" w:hAnsi="Arial" w:cs="Arial"/>
                <w:noProof/>
                <w:sz w:val="22"/>
                <w:szCs w:val="22"/>
              </w:rPr>
              <w:t>Environmental and Historical Analysis</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_Toc215334793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5</w:t>
            </w:r>
            <w:r w:rsidRPr="00754C28">
              <w:rPr>
                <w:rFonts w:ascii="Arial" w:hAnsi="Arial" w:cs="Arial"/>
                <w:noProof/>
                <w:webHidden/>
                <w:sz w:val="22"/>
                <w:szCs w:val="22"/>
              </w:rPr>
              <w:fldChar w:fldCharType="end"/>
            </w:r>
          </w:hyperlink>
        </w:p>
        <w:p w14:paraId="45D7ED66" w14:textId="1CD99B40"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794" w:history="1">
            <w:r w:rsidRPr="00754C28">
              <w:rPr>
                <w:rStyle w:val="Hyperlink"/>
                <w:rFonts w:ascii="Arial" w:hAnsi="Arial" w:cs="Arial"/>
                <w:noProof/>
                <w:sz w:val="22"/>
                <w:szCs w:val="22"/>
              </w:rPr>
              <w:t>Recent History of Change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_Toc215334794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5</w:t>
            </w:r>
            <w:r w:rsidRPr="00754C28">
              <w:rPr>
                <w:rFonts w:ascii="Arial" w:hAnsi="Arial" w:cs="Arial"/>
                <w:noProof/>
                <w:webHidden/>
                <w:sz w:val="22"/>
                <w:szCs w:val="22"/>
              </w:rPr>
              <w:fldChar w:fldCharType="end"/>
            </w:r>
          </w:hyperlink>
        </w:p>
        <w:p w14:paraId="07BB4B2F" w14:textId="38A0770A"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795" w:history="1">
            <w:r w:rsidRPr="00754C28">
              <w:rPr>
                <w:rStyle w:val="Hyperlink"/>
                <w:rFonts w:ascii="Arial" w:hAnsi="Arial" w:cs="Arial"/>
                <w:noProof/>
                <w:sz w:val="22"/>
                <w:szCs w:val="22"/>
              </w:rPr>
              <w:t>External Environment</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_Toc215334795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6</w:t>
            </w:r>
            <w:r w:rsidRPr="00754C28">
              <w:rPr>
                <w:rFonts w:ascii="Arial" w:hAnsi="Arial" w:cs="Arial"/>
                <w:noProof/>
                <w:webHidden/>
                <w:sz w:val="22"/>
                <w:szCs w:val="22"/>
              </w:rPr>
              <w:fldChar w:fldCharType="end"/>
            </w:r>
          </w:hyperlink>
        </w:p>
        <w:p w14:paraId="373FF77B" w14:textId="461EE63E"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796" w:history="1">
            <w:r w:rsidRPr="00754C28">
              <w:rPr>
                <w:rStyle w:val="Hyperlink"/>
                <w:rFonts w:ascii="Arial" w:hAnsi="Arial" w:cs="Arial"/>
                <w:noProof/>
                <w:sz w:val="22"/>
                <w:szCs w:val="22"/>
              </w:rPr>
              <w:t>Porter’s Five Forces Analysis of Gymshark Ltd.</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_Toc215334796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6</w:t>
            </w:r>
            <w:r w:rsidRPr="00754C28">
              <w:rPr>
                <w:rFonts w:ascii="Arial" w:hAnsi="Arial" w:cs="Arial"/>
                <w:noProof/>
                <w:webHidden/>
                <w:sz w:val="22"/>
                <w:szCs w:val="22"/>
              </w:rPr>
              <w:fldChar w:fldCharType="end"/>
            </w:r>
          </w:hyperlink>
        </w:p>
        <w:p w14:paraId="2C06065F" w14:textId="344C22EC"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797" w:history="1">
            <w:r w:rsidRPr="00754C28">
              <w:rPr>
                <w:rStyle w:val="Hyperlink"/>
                <w:rFonts w:ascii="Arial" w:hAnsi="Arial" w:cs="Arial"/>
                <w:noProof/>
                <w:sz w:val="22"/>
                <w:szCs w:val="22"/>
              </w:rPr>
              <w:t>PESTLE Analysis</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_Toc215334797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8</w:t>
            </w:r>
            <w:r w:rsidRPr="00754C28">
              <w:rPr>
                <w:rFonts w:ascii="Arial" w:hAnsi="Arial" w:cs="Arial"/>
                <w:noProof/>
                <w:webHidden/>
                <w:sz w:val="22"/>
                <w:szCs w:val="22"/>
              </w:rPr>
              <w:fldChar w:fldCharType="end"/>
            </w:r>
          </w:hyperlink>
        </w:p>
        <w:p w14:paraId="7E2F386F" w14:textId="461C0CCD"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798" w:history="1">
            <w:r w:rsidRPr="00754C28">
              <w:rPr>
                <w:rStyle w:val="Hyperlink"/>
                <w:rFonts w:ascii="Arial" w:hAnsi="Arial" w:cs="Arial"/>
                <w:noProof/>
                <w:sz w:val="22"/>
                <w:szCs w:val="22"/>
              </w:rPr>
              <w:t>Internal Environment</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_Toc215334798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10</w:t>
            </w:r>
            <w:r w:rsidRPr="00754C28">
              <w:rPr>
                <w:rFonts w:ascii="Arial" w:hAnsi="Arial" w:cs="Arial"/>
                <w:noProof/>
                <w:webHidden/>
                <w:sz w:val="22"/>
                <w:szCs w:val="22"/>
              </w:rPr>
              <w:fldChar w:fldCharType="end"/>
            </w:r>
          </w:hyperlink>
        </w:p>
        <w:p w14:paraId="7494F6ED" w14:textId="2407A0EE"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799" w:history="1">
            <w:r w:rsidRPr="00754C28">
              <w:rPr>
                <w:rStyle w:val="Hyperlink"/>
                <w:rFonts w:ascii="Arial" w:hAnsi="Arial" w:cs="Arial"/>
                <w:noProof/>
                <w:sz w:val="22"/>
                <w:szCs w:val="22"/>
              </w:rPr>
              <w:t>SWOT Analysis</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_Toc215334799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10</w:t>
            </w:r>
            <w:r w:rsidRPr="00754C28">
              <w:rPr>
                <w:rFonts w:ascii="Arial" w:hAnsi="Arial" w:cs="Arial"/>
                <w:noProof/>
                <w:webHidden/>
                <w:sz w:val="22"/>
                <w:szCs w:val="22"/>
              </w:rPr>
              <w:fldChar w:fldCharType="end"/>
            </w:r>
          </w:hyperlink>
        </w:p>
        <w:p w14:paraId="11D1E500" w14:textId="770316F5"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00" w:history="1">
            <w:r w:rsidRPr="00754C28">
              <w:rPr>
                <w:rStyle w:val="Hyperlink"/>
                <w:rFonts w:ascii="Arial" w:hAnsi="Arial" w:cs="Arial"/>
                <w:noProof/>
                <w:sz w:val="22"/>
                <w:szCs w:val="22"/>
              </w:rPr>
              <w:t>Triggers for Change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_Toc215334800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11</w:t>
            </w:r>
            <w:r w:rsidRPr="00754C28">
              <w:rPr>
                <w:rFonts w:ascii="Arial" w:hAnsi="Arial" w:cs="Arial"/>
                <w:noProof/>
                <w:webHidden/>
                <w:sz w:val="22"/>
                <w:szCs w:val="22"/>
              </w:rPr>
              <w:fldChar w:fldCharType="end"/>
            </w:r>
          </w:hyperlink>
        </w:p>
        <w:p w14:paraId="3C4AF110" w14:textId="7DED5B89"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01" w:history="1">
            <w:r w:rsidRPr="00754C28">
              <w:rPr>
                <w:rStyle w:val="Hyperlink"/>
                <w:rFonts w:ascii="Arial" w:hAnsi="Arial" w:cs="Arial"/>
                <w:noProof/>
                <w:sz w:val="22"/>
                <w:szCs w:val="22"/>
              </w:rPr>
              <w:t>Evaluation of Change Management Models</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_Toc215334801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12</w:t>
            </w:r>
            <w:r w:rsidRPr="00754C28">
              <w:rPr>
                <w:rFonts w:ascii="Arial" w:hAnsi="Arial" w:cs="Arial"/>
                <w:noProof/>
                <w:webHidden/>
                <w:sz w:val="22"/>
                <w:szCs w:val="22"/>
              </w:rPr>
              <w:fldChar w:fldCharType="end"/>
            </w:r>
          </w:hyperlink>
        </w:p>
        <w:p w14:paraId="220ED844" w14:textId="6F5A929F"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2" w:history="1">
            <w:r w:rsidRPr="00754C28">
              <w:rPr>
                <w:rStyle w:val="Hyperlink"/>
                <w:rFonts w:ascii="Arial" w:hAnsi="Arial" w:cs="Arial"/>
                <w:noProof/>
                <w:sz w:val="22"/>
                <w:szCs w:val="22"/>
              </w:rPr>
              <w:t>Lewin’s Three-Step Model (Unfreeze–Change–Refreeze)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_Toc215334802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12</w:t>
            </w:r>
            <w:r w:rsidRPr="00754C28">
              <w:rPr>
                <w:rFonts w:ascii="Arial" w:hAnsi="Arial" w:cs="Arial"/>
                <w:noProof/>
                <w:webHidden/>
                <w:sz w:val="22"/>
                <w:szCs w:val="22"/>
              </w:rPr>
              <w:fldChar w:fldCharType="end"/>
            </w:r>
          </w:hyperlink>
        </w:p>
        <w:p w14:paraId="2E8B804C" w14:textId="250DE99F"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3" w:history="1">
            <w:r w:rsidRPr="00754C28">
              <w:rPr>
                <w:rStyle w:val="Hyperlink"/>
                <w:rFonts w:ascii="Arial" w:hAnsi="Arial" w:cs="Arial"/>
                <w:noProof/>
                <w:sz w:val="22"/>
                <w:szCs w:val="22"/>
              </w:rPr>
              <w:t>Kotter’s 8-Step Model (More suitable for Gymshark)</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_Toc215334803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13</w:t>
            </w:r>
            <w:r w:rsidRPr="00754C28">
              <w:rPr>
                <w:rFonts w:ascii="Arial" w:hAnsi="Arial" w:cs="Arial"/>
                <w:noProof/>
                <w:webHidden/>
                <w:sz w:val="22"/>
                <w:szCs w:val="22"/>
              </w:rPr>
              <w:fldChar w:fldCharType="end"/>
            </w:r>
          </w:hyperlink>
        </w:p>
        <w:p w14:paraId="38C5A40C" w14:textId="180B1530"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4" w:history="1">
            <w:r w:rsidRPr="00754C28">
              <w:rPr>
                <w:rStyle w:val="Hyperlink"/>
                <w:rFonts w:ascii="Arial" w:hAnsi="Arial" w:cs="Arial"/>
                <w:noProof/>
                <w:sz w:val="22"/>
                <w:szCs w:val="22"/>
              </w:rPr>
              <w:t>Application of Agile Change Management</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_Toc215334804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14</w:t>
            </w:r>
            <w:r w:rsidRPr="00754C28">
              <w:rPr>
                <w:rFonts w:ascii="Arial" w:hAnsi="Arial" w:cs="Arial"/>
                <w:noProof/>
                <w:webHidden/>
                <w:sz w:val="22"/>
                <w:szCs w:val="22"/>
              </w:rPr>
              <w:fldChar w:fldCharType="end"/>
            </w:r>
          </w:hyperlink>
        </w:p>
        <w:p w14:paraId="1133424B" w14:textId="22ECFBC9"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05" w:history="1">
            <w:r w:rsidRPr="00754C28">
              <w:rPr>
                <w:rStyle w:val="Hyperlink"/>
                <w:rFonts w:ascii="Arial" w:hAnsi="Arial" w:cs="Arial"/>
                <w:noProof/>
                <w:sz w:val="22"/>
                <w:szCs w:val="22"/>
              </w:rPr>
              <w:t>Leadership and Organisational Culture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_Toc215334805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14</w:t>
            </w:r>
            <w:r w:rsidRPr="00754C28">
              <w:rPr>
                <w:rFonts w:ascii="Arial" w:hAnsi="Arial" w:cs="Arial"/>
                <w:noProof/>
                <w:webHidden/>
                <w:sz w:val="22"/>
                <w:szCs w:val="22"/>
              </w:rPr>
              <w:fldChar w:fldCharType="end"/>
            </w:r>
          </w:hyperlink>
        </w:p>
        <w:p w14:paraId="7682FA3B" w14:textId="7D3F9F87"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6" w:history="1">
            <w:r w:rsidRPr="00754C28">
              <w:rPr>
                <w:rStyle w:val="Hyperlink"/>
                <w:rFonts w:ascii="Arial" w:hAnsi="Arial" w:cs="Arial"/>
                <w:noProof/>
                <w:sz w:val="22"/>
                <w:szCs w:val="22"/>
              </w:rPr>
              <w:t>Leadership Role and Style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_Toc215334806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14</w:t>
            </w:r>
            <w:r w:rsidRPr="00754C28">
              <w:rPr>
                <w:rFonts w:ascii="Arial" w:hAnsi="Arial" w:cs="Arial"/>
                <w:noProof/>
                <w:webHidden/>
                <w:sz w:val="22"/>
                <w:szCs w:val="22"/>
              </w:rPr>
              <w:fldChar w:fldCharType="end"/>
            </w:r>
          </w:hyperlink>
        </w:p>
        <w:p w14:paraId="19C6921C" w14:textId="53479F65"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7" w:history="1">
            <w:r w:rsidRPr="00754C28">
              <w:rPr>
                <w:rStyle w:val="Hyperlink"/>
                <w:rFonts w:ascii="Arial" w:hAnsi="Arial" w:cs="Arial"/>
                <w:noProof/>
                <w:sz w:val="22"/>
                <w:szCs w:val="22"/>
              </w:rPr>
              <w:t>The Role of Leadership in Managing Change</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_Toc215334807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15</w:t>
            </w:r>
            <w:r w:rsidRPr="00754C28">
              <w:rPr>
                <w:rFonts w:ascii="Arial" w:hAnsi="Arial" w:cs="Arial"/>
                <w:noProof/>
                <w:webHidden/>
                <w:sz w:val="22"/>
                <w:szCs w:val="22"/>
              </w:rPr>
              <w:fldChar w:fldCharType="end"/>
            </w:r>
          </w:hyperlink>
        </w:p>
        <w:p w14:paraId="71E00C91" w14:textId="00C2B10A" w:rsidR="00754C28" w:rsidRPr="00754C28" w:rsidRDefault="00754C28">
          <w:pPr>
            <w:pStyle w:val="TOC2"/>
            <w:tabs>
              <w:tab w:val="right" w:leader="dot" w:pos="9016"/>
            </w:tabs>
            <w:rPr>
              <w:rFonts w:ascii="Arial" w:eastAsiaTheme="minorEastAsia" w:hAnsi="Arial" w:cs="Arial"/>
              <w:noProof/>
              <w:sz w:val="22"/>
              <w:szCs w:val="22"/>
              <w:lang w:eastAsia="en-GB"/>
            </w:rPr>
          </w:pPr>
          <w:hyperlink w:anchor="_Toc215334808" w:history="1">
            <w:r w:rsidRPr="00754C28">
              <w:rPr>
                <w:rStyle w:val="Hyperlink"/>
                <w:rFonts w:ascii="Arial" w:hAnsi="Arial" w:cs="Arial"/>
                <w:noProof/>
                <w:sz w:val="22"/>
                <w:szCs w:val="22"/>
              </w:rPr>
              <w:t>Organisational Culture and its Impact</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_Toc215334808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15</w:t>
            </w:r>
            <w:r w:rsidRPr="00754C28">
              <w:rPr>
                <w:rFonts w:ascii="Arial" w:hAnsi="Arial" w:cs="Arial"/>
                <w:noProof/>
                <w:webHidden/>
                <w:sz w:val="22"/>
                <w:szCs w:val="22"/>
              </w:rPr>
              <w:fldChar w:fldCharType="end"/>
            </w:r>
          </w:hyperlink>
        </w:p>
        <w:p w14:paraId="3B4F130F" w14:textId="6E305109"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09" w:history="1">
            <w:r w:rsidRPr="00754C28">
              <w:rPr>
                <w:rStyle w:val="Hyperlink"/>
                <w:rFonts w:ascii="Arial" w:hAnsi="Arial" w:cs="Arial"/>
                <w:noProof/>
                <w:sz w:val="22"/>
                <w:szCs w:val="22"/>
              </w:rPr>
              <w:t>Proposed Strategic Change Management Plan</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_Toc215334809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15</w:t>
            </w:r>
            <w:r w:rsidRPr="00754C28">
              <w:rPr>
                <w:rFonts w:ascii="Arial" w:hAnsi="Arial" w:cs="Arial"/>
                <w:noProof/>
                <w:webHidden/>
                <w:sz w:val="22"/>
                <w:szCs w:val="22"/>
              </w:rPr>
              <w:fldChar w:fldCharType="end"/>
            </w:r>
          </w:hyperlink>
        </w:p>
        <w:p w14:paraId="639AEE01" w14:textId="2AEF73AE"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10" w:history="1">
            <w:r w:rsidRPr="00754C28">
              <w:rPr>
                <w:rStyle w:val="Hyperlink"/>
                <w:rFonts w:ascii="Arial" w:hAnsi="Arial" w:cs="Arial"/>
                <w:noProof/>
                <w:sz w:val="22"/>
                <w:szCs w:val="22"/>
              </w:rPr>
              <w:t>Conclusion</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_Toc215334810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20</w:t>
            </w:r>
            <w:r w:rsidRPr="00754C28">
              <w:rPr>
                <w:rFonts w:ascii="Arial" w:hAnsi="Arial" w:cs="Arial"/>
                <w:noProof/>
                <w:webHidden/>
                <w:sz w:val="22"/>
                <w:szCs w:val="22"/>
              </w:rPr>
              <w:fldChar w:fldCharType="end"/>
            </w:r>
          </w:hyperlink>
        </w:p>
        <w:p w14:paraId="49A9881C" w14:textId="07C2657F" w:rsidR="00754C28" w:rsidRPr="00754C28" w:rsidRDefault="00754C28">
          <w:pPr>
            <w:pStyle w:val="TOC1"/>
            <w:tabs>
              <w:tab w:val="right" w:leader="dot" w:pos="9016"/>
            </w:tabs>
            <w:rPr>
              <w:rFonts w:ascii="Arial" w:eastAsiaTheme="minorEastAsia" w:hAnsi="Arial" w:cs="Arial"/>
              <w:noProof/>
              <w:sz w:val="22"/>
              <w:szCs w:val="22"/>
              <w:lang w:eastAsia="en-GB"/>
            </w:rPr>
          </w:pPr>
          <w:hyperlink w:anchor="_Toc215334811" w:history="1">
            <w:r w:rsidRPr="00754C28">
              <w:rPr>
                <w:rStyle w:val="Hyperlink"/>
                <w:rFonts w:ascii="Arial" w:hAnsi="Arial" w:cs="Arial"/>
                <w:noProof/>
                <w:sz w:val="22"/>
                <w:szCs w:val="22"/>
              </w:rPr>
              <w:t>References</w:t>
            </w:r>
            <w:r w:rsidRPr="00754C28">
              <w:rPr>
                <w:rFonts w:ascii="Arial" w:hAnsi="Arial" w:cs="Arial"/>
                <w:noProof/>
                <w:webHidden/>
                <w:sz w:val="22"/>
                <w:szCs w:val="22"/>
              </w:rPr>
              <w:tab/>
            </w:r>
            <w:r w:rsidRPr="00754C28">
              <w:rPr>
                <w:rFonts w:ascii="Arial" w:hAnsi="Arial" w:cs="Arial"/>
                <w:noProof/>
                <w:webHidden/>
                <w:sz w:val="22"/>
                <w:szCs w:val="22"/>
              </w:rPr>
              <w:fldChar w:fldCharType="begin"/>
            </w:r>
            <w:r w:rsidRPr="00754C28">
              <w:rPr>
                <w:rFonts w:ascii="Arial" w:hAnsi="Arial" w:cs="Arial"/>
                <w:noProof/>
                <w:webHidden/>
                <w:sz w:val="22"/>
                <w:szCs w:val="22"/>
              </w:rPr>
              <w:instrText xml:space="preserve"> PAGEREF _Toc215334811 \h </w:instrText>
            </w:r>
            <w:r w:rsidRPr="00754C28">
              <w:rPr>
                <w:rFonts w:ascii="Arial" w:hAnsi="Arial" w:cs="Arial"/>
                <w:noProof/>
                <w:webHidden/>
                <w:sz w:val="22"/>
                <w:szCs w:val="22"/>
              </w:rPr>
            </w:r>
            <w:r w:rsidRPr="00754C28">
              <w:rPr>
                <w:rFonts w:ascii="Arial" w:hAnsi="Arial" w:cs="Arial"/>
                <w:noProof/>
                <w:webHidden/>
                <w:sz w:val="22"/>
                <w:szCs w:val="22"/>
              </w:rPr>
              <w:fldChar w:fldCharType="separate"/>
            </w:r>
            <w:r w:rsidR="002F3560">
              <w:rPr>
                <w:rFonts w:ascii="Arial" w:hAnsi="Arial" w:cs="Arial"/>
                <w:noProof/>
                <w:webHidden/>
                <w:sz w:val="22"/>
                <w:szCs w:val="22"/>
              </w:rPr>
              <w:t>20</w:t>
            </w:r>
            <w:r w:rsidRPr="00754C28">
              <w:rPr>
                <w:rFonts w:ascii="Arial" w:hAnsi="Arial" w:cs="Arial"/>
                <w:noProof/>
                <w:webHidden/>
                <w:sz w:val="22"/>
                <w:szCs w:val="22"/>
              </w:rPr>
              <w:fldChar w:fldCharType="end"/>
            </w:r>
          </w:hyperlink>
        </w:p>
        <w:p w14:paraId="39A288BB" w14:textId="773ECE67" w:rsidR="009A034D" w:rsidRDefault="00754C28" w:rsidP="009A034D">
          <w:pPr>
            <w:rPr>
              <w:rFonts w:ascii="Arial" w:hAnsi="Arial" w:cs="Arial"/>
              <w:sz w:val="22"/>
              <w:szCs w:val="22"/>
            </w:rPr>
          </w:pPr>
          <w:r w:rsidRPr="00754C28">
            <w:rPr>
              <w:rFonts w:ascii="Arial" w:hAnsi="Arial" w:cs="Arial"/>
              <w:b/>
              <w:bCs/>
              <w:noProof/>
              <w:sz w:val="22"/>
              <w:szCs w:val="22"/>
            </w:rPr>
            <w:fldChar w:fldCharType="end"/>
          </w:r>
        </w:p>
      </w:sdtContent>
    </w:sdt>
    <w:bookmarkStart w:id="0" w:name="_Toc215334791" w:displacedByCustomXml="prev"/>
    <w:p w14:paraId="5B420E90" w14:textId="77777777" w:rsidR="009A034D" w:rsidRDefault="009A034D" w:rsidP="00545B75">
      <w:pPr>
        <w:pStyle w:val="Heading1"/>
        <w:rPr>
          <w:rFonts w:ascii="Arial" w:hAnsi="Arial" w:cs="Arial"/>
          <w:sz w:val="22"/>
          <w:szCs w:val="22"/>
        </w:rPr>
      </w:pPr>
    </w:p>
    <w:p w14:paraId="70F8F3E1" w14:textId="77777777" w:rsidR="009A034D" w:rsidRDefault="009A034D" w:rsidP="00545B75">
      <w:pPr>
        <w:pStyle w:val="Heading1"/>
        <w:rPr>
          <w:rFonts w:ascii="Arial" w:hAnsi="Arial" w:cs="Arial"/>
          <w:sz w:val="22"/>
          <w:szCs w:val="22"/>
        </w:rPr>
      </w:pPr>
    </w:p>
    <w:p w14:paraId="34906820" w14:textId="77777777" w:rsidR="009A034D" w:rsidRDefault="009A034D" w:rsidP="00545B75">
      <w:pPr>
        <w:pStyle w:val="Heading1"/>
        <w:rPr>
          <w:rFonts w:ascii="Arial" w:hAnsi="Arial" w:cs="Arial"/>
          <w:sz w:val="22"/>
          <w:szCs w:val="22"/>
        </w:rPr>
      </w:pPr>
    </w:p>
    <w:p w14:paraId="08C4E4B1" w14:textId="77777777" w:rsidR="009A034D" w:rsidRDefault="009A034D" w:rsidP="00545B75">
      <w:pPr>
        <w:pStyle w:val="Heading1"/>
        <w:rPr>
          <w:rFonts w:ascii="Arial" w:hAnsi="Arial" w:cs="Arial"/>
          <w:sz w:val="22"/>
          <w:szCs w:val="22"/>
        </w:rPr>
      </w:pPr>
    </w:p>
    <w:p w14:paraId="3846552D" w14:textId="77777777" w:rsidR="002F3560" w:rsidRDefault="002F3560" w:rsidP="002F3560"/>
    <w:p w14:paraId="625CC55B" w14:textId="77777777" w:rsidR="002F3560" w:rsidRPr="002F3560" w:rsidRDefault="002F3560" w:rsidP="002F3560"/>
    <w:p w14:paraId="0B6C9497" w14:textId="56806D32" w:rsidR="00545B75" w:rsidRPr="00754C28" w:rsidRDefault="00545B75" w:rsidP="009A034D">
      <w:pPr>
        <w:pStyle w:val="Heading1"/>
        <w:spacing w:line="360" w:lineRule="auto"/>
        <w:rPr>
          <w:rFonts w:ascii="Arial" w:hAnsi="Arial" w:cs="Arial"/>
          <w:sz w:val="22"/>
          <w:szCs w:val="22"/>
        </w:rPr>
      </w:pPr>
      <w:r w:rsidRPr="00754C28">
        <w:rPr>
          <w:rFonts w:ascii="Arial" w:hAnsi="Arial" w:cs="Arial"/>
          <w:sz w:val="22"/>
          <w:szCs w:val="22"/>
        </w:rPr>
        <w:lastRenderedPageBreak/>
        <w:t>Executive Summary</w:t>
      </w:r>
      <w:bookmarkEnd w:id="0"/>
    </w:p>
    <w:p w14:paraId="5F8D2B5D" w14:textId="77777777" w:rsidR="00545B75" w:rsidRPr="00754C28" w:rsidRDefault="00545B75"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Ltd., founded in 2012 in the United Kingdom, is a rapidly expanding fitness apparel and accessories company that has achieved significant international recognition through its direct-to-consumer business model. The organisation’s success has largely stemmed from its effective use of digital marketing, influencer engagement, and social media strategies. However, the increasingly competitive nature of the global athleisure market, combined with digital saturation, evolving consumer preferences, and technological disruption, has created an urgent need for a structured and sustainable strategic change management plan.</w:t>
      </w:r>
    </w:p>
    <w:p w14:paraId="45C565B4" w14:textId="77777777" w:rsidR="00545B75" w:rsidRPr="00754C28" w:rsidRDefault="00545B75" w:rsidP="009A034D">
      <w:pPr>
        <w:spacing w:line="360" w:lineRule="auto"/>
        <w:rPr>
          <w:rFonts w:ascii="Arial" w:hAnsi="Arial" w:cs="Arial"/>
          <w:sz w:val="22"/>
          <w:szCs w:val="22"/>
        </w:rPr>
      </w:pPr>
      <w:r w:rsidRPr="00754C28">
        <w:rPr>
          <w:rFonts w:ascii="Arial" w:hAnsi="Arial" w:cs="Arial"/>
          <w:sz w:val="22"/>
          <w:szCs w:val="22"/>
        </w:rPr>
        <w:t xml:space="preserve">This report proposes a comprehensive change management framework designed to support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evolution from a digitally focused start-up into a mature, innovation-driven omnichannel enterprise. The analysis identifies several critical triggers for change, including advances in artificial intelligence (AI), sustainability expectations, and the strategic expansion into physical retail spaces. The recommended framework integrates Kotter’s (2012) Eight-Step Change Model with agile change management principles to ensure flexibility, stakeholder engagement, and iterative progress in a dynamic retail environment.</w:t>
      </w:r>
    </w:p>
    <w:p w14:paraId="40DB78D7" w14:textId="77777777" w:rsidR="00545B75" w:rsidRPr="00754C28" w:rsidRDefault="00545B75" w:rsidP="009A034D">
      <w:pPr>
        <w:spacing w:line="360" w:lineRule="auto"/>
        <w:rPr>
          <w:rFonts w:ascii="Arial" w:hAnsi="Arial" w:cs="Arial"/>
          <w:sz w:val="22"/>
          <w:szCs w:val="22"/>
        </w:rPr>
      </w:pPr>
      <w:r w:rsidRPr="00754C28">
        <w:rPr>
          <w:rFonts w:ascii="Arial" w:hAnsi="Arial" w:cs="Arial"/>
          <w:sz w:val="22"/>
          <w:szCs w:val="22"/>
        </w:rPr>
        <w:t xml:space="preserve">Leadership and organisational culture are recognised as key enablers of successful change.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founder and Chief Executive Officer, Ben Francis, demonstrates characteristics of transformational leadership, inspiring commitment through authenticity, empowerment, and a shared vision. Nevertheless, as the organisation transitions toward global scale, it must balance its entrepreneurial culture with enhanced operational discipline and governance. The proposed AI-Driven Omnichannel Transformation Plan seeks to embed data analytics, customer personalisation, and sustainability within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strategic operations, thereby improving performance, efficiency, and long-term competitiveness (Burnes, 2021).</w:t>
      </w:r>
    </w:p>
    <w:p w14:paraId="3EB7B0C3" w14:textId="77777777" w:rsidR="00545B75" w:rsidRPr="00754C28" w:rsidRDefault="00545B75" w:rsidP="009A034D">
      <w:pPr>
        <w:spacing w:line="360" w:lineRule="auto"/>
        <w:rPr>
          <w:rFonts w:ascii="Arial" w:hAnsi="Arial" w:cs="Arial"/>
          <w:sz w:val="22"/>
          <w:szCs w:val="22"/>
        </w:rPr>
      </w:pPr>
      <w:r w:rsidRPr="00754C28">
        <w:rPr>
          <w:rFonts w:ascii="Arial" w:hAnsi="Arial" w:cs="Arial"/>
          <w:sz w:val="22"/>
          <w:szCs w:val="22"/>
        </w:rPr>
        <w:t xml:space="preserve">Overall, the proposed change initiative positions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to achieve sustained growth by leveraging technological innovation, fostering adaptive leadership, and maintaining its authentic brand identity. Through the systematic application of structured change models and effective cultural alignment,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can strengthen its competitive advantage and consolidate its position as a global leader in fitness apparel.</w:t>
      </w:r>
    </w:p>
    <w:p w14:paraId="5E1453B5" w14:textId="77777777" w:rsidR="00F115EF" w:rsidRPr="00754C28" w:rsidRDefault="00F115EF" w:rsidP="009A034D">
      <w:pPr>
        <w:pStyle w:val="Heading1"/>
        <w:spacing w:line="360" w:lineRule="auto"/>
        <w:rPr>
          <w:rFonts w:ascii="Arial" w:hAnsi="Arial" w:cs="Arial"/>
          <w:sz w:val="22"/>
          <w:szCs w:val="22"/>
        </w:rPr>
      </w:pPr>
      <w:bookmarkStart w:id="1" w:name="_Toc215334792"/>
      <w:r w:rsidRPr="00754C28">
        <w:rPr>
          <w:rFonts w:ascii="Arial" w:hAnsi="Arial" w:cs="Arial"/>
          <w:sz w:val="22"/>
          <w:szCs w:val="22"/>
        </w:rPr>
        <w:t>Introduction</w:t>
      </w:r>
      <w:bookmarkEnd w:id="1"/>
    </w:p>
    <w:p w14:paraId="4CDC36EC" w14:textId="77777777" w:rsidR="00F115EF" w:rsidRPr="00754C28" w:rsidRDefault="00F115EF"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Ltd. is a United Kingdom–based fitness apparel and accessories company founded in 2012 by Ben Francis. The organisation began as a small-scale operation in a </w:t>
      </w:r>
      <w:r w:rsidRPr="00754C28">
        <w:rPr>
          <w:rFonts w:ascii="Arial" w:hAnsi="Arial" w:cs="Arial"/>
          <w:sz w:val="22"/>
          <w:szCs w:val="22"/>
        </w:rPr>
        <w:lastRenderedPageBreak/>
        <w:t xml:space="preserve">Birmingham garage, where Francis and a group of university friends designed and sold customised fitness clothing online. Over the past decade,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has grown into a globally recognised brand, distributing to over 180 countries and developing a strong presence in the highly competitive athleisure market. Its product range includes performance wear, loungewear, and training accessories targeted primarily at young, fitness-conscious consumers. Central to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success has been its innovative use of social media marketing, influencer collaborations, and data-driven engagement, which have collectively established it as a leading digital-first brand within the fitness apparel industry (BBC, 2022).</w:t>
      </w:r>
    </w:p>
    <w:p w14:paraId="3733D25A" w14:textId="40CA3431"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The company’s mission is </w:t>
      </w:r>
      <w:r w:rsidRPr="00754C28">
        <w:rPr>
          <w:rFonts w:ascii="Arial" w:hAnsi="Arial" w:cs="Arial"/>
          <w:i/>
          <w:iCs/>
          <w:sz w:val="22"/>
          <w:szCs w:val="22"/>
        </w:rPr>
        <w:t>“to unite the conditioning community”</w:t>
      </w:r>
      <w:r w:rsidRPr="00754C28">
        <w:rPr>
          <w:rFonts w:ascii="Arial" w:hAnsi="Arial" w:cs="Arial"/>
          <w:sz w:val="22"/>
          <w:szCs w:val="22"/>
        </w:rPr>
        <w:t xml:space="preserve">, while its vision is </w:t>
      </w:r>
      <w:r w:rsidRPr="00754C28">
        <w:rPr>
          <w:rFonts w:ascii="Arial" w:hAnsi="Arial" w:cs="Arial"/>
          <w:i/>
          <w:iCs/>
          <w:sz w:val="22"/>
          <w:szCs w:val="22"/>
        </w:rPr>
        <w:t>to become the world’s most socially engaged fitness brand through innovation, community, and digital-first engagement.</w:t>
      </w:r>
      <w:r w:rsidRPr="00754C28">
        <w:rPr>
          <w:rFonts w:ascii="Arial" w:hAnsi="Arial" w:cs="Arial"/>
          <w:sz w:val="22"/>
          <w:szCs w:val="22"/>
        </w:rPr>
        <w:t xml:space="preserve"> These statements reflect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strategic commitment to combining technological innovation, authenticity, and social connectivity to foster global community engagement.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operates primarily as a digitally native direct-to-consumer (D2C) business, a model that has allowed it to strengthen brand equity and customer relationships without dependence on third-party retail intermediaries. The brand’s success has been heavily driven by its ability to harness the power of social media influencers and online communities, aligning with contemporary shifts in digital consumer behaviour and branding (Johnson et al., 2020).</w:t>
      </w:r>
    </w:p>
    <w:p w14:paraId="5A199FA2"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However, as digital markets become increasingly saturated,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faces the challenge of sustaining growth and maintaining differentiation in a rapidly evolving retail landscape. In response, the company is pursuing a strategic transformation from a purely online retailer to a hybrid omnichannel business model, combining digital innovation with physical retail experiences. The opening of its flagship store on London’s Regent Street in 2022 exemplifies this transition and signifies a broader move toward integrating experiential retail with its established online strengths (Francis, 2023). This evolution also reflects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ambition to strengthen customer engagement, improve operational resilience, and build a more sustainable long-term business model.</w:t>
      </w:r>
    </w:p>
    <w:p w14:paraId="240DFAFF"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The purpose of this report is to present a strategic change management plan that supports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in navigating its dynamic internal and external business environments. It will identify key triggers for change, including digital transformation, artificial intelligence (AI) integration, sustainability expectations, and global competition. The report will critically assess relevant change management models, analyse the influence of leadership and organisational culture, and propose a structured plan to ensure effective implementation. Ultimately, this report aims to equip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with a strategic roadmap for managing </w:t>
      </w:r>
      <w:r w:rsidRPr="00754C28">
        <w:rPr>
          <w:rFonts w:ascii="Arial" w:hAnsi="Arial" w:cs="Arial"/>
          <w:sz w:val="22"/>
          <w:szCs w:val="22"/>
        </w:rPr>
        <w:lastRenderedPageBreak/>
        <w:t>transformation successfully, fostering innovation, and sustaining its competitive advantage in the global fitness apparel industry.</w:t>
      </w:r>
    </w:p>
    <w:p w14:paraId="483AF156" w14:textId="77777777" w:rsidR="00F115EF" w:rsidRPr="00754C28" w:rsidRDefault="00F115EF" w:rsidP="009A034D">
      <w:pPr>
        <w:spacing w:line="360" w:lineRule="auto"/>
        <w:rPr>
          <w:rFonts w:ascii="Arial" w:hAnsi="Arial" w:cs="Arial"/>
          <w:sz w:val="22"/>
          <w:szCs w:val="22"/>
        </w:rPr>
      </w:pPr>
    </w:p>
    <w:p w14:paraId="2289DAE3" w14:textId="77777777" w:rsidR="00545B75" w:rsidRPr="00754C28" w:rsidRDefault="00545B75" w:rsidP="009A034D">
      <w:pPr>
        <w:spacing w:line="360" w:lineRule="auto"/>
        <w:rPr>
          <w:rFonts w:ascii="Arial" w:hAnsi="Arial" w:cs="Arial"/>
          <w:sz w:val="22"/>
          <w:szCs w:val="22"/>
        </w:rPr>
      </w:pPr>
    </w:p>
    <w:p w14:paraId="1CA278AC" w14:textId="2A396E3C" w:rsidR="00741115" w:rsidRPr="00754C28" w:rsidRDefault="00741115" w:rsidP="009A034D">
      <w:pPr>
        <w:pStyle w:val="Heading1"/>
        <w:spacing w:line="360" w:lineRule="auto"/>
        <w:rPr>
          <w:rFonts w:ascii="Arial" w:hAnsi="Arial" w:cs="Arial"/>
          <w:sz w:val="22"/>
          <w:szCs w:val="22"/>
        </w:rPr>
      </w:pPr>
      <w:bookmarkStart w:id="2" w:name="_Toc215334793"/>
      <w:r w:rsidRPr="00754C28">
        <w:rPr>
          <w:rFonts w:ascii="Arial" w:hAnsi="Arial" w:cs="Arial"/>
          <w:sz w:val="22"/>
          <w:szCs w:val="22"/>
        </w:rPr>
        <w:t>Environmental and Historical Analysis</w:t>
      </w:r>
      <w:bookmarkEnd w:id="2"/>
      <w:r w:rsidRPr="00754C28">
        <w:rPr>
          <w:rFonts w:ascii="Arial" w:hAnsi="Arial" w:cs="Arial"/>
          <w:sz w:val="22"/>
          <w:szCs w:val="22"/>
        </w:rPr>
        <w:t xml:space="preserve"> </w:t>
      </w:r>
    </w:p>
    <w:p w14:paraId="05063A38" w14:textId="77777777" w:rsidR="00F115EF" w:rsidRPr="00754C28" w:rsidRDefault="00F115EF" w:rsidP="009A034D">
      <w:pPr>
        <w:pStyle w:val="Heading2"/>
        <w:spacing w:line="360" w:lineRule="auto"/>
        <w:rPr>
          <w:rFonts w:ascii="Arial" w:hAnsi="Arial" w:cs="Arial"/>
          <w:sz w:val="22"/>
          <w:szCs w:val="22"/>
        </w:rPr>
      </w:pPr>
      <w:bookmarkStart w:id="3" w:name="_Toc215334794"/>
      <w:r w:rsidRPr="00754C28">
        <w:rPr>
          <w:rFonts w:ascii="Arial" w:hAnsi="Arial" w:cs="Arial"/>
          <w:sz w:val="22"/>
          <w:szCs w:val="22"/>
        </w:rPr>
        <w:t>Recent History of Change</w:t>
      </w:r>
      <w:bookmarkEnd w:id="3"/>
    </w:p>
    <w:p w14:paraId="5AF42180"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From its founding in 2012,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experienced rapid growth driven by innovative digital marketing strategies, influencer collaborations, and social media engagement. Initially operating from a small Birmingham garage, the company leveraged the growing popularity of Instagram, YouTube, and fitness communities to create viral content that attracted a loyal global customer base (BBC, 2022). By adopting a digitally native direct-to-consumer (D2C) model,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was able to bypass traditional retail intermediaries, retain control over customer experiences, and scale operations efficiently in response to rapidly evolving market trends (Francis, 2023).</w:t>
      </w:r>
    </w:p>
    <w:p w14:paraId="62B61D50"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Between 2012 and 2020,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growth trajectory was characterised by successive rounds of product launches, expansion into international markets, and the establishment of a strong brand identity centred on community, performance, and authenticity. During this period, the company achieved “unicorn” status, surpassing a valuation of £1 billion, which highlighted both its financial success and strategic positioning within the competitive athleisure sector (Johnson et al., 2020). The company’s reliance on social media influencers and digital-first marketing campaigns enabled it to cultivate a highly engaged customer base, generating both brand loyalty and a strong online community that differentiated it from traditional competitors.</w:t>
      </w:r>
    </w:p>
    <w:p w14:paraId="7F8F82E4"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However, the post-pandemic business environment introduced a series of challenges that necessitated strategic transformation. The accelerated adoption of e-commerce and the intensification of online competition resulted in digital saturation, limiting the effectiveness of traditional influencer marketing campaigns. Additionally, rising operational costs, supply chain complexities, and evolving consumer expectations created pressure to diversify revenue streams and professionalise organisational processes. External factors, such as global competition from established brands like Nike, Lululemon, and new D2C entrants, coupled with technological advancements in artificial intelligence (AI) and data analytics, further highlighted the need for a structured change strategy.</w:t>
      </w:r>
    </w:p>
    <w:p w14:paraId="3F9D5632"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lastRenderedPageBreak/>
        <w:t xml:space="preserve">In response,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has undertaken several strategic initiatives. First, the company has pursued physical retail expansion through the opening of flagship stores, exemplified by the 2022 Regent Street location in London. This move represents a deliberate shift toward an omnichannel strategy, integrating online and offline touchpoints to enhance customer experiences and strengthen brand presence (BBC, 2022). Second,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has invested in AI-driven data analytics and personalised marketing, allowing for more precise customer targeting, improved inventory management, and enhanced decision-making capabilities. Third, the organisation has focused on professionalising operations, introducing structured management systems, governance processes, and operational frameworks to support rapid growth while maintaining organisational efficiency and brand consistency (Francis, 2023).</w:t>
      </w:r>
    </w:p>
    <w:p w14:paraId="12008F43" w14:textId="77777777" w:rsidR="00F115EF" w:rsidRPr="00754C28" w:rsidRDefault="00F115EF" w:rsidP="009A034D">
      <w:pPr>
        <w:spacing w:line="360" w:lineRule="auto"/>
        <w:rPr>
          <w:rFonts w:ascii="Arial" w:hAnsi="Arial" w:cs="Arial"/>
          <w:sz w:val="22"/>
          <w:szCs w:val="22"/>
        </w:rPr>
      </w:pPr>
      <w:r w:rsidRPr="00754C28">
        <w:rPr>
          <w:rFonts w:ascii="Arial" w:hAnsi="Arial" w:cs="Arial"/>
          <w:sz w:val="22"/>
          <w:szCs w:val="22"/>
        </w:rPr>
        <w:t xml:space="preserve">These strategic responses reflect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recognition of the necessity to adapt proactively to both internal and external pressures while preserving the entrepreneurial culture that enabled its early success. By integrating technological innovation, operational professionalism, and omnichannel capabilities,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is positioning itself to sustain competitive advantage, drive customer engagement, and continue its trajectory as a leading global fitness apparel brand. The company’s adaptive strategies demonstrate an awareness of the dynamic interplay between digital disruption, global competition, and evolving consumer behaviour, establishing a foundation for future strategic change initiatives.</w:t>
      </w:r>
    </w:p>
    <w:p w14:paraId="638A8D7F" w14:textId="4C58622C" w:rsidR="00EB5B1C" w:rsidRPr="00754C28" w:rsidRDefault="00741115" w:rsidP="009A034D">
      <w:pPr>
        <w:pStyle w:val="Heading1"/>
        <w:spacing w:line="360" w:lineRule="auto"/>
        <w:rPr>
          <w:rFonts w:ascii="Arial" w:hAnsi="Arial" w:cs="Arial"/>
          <w:sz w:val="22"/>
          <w:szCs w:val="22"/>
        </w:rPr>
      </w:pPr>
      <w:bookmarkStart w:id="4" w:name="_Toc215334795"/>
      <w:r w:rsidRPr="00754C28">
        <w:rPr>
          <w:rFonts w:ascii="Arial" w:hAnsi="Arial" w:cs="Arial"/>
          <w:sz w:val="22"/>
          <w:szCs w:val="22"/>
        </w:rPr>
        <w:t>External Environment</w:t>
      </w:r>
      <w:bookmarkEnd w:id="4"/>
    </w:p>
    <w:p w14:paraId="38F44DE9" w14:textId="77777777" w:rsidR="00C83EFD" w:rsidRPr="00754C28" w:rsidRDefault="00C83EFD" w:rsidP="009A034D">
      <w:pPr>
        <w:pStyle w:val="Heading2"/>
        <w:spacing w:line="360" w:lineRule="auto"/>
        <w:rPr>
          <w:rFonts w:ascii="Arial" w:hAnsi="Arial" w:cs="Arial"/>
          <w:sz w:val="22"/>
          <w:szCs w:val="22"/>
        </w:rPr>
      </w:pPr>
      <w:bookmarkStart w:id="5" w:name="_Toc215334796"/>
      <w:r w:rsidRPr="00754C28">
        <w:rPr>
          <w:rFonts w:ascii="Arial" w:hAnsi="Arial" w:cs="Arial"/>
          <w:sz w:val="22"/>
          <w:szCs w:val="22"/>
        </w:rPr>
        <w:t xml:space="preserve">Porter’s Five Forces Analysis of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Ltd.</w:t>
      </w:r>
      <w:bookmarkEnd w:id="5"/>
    </w:p>
    <w:p w14:paraId="0F5DBF96"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Porter’s Five Forces framework is widely used to evaluate the competitive dynamics of an industry and to identify strategic pressures affecting organisational performance (Porter, 2008). For </w:t>
      </w:r>
      <w:proofErr w:type="spellStart"/>
      <w:r w:rsidRPr="00754C28">
        <w:rPr>
          <w:rFonts w:ascii="Arial" w:hAnsi="Arial" w:cs="Arial"/>
          <w:sz w:val="22"/>
          <w:szCs w:val="22"/>
        </w:rPr>
        <w:t>Gymshark</w:t>
      </w:r>
      <w:proofErr w:type="spellEnd"/>
      <w:r w:rsidRPr="00754C28">
        <w:rPr>
          <w:rFonts w:ascii="Arial" w:hAnsi="Arial" w:cs="Arial"/>
          <w:sz w:val="22"/>
          <w:szCs w:val="22"/>
        </w:rPr>
        <w:t>, this analysis highlights the challenges and opportunities in the global fitness apparel market and informs the strategic change management plan.</w:t>
      </w:r>
    </w:p>
    <w:p w14:paraId="768A742B" w14:textId="75F9B19C" w:rsidR="00C83EFD" w:rsidRPr="00754C28" w:rsidRDefault="00C83EFD" w:rsidP="009A034D">
      <w:pPr>
        <w:spacing w:line="360" w:lineRule="auto"/>
        <w:rPr>
          <w:rFonts w:ascii="Arial" w:hAnsi="Arial" w:cs="Arial"/>
          <w:sz w:val="22"/>
          <w:szCs w:val="22"/>
        </w:rPr>
      </w:pPr>
      <w:r w:rsidRPr="00754C28">
        <w:rPr>
          <w:rFonts w:ascii="Arial" w:hAnsi="Arial" w:cs="Arial"/>
          <w:b/>
          <w:bCs/>
          <w:sz w:val="22"/>
          <w:szCs w:val="22"/>
        </w:rPr>
        <w:t>Threat of New Entrants – High</w:t>
      </w:r>
    </w:p>
    <w:p w14:paraId="389794B3"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The fitness apparel industry has relatively low barriers to entry, particularly for digitally native, direct-to-consumer (D2C) brands. Advances in e-commerce, social media marketing, and global logistics allow new firms to enter the market with relatively modest capital investment (Johnson et al., 2020). Start-ups can leverage influencer marketing and viral digital campaigns to reach targeted demographics efficiently.</w:t>
      </w:r>
    </w:p>
    <w:p w14:paraId="2A307344"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However,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established brand reputation, extensive influencer network, and loyal global community create significant entry barriers. These intangible assets are difficult for </w:t>
      </w:r>
      <w:r w:rsidRPr="00754C28">
        <w:rPr>
          <w:rFonts w:ascii="Arial" w:hAnsi="Arial" w:cs="Arial"/>
          <w:sz w:val="22"/>
          <w:szCs w:val="22"/>
        </w:rPr>
        <w:lastRenderedPageBreak/>
        <w:t>new entrants to replicate quickly, providing a competitive advantage despite the high threat of new competitors.</w:t>
      </w:r>
    </w:p>
    <w:p w14:paraId="1FC2C22F"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Strategic Implication: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should continue investing in brand differentiation, community engagement, and innovative marketing strategies to sustain barriers to entry.</w:t>
      </w:r>
    </w:p>
    <w:p w14:paraId="59D0E66C" w14:textId="55146956" w:rsidR="00C83EFD" w:rsidRPr="00754C28" w:rsidRDefault="00C83EFD" w:rsidP="009A034D">
      <w:pPr>
        <w:spacing w:line="360" w:lineRule="auto"/>
        <w:rPr>
          <w:rFonts w:ascii="Arial" w:hAnsi="Arial" w:cs="Arial"/>
          <w:sz w:val="22"/>
          <w:szCs w:val="22"/>
        </w:rPr>
      </w:pPr>
      <w:r w:rsidRPr="00754C28">
        <w:rPr>
          <w:rFonts w:ascii="Arial" w:hAnsi="Arial" w:cs="Arial"/>
          <w:b/>
          <w:bCs/>
          <w:sz w:val="22"/>
          <w:szCs w:val="22"/>
        </w:rPr>
        <w:t>Bargaining Power of Suppliers – Moderate</w:t>
      </w:r>
    </w:p>
    <w:p w14:paraId="3E24B1C0" w14:textId="77777777" w:rsidR="00C83EFD" w:rsidRPr="00754C28" w:rsidRDefault="00C83EFD"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relies on a network of global suppliers, primarily in Asia, for the manufacture of fitness apparel. While suppliers are fragmented and competition among them limits individual bargaining power, the need for high-quality, sustainable materials increases the influence of certain specialised suppliers (Pearce &amp; Robinson, 2021).</w:t>
      </w:r>
    </w:p>
    <w:p w14:paraId="20C3D789"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The rising consumer demand for sustainable and ethically sourced products further elevates supplier importance. Suppliers offering advanced materials, ethical production practices, or innovative manufacturing capabilities can exert more influence.</w:t>
      </w:r>
    </w:p>
    <w:p w14:paraId="143072DF"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Strategic Implication: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should develop long-term partnerships, diversify its supplier base, and invest in digital supply chain solutions to mitigate supplier power.</w:t>
      </w:r>
    </w:p>
    <w:p w14:paraId="0087C994" w14:textId="13F22540" w:rsidR="00C83EFD" w:rsidRPr="00754C28" w:rsidRDefault="00C83EFD" w:rsidP="009A034D">
      <w:pPr>
        <w:spacing w:line="360" w:lineRule="auto"/>
        <w:rPr>
          <w:rFonts w:ascii="Arial" w:hAnsi="Arial" w:cs="Arial"/>
          <w:b/>
          <w:bCs/>
          <w:sz w:val="22"/>
          <w:szCs w:val="22"/>
        </w:rPr>
      </w:pPr>
      <w:r w:rsidRPr="00754C28">
        <w:rPr>
          <w:rFonts w:ascii="Arial" w:hAnsi="Arial" w:cs="Arial"/>
          <w:b/>
          <w:bCs/>
          <w:sz w:val="22"/>
          <w:szCs w:val="22"/>
        </w:rPr>
        <w:t>Bargaining Power of Buyers – High</w:t>
      </w:r>
    </w:p>
    <w:p w14:paraId="744CD049" w14:textId="77777777" w:rsidR="00C83EFD" w:rsidRPr="00754C28" w:rsidRDefault="00C83EFD" w:rsidP="009A034D">
      <w:pPr>
        <w:spacing w:line="360" w:lineRule="auto"/>
        <w:rPr>
          <w:rFonts w:ascii="Arial" w:hAnsi="Arial" w:cs="Arial"/>
          <w:sz w:val="22"/>
          <w:szCs w:val="22"/>
        </w:rPr>
      </w:pPr>
      <w:proofErr w:type="spellStart"/>
      <w:r w:rsidRPr="00754C28">
        <w:rPr>
          <w:rFonts w:ascii="Arial" w:hAnsi="Arial" w:cs="Arial"/>
          <w:sz w:val="22"/>
          <w:szCs w:val="22"/>
        </w:rPr>
        <w:t>Gymshark’s</w:t>
      </w:r>
      <w:proofErr w:type="spellEnd"/>
      <w:r w:rsidRPr="00754C28">
        <w:rPr>
          <w:rFonts w:ascii="Arial" w:hAnsi="Arial" w:cs="Arial"/>
          <w:sz w:val="22"/>
          <w:szCs w:val="22"/>
        </w:rPr>
        <w:t xml:space="preserve"> target consumers—young, fitness-focused individuals—have access to numerous global alternatives, including brands like Nike, Adidas, Lululemon, and new D2C entrants. Low switching costs and the abundance of choices give buyers significant bargaining power (Johnson et al., 2020).</w:t>
      </w:r>
    </w:p>
    <w:p w14:paraId="41DF7017"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Social media amplifies this effect, as online reviews and peer recommendations can strongly influence brand perception.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strategy of cultivating a strong brand community and personalising customer experiences using data analytics helps reduce buyer power but does not eliminate it entirely.</w:t>
      </w:r>
    </w:p>
    <w:p w14:paraId="33DBF334"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Strategic Implication: To maintain loyalty,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must continue innovating product offerings, enhancing personalisation, and fostering community engagement.</w:t>
      </w:r>
    </w:p>
    <w:p w14:paraId="690AD740" w14:textId="36F6E923" w:rsidR="00C83EFD" w:rsidRPr="00754C28" w:rsidRDefault="00C83EFD" w:rsidP="009A034D">
      <w:pPr>
        <w:spacing w:line="360" w:lineRule="auto"/>
        <w:rPr>
          <w:rFonts w:ascii="Arial" w:hAnsi="Arial" w:cs="Arial"/>
          <w:b/>
          <w:bCs/>
          <w:sz w:val="22"/>
          <w:szCs w:val="22"/>
        </w:rPr>
      </w:pPr>
      <w:r w:rsidRPr="00754C28">
        <w:rPr>
          <w:rFonts w:ascii="Arial" w:hAnsi="Arial" w:cs="Arial"/>
          <w:b/>
          <w:bCs/>
          <w:sz w:val="22"/>
          <w:szCs w:val="22"/>
        </w:rPr>
        <w:t>Threat of Substitutes – Moderate to High</w:t>
      </w:r>
    </w:p>
    <w:p w14:paraId="5FF0A03E"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Substitute products include generic fitness apparel, fast-fashion alternatives, second-hand clothing, and emerging digital fitness solutions (Grant, 2021). Affordable and accessible substitutes can reduce demand for premium brands.</w:t>
      </w:r>
    </w:p>
    <w:p w14:paraId="2D405D3D" w14:textId="77777777" w:rsidR="00C83EFD" w:rsidRPr="00754C28" w:rsidRDefault="00C83EFD" w:rsidP="009A034D">
      <w:pPr>
        <w:spacing w:line="360" w:lineRule="auto"/>
        <w:rPr>
          <w:rFonts w:ascii="Arial" w:hAnsi="Arial" w:cs="Arial"/>
          <w:sz w:val="22"/>
          <w:szCs w:val="22"/>
        </w:rPr>
      </w:pPr>
      <w:proofErr w:type="spellStart"/>
      <w:r w:rsidRPr="00754C28">
        <w:rPr>
          <w:rFonts w:ascii="Arial" w:hAnsi="Arial" w:cs="Arial"/>
          <w:sz w:val="22"/>
          <w:szCs w:val="22"/>
        </w:rPr>
        <w:lastRenderedPageBreak/>
        <w:t>Gymshark</w:t>
      </w:r>
      <w:proofErr w:type="spellEnd"/>
      <w:r w:rsidRPr="00754C28">
        <w:rPr>
          <w:rFonts w:ascii="Arial" w:hAnsi="Arial" w:cs="Arial"/>
          <w:sz w:val="22"/>
          <w:szCs w:val="22"/>
        </w:rPr>
        <w:t xml:space="preserve"> mitigates this threat through brand differentiation, quality products, and community-driven experiences, positioning itself as a lifestyle brand rather than merely an apparel provider.</w:t>
      </w:r>
    </w:p>
    <w:p w14:paraId="25773698" w14:textId="272BC572"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Strategic Implication: Expanding product lines, integrating digital services, and reinforcing brand identity can help reduce the threat from substitutes.</w:t>
      </w:r>
    </w:p>
    <w:p w14:paraId="69763CBC" w14:textId="46C58C66" w:rsidR="00C83EFD" w:rsidRPr="00754C28" w:rsidRDefault="00C83EFD" w:rsidP="009A034D">
      <w:pPr>
        <w:spacing w:line="360" w:lineRule="auto"/>
        <w:rPr>
          <w:rFonts w:ascii="Arial" w:hAnsi="Arial" w:cs="Arial"/>
          <w:b/>
          <w:bCs/>
          <w:sz w:val="22"/>
          <w:szCs w:val="22"/>
        </w:rPr>
      </w:pPr>
      <w:r w:rsidRPr="00754C28">
        <w:rPr>
          <w:rFonts w:ascii="Arial" w:hAnsi="Arial" w:cs="Arial"/>
          <w:b/>
          <w:bCs/>
          <w:sz w:val="22"/>
          <w:szCs w:val="22"/>
        </w:rPr>
        <w:t>Industry Rivalry – High</w:t>
      </w:r>
    </w:p>
    <w:p w14:paraId="7804D821"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Competition in the fitness apparel industry is intense, with established global brands dominating market share. Factors such as fast-changing fashion trends, price competition, and consumer expectations for innovation intensify rivalry (Pearce &amp; Robinson, 2021). Direct-to-consumer start-ups and social media-first brands further increase competitive pressures.</w:t>
      </w:r>
    </w:p>
    <w:p w14:paraId="6CE4500A" w14:textId="77777777" w:rsidR="00C83EFD" w:rsidRPr="00754C28" w:rsidRDefault="00C83EFD" w:rsidP="009A034D">
      <w:pPr>
        <w:spacing w:line="360" w:lineRule="auto"/>
        <w:rPr>
          <w:rFonts w:ascii="Arial" w:hAnsi="Arial" w:cs="Arial"/>
          <w:sz w:val="22"/>
          <w:szCs w:val="22"/>
        </w:rPr>
      </w:pPr>
      <w:proofErr w:type="spellStart"/>
      <w:r w:rsidRPr="00754C28">
        <w:rPr>
          <w:rFonts w:ascii="Arial" w:hAnsi="Arial" w:cs="Arial"/>
          <w:sz w:val="22"/>
          <w:szCs w:val="22"/>
        </w:rPr>
        <w:t>Gymshark’s</w:t>
      </w:r>
      <w:proofErr w:type="spellEnd"/>
      <w:r w:rsidRPr="00754C28">
        <w:rPr>
          <w:rFonts w:ascii="Arial" w:hAnsi="Arial" w:cs="Arial"/>
          <w:sz w:val="22"/>
          <w:szCs w:val="22"/>
        </w:rPr>
        <w:t xml:space="preserve"> agility, digital marketing expertise, and strong community engagement provide a competitive edge; however, sustained innovation and rapid responsiveness remain essential to maintain market position.</w:t>
      </w:r>
    </w:p>
    <w:p w14:paraId="0DDF78C3" w14:textId="77777777" w:rsidR="00C83EFD" w:rsidRPr="00754C28" w:rsidRDefault="00C83EFD" w:rsidP="009A034D">
      <w:pPr>
        <w:spacing w:line="360" w:lineRule="auto"/>
        <w:rPr>
          <w:rFonts w:ascii="Arial" w:hAnsi="Arial" w:cs="Arial"/>
          <w:sz w:val="22"/>
          <w:szCs w:val="22"/>
        </w:rPr>
      </w:pPr>
      <w:r w:rsidRPr="00754C28">
        <w:rPr>
          <w:rFonts w:ascii="Arial" w:hAnsi="Arial" w:cs="Arial"/>
          <w:sz w:val="22"/>
          <w:szCs w:val="22"/>
        </w:rPr>
        <w:t xml:space="preserve">Strategic Implication: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should leverage data analytics, artificial intelligence, and continuous product innovation to stay ahead of competitors.</w:t>
      </w:r>
    </w:p>
    <w:p w14:paraId="74655B1B" w14:textId="77777777" w:rsidR="00C83EFD" w:rsidRPr="00754C28" w:rsidRDefault="00C83EFD" w:rsidP="009A034D">
      <w:pPr>
        <w:spacing w:line="360" w:lineRule="auto"/>
        <w:rPr>
          <w:rFonts w:ascii="Arial" w:hAnsi="Arial" w:cs="Arial"/>
          <w:sz w:val="22"/>
          <w:szCs w:val="22"/>
        </w:rPr>
      </w:pPr>
    </w:p>
    <w:p w14:paraId="60EEAAB3" w14:textId="453D41C9" w:rsidR="00CD616B" w:rsidRPr="00754C28" w:rsidRDefault="00741115" w:rsidP="009A034D">
      <w:pPr>
        <w:pStyle w:val="Heading2"/>
        <w:spacing w:line="360" w:lineRule="auto"/>
        <w:rPr>
          <w:rFonts w:ascii="Arial" w:hAnsi="Arial" w:cs="Arial"/>
          <w:sz w:val="22"/>
          <w:szCs w:val="22"/>
        </w:rPr>
      </w:pPr>
      <w:bookmarkStart w:id="6" w:name="_Toc215334797"/>
      <w:r w:rsidRPr="00754C28">
        <w:rPr>
          <w:rFonts w:ascii="Arial" w:hAnsi="Arial" w:cs="Arial"/>
          <w:sz w:val="22"/>
          <w:szCs w:val="22"/>
        </w:rPr>
        <w:t>PESTLE Analysi</w:t>
      </w:r>
      <w:r w:rsidR="0069610D" w:rsidRPr="00754C28">
        <w:rPr>
          <w:rFonts w:ascii="Arial" w:hAnsi="Arial" w:cs="Arial"/>
          <w:sz w:val="22"/>
          <w:szCs w:val="22"/>
        </w:rPr>
        <w:t>s</w:t>
      </w:r>
      <w:bookmarkEnd w:id="6"/>
    </w:p>
    <w:p w14:paraId="3F176EF1" w14:textId="77777777" w:rsidR="00CD616B"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A PESTLE analysis provides a structured framework for evaluating the macro-environmental factors that influence organisational strategy and decision-making (Johnson et al., 2020). For </w:t>
      </w:r>
      <w:proofErr w:type="spellStart"/>
      <w:r w:rsidRPr="00754C28">
        <w:rPr>
          <w:rFonts w:ascii="Arial" w:hAnsi="Arial" w:cs="Arial"/>
          <w:sz w:val="22"/>
          <w:szCs w:val="22"/>
        </w:rPr>
        <w:t>Gymshark</w:t>
      </w:r>
      <w:proofErr w:type="spellEnd"/>
      <w:r w:rsidRPr="00754C28">
        <w:rPr>
          <w:rFonts w:ascii="Arial" w:hAnsi="Arial" w:cs="Arial"/>
          <w:sz w:val="22"/>
          <w:szCs w:val="22"/>
        </w:rPr>
        <w:t>, understanding these external factors is essential for navigating the rapidly evolving retail landscape and implementing effective change management strategies.</w:t>
      </w:r>
    </w:p>
    <w:p w14:paraId="27FCE912" w14:textId="6FB1CA76"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t>1. Political Factors</w:t>
      </w:r>
    </w:p>
    <w:p w14:paraId="2C862624" w14:textId="77777777" w:rsidR="00CD616B"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The political environment has a direct impact on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operations, particularly in the context of the United Kingdom’s exit from the European Union. Brexit has introduced increased trade complexity, including tariffs on exports to EU countries, additional customs procedures, and regulatory compliance requirements. These changes have resulted in shipping delays and higher administrative costs, which can affect both operational efficiency and customer satisfaction (Pearce &amp; Robinson, 2021). Consequently,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must adapt its supply chain and logistics strategies to mitigate these political risks and maintain its competitive advantage.</w:t>
      </w:r>
    </w:p>
    <w:p w14:paraId="7E7C1F94" w14:textId="2D395940"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lastRenderedPageBreak/>
        <w:t>2. Economic Factors</w:t>
      </w:r>
    </w:p>
    <w:p w14:paraId="2CF1B81E" w14:textId="581EBAE9" w:rsidR="0069610D"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Global economic conditions, such as rising inflation and the ongoing cost-of-living crisis, have placed significant pressure on discretionary consumer spending. As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primarily targets young, fitness-oriented consumers, reduced disposable income may adversely affect demand for non-essential fitness apparel (Grant, 2021). Moreover, fluctuations in currency exchange rates and import/export duties can influence profit margins and operational planning. Therefore,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must consider strategic adjustments to pricing, promotional strategies, and value propositions to sustain demand under challenging economic conditions.</w:t>
      </w:r>
    </w:p>
    <w:p w14:paraId="605046FD" w14:textId="6E46CB4A"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t>3. Social Factors</w:t>
      </w:r>
    </w:p>
    <w:p w14:paraId="02C04682" w14:textId="77777777" w:rsidR="00CD616B"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Societal trends have a profound influence on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brand positioning and product strategy. Post-COVID-19, there has been a notable increase in health and fitness awareness, driving demand for performance and lifestyle apparel. Simultaneously, consumers increasingly prioritise inclusivity, ethical practices, and sustainability when making purchasing decisions (Johnson et al., 2020). These social expectations necessitate that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aligns its marketing, product development, and corporate social responsibility initiatives with evolving consumer values.</w:t>
      </w:r>
    </w:p>
    <w:p w14:paraId="13E6F058" w14:textId="052B4DC2"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t>4. Technological Factors</w:t>
      </w:r>
    </w:p>
    <w:p w14:paraId="1D9F1386" w14:textId="77777777" w:rsidR="00CD616B"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Technological advancements represent both opportunities and challenges for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The rise of artificial intelligence in marketing, supply chain analytics, and personalised customer experiences enables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to optimise operations, enhance consumer engagement, and respond to market trends more effectively. Additionally, the growth of platforms such as TikTok, YouTube Shorts, and fitness technology has transformed brand communication and engagement, providing new channels to reach and influence target audiences (Grant, 2021). Continuous investment in digital innovation is therefore essential for sustaining competitive advantage.</w:t>
      </w:r>
    </w:p>
    <w:p w14:paraId="336A6546" w14:textId="24A2BD44"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t>5. Legal Factors</w:t>
      </w:r>
    </w:p>
    <w:p w14:paraId="13BBFD2F" w14:textId="77777777" w:rsidR="00CD616B" w:rsidRPr="00754C28" w:rsidRDefault="00CD616B"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operates within a complex legal framework that governs data protection, marketing practices, and labour standards. Regulations such as the General Data Protection Regulation (GDPR) require strict compliance in managing customer data, while laws around influencer marketing demand transparency and ethical promotion (Pearce &amp; Robinson, 2021). Moreover, labour practices across the supply chain must adhere to ethical and legal </w:t>
      </w:r>
      <w:r w:rsidRPr="00754C28">
        <w:rPr>
          <w:rFonts w:ascii="Arial" w:hAnsi="Arial" w:cs="Arial"/>
          <w:sz w:val="22"/>
          <w:szCs w:val="22"/>
        </w:rPr>
        <w:lastRenderedPageBreak/>
        <w:t>standards. Non-compliance in any of these areas could result in financial penalties, reputational damage, and loss of consumer trust.</w:t>
      </w:r>
    </w:p>
    <w:p w14:paraId="6A57C43B" w14:textId="46CAD584" w:rsidR="00CD616B" w:rsidRPr="00754C28" w:rsidRDefault="00CD616B" w:rsidP="009A034D">
      <w:pPr>
        <w:spacing w:line="360" w:lineRule="auto"/>
        <w:rPr>
          <w:rFonts w:ascii="Arial" w:hAnsi="Arial" w:cs="Arial"/>
          <w:sz w:val="22"/>
          <w:szCs w:val="22"/>
        </w:rPr>
      </w:pPr>
      <w:r w:rsidRPr="00754C28">
        <w:rPr>
          <w:rFonts w:ascii="Arial" w:hAnsi="Arial" w:cs="Arial"/>
          <w:b/>
          <w:bCs/>
          <w:sz w:val="22"/>
          <w:szCs w:val="22"/>
        </w:rPr>
        <w:t>6. Environmental Factors</w:t>
      </w:r>
    </w:p>
    <w:p w14:paraId="0A446176" w14:textId="58F2C3EE" w:rsidR="00CD616B" w:rsidRPr="00754C28" w:rsidRDefault="00CD616B" w:rsidP="009A034D">
      <w:pPr>
        <w:spacing w:line="360" w:lineRule="auto"/>
        <w:rPr>
          <w:rFonts w:ascii="Arial" w:hAnsi="Arial" w:cs="Arial"/>
          <w:sz w:val="22"/>
          <w:szCs w:val="22"/>
        </w:rPr>
      </w:pPr>
      <w:r w:rsidRPr="00754C28">
        <w:rPr>
          <w:rFonts w:ascii="Arial" w:hAnsi="Arial" w:cs="Arial"/>
          <w:sz w:val="22"/>
          <w:szCs w:val="22"/>
        </w:rPr>
        <w:t xml:space="preserve">Environmental considerations are increasingly influencing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operational and strategic decisions. Consumers and regulators are placing growing emphasis on sustainable and eco-friendly products, as well as carbon-neutral production processes (Johnson et al., 2020). In response,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is expected to integrate sustainability into product design, sourcing, and operational strategies to meet stakeholder expectations and maintain brand credibility.</w:t>
      </w:r>
    </w:p>
    <w:p w14:paraId="202906C9" w14:textId="3C725C1C" w:rsidR="00EB5B1C" w:rsidRPr="00754C28" w:rsidRDefault="00741115" w:rsidP="009A034D">
      <w:pPr>
        <w:pStyle w:val="Heading1"/>
        <w:spacing w:line="360" w:lineRule="auto"/>
        <w:rPr>
          <w:rFonts w:ascii="Arial" w:hAnsi="Arial" w:cs="Arial"/>
          <w:sz w:val="22"/>
          <w:szCs w:val="22"/>
        </w:rPr>
      </w:pPr>
      <w:bookmarkStart w:id="7" w:name="_Toc215334798"/>
      <w:r w:rsidRPr="00754C28">
        <w:rPr>
          <w:rFonts w:ascii="Arial" w:hAnsi="Arial" w:cs="Arial"/>
          <w:sz w:val="22"/>
          <w:szCs w:val="22"/>
        </w:rPr>
        <w:t>Internal Environment</w:t>
      </w:r>
      <w:bookmarkEnd w:id="7"/>
      <w:r w:rsidR="00EB5B1C" w:rsidRPr="00754C28">
        <w:rPr>
          <w:rFonts w:ascii="Arial" w:hAnsi="Arial" w:cs="Arial"/>
          <w:sz w:val="22"/>
          <w:szCs w:val="22"/>
        </w:rPr>
        <w:t xml:space="preserve"> </w:t>
      </w:r>
    </w:p>
    <w:p w14:paraId="3C926843" w14:textId="1C8E74F1" w:rsidR="00741115" w:rsidRPr="00754C28" w:rsidRDefault="00741115" w:rsidP="009A034D">
      <w:pPr>
        <w:pStyle w:val="Heading2"/>
        <w:spacing w:line="360" w:lineRule="auto"/>
        <w:rPr>
          <w:rFonts w:ascii="Arial" w:hAnsi="Arial" w:cs="Arial"/>
          <w:sz w:val="22"/>
          <w:szCs w:val="22"/>
        </w:rPr>
      </w:pPr>
      <w:bookmarkStart w:id="8" w:name="_Toc215334799"/>
      <w:r w:rsidRPr="00754C28">
        <w:rPr>
          <w:rFonts w:ascii="Arial" w:hAnsi="Arial" w:cs="Arial"/>
          <w:sz w:val="22"/>
          <w:szCs w:val="22"/>
        </w:rPr>
        <w:t>SWOT Analysis</w:t>
      </w:r>
      <w:bookmarkEnd w:id="8"/>
    </w:p>
    <w:p w14:paraId="3EE8C856" w14:textId="64FEB82A"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 xml:space="preserve">A SWOT analysis is a widely recognised strategic tool that enables organisations to evaluate their internal strengths and weaknesses alongside external opportunities and threats (Pahl &amp; Richter, 2009). For </w:t>
      </w:r>
      <w:proofErr w:type="spellStart"/>
      <w:r w:rsidRPr="00754C28">
        <w:rPr>
          <w:rFonts w:ascii="Arial" w:hAnsi="Arial" w:cs="Arial"/>
          <w:sz w:val="22"/>
          <w:szCs w:val="22"/>
        </w:rPr>
        <w:t>Gymshark</w:t>
      </w:r>
      <w:proofErr w:type="spellEnd"/>
      <w:r w:rsidRPr="00754C28">
        <w:rPr>
          <w:rFonts w:ascii="Arial" w:hAnsi="Arial" w:cs="Arial"/>
          <w:sz w:val="22"/>
          <w:szCs w:val="22"/>
        </w:rPr>
        <w:t>, this analysis provides critical insights into the internal capabilities and external pressures that influence strategic decision-making and inform change management initiatives.</w:t>
      </w:r>
    </w:p>
    <w:p w14:paraId="035A5221" w14:textId="77777777"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Strengths</w:t>
      </w:r>
    </w:p>
    <w:p w14:paraId="0FCD59B7" w14:textId="2A20A97C" w:rsidR="00634043" w:rsidRPr="00754C28" w:rsidRDefault="00634043"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has established a strong online brand community, developed through targeted social media campaigns and strategic influencer partnerships, which enhances brand loyalty and global recognition (</w:t>
      </w:r>
      <w:proofErr w:type="spellStart"/>
      <w:r w:rsidRPr="00754C28">
        <w:rPr>
          <w:rFonts w:ascii="Arial" w:hAnsi="Arial" w:cs="Arial"/>
          <w:sz w:val="22"/>
          <w:szCs w:val="22"/>
        </w:rPr>
        <w:t>Sarsby</w:t>
      </w:r>
      <w:proofErr w:type="spellEnd"/>
      <w:r w:rsidRPr="00754C28">
        <w:rPr>
          <w:rFonts w:ascii="Arial" w:hAnsi="Arial" w:cs="Arial"/>
          <w:sz w:val="22"/>
          <w:szCs w:val="22"/>
        </w:rPr>
        <w:t xml:space="preserve">, 2016). The company’s data-driven marketing approach allows for personalised promotions, effective customer targeting, and informed operational decisions, conferring a competitive advantage within the digital retail environment. Moreover,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agile and youthful organisational culture fosters rapid innovation and product development, enabling the company to respond quickly to emerging fitness trends. Its innovative product designs further differentiate the brand, reinforcing its position as a lifestyle-focused and performance-driven fitness brand (Grant, 2021).</w:t>
      </w:r>
    </w:p>
    <w:p w14:paraId="53F76F7C" w14:textId="77777777"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Weaknesses</w:t>
      </w:r>
    </w:p>
    <w:p w14:paraId="3E8E0D95" w14:textId="3A5911C1"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 xml:space="preserve">Despite its digital success,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demonstrates a high dependence on online sales, with relatively limited experience in physical retail operations (</w:t>
      </w:r>
      <w:proofErr w:type="spellStart"/>
      <w:r w:rsidRPr="00754C28">
        <w:rPr>
          <w:rFonts w:ascii="Arial" w:hAnsi="Arial" w:cs="Arial"/>
          <w:sz w:val="22"/>
          <w:szCs w:val="22"/>
        </w:rPr>
        <w:t>Sarsby</w:t>
      </w:r>
      <w:proofErr w:type="spellEnd"/>
      <w:r w:rsidRPr="00754C28">
        <w:rPr>
          <w:rFonts w:ascii="Arial" w:hAnsi="Arial" w:cs="Arial"/>
          <w:sz w:val="22"/>
          <w:szCs w:val="22"/>
        </w:rPr>
        <w:t xml:space="preserve">, 2016). This overreliance poses a challenge as the company pursues an omnichannel strategy. Additionally, supply </w:t>
      </w:r>
      <w:r w:rsidRPr="00754C28">
        <w:rPr>
          <w:rFonts w:ascii="Arial" w:hAnsi="Arial" w:cs="Arial"/>
          <w:sz w:val="22"/>
          <w:szCs w:val="22"/>
        </w:rPr>
        <w:lastRenderedPageBreak/>
        <w:t>chain scalability issues and operational growing pains associated with rapid expansion may impact product quality, timely delivery, and overall operational efficiency (Grant, 2021).</w:t>
      </w:r>
    </w:p>
    <w:p w14:paraId="6AABF3C7" w14:textId="170CF271"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Opportunities</w:t>
      </w:r>
    </w:p>
    <w:p w14:paraId="6A5C111D" w14:textId="316DAEB6"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 xml:space="preserve">External market trends offer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significant growth potential. Global expansion presents the opportunity to capture new markets and increase revenue streams. The integration of artificial intelligence (AI) and data analytics can enhance customer personalisation, optimise inventory management, and improve operational efficiency. Furthermore, the increasing consumer preference for sustainable and ethically produced apparel provides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with the potential to strengthen brand differentiation and enhance corporate social responsibility initiatives (Grant, 2021; Pahl &amp; Richter, 2009).</w:t>
      </w:r>
    </w:p>
    <w:p w14:paraId="69098343" w14:textId="77777777" w:rsidR="00634043" w:rsidRPr="00754C28" w:rsidRDefault="00634043" w:rsidP="009A034D">
      <w:pPr>
        <w:spacing w:line="360" w:lineRule="auto"/>
        <w:rPr>
          <w:rFonts w:ascii="Arial" w:hAnsi="Arial" w:cs="Arial"/>
          <w:sz w:val="22"/>
          <w:szCs w:val="22"/>
        </w:rPr>
      </w:pPr>
      <w:r w:rsidRPr="00754C28">
        <w:rPr>
          <w:rFonts w:ascii="Arial" w:hAnsi="Arial" w:cs="Arial"/>
          <w:sz w:val="22"/>
          <w:szCs w:val="22"/>
        </w:rPr>
        <w:t>Threats</w:t>
      </w:r>
    </w:p>
    <w:p w14:paraId="17FA70E1" w14:textId="11F87AE1" w:rsidR="00634043" w:rsidRPr="00754C28" w:rsidRDefault="00634043"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operates in a highly competitive environment, facing rivalry from global brands such as Nike, Adidas, and Lululemon, as well as emerging direct-to-consumer (D2C) competitors (</w:t>
      </w:r>
      <w:proofErr w:type="spellStart"/>
      <w:r w:rsidRPr="00754C28">
        <w:rPr>
          <w:rFonts w:ascii="Arial" w:hAnsi="Arial" w:cs="Arial"/>
          <w:sz w:val="22"/>
          <w:szCs w:val="22"/>
        </w:rPr>
        <w:t>Sarsby</w:t>
      </w:r>
      <w:proofErr w:type="spellEnd"/>
      <w:r w:rsidRPr="00754C28">
        <w:rPr>
          <w:rFonts w:ascii="Arial" w:hAnsi="Arial" w:cs="Arial"/>
          <w:sz w:val="22"/>
          <w:szCs w:val="22"/>
        </w:rPr>
        <w:t xml:space="preserve">, 2016). Additionally, rising digital fatigue among consumers may reduce engagement with online marketing channels, which are central to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business model. Macro-economic pressures, including inflation and reduced discretionary consumer spending, further exacerbate these challenges.</w:t>
      </w:r>
    </w:p>
    <w:p w14:paraId="4C51FA8D" w14:textId="11F87AE1" w:rsidR="00741115" w:rsidRPr="00754C28" w:rsidRDefault="00741115" w:rsidP="009A034D">
      <w:pPr>
        <w:pStyle w:val="Heading1"/>
        <w:spacing w:line="360" w:lineRule="auto"/>
        <w:rPr>
          <w:rFonts w:ascii="Arial" w:hAnsi="Arial" w:cs="Arial"/>
          <w:sz w:val="22"/>
          <w:szCs w:val="22"/>
        </w:rPr>
      </w:pPr>
      <w:bookmarkStart w:id="9" w:name="_Toc215334800"/>
      <w:r w:rsidRPr="00754C28">
        <w:rPr>
          <w:rFonts w:ascii="Arial" w:hAnsi="Arial" w:cs="Arial"/>
          <w:sz w:val="22"/>
          <w:szCs w:val="22"/>
        </w:rPr>
        <w:t>Triggers for Change</w:t>
      </w:r>
      <w:bookmarkEnd w:id="9"/>
    </w:p>
    <w:p w14:paraId="1F090F9E" w14:textId="5FD2DE2D"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Organisational change within digitally native brands is increasingly driven by digital saturation, evolving retail expectations, technological transformation, sustainability imperatives, and the complexities of global expansion.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is historically dependent on rapid, social-media-led growth and these pressures highlight the need for strategic realignment.</w:t>
      </w:r>
    </w:p>
    <w:p w14:paraId="39A8E5D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Digital saturation now restricts the effectiveness of traditional influencer-led marketing, with crowded online environments contributing to plateauing engagement levels. As the novelty of online-only engagement declines,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original growth model offers diminishing returns. Simultaneously, the omnichannel evolution is redefining consumer expectations. Customers increasingly value seamless integration between digital and physical interactions, raising demand for experiential retail spaces that reinforce brand identity (Verhoef et al., 2021). This shift strengthens the strategic rationale for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expansion into physical and experiential retail formats.</w:t>
      </w:r>
    </w:p>
    <w:p w14:paraId="1F86EB03"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lastRenderedPageBreak/>
        <w:t xml:space="preserve">Technological disruption, including AI, automation, and predictive analytics, further compels organisational change. To remain competitive,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must modernise its data infrastructure and adopt more advanced technological capabilities that support decision-making, supply chain optimisation, and personalised customer engagement.</w:t>
      </w:r>
    </w:p>
    <w:p w14:paraId="15F28D83"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At the same time, sustainability pressures are reshaping expectations for apparel brands. Heightened scrutiny from consumers and regulators has intensified the demand for ethical sourcing, transparent supply chains, and reduced environmental impact (Niinimäki et al., 2020). As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grows internationally, these pressures intersect with the challenges of global expansion, which require more sophisticated operational systems, governance mechanisms, and leadership structures than those typical of early-stage startups.</w:t>
      </w:r>
    </w:p>
    <w:p w14:paraId="152B8FA4" w14:textId="27D99FBE"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Collectively, these triggers indicate that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must transition from a fast-growth digital startup toward a mature, resilient, tech-enabled lifestyle brand, supported by stronger operational capabilities and a long-term strategic orientation.</w:t>
      </w:r>
    </w:p>
    <w:p w14:paraId="0E1035F3" w14:textId="27D99FBE" w:rsidR="007A6B65" w:rsidRPr="00754C28" w:rsidRDefault="007A6B65" w:rsidP="009A034D">
      <w:pPr>
        <w:pStyle w:val="Heading1"/>
        <w:spacing w:line="360" w:lineRule="auto"/>
        <w:rPr>
          <w:rFonts w:ascii="Arial" w:hAnsi="Arial" w:cs="Arial"/>
          <w:sz w:val="22"/>
          <w:szCs w:val="22"/>
        </w:rPr>
      </w:pPr>
      <w:bookmarkStart w:id="10" w:name="_Toc215334801"/>
      <w:r w:rsidRPr="00754C28">
        <w:rPr>
          <w:rFonts w:ascii="Arial" w:hAnsi="Arial" w:cs="Arial"/>
          <w:sz w:val="22"/>
          <w:szCs w:val="22"/>
        </w:rPr>
        <w:t>Evaluation of Change Management Models</w:t>
      </w:r>
      <w:bookmarkEnd w:id="10"/>
    </w:p>
    <w:p w14:paraId="540467EC" w14:textId="71C453A0" w:rsidR="00754C28" w:rsidRPr="00754C28" w:rsidRDefault="007A6B65" w:rsidP="009A034D">
      <w:pPr>
        <w:spacing w:line="360" w:lineRule="auto"/>
        <w:rPr>
          <w:rStyle w:val="Heading2Char"/>
          <w:rFonts w:ascii="Arial" w:hAnsi="Arial" w:cs="Arial"/>
          <w:sz w:val="22"/>
          <w:szCs w:val="22"/>
        </w:rPr>
      </w:pPr>
      <w:bookmarkStart w:id="11" w:name="_Toc215334802"/>
      <w:r w:rsidRPr="00754C28">
        <w:rPr>
          <w:rStyle w:val="Heading2Char"/>
          <w:rFonts w:ascii="Arial" w:hAnsi="Arial" w:cs="Arial"/>
          <w:sz w:val="22"/>
          <w:szCs w:val="22"/>
        </w:rPr>
        <w:t>Lewin’s Three-Step Model (Unfreeze–Change–Refreeze)</w:t>
      </w:r>
      <w:bookmarkEnd w:id="11"/>
    </w:p>
    <w:p w14:paraId="2BC6D9F2" w14:textId="04B2A22E" w:rsidR="00754C28" w:rsidRPr="00754C28" w:rsidRDefault="00754C28" w:rsidP="009A034D">
      <w:pPr>
        <w:spacing w:line="360" w:lineRule="auto"/>
        <w:rPr>
          <w:rFonts w:ascii="Arial" w:eastAsiaTheme="majorEastAsia" w:hAnsi="Arial" w:cs="Arial"/>
          <w:color w:val="0F4761" w:themeColor="accent1" w:themeShade="BF"/>
          <w:sz w:val="22"/>
          <w:szCs w:val="22"/>
        </w:rPr>
      </w:pPr>
      <w:r w:rsidRPr="00754C28">
        <w:rPr>
          <w:rFonts w:ascii="Arial" w:hAnsi="Arial" w:cs="Arial"/>
          <w:sz w:val="22"/>
          <w:szCs w:val="22"/>
        </w:rPr>
        <w:t xml:space="preserve">Unfreeze: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recognised the limitations of its digital-only growth model and initiated organisational reflection to build awareness among key stakeholders regarding the need for strategic diversification. This included challenging entrenched assumptions about digital exclusivity and highlighting the benefits of a physical retail presence and a more professionalised management structure (By, 2005).</w:t>
      </w:r>
    </w:p>
    <w:p w14:paraId="06A3E618"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Change: In response,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implemented a series of structural and operational transformations. These included the appointment of an expanded leadership team, the introduction of enterprise resource planning (ERP) systems, and the adoption of AI-driven analytics to enable more effective forecasting, customer insights, and omnichannel coordination. These changes marked a shift from an entrepreneurial, founder-led set of practices toward more formalised organisational systems.</w:t>
      </w:r>
    </w:p>
    <w:p w14:paraId="58BEDDA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Refreeze: Following implementation, new cultural norms were embedded to stabilise the changes. These centred on professionalism, data-driven decision-making, and a commitment to continuous innovation. Standardised processes, clearer reporting mechanisms, and more defined performance expectations were established to ensure the changes became part of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sustained organisational identity.</w:t>
      </w:r>
    </w:p>
    <w:p w14:paraId="2D49BBE3" w14:textId="2CDF0EC2"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lastRenderedPageBreak/>
        <w:t xml:space="preserve">While Lewin’s three-stage model offers a clear and structured way to conceptualise change, its assumption of a stable “refrozen” end-state is problematic in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highly dynamic digital environment. Continuous technological disruption, shifting consumer expectations, and ongoing global expansion mean organisational stability is temporary, reinforcing critiques that Lewin’s model is too linear for modern contexts (Burnes, 2004).</w:t>
      </w:r>
    </w:p>
    <w:p w14:paraId="68F87ED5" w14:textId="510EE4F1" w:rsidR="007A6B65" w:rsidRPr="00754C28" w:rsidRDefault="007A6B65" w:rsidP="009A034D">
      <w:pPr>
        <w:spacing w:line="360" w:lineRule="auto"/>
        <w:rPr>
          <w:rFonts w:ascii="Arial" w:hAnsi="Arial" w:cs="Arial"/>
          <w:sz w:val="22"/>
          <w:szCs w:val="22"/>
        </w:rPr>
      </w:pPr>
      <w:bookmarkStart w:id="12" w:name="_Toc215334803"/>
      <w:r w:rsidRPr="00754C28">
        <w:rPr>
          <w:rStyle w:val="Heading2Char"/>
          <w:rFonts w:ascii="Arial" w:hAnsi="Arial" w:cs="Arial"/>
          <w:sz w:val="22"/>
          <w:szCs w:val="22"/>
        </w:rPr>
        <w:t xml:space="preserve">Kotter’s 8-Step Model (More suitable for </w:t>
      </w:r>
      <w:proofErr w:type="spellStart"/>
      <w:r w:rsidRPr="00754C28">
        <w:rPr>
          <w:rStyle w:val="Heading2Char"/>
          <w:rFonts w:ascii="Arial" w:hAnsi="Arial" w:cs="Arial"/>
          <w:sz w:val="22"/>
          <w:szCs w:val="22"/>
        </w:rPr>
        <w:t>Gymshark</w:t>
      </w:r>
      <w:proofErr w:type="spellEnd"/>
      <w:r w:rsidRPr="00754C28">
        <w:rPr>
          <w:rStyle w:val="Heading2Char"/>
          <w:rFonts w:ascii="Arial" w:hAnsi="Arial" w:cs="Arial"/>
          <w:sz w:val="22"/>
          <w:szCs w:val="22"/>
        </w:rPr>
        <w:t>)</w:t>
      </w:r>
      <w:bookmarkEnd w:id="12"/>
    </w:p>
    <w:p w14:paraId="5ED0FA56" w14:textId="0949E8F1"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Create Urgency: Falling engagement on digital platforms and the saturation of social media channels highlighted the limitations of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digital-only growth model. These challenges created a sense of urgency among stakeholders to diversify the brand’s strategy and explore new avenues for growth (Kotter, 2012).</w:t>
      </w:r>
    </w:p>
    <w:p w14:paraId="1220AC28" w14:textId="3720976F"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Build a Guiding Coalition: To lead the transformation,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founder, Ben Francis, appointed experienced executives from established companies such as Nike and ASOS. This coalition brought industry expertise, credibility, and leadership capability to drive the organisational change.</w:t>
      </w:r>
    </w:p>
    <w:p w14:paraId="0A793820" w14:textId="645DAEA1"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Develop Vision and Strategy: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articulated a clear vision of becoming a global, omnichannel fitness lifestyle brand powered by technology. The strategy encompassed expansion into physical retail, implementation of AI-driven analytics, and strengthening operational systems to support long-term growth.</w:t>
      </w:r>
    </w:p>
    <w:p w14:paraId="676AE2F0" w14:textId="70F14C33"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Communicate the Vision: The vision was communicated through internal workshops, digital briefings, and transparent updates from the CEO. These initiatives aimed to ensure alignment and buy-in across all levels of the organisation.</w:t>
      </w:r>
    </w:p>
    <w:p w14:paraId="0A90FDB0" w14:textId="1C84F00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Empower Employees: Employees were supported through targeted training programs in areas such as data analytics, retail operations, and AI-enabled marketing. Empowering staff with the necessary skills allowed them to actively contribute to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transformation.</w:t>
      </w:r>
    </w:p>
    <w:p w14:paraId="7760FD02" w14:textId="17C0B2EB"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Generate Short-term Wins: Early successes were showcased to build momentum and validate the change process. Examples included the launch of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first flagship store and the deployment of an AI-driven customer relationship management (CRM) system, demonstrating tangible benefits of the new strategy.</w:t>
      </w:r>
    </w:p>
    <w:p w14:paraId="168BC8B1" w14:textId="6CC9E63F"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Consolidate Gains: Building on initial successes,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expanded into North America and Asia, implementing new omnichannel models to strengthen its global presence. This step reinforced the benefits of the transformation and maintained momentum across the organisation.</w:t>
      </w:r>
    </w:p>
    <w:p w14:paraId="4AE2B615" w14:textId="77777777" w:rsidR="00270080" w:rsidRDefault="00754C28" w:rsidP="009A034D">
      <w:pPr>
        <w:spacing w:line="360" w:lineRule="auto"/>
        <w:rPr>
          <w:rFonts w:ascii="Arial" w:hAnsi="Arial" w:cs="Arial"/>
          <w:sz w:val="22"/>
          <w:szCs w:val="22"/>
        </w:rPr>
      </w:pPr>
      <w:r w:rsidRPr="00754C28">
        <w:rPr>
          <w:rFonts w:ascii="Arial" w:hAnsi="Arial" w:cs="Arial"/>
          <w:sz w:val="22"/>
          <w:szCs w:val="22"/>
        </w:rPr>
        <w:lastRenderedPageBreak/>
        <w:t xml:space="preserve">Anchor New Approaches: To ensure long-term sustainability,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embedded innovation and ethical practices into its company culture. Strategic focus on continuous technological adoption, experiential retail, and sustainability initiatives reinforced the new ways of working and aligned organisational behaviours with the brand’s evolving vision.</w:t>
      </w:r>
    </w:p>
    <w:p w14:paraId="6B4AE9D0" w14:textId="22C06B5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Evaluation: Kotter’s model provides a structured framework that captures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people-oriented and iterative transformation process. By emphasising leadership, communication, and early wins, it accommodates both operational changes and cultural shifts, making it more applicable than linear models in explaining how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navigated a dynamic, digital-intensive environment (Kotter, 2012).</w:t>
      </w:r>
    </w:p>
    <w:p w14:paraId="0BBE7DB3" w14:textId="580DCD77" w:rsidR="007A6B65" w:rsidRPr="00754C28" w:rsidRDefault="007A6B65" w:rsidP="009A034D">
      <w:pPr>
        <w:pStyle w:val="Heading2"/>
        <w:spacing w:line="360" w:lineRule="auto"/>
        <w:rPr>
          <w:rFonts w:ascii="Arial" w:hAnsi="Arial" w:cs="Arial"/>
          <w:sz w:val="22"/>
          <w:szCs w:val="22"/>
        </w:rPr>
      </w:pPr>
      <w:bookmarkStart w:id="13" w:name="_Toc215334804"/>
      <w:r w:rsidRPr="00754C28">
        <w:rPr>
          <w:rFonts w:ascii="Arial" w:hAnsi="Arial" w:cs="Arial"/>
          <w:sz w:val="22"/>
          <w:szCs w:val="22"/>
        </w:rPr>
        <w:t>Application of Agile Change Management</w:t>
      </w:r>
      <w:bookmarkEnd w:id="13"/>
    </w:p>
    <w:p w14:paraId="4515D657" w14:textId="7670166C"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Given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relative youth and organisational flexibility, Agile Change Management provides a highly adaptable framework for navigating dynamic market conditions. Key elements of this approach include continuous improvement cycles, iterative testing of initiatives such as AI-driven customer recommendations or retail store prototypes and cross-functional collaboration across teams. By combining the structured guidance of Kotter’s model with Agile principles,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can maintain strategic direction while remaining responsive to rapid technological advancements, shifting consumer behaviours, and emerging opportunities in the digital and omnichannel retail landscape. This hybrid approach supports both operational execution and cultural adaptability, enabling the company to sustain competitive advantage in a fast-paced environment (Highsmith, 2013).</w:t>
      </w:r>
    </w:p>
    <w:p w14:paraId="2CDAB5AF" w14:textId="7670166C" w:rsidR="007A6B65" w:rsidRPr="00754C28" w:rsidRDefault="007A6B65" w:rsidP="009A034D">
      <w:pPr>
        <w:pStyle w:val="Heading1"/>
        <w:spacing w:line="360" w:lineRule="auto"/>
        <w:rPr>
          <w:rFonts w:ascii="Arial" w:hAnsi="Arial" w:cs="Arial"/>
          <w:sz w:val="22"/>
          <w:szCs w:val="22"/>
        </w:rPr>
      </w:pPr>
      <w:bookmarkStart w:id="14" w:name="_Toc215334805"/>
      <w:r w:rsidRPr="00754C28">
        <w:rPr>
          <w:rFonts w:ascii="Arial" w:hAnsi="Arial" w:cs="Arial"/>
          <w:sz w:val="22"/>
          <w:szCs w:val="22"/>
        </w:rPr>
        <w:t>Leadership and Organisational Culture</w:t>
      </w:r>
      <w:bookmarkEnd w:id="14"/>
    </w:p>
    <w:p w14:paraId="12EDFDDD" w14:textId="5B559388" w:rsidR="00754C28" w:rsidRPr="00754C28" w:rsidRDefault="007A6B65" w:rsidP="009A034D">
      <w:pPr>
        <w:pStyle w:val="Heading2"/>
        <w:spacing w:line="360" w:lineRule="auto"/>
        <w:rPr>
          <w:rFonts w:ascii="Arial" w:hAnsi="Arial" w:cs="Arial"/>
          <w:sz w:val="22"/>
          <w:szCs w:val="22"/>
        </w:rPr>
      </w:pPr>
      <w:bookmarkStart w:id="15" w:name="_Toc215334806"/>
      <w:r w:rsidRPr="00754C28">
        <w:rPr>
          <w:rFonts w:ascii="Arial" w:hAnsi="Arial" w:cs="Arial"/>
          <w:sz w:val="22"/>
          <w:szCs w:val="22"/>
        </w:rPr>
        <w:t>Leadership Role and Style</w:t>
      </w:r>
      <w:bookmarkEnd w:id="15"/>
    </w:p>
    <w:p w14:paraId="4F30D4C3" w14:textId="64A1DC0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Ben Francis exemplifies transformational leadership, inspiring employees by articulating a compelling vision, demonstrating authenticity, and empowering staff to take initiative. His emphasis on open communication both internally and through social media has fostered trust and transparency across the organisation. Operational authority is delegated to professional managers, enabling efficient decision-making, while Francis retains strategic and cultural oversight to safeguard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core values and brand identity.</w:t>
      </w:r>
    </w:p>
    <w:p w14:paraId="67CCAEA1" w14:textId="74AAFD20"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During periods of change, Francis’s leadership was pivotal in guiding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from a founder-led startup to a scalable, global brand. By balancing strategic delegation with active cultural stewardship, he ensured that the company could expand operationally without losing </w:t>
      </w:r>
      <w:r w:rsidRPr="00754C28">
        <w:rPr>
          <w:rFonts w:ascii="Arial" w:hAnsi="Arial" w:cs="Arial"/>
          <w:sz w:val="22"/>
          <w:szCs w:val="22"/>
        </w:rPr>
        <w:lastRenderedPageBreak/>
        <w:t>the authenticity and community-driven ethos that underpins its success (Bass &amp; Riggio, 2006).</w:t>
      </w:r>
    </w:p>
    <w:p w14:paraId="4DA9EB69" w14:textId="7E0515F1" w:rsidR="007A6B65" w:rsidRPr="00754C28" w:rsidRDefault="007A6B65" w:rsidP="009A034D">
      <w:pPr>
        <w:pStyle w:val="Heading2"/>
        <w:spacing w:line="360" w:lineRule="auto"/>
        <w:rPr>
          <w:rFonts w:ascii="Arial" w:hAnsi="Arial" w:cs="Arial"/>
          <w:sz w:val="22"/>
          <w:szCs w:val="22"/>
        </w:rPr>
      </w:pPr>
      <w:bookmarkStart w:id="16" w:name="_Toc215334807"/>
      <w:r w:rsidRPr="00754C28">
        <w:rPr>
          <w:rFonts w:ascii="Arial" w:hAnsi="Arial" w:cs="Arial"/>
          <w:sz w:val="22"/>
          <w:szCs w:val="22"/>
        </w:rPr>
        <w:t>The Role of Leadership in Managing Change</w:t>
      </w:r>
      <w:bookmarkEnd w:id="16"/>
    </w:p>
    <w:p w14:paraId="65ACB9B4" w14:textId="4E43B6D2"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Effective strategic leadership at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involves setting a clear vision and guiding the organisation through its transition to an omnichannel business model. Leaders model adaptability and a commitment to continuous learning, demonstrating the behaviours and mindset necessary to navigate a dynamic, technology-driven market. A strong guiding coalition is built through the recruitment of experienced executives and cross-functional collaboration, ensuring that change initiatives are effectively supported at multiple levels of the organisation. Additionally, shared purpose is promoted by fostering engagement both within the employee base and the wider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community, reinforcing cultural alignment and commitment to the brand’s evolving strategic objectives (Northouse, 2019).</w:t>
      </w:r>
    </w:p>
    <w:p w14:paraId="15C8AC3E" w14:textId="1BD305E2" w:rsidR="007A6B65" w:rsidRPr="00754C28" w:rsidRDefault="007A6B65" w:rsidP="009A034D">
      <w:pPr>
        <w:pStyle w:val="Heading2"/>
        <w:spacing w:line="360" w:lineRule="auto"/>
        <w:rPr>
          <w:rFonts w:ascii="Arial" w:hAnsi="Arial" w:cs="Arial"/>
          <w:sz w:val="22"/>
          <w:szCs w:val="22"/>
        </w:rPr>
      </w:pPr>
      <w:bookmarkStart w:id="17" w:name="_Toc215334808"/>
      <w:r w:rsidRPr="00754C28">
        <w:rPr>
          <w:rFonts w:ascii="Arial" w:hAnsi="Arial" w:cs="Arial"/>
          <w:sz w:val="22"/>
          <w:szCs w:val="22"/>
        </w:rPr>
        <w:t>Organisational Culture and its Impact</w:t>
      </w:r>
      <w:bookmarkEnd w:id="17"/>
    </w:p>
    <w:p w14:paraId="12EC1FEF"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Applying Schein’s (2010) model,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culture can be understood at three levels:</w:t>
      </w:r>
    </w:p>
    <w:p w14:paraId="0791CE6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Artifacts: Observable elements include modern branding, open-plan workspaces, and digital-first tools that reinforce the company’s tech-savvy, collaborative environment.</w:t>
      </w:r>
    </w:p>
    <w:p w14:paraId="7FA8BA5B"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Espoused Values: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promotes values such as community, innovation, fitness, and transparency. These guide behaviour and decision-making across teams and communicate the organisation’s identity to both employees and external stakeholders.</w:t>
      </w:r>
    </w:p>
    <w:p w14:paraId="07022CF3"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Underlying Assumptions: Core assumptions reflect a mindset of “move fast, stay authentic, serve the athlete,” which drives the company’s entrepreneurial agility and responsiveness to market trends.</w:t>
      </w:r>
    </w:p>
    <w:p w14:paraId="79830B5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Cultural Impact: This youthful, community-driven culture facilitates creativity and rapid innovation. However, it can also generate resistance when introducing formal structures and standardised processes. To sustain organisational transformation, leadership must carefully balance entrepreneurial agility with operational discipline, ensuring that growth and scalability do not compromise the authenticity and values that define the brand (Schein, 2010, pp. 23–27).</w:t>
      </w:r>
    </w:p>
    <w:p w14:paraId="186DBA7E" w14:textId="3FCE8BAB" w:rsidR="007A6B65" w:rsidRPr="00754C28" w:rsidRDefault="007A6B65" w:rsidP="009A034D">
      <w:pPr>
        <w:pStyle w:val="Heading1"/>
        <w:spacing w:line="360" w:lineRule="auto"/>
        <w:rPr>
          <w:rFonts w:ascii="Arial" w:hAnsi="Arial" w:cs="Arial"/>
          <w:sz w:val="22"/>
          <w:szCs w:val="22"/>
        </w:rPr>
      </w:pPr>
      <w:bookmarkStart w:id="18" w:name="_Toc215334809"/>
      <w:r w:rsidRPr="00754C28">
        <w:rPr>
          <w:rFonts w:ascii="Arial" w:hAnsi="Arial" w:cs="Arial"/>
          <w:sz w:val="22"/>
          <w:szCs w:val="22"/>
        </w:rPr>
        <w:t>Proposed Strategic Change Management Plan</w:t>
      </w:r>
      <w:bookmarkEnd w:id="18"/>
    </w:p>
    <w:p w14:paraId="48C83947"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Title:</w:t>
      </w:r>
      <w:r w:rsidRPr="00754C28">
        <w:rPr>
          <w:rFonts w:ascii="Arial" w:hAnsi="Arial" w:cs="Arial"/>
          <w:sz w:val="22"/>
          <w:szCs w:val="22"/>
        </w:rPr>
        <w:t xml:space="preserve"> AI-Driven Omnichannel Transformation Initiative</w:t>
      </w:r>
    </w:p>
    <w:p w14:paraId="6E65786F" w14:textId="7719AA0D" w:rsidR="00754C28" w:rsidRPr="00754C28" w:rsidRDefault="00754C28" w:rsidP="009A034D">
      <w:pPr>
        <w:spacing w:line="360" w:lineRule="auto"/>
        <w:rPr>
          <w:rFonts w:ascii="Arial" w:hAnsi="Arial" w:cs="Arial"/>
          <w:sz w:val="22"/>
          <w:szCs w:val="22"/>
        </w:rPr>
      </w:pPr>
      <w:proofErr w:type="spellStart"/>
      <w:r w:rsidRPr="00754C28">
        <w:rPr>
          <w:rFonts w:ascii="Arial" w:hAnsi="Arial" w:cs="Arial"/>
          <w:sz w:val="22"/>
          <w:szCs w:val="22"/>
        </w:rPr>
        <w:lastRenderedPageBreak/>
        <w:t>Gymshark</w:t>
      </w:r>
      <w:proofErr w:type="spellEnd"/>
      <w:r w:rsidRPr="00754C28">
        <w:rPr>
          <w:rFonts w:ascii="Arial" w:hAnsi="Arial" w:cs="Arial"/>
          <w:sz w:val="22"/>
          <w:szCs w:val="22"/>
        </w:rPr>
        <w:t xml:space="preserve"> will leverage artificial intelligence (AI), advanced analytics, and omnichannel integration to enhance customer experience, improve operational efficiency, and embed sustainability into its core business processes. This initiative aims to transform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into a digitally empowered, globally scalable fitness lifestyle brand while maintaining its authentic, community-driven culture.</w:t>
      </w:r>
    </w:p>
    <w:p w14:paraId="45CA2B8A"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Objectives</w:t>
      </w:r>
    </w:p>
    <w:p w14:paraId="77F538A7" w14:textId="77777777" w:rsidR="00754C28" w:rsidRPr="00754C28" w:rsidRDefault="00754C28" w:rsidP="009A034D">
      <w:pPr>
        <w:numPr>
          <w:ilvl w:val="0"/>
          <w:numId w:val="11"/>
        </w:numPr>
        <w:spacing w:line="360" w:lineRule="auto"/>
        <w:rPr>
          <w:rFonts w:ascii="Arial" w:hAnsi="Arial" w:cs="Arial"/>
          <w:sz w:val="22"/>
          <w:szCs w:val="22"/>
        </w:rPr>
      </w:pPr>
      <w:r w:rsidRPr="00754C28">
        <w:rPr>
          <w:rFonts w:ascii="Arial" w:hAnsi="Arial" w:cs="Arial"/>
          <w:sz w:val="22"/>
          <w:szCs w:val="22"/>
        </w:rPr>
        <w:t>Achieve a 20% increase in omnichannel sales by 2026.</w:t>
      </w:r>
    </w:p>
    <w:p w14:paraId="158B519C" w14:textId="77777777" w:rsidR="00754C28" w:rsidRPr="00754C28" w:rsidRDefault="00754C28" w:rsidP="009A034D">
      <w:pPr>
        <w:numPr>
          <w:ilvl w:val="0"/>
          <w:numId w:val="11"/>
        </w:numPr>
        <w:spacing w:line="360" w:lineRule="auto"/>
        <w:rPr>
          <w:rFonts w:ascii="Arial" w:hAnsi="Arial" w:cs="Arial"/>
          <w:sz w:val="22"/>
          <w:szCs w:val="22"/>
        </w:rPr>
      </w:pPr>
      <w:r w:rsidRPr="00754C28">
        <w:rPr>
          <w:rFonts w:ascii="Arial" w:hAnsi="Arial" w:cs="Arial"/>
          <w:sz w:val="22"/>
          <w:szCs w:val="22"/>
        </w:rPr>
        <w:t>Implement AI-powered personalization across all customer touchpoints by 2025.</w:t>
      </w:r>
    </w:p>
    <w:p w14:paraId="1CC699BA" w14:textId="77777777" w:rsidR="00754C28" w:rsidRPr="00754C28" w:rsidRDefault="00754C28" w:rsidP="009A034D">
      <w:pPr>
        <w:numPr>
          <w:ilvl w:val="0"/>
          <w:numId w:val="11"/>
        </w:numPr>
        <w:spacing w:line="360" w:lineRule="auto"/>
        <w:rPr>
          <w:rFonts w:ascii="Arial" w:hAnsi="Arial" w:cs="Arial"/>
          <w:sz w:val="22"/>
          <w:szCs w:val="22"/>
        </w:rPr>
      </w:pPr>
      <w:r w:rsidRPr="00754C28">
        <w:rPr>
          <w:rFonts w:ascii="Arial" w:hAnsi="Arial" w:cs="Arial"/>
          <w:sz w:val="22"/>
          <w:szCs w:val="22"/>
        </w:rPr>
        <w:t>Reduce inventory waste by 15% through predictive analytics.</w:t>
      </w:r>
    </w:p>
    <w:p w14:paraId="0A043610" w14:textId="77777777" w:rsidR="00754C28" w:rsidRPr="00754C28" w:rsidRDefault="00754C28" w:rsidP="009A034D">
      <w:pPr>
        <w:numPr>
          <w:ilvl w:val="0"/>
          <w:numId w:val="11"/>
        </w:numPr>
        <w:spacing w:line="360" w:lineRule="auto"/>
        <w:rPr>
          <w:rFonts w:ascii="Arial" w:hAnsi="Arial" w:cs="Arial"/>
          <w:sz w:val="22"/>
          <w:szCs w:val="22"/>
        </w:rPr>
      </w:pPr>
      <w:r w:rsidRPr="00754C28">
        <w:rPr>
          <w:rFonts w:ascii="Arial" w:hAnsi="Arial" w:cs="Arial"/>
          <w:sz w:val="22"/>
          <w:szCs w:val="22"/>
        </w:rPr>
        <w:t>Achieve carbon-neutral logistics by 2027.</w:t>
      </w:r>
    </w:p>
    <w:p w14:paraId="6F0C33D9" w14:textId="753EA1A5" w:rsidR="00754C28" w:rsidRPr="00754C28" w:rsidRDefault="00754C28" w:rsidP="009A034D">
      <w:pPr>
        <w:numPr>
          <w:ilvl w:val="0"/>
          <w:numId w:val="11"/>
        </w:numPr>
        <w:spacing w:line="360" w:lineRule="auto"/>
        <w:rPr>
          <w:rFonts w:ascii="Arial" w:hAnsi="Arial" w:cs="Arial"/>
          <w:sz w:val="22"/>
          <w:szCs w:val="22"/>
        </w:rPr>
      </w:pPr>
      <w:r w:rsidRPr="00754C28">
        <w:rPr>
          <w:rFonts w:ascii="Arial" w:hAnsi="Arial" w:cs="Arial"/>
          <w:sz w:val="22"/>
          <w:szCs w:val="22"/>
        </w:rPr>
        <w:t>Enhance employee digital literacy via company-wide AI training programs.</w:t>
      </w:r>
    </w:p>
    <w:p w14:paraId="422DF9C1"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Implementation Framework</w:t>
      </w:r>
    </w:p>
    <w:p w14:paraId="78D32692"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Model:</w:t>
      </w:r>
      <w:r w:rsidRPr="00754C28">
        <w:rPr>
          <w:rFonts w:ascii="Arial" w:hAnsi="Arial" w:cs="Arial"/>
          <w:sz w:val="22"/>
          <w:szCs w:val="22"/>
        </w:rPr>
        <w:t xml:space="preserve"> Kotter’s 8-Step Change Model combined with Agile sprints for iterative execution and continuous improvement.</w:t>
      </w:r>
    </w:p>
    <w:p w14:paraId="577B977D"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Key Actions:</w:t>
      </w:r>
    </w:p>
    <w:p w14:paraId="3B6F7858" w14:textId="77777777" w:rsidR="00754C28" w:rsidRPr="00754C28" w:rsidRDefault="00754C28" w:rsidP="009A034D">
      <w:pPr>
        <w:numPr>
          <w:ilvl w:val="0"/>
          <w:numId w:val="12"/>
        </w:numPr>
        <w:spacing w:line="360" w:lineRule="auto"/>
        <w:rPr>
          <w:rFonts w:ascii="Arial" w:hAnsi="Arial" w:cs="Arial"/>
          <w:sz w:val="22"/>
          <w:szCs w:val="22"/>
        </w:rPr>
      </w:pPr>
      <w:r w:rsidRPr="00754C28">
        <w:rPr>
          <w:rFonts w:ascii="Arial" w:hAnsi="Arial" w:cs="Arial"/>
          <w:sz w:val="22"/>
          <w:szCs w:val="22"/>
        </w:rPr>
        <w:t>Deploy an AI-based customer analytics platform to optimize product recommendations, marketing, and engagement.</w:t>
      </w:r>
    </w:p>
    <w:p w14:paraId="3E688AF4" w14:textId="77777777" w:rsidR="00754C28" w:rsidRPr="00754C28" w:rsidRDefault="00754C28" w:rsidP="009A034D">
      <w:pPr>
        <w:numPr>
          <w:ilvl w:val="0"/>
          <w:numId w:val="12"/>
        </w:numPr>
        <w:spacing w:line="360" w:lineRule="auto"/>
        <w:rPr>
          <w:rFonts w:ascii="Arial" w:hAnsi="Arial" w:cs="Arial"/>
          <w:sz w:val="22"/>
          <w:szCs w:val="22"/>
        </w:rPr>
      </w:pPr>
      <w:r w:rsidRPr="00754C28">
        <w:rPr>
          <w:rFonts w:ascii="Arial" w:hAnsi="Arial" w:cs="Arial"/>
          <w:sz w:val="22"/>
          <w:szCs w:val="22"/>
        </w:rPr>
        <w:t>Integrate CRM and ERP systems across online and offline channels to ensure seamless omnichannel operations.</w:t>
      </w:r>
    </w:p>
    <w:p w14:paraId="4BA79B51" w14:textId="77777777" w:rsidR="00754C28" w:rsidRPr="00754C28" w:rsidRDefault="00754C28" w:rsidP="009A034D">
      <w:pPr>
        <w:numPr>
          <w:ilvl w:val="0"/>
          <w:numId w:val="12"/>
        </w:numPr>
        <w:spacing w:line="360" w:lineRule="auto"/>
        <w:rPr>
          <w:rFonts w:ascii="Arial" w:hAnsi="Arial" w:cs="Arial"/>
          <w:sz w:val="22"/>
          <w:szCs w:val="22"/>
        </w:rPr>
      </w:pPr>
      <w:r w:rsidRPr="00754C28">
        <w:rPr>
          <w:rFonts w:ascii="Arial" w:hAnsi="Arial" w:cs="Arial"/>
          <w:sz w:val="22"/>
          <w:szCs w:val="22"/>
        </w:rPr>
        <w:t>Launch a sustainability-driven product line using recycled materials to reinforce environmental commitments.</w:t>
      </w:r>
    </w:p>
    <w:p w14:paraId="70538ECC" w14:textId="3B571B91" w:rsidR="00754C28" w:rsidRPr="00754C28" w:rsidRDefault="00754C28" w:rsidP="009A034D">
      <w:pPr>
        <w:numPr>
          <w:ilvl w:val="0"/>
          <w:numId w:val="12"/>
        </w:numPr>
        <w:spacing w:line="360" w:lineRule="auto"/>
        <w:rPr>
          <w:rFonts w:ascii="Arial" w:hAnsi="Arial" w:cs="Arial"/>
          <w:sz w:val="22"/>
          <w:szCs w:val="22"/>
        </w:rPr>
      </w:pPr>
      <w:r w:rsidRPr="00754C28">
        <w:rPr>
          <w:rFonts w:ascii="Arial" w:hAnsi="Arial" w:cs="Arial"/>
          <w:sz w:val="22"/>
          <w:szCs w:val="22"/>
        </w:rPr>
        <w:t>Strengthen leadership and communication channels globally to support change management, knowledge sharing, and cultural alignment.</w:t>
      </w:r>
    </w:p>
    <w:p w14:paraId="509A1A39"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Financial Plan</w:t>
      </w:r>
    </w:p>
    <w:p w14:paraId="42ECEF1F"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To ensure financial viability and accountability, the initiative will be supported by a structured financial plan:</w:t>
      </w:r>
    </w:p>
    <w:p w14:paraId="169E601D" w14:textId="77777777" w:rsidR="00754C28" w:rsidRPr="00754C28" w:rsidRDefault="00754C28" w:rsidP="009A034D">
      <w:pPr>
        <w:numPr>
          <w:ilvl w:val="0"/>
          <w:numId w:val="13"/>
        </w:numPr>
        <w:spacing w:line="360" w:lineRule="auto"/>
        <w:rPr>
          <w:rFonts w:ascii="Arial" w:hAnsi="Arial" w:cs="Arial"/>
          <w:sz w:val="22"/>
          <w:szCs w:val="22"/>
        </w:rPr>
      </w:pPr>
      <w:r w:rsidRPr="00754C28">
        <w:rPr>
          <w:rFonts w:ascii="Arial" w:hAnsi="Arial" w:cs="Arial"/>
          <w:b/>
          <w:bCs/>
          <w:sz w:val="22"/>
          <w:szCs w:val="22"/>
        </w:rPr>
        <w:t>Budget Allocation:</w:t>
      </w:r>
      <w:r w:rsidRPr="00754C28">
        <w:rPr>
          <w:rFonts w:ascii="Arial" w:hAnsi="Arial" w:cs="Arial"/>
          <w:sz w:val="22"/>
          <w:szCs w:val="22"/>
        </w:rPr>
        <w:t xml:space="preserve"> £15 million over three years, covering AI infrastructure, ERP/CRM integration, training programs, and sustainability initiatives.</w:t>
      </w:r>
    </w:p>
    <w:p w14:paraId="54DA08EF" w14:textId="77777777" w:rsidR="00754C28" w:rsidRPr="00754C28" w:rsidRDefault="00754C28" w:rsidP="009A034D">
      <w:pPr>
        <w:numPr>
          <w:ilvl w:val="0"/>
          <w:numId w:val="13"/>
        </w:numPr>
        <w:spacing w:line="360" w:lineRule="auto"/>
        <w:rPr>
          <w:rFonts w:ascii="Arial" w:hAnsi="Arial" w:cs="Arial"/>
          <w:sz w:val="22"/>
          <w:szCs w:val="22"/>
        </w:rPr>
      </w:pPr>
      <w:r w:rsidRPr="00754C28">
        <w:rPr>
          <w:rFonts w:ascii="Arial" w:hAnsi="Arial" w:cs="Arial"/>
          <w:b/>
          <w:bCs/>
          <w:sz w:val="22"/>
          <w:szCs w:val="22"/>
        </w:rPr>
        <w:lastRenderedPageBreak/>
        <w:t>Revenue Projections:</w:t>
      </w:r>
      <w:r w:rsidRPr="00754C28">
        <w:rPr>
          <w:rFonts w:ascii="Arial" w:hAnsi="Arial" w:cs="Arial"/>
          <w:sz w:val="22"/>
          <w:szCs w:val="22"/>
        </w:rPr>
        <w:t xml:space="preserve"> Omnichannel expansion is projected to increase total sales by 20% by 2026, contributing an estimated £50 million in additional revenue.</w:t>
      </w:r>
    </w:p>
    <w:p w14:paraId="4B958ED7" w14:textId="77777777" w:rsidR="00754C28" w:rsidRPr="00754C28" w:rsidRDefault="00754C28" w:rsidP="009A034D">
      <w:pPr>
        <w:numPr>
          <w:ilvl w:val="0"/>
          <w:numId w:val="13"/>
        </w:numPr>
        <w:spacing w:line="360" w:lineRule="auto"/>
        <w:rPr>
          <w:rFonts w:ascii="Arial" w:hAnsi="Arial" w:cs="Arial"/>
          <w:sz w:val="22"/>
          <w:szCs w:val="22"/>
        </w:rPr>
      </w:pPr>
      <w:r w:rsidRPr="00754C28">
        <w:rPr>
          <w:rFonts w:ascii="Arial" w:hAnsi="Arial" w:cs="Arial"/>
          <w:b/>
          <w:bCs/>
          <w:sz w:val="22"/>
          <w:szCs w:val="22"/>
        </w:rPr>
        <w:t>Cost Savings:</w:t>
      </w:r>
      <w:r w:rsidRPr="00754C28">
        <w:rPr>
          <w:rFonts w:ascii="Arial" w:hAnsi="Arial" w:cs="Arial"/>
          <w:sz w:val="22"/>
          <w:szCs w:val="22"/>
        </w:rPr>
        <w:t xml:space="preserve"> Predictive analytics and AI-driven inventory management are expected to reduce waste-related costs by approximately 10–15%, translating to annual savings of £2–3 million.</w:t>
      </w:r>
    </w:p>
    <w:p w14:paraId="625B1DED" w14:textId="30772684" w:rsidR="00754C28" w:rsidRPr="00754C28" w:rsidRDefault="00754C28" w:rsidP="009A034D">
      <w:pPr>
        <w:numPr>
          <w:ilvl w:val="0"/>
          <w:numId w:val="13"/>
        </w:numPr>
        <w:spacing w:line="360" w:lineRule="auto"/>
        <w:rPr>
          <w:rFonts w:ascii="Arial" w:hAnsi="Arial" w:cs="Arial"/>
          <w:sz w:val="22"/>
          <w:szCs w:val="22"/>
        </w:rPr>
      </w:pPr>
      <w:r w:rsidRPr="00754C28">
        <w:rPr>
          <w:rFonts w:ascii="Arial" w:hAnsi="Arial" w:cs="Arial"/>
          <w:b/>
          <w:bCs/>
          <w:sz w:val="22"/>
          <w:szCs w:val="22"/>
        </w:rPr>
        <w:t>ROI Analysis:</w:t>
      </w:r>
      <w:r w:rsidRPr="00754C28">
        <w:rPr>
          <w:rFonts w:ascii="Arial" w:hAnsi="Arial" w:cs="Arial"/>
          <w:sz w:val="22"/>
          <w:szCs w:val="22"/>
        </w:rPr>
        <w:t xml:space="preserve"> The anticipated financial return from improved sales, operational efficiency, and sustainability initiatives is projected to exceed investment costs within four years, demonstrating both economic and strategic value.</w:t>
      </w:r>
    </w:p>
    <w:p w14:paraId="32FC3A3A" w14:textId="26BFC44E" w:rsidR="00754C28" w:rsidRPr="00754C28" w:rsidRDefault="00754C28" w:rsidP="009A034D">
      <w:pPr>
        <w:spacing w:line="360" w:lineRule="auto"/>
        <w:ind w:left="360"/>
        <w:rPr>
          <w:rFonts w:ascii="Arial" w:hAnsi="Arial" w:cs="Arial"/>
          <w:sz w:val="22"/>
          <w:szCs w:val="22"/>
        </w:rPr>
      </w:pPr>
      <w:r w:rsidRPr="00754C28">
        <w:rPr>
          <w:rFonts w:ascii="Arial" w:hAnsi="Arial" w:cs="Arial"/>
          <w:noProof/>
          <w:sz w:val="22"/>
          <w:szCs w:val="22"/>
        </w:rPr>
        <w:drawing>
          <wp:inline distT="0" distB="0" distL="0" distR="0" wp14:anchorId="25DAB94E" wp14:editId="1AB41795">
            <wp:extent cx="5229225" cy="3228975"/>
            <wp:effectExtent l="0" t="0" r="9525" b="9525"/>
            <wp:docPr id="1628613978" name="Picture 3" descr="A graph showing a growing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613978" name="Picture 3" descr="A graph showing a growing graph"/>
                    <pic:cNvPicPr/>
                  </pic:nvPicPr>
                  <pic:blipFill>
                    <a:blip r:embed="rId10">
                      <a:extLst>
                        <a:ext uri="{28A0092B-C50C-407E-A947-70E740481C1C}">
                          <a14:useLocalDpi xmlns:a14="http://schemas.microsoft.com/office/drawing/2010/main" val="0"/>
                        </a:ext>
                      </a:extLst>
                    </a:blip>
                    <a:stretch>
                      <a:fillRect/>
                    </a:stretch>
                  </pic:blipFill>
                  <pic:spPr>
                    <a:xfrm>
                      <a:off x="0" y="0"/>
                      <a:ext cx="5229225" cy="3228975"/>
                    </a:xfrm>
                    <a:prstGeom prst="rect">
                      <a:avLst/>
                    </a:prstGeom>
                  </pic:spPr>
                </pic:pic>
              </a:graphicData>
            </a:graphic>
          </wp:inline>
        </w:drawing>
      </w:r>
    </w:p>
    <w:p w14:paraId="5C97EE94" w14:textId="09F970EB"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Communication Plan</w:t>
      </w:r>
    </w:p>
    <w:p w14:paraId="4BA889AB"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Effective communication will be critical to the success of the transformation:</w:t>
      </w:r>
    </w:p>
    <w:p w14:paraId="1BB64029" w14:textId="77777777" w:rsidR="00754C28" w:rsidRPr="00754C28" w:rsidRDefault="00754C28" w:rsidP="009A034D">
      <w:pPr>
        <w:numPr>
          <w:ilvl w:val="0"/>
          <w:numId w:val="14"/>
        </w:numPr>
        <w:spacing w:line="360" w:lineRule="auto"/>
        <w:rPr>
          <w:rFonts w:ascii="Arial" w:hAnsi="Arial" w:cs="Arial"/>
          <w:sz w:val="22"/>
          <w:szCs w:val="22"/>
        </w:rPr>
      </w:pPr>
      <w:r w:rsidRPr="00754C28">
        <w:rPr>
          <w:rFonts w:ascii="Arial" w:hAnsi="Arial" w:cs="Arial"/>
          <w:b/>
          <w:bCs/>
          <w:sz w:val="22"/>
          <w:szCs w:val="22"/>
        </w:rPr>
        <w:t>Internal Communication:</w:t>
      </w:r>
    </w:p>
    <w:p w14:paraId="39C832F8" w14:textId="77777777" w:rsidR="00754C28" w:rsidRPr="00754C28" w:rsidRDefault="00754C28" w:rsidP="009A034D">
      <w:pPr>
        <w:numPr>
          <w:ilvl w:val="1"/>
          <w:numId w:val="14"/>
        </w:numPr>
        <w:spacing w:line="360" w:lineRule="auto"/>
        <w:rPr>
          <w:rFonts w:ascii="Arial" w:hAnsi="Arial" w:cs="Arial"/>
          <w:sz w:val="22"/>
          <w:szCs w:val="22"/>
        </w:rPr>
      </w:pPr>
      <w:r w:rsidRPr="00754C28">
        <w:rPr>
          <w:rFonts w:ascii="Arial" w:hAnsi="Arial" w:cs="Arial"/>
          <w:sz w:val="22"/>
          <w:szCs w:val="22"/>
        </w:rPr>
        <w:t>Regular updates via town halls, digital briefings, and newsletters to ensure employees are informed of progress and objectives.</w:t>
      </w:r>
    </w:p>
    <w:p w14:paraId="50583846" w14:textId="77777777" w:rsidR="00754C28" w:rsidRPr="00754C28" w:rsidRDefault="00754C28" w:rsidP="009A034D">
      <w:pPr>
        <w:numPr>
          <w:ilvl w:val="1"/>
          <w:numId w:val="14"/>
        </w:numPr>
        <w:spacing w:line="360" w:lineRule="auto"/>
        <w:rPr>
          <w:rFonts w:ascii="Arial" w:hAnsi="Arial" w:cs="Arial"/>
          <w:sz w:val="22"/>
          <w:szCs w:val="22"/>
        </w:rPr>
      </w:pPr>
      <w:r w:rsidRPr="00754C28">
        <w:rPr>
          <w:rFonts w:ascii="Arial" w:hAnsi="Arial" w:cs="Arial"/>
          <w:sz w:val="22"/>
          <w:szCs w:val="22"/>
        </w:rPr>
        <w:t>Workshops and training sessions to develop digital literacy and AI competency across teams.</w:t>
      </w:r>
    </w:p>
    <w:p w14:paraId="6373A9A6" w14:textId="77777777" w:rsidR="00754C28" w:rsidRPr="00754C28" w:rsidRDefault="00754C28" w:rsidP="009A034D">
      <w:pPr>
        <w:numPr>
          <w:ilvl w:val="1"/>
          <w:numId w:val="14"/>
        </w:numPr>
        <w:spacing w:line="360" w:lineRule="auto"/>
        <w:rPr>
          <w:rFonts w:ascii="Arial" w:hAnsi="Arial" w:cs="Arial"/>
          <w:sz w:val="22"/>
          <w:szCs w:val="22"/>
        </w:rPr>
      </w:pPr>
      <w:r w:rsidRPr="00754C28">
        <w:rPr>
          <w:rFonts w:ascii="Arial" w:hAnsi="Arial" w:cs="Arial"/>
          <w:sz w:val="22"/>
          <w:szCs w:val="22"/>
        </w:rPr>
        <w:t>Feedback mechanisms, including surveys and cross-functional forums, to encourage employee engagement and co-creation.</w:t>
      </w:r>
    </w:p>
    <w:p w14:paraId="67402570" w14:textId="77777777" w:rsidR="00754C28" w:rsidRPr="00754C28" w:rsidRDefault="00754C28" w:rsidP="009A034D">
      <w:pPr>
        <w:numPr>
          <w:ilvl w:val="0"/>
          <w:numId w:val="14"/>
        </w:numPr>
        <w:spacing w:line="360" w:lineRule="auto"/>
        <w:rPr>
          <w:rFonts w:ascii="Arial" w:hAnsi="Arial" w:cs="Arial"/>
          <w:sz w:val="22"/>
          <w:szCs w:val="22"/>
        </w:rPr>
      </w:pPr>
      <w:r w:rsidRPr="00754C28">
        <w:rPr>
          <w:rFonts w:ascii="Arial" w:hAnsi="Arial" w:cs="Arial"/>
          <w:b/>
          <w:bCs/>
          <w:sz w:val="22"/>
          <w:szCs w:val="22"/>
        </w:rPr>
        <w:lastRenderedPageBreak/>
        <w:t>External Communication:</w:t>
      </w:r>
    </w:p>
    <w:p w14:paraId="22E91541" w14:textId="77777777" w:rsidR="00754C28" w:rsidRPr="00754C28" w:rsidRDefault="00754C28" w:rsidP="009A034D">
      <w:pPr>
        <w:numPr>
          <w:ilvl w:val="1"/>
          <w:numId w:val="14"/>
        </w:numPr>
        <w:spacing w:line="360" w:lineRule="auto"/>
        <w:rPr>
          <w:rFonts w:ascii="Arial" w:hAnsi="Arial" w:cs="Arial"/>
          <w:sz w:val="22"/>
          <w:szCs w:val="22"/>
        </w:rPr>
      </w:pPr>
      <w:r w:rsidRPr="00754C28">
        <w:rPr>
          <w:rFonts w:ascii="Arial" w:hAnsi="Arial" w:cs="Arial"/>
          <w:sz w:val="22"/>
          <w:szCs w:val="22"/>
        </w:rPr>
        <w:t>Transparent updates on sustainability achievements, omnichannel expansion, and technological innovations via social media, press releases, and investor briefings.</w:t>
      </w:r>
    </w:p>
    <w:p w14:paraId="62E110BD" w14:textId="77777777" w:rsidR="00754C28" w:rsidRPr="00754C28" w:rsidRDefault="00754C28" w:rsidP="009A034D">
      <w:pPr>
        <w:numPr>
          <w:ilvl w:val="1"/>
          <w:numId w:val="14"/>
        </w:numPr>
        <w:spacing w:line="360" w:lineRule="auto"/>
        <w:rPr>
          <w:rFonts w:ascii="Arial" w:hAnsi="Arial" w:cs="Arial"/>
          <w:sz w:val="22"/>
          <w:szCs w:val="22"/>
        </w:rPr>
      </w:pPr>
      <w:r w:rsidRPr="00754C28">
        <w:rPr>
          <w:rFonts w:ascii="Arial" w:hAnsi="Arial" w:cs="Arial"/>
          <w:sz w:val="22"/>
          <w:szCs w:val="22"/>
        </w:rPr>
        <w:t>Marketing campaigns highlighting new AI-driven personalization features and sustainable product lines to reinforce brand credibility and customer loyalty.</w:t>
      </w:r>
    </w:p>
    <w:p w14:paraId="3BFF63C3" w14:textId="5BD4966E"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By combining structured change management (Kotter) with Agile methodologies, alongside robust financial and communication strategies,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can maintain strategic direction while adapting rapidly to evolving market demands, technological innovation, and sustainability pressures (Kotter, 2012; Highsmith, 2013).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0"/>
        <w:gridCol w:w="957"/>
        <w:gridCol w:w="1250"/>
        <w:gridCol w:w="1299"/>
        <w:gridCol w:w="637"/>
        <w:gridCol w:w="1117"/>
        <w:gridCol w:w="933"/>
        <w:gridCol w:w="1253"/>
      </w:tblGrid>
      <w:tr w:rsidR="00754C28" w:rsidRPr="00754C28" w14:paraId="33955035" w14:textId="77777777" w:rsidTr="00754C28">
        <w:trPr>
          <w:tblHeader/>
          <w:tblCellSpacing w:w="15" w:type="dxa"/>
        </w:trPr>
        <w:tc>
          <w:tcPr>
            <w:tcW w:w="0" w:type="auto"/>
            <w:vAlign w:val="center"/>
            <w:hideMark/>
          </w:tcPr>
          <w:p w14:paraId="4FA30B67"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Key Activities</w:t>
            </w:r>
          </w:p>
        </w:tc>
        <w:tc>
          <w:tcPr>
            <w:tcW w:w="0" w:type="auto"/>
            <w:vAlign w:val="center"/>
            <w:hideMark/>
          </w:tcPr>
          <w:p w14:paraId="3CF946E9"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CEO / Founder</w:t>
            </w:r>
          </w:p>
        </w:tc>
        <w:tc>
          <w:tcPr>
            <w:tcW w:w="0" w:type="auto"/>
            <w:vAlign w:val="center"/>
            <w:hideMark/>
          </w:tcPr>
          <w:p w14:paraId="42221FFA"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Executive Leadership Team</w:t>
            </w:r>
          </w:p>
        </w:tc>
        <w:tc>
          <w:tcPr>
            <w:tcW w:w="0" w:type="auto"/>
            <w:vAlign w:val="center"/>
            <w:hideMark/>
          </w:tcPr>
          <w:p w14:paraId="323190AA"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Department Managers</w:t>
            </w:r>
          </w:p>
        </w:tc>
        <w:tc>
          <w:tcPr>
            <w:tcW w:w="0" w:type="auto"/>
            <w:vAlign w:val="center"/>
            <w:hideMark/>
          </w:tcPr>
          <w:p w14:paraId="3287913E"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IT / Data Team</w:t>
            </w:r>
          </w:p>
        </w:tc>
        <w:tc>
          <w:tcPr>
            <w:tcW w:w="0" w:type="auto"/>
            <w:vAlign w:val="center"/>
            <w:hideMark/>
          </w:tcPr>
          <w:p w14:paraId="15DBB5F1"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Marketing &amp; Sales</w:t>
            </w:r>
          </w:p>
        </w:tc>
        <w:tc>
          <w:tcPr>
            <w:tcW w:w="0" w:type="auto"/>
            <w:vAlign w:val="center"/>
            <w:hideMark/>
          </w:tcPr>
          <w:p w14:paraId="28DF9DCB"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HR / Training</w:t>
            </w:r>
          </w:p>
        </w:tc>
        <w:tc>
          <w:tcPr>
            <w:tcW w:w="0" w:type="auto"/>
            <w:vAlign w:val="center"/>
            <w:hideMark/>
          </w:tcPr>
          <w:p w14:paraId="25B533EA" w14:textId="77777777" w:rsidR="00754C28" w:rsidRPr="00754C28" w:rsidRDefault="00754C28" w:rsidP="009A034D">
            <w:pPr>
              <w:spacing w:line="360" w:lineRule="auto"/>
              <w:rPr>
                <w:rFonts w:ascii="Arial" w:hAnsi="Arial" w:cs="Arial"/>
                <w:b/>
                <w:bCs/>
                <w:sz w:val="22"/>
                <w:szCs w:val="22"/>
              </w:rPr>
            </w:pPr>
            <w:r w:rsidRPr="00754C28">
              <w:rPr>
                <w:rFonts w:ascii="Arial" w:hAnsi="Arial" w:cs="Arial"/>
                <w:b/>
                <w:bCs/>
                <w:sz w:val="22"/>
                <w:szCs w:val="22"/>
              </w:rPr>
              <w:t>Employees</w:t>
            </w:r>
          </w:p>
        </w:tc>
      </w:tr>
      <w:tr w:rsidR="00754C28" w:rsidRPr="00754C28" w14:paraId="1FE35E74" w14:textId="77777777" w:rsidTr="00754C28">
        <w:trPr>
          <w:tblCellSpacing w:w="15" w:type="dxa"/>
        </w:trPr>
        <w:tc>
          <w:tcPr>
            <w:tcW w:w="0" w:type="auto"/>
            <w:vAlign w:val="center"/>
            <w:hideMark/>
          </w:tcPr>
          <w:p w14:paraId="0232BD93"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Set strategic vision</w:t>
            </w:r>
          </w:p>
        </w:tc>
        <w:tc>
          <w:tcPr>
            <w:tcW w:w="0" w:type="auto"/>
            <w:vAlign w:val="center"/>
            <w:hideMark/>
          </w:tcPr>
          <w:p w14:paraId="6F9F6C58"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520C51C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3DAAEA2F"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60E6D63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12B46D86"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2EDA5EF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0A7AB0F5"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79BDECE8" w14:textId="77777777" w:rsidTr="00754C28">
        <w:trPr>
          <w:tblCellSpacing w:w="15" w:type="dxa"/>
        </w:trPr>
        <w:tc>
          <w:tcPr>
            <w:tcW w:w="0" w:type="auto"/>
            <w:vAlign w:val="center"/>
            <w:hideMark/>
          </w:tcPr>
          <w:p w14:paraId="70AB4B80"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Deploy AI-based customer analytics</w:t>
            </w:r>
          </w:p>
        </w:tc>
        <w:tc>
          <w:tcPr>
            <w:tcW w:w="0" w:type="auto"/>
            <w:vAlign w:val="center"/>
            <w:hideMark/>
          </w:tcPr>
          <w:p w14:paraId="767C52A6"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1A7BB2E7"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168B007E"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6D9E9A91"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789CA0B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2BCF5A70"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4CCD4431"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6F61829A" w14:textId="77777777" w:rsidTr="00754C28">
        <w:trPr>
          <w:tblCellSpacing w:w="15" w:type="dxa"/>
        </w:trPr>
        <w:tc>
          <w:tcPr>
            <w:tcW w:w="0" w:type="auto"/>
            <w:vAlign w:val="center"/>
            <w:hideMark/>
          </w:tcPr>
          <w:p w14:paraId="063669B6"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Integrate CRM &amp; ERP systems</w:t>
            </w:r>
          </w:p>
        </w:tc>
        <w:tc>
          <w:tcPr>
            <w:tcW w:w="0" w:type="auto"/>
            <w:vAlign w:val="center"/>
            <w:hideMark/>
          </w:tcPr>
          <w:p w14:paraId="70820E1B"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48641B58"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4379CA6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325767B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5E322F6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465108B6"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2DC811D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64B0275B" w14:textId="77777777" w:rsidTr="00754C28">
        <w:trPr>
          <w:tblCellSpacing w:w="15" w:type="dxa"/>
        </w:trPr>
        <w:tc>
          <w:tcPr>
            <w:tcW w:w="0" w:type="auto"/>
            <w:vAlign w:val="center"/>
            <w:hideMark/>
          </w:tcPr>
          <w:p w14:paraId="0ADC46CF"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Launch sustainability-driven product line</w:t>
            </w:r>
          </w:p>
        </w:tc>
        <w:tc>
          <w:tcPr>
            <w:tcW w:w="0" w:type="auto"/>
            <w:vAlign w:val="center"/>
            <w:hideMark/>
          </w:tcPr>
          <w:p w14:paraId="3F95263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57E84D4B"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05EA285E"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031B43C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480370B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47083DB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2234F538"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72348155" w14:textId="77777777" w:rsidTr="00754C28">
        <w:trPr>
          <w:tblCellSpacing w:w="15" w:type="dxa"/>
        </w:trPr>
        <w:tc>
          <w:tcPr>
            <w:tcW w:w="0" w:type="auto"/>
            <w:vAlign w:val="center"/>
            <w:hideMark/>
          </w:tcPr>
          <w:p w14:paraId="54E2A8DF" w14:textId="11FEC2E6"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 xml:space="preserve">Develop employee AI </w:t>
            </w:r>
            <w:r w:rsidRPr="00754C28">
              <w:rPr>
                <w:rFonts w:ascii="Arial" w:hAnsi="Arial" w:cs="Arial"/>
                <w:b/>
                <w:bCs/>
                <w:sz w:val="22"/>
                <w:szCs w:val="22"/>
              </w:rPr>
              <w:lastRenderedPageBreak/>
              <w:t xml:space="preserve">&amp; </w:t>
            </w:r>
            <w:r w:rsidR="009A034D">
              <w:rPr>
                <w:rFonts w:ascii="Arial" w:hAnsi="Arial" w:cs="Arial"/>
                <w:b/>
                <w:bCs/>
                <w:sz w:val="22"/>
                <w:szCs w:val="22"/>
              </w:rPr>
              <w:t>D</w:t>
            </w:r>
            <w:r w:rsidRPr="00754C28">
              <w:rPr>
                <w:rFonts w:ascii="Arial" w:hAnsi="Arial" w:cs="Arial"/>
                <w:b/>
                <w:bCs/>
                <w:sz w:val="22"/>
                <w:szCs w:val="22"/>
              </w:rPr>
              <w:t>igital training</w:t>
            </w:r>
          </w:p>
        </w:tc>
        <w:tc>
          <w:tcPr>
            <w:tcW w:w="0" w:type="auto"/>
            <w:vAlign w:val="center"/>
            <w:hideMark/>
          </w:tcPr>
          <w:p w14:paraId="1675528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lastRenderedPageBreak/>
              <w:t>I</w:t>
            </w:r>
          </w:p>
        </w:tc>
        <w:tc>
          <w:tcPr>
            <w:tcW w:w="0" w:type="auto"/>
            <w:vAlign w:val="center"/>
            <w:hideMark/>
          </w:tcPr>
          <w:p w14:paraId="2DEC8F0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673845B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74D7DB4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1803B2B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60EC0FC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5B269525"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r>
      <w:tr w:rsidR="00754C28" w:rsidRPr="00754C28" w14:paraId="7D5114AC" w14:textId="77777777" w:rsidTr="00754C28">
        <w:trPr>
          <w:tblCellSpacing w:w="15" w:type="dxa"/>
        </w:trPr>
        <w:tc>
          <w:tcPr>
            <w:tcW w:w="0" w:type="auto"/>
            <w:vAlign w:val="center"/>
            <w:hideMark/>
          </w:tcPr>
          <w:p w14:paraId="6352925D" w14:textId="02587C42"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 xml:space="preserve">Communicate vision </w:t>
            </w:r>
            <w:r w:rsidR="009A034D">
              <w:rPr>
                <w:rFonts w:ascii="Arial" w:hAnsi="Arial" w:cs="Arial"/>
                <w:b/>
                <w:bCs/>
                <w:sz w:val="22"/>
                <w:szCs w:val="22"/>
              </w:rPr>
              <w:t>I</w:t>
            </w:r>
            <w:r w:rsidRPr="00754C28">
              <w:rPr>
                <w:rFonts w:ascii="Arial" w:hAnsi="Arial" w:cs="Arial"/>
                <w:b/>
                <w:bCs/>
                <w:sz w:val="22"/>
                <w:szCs w:val="22"/>
              </w:rPr>
              <w:t xml:space="preserve">nternally &amp; </w:t>
            </w:r>
            <w:r w:rsidR="009A034D">
              <w:rPr>
                <w:rFonts w:ascii="Arial" w:hAnsi="Arial" w:cs="Arial"/>
                <w:b/>
                <w:bCs/>
                <w:sz w:val="22"/>
                <w:szCs w:val="22"/>
              </w:rPr>
              <w:t>E</w:t>
            </w:r>
            <w:r w:rsidRPr="00754C28">
              <w:rPr>
                <w:rFonts w:ascii="Arial" w:hAnsi="Arial" w:cs="Arial"/>
                <w:b/>
                <w:bCs/>
                <w:sz w:val="22"/>
                <w:szCs w:val="22"/>
              </w:rPr>
              <w:t>xternally</w:t>
            </w:r>
          </w:p>
        </w:tc>
        <w:tc>
          <w:tcPr>
            <w:tcW w:w="0" w:type="auto"/>
            <w:vAlign w:val="center"/>
            <w:hideMark/>
          </w:tcPr>
          <w:p w14:paraId="71C5D69E"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4DC76DA0"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76C56146"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0D31A595"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44A9EF04"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4643348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1B433B92"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051D0200" w14:textId="77777777" w:rsidTr="00754C28">
        <w:trPr>
          <w:tblCellSpacing w:w="15" w:type="dxa"/>
        </w:trPr>
        <w:tc>
          <w:tcPr>
            <w:tcW w:w="0" w:type="auto"/>
            <w:vAlign w:val="center"/>
            <w:hideMark/>
          </w:tcPr>
          <w:p w14:paraId="2A92F303" w14:textId="2128B1D4"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 xml:space="preserve">Monitor KPIs &amp; </w:t>
            </w:r>
            <w:r w:rsidR="009A034D">
              <w:rPr>
                <w:rFonts w:ascii="Arial" w:hAnsi="Arial" w:cs="Arial"/>
                <w:b/>
                <w:bCs/>
                <w:sz w:val="22"/>
                <w:szCs w:val="22"/>
              </w:rPr>
              <w:t>P</w:t>
            </w:r>
            <w:r w:rsidRPr="00754C28">
              <w:rPr>
                <w:rFonts w:ascii="Arial" w:hAnsi="Arial" w:cs="Arial"/>
                <w:b/>
                <w:bCs/>
                <w:sz w:val="22"/>
                <w:szCs w:val="22"/>
              </w:rPr>
              <w:t>erformance</w:t>
            </w:r>
          </w:p>
        </w:tc>
        <w:tc>
          <w:tcPr>
            <w:tcW w:w="0" w:type="auto"/>
            <w:vAlign w:val="center"/>
            <w:hideMark/>
          </w:tcPr>
          <w:p w14:paraId="62817C8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1C940B7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76895ADA"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0E6F4FF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5F5C5AE0"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75172587"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1407AA4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59F9373B" w14:textId="77777777" w:rsidTr="00754C28">
        <w:trPr>
          <w:tblCellSpacing w:w="15" w:type="dxa"/>
        </w:trPr>
        <w:tc>
          <w:tcPr>
            <w:tcW w:w="0" w:type="auto"/>
            <w:vAlign w:val="center"/>
            <w:hideMark/>
          </w:tcPr>
          <w:p w14:paraId="44E26C0D"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Expand into North America &amp; Asia</w:t>
            </w:r>
          </w:p>
        </w:tc>
        <w:tc>
          <w:tcPr>
            <w:tcW w:w="0" w:type="auto"/>
            <w:vAlign w:val="center"/>
            <w:hideMark/>
          </w:tcPr>
          <w:p w14:paraId="3D581573"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773BB7B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4904BB21"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558BC95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6EB8CF9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4301001E"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186E4928"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r>
      <w:tr w:rsidR="00754C28" w:rsidRPr="00754C28" w14:paraId="0333802D" w14:textId="77777777" w:rsidTr="00754C28">
        <w:trPr>
          <w:tblCellSpacing w:w="15" w:type="dxa"/>
        </w:trPr>
        <w:tc>
          <w:tcPr>
            <w:tcW w:w="0" w:type="auto"/>
            <w:vAlign w:val="center"/>
            <w:hideMark/>
          </w:tcPr>
          <w:p w14:paraId="48C8B903" w14:textId="48B2B3BA"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 xml:space="preserve">Embed cultural norms / </w:t>
            </w:r>
            <w:r w:rsidR="009A034D">
              <w:rPr>
                <w:rFonts w:ascii="Arial" w:hAnsi="Arial" w:cs="Arial"/>
                <w:b/>
                <w:bCs/>
                <w:sz w:val="22"/>
                <w:szCs w:val="22"/>
              </w:rPr>
              <w:t>I</w:t>
            </w:r>
            <w:r w:rsidRPr="00754C28">
              <w:rPr>
                <w:rFonts w:ascii="Arial" w:hAnsi="Arial" w:cs="Arial"/>
                <w:b/>
                <w:bCs/>
                <w:sz w:val="22"/>
                <w:szCs w:val="22"/>
              </w:rPr>
              <w:t xml:space="preserve">nnovation &amp; </w:t>
            </w:r>
            <w:r w:rsidR="009A034D">
              <w:rPr>
                <w:rFonts w:ascii="Arial" w:hAnsi="Arial" w:cs="Arial"/>
                <w:b/>
                <w:bCs/>
                <w:sz w:val="22"/>
                <w:szCs w:val="22"/>
              </w:rPr>
              <w:t>S</w:t>
            </w:r>
            <w:r w:rsidRPr="00754C28">
              <w:rPr>
                <w:rFonts w:ascii="Arial" w:hAnsi="Arial" w:cs="Arial"/>
                <w:b/>
                <w:bCs/>
                <w:sz w:val="22"/>
                <w:szCs w:val="22"/>
              </w:rPr>
              <w:t>ustainability</w:t>
            </w:r>
          </w:p>
        </w:tc>
        <w:tc>
          <w:tcPr>
            <w:tcW w:w="0" w:type="auto"/>
            <w:vAlign w:val="center"/>
            <w:hideMark/>
          </w:tcPr>
          <w:p w14:paraId="576E751D"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c>
          <w:tcPr>
            <w:tcW w:w="0" w:type="auto"/>
            <w:vAlign w:val="center"/>
            <w:hideMark/>
          </w:tcPr>
          <w:p w14:paraId="438FCF3F"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A</w:t>
            </w:r>
          </w:p>
        </w:tc>
        <w:tc>
          <w:tcPr>
            <w:tcW w:w="0" w:type="auto"/>
            <w:vAlign w:val="center"/>
            <w:hideMark/>
          </w:tcPr>
          <w:p w14:paraId="7F0E8B6F"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6C082293"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0F2347FC"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C</w:t>
            </w:r>
          </w:p>
        </w:tc>
        <w:tc>
          <w:tcPr>
            <w:tcW w:w="0" w:type="auto"/>
            <w:vAlign w:val="center"/>
            <w:hideMark/>
          </w:tcPr>
          <w:p w14:paraId="578D3549"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I</w:t>
            </w:r>
          </w:p>
        </w:tc>
        <w:tc>
          <w:tcPr>
            <w:tcW w:w="0" w:type="auto"/>
            <w:vAlign w:val="center"/>
            <w:hideMark/>
          </w:tcPr>
          <w:p w14:paraId="5F4207D6"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R</w:t>
            </w:r>
          </w:p>
        </w:tc>
      </w:tr>
    </w:tbl>
    <w:p w14:paraId="69C8F33F" w14:textId="0DCAB94E" w:rsidR="00754C28" w:rsidRPr="00754C28" w:rsidRDefault="00754C28" w:rsidP="009A034D">
      <w:pPr>
        <w:spacing w:line="360" w:lineRule="auto"/>
        <w:rPr>
          <w:rFonts w:ascii="Arial" w:hAnsi="Arial" w:cs="Arial"/>
          <w:sz w:val="22"/>
          <w:szCs w:val="22"/>
        </w:rPr>
      </w:pPr>
    </w:p>
    <w:p w14:paraId="5D289ADE"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R (Responsible):</w:t>
      </w:r>
      <w:r w:rsidRPr="00754C28">
        <w:rPr>
          <w:rFonts w:ascii="Arial" w:hAnsi="Arial" w:cs="Arial"/>
          <w:sz w:val="22"/>
          <w:szCs w:val="22"/>
        </w:rPr>
        <w:t xml:space="preserve"> Person/team who performs the task.</w:t>
      </w:r>
    </w:p>
    <w:p w14:paraId="79CA2577"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A (Accountable):</w:t>
      </w:r>
      <w:r w:rsidRPr="00754C28">
        <w:rPr>
          <w:rFonts w:ascii="Arial" w:hAnsi="Arial" w:cs="Arial"/>
          <w:sz w:val="22"/>
          <w:szCs w:val="22"/>
        </w:rPr>
        <w:t xml:space="preserve"> Person ultimately answerable for the task’s success.</w:t>
      </w:r>
    </w:p>
    <w:p w14:paraId="5B0C38DF"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C (Consulted):</w:t>
      </w:r>
      <w:r w:rsidRPr="00754C28">
        <w:rPr>
          <w:rFonts w:ascii="Arial" w:hAnsi="Arial" w:cs="Arial"/>
          <w:sz w:val="22"/>
          <w:szCs w:val="22"/>
        </w:rPr>
        <w:t xml:space="preserve"> Person/team consulted for input and expertise.</w:t>
      </w:r>
    </w:p>
    <w:p w14:paraId="7EEE998D" w14:textId="77777777" w:rsidR="00754C28" w:rsidRPr="00754C28" w:rsidRDefault="00754C28" w:rsidP="009A034D">
      <w:pPr>
        <w:spacing w:line="360" w:lineRule="auto"/>
        <w:rPr>
          <w:rFonts w:ascii="Arial" w:hAnsi="Arial" w:cs="Arial"/>
          <w:sz w:val="22"/>
          <w:szCs w:val="22"/>
        </w:rPr>
      </w:pPr>
      <w:r w:rsidRPr="00754C28">
        <w:rPr>
          <w:rFonts w:ascii="Arial" w:hAnsi="Arial" w:cs="Arial"/>
          <w:b/>
          <w:bCs/>
          <w:sz w:val="22"/>
          <w:szCs w:val="22"/>
        </w:rPr>
        <w:t>I (Informed):</w:t>
      </w:r>
      <w:r w:rsidRPr="00754C28">
        <w:rPr>
          <w:rFonts w:ascii="Arial" w:hAnsi="Arial" w:cs="Arial"/>
          <w:sz w:val="22"/>
          <w:szCs w:val="22"/>
        </w:rPr>
        <w:t xml:space="preserve"> Person/team kept updated on progress or decisions.</w:t>
      </w:r>
    </w:p>
    <w:p w14:paraId="608962A1" w14:textId="7EB86AA0" w:rsidR="00754C28" w:rsidRPr="00754C28" w:rsidRDefault="00754C28" w:rsidP="009A034D">
      <w:pPr>
        <w:pStyle w:val="Heading1"/>
        <w:spacing w:line="360" w:lineRule="auto"/>
        <w:rPr>
          <w:rFonts w:ascii="Arial" w:hAnsi="Arial" w:cs="Arial"/>
          <w:sz w:val="22"/>
          <w:szCs w:val="22"/>
        </w:rPr>
      </w:pPr>
      <w:bookmarkStart w:id="19" w:name="_Toc215334810"/>
      <w:r w:rsidRPr="00754C28">
        <w:rPr>
          <w:rFonts w:ascii="Arial" w:hAnsi="Arial" w:cs="Arial"/>
          <w:sz w:val="22"/>
          <w:szCs w:val="22"/>
        </w:rPr>
        <w:lastRenderedPageBreak/>
        <w:t>Conclusion</w:t>
      </w:r>
      <w:bookmarkEnd w:id="19"/>
    </w:p>
    <w:p w14:paraId="6B946E80" w14:textId="77777777" w:rsidR="00754C28" w:rsidRPr="00754C28" w:rsidRDefault="00754C28" w:rsidP="009A034D">
      <w:pPr>
        <w:spacing w:line="360" w:lineRule="auto"/>
        <w:rPr>
          <w:rFonts w:ascii="Arial" w:hAnsi="Arial" w:cs="Arial"/>
          <w:sz w:val="22"/>
          <w:szCs w:val="22"/>
        </w:rPr>
      </w:pPr>
      <w:proofErr w:type="spellStart"/>
      <w:r w:rsidRPr="00754C28">
        <w:rPr>
          <w:rFonts w:ascii="Arial" w:hAnsi="Arial" w:cs="Arial"/>
          <w:sz w:val="22"/>
          <w:szCs w:val="22"/>
        </w:rPr>
        <w:t>Gymshark</w:t>
      </w:r>
      <w:proofErr w:type="spellEnd"/>
      <w:r w:rsidRPr="00754C28">
        <w:rPr>
          <w:rFonts w:ascii="Arial" w:hAnsi="Arial" w:cs="Arial"/>
          <w:sz w:val="22"/>
          <w:szCs w:val="22"/>
        </w:rPr>
        <w:t xml:space="preserve"> has grown from a digital start-up into a globally recognised fitness brand, but increasing competition, digital saturation, and evolving consumer expectations require a structured change strategy (Johnson et al., 2020; Verhoef et al., 2021). A hybrid approach combining Kotter’s Eight-Step Model with Agile principles provides the flexibility and structure needed to manage technological disruption, sustainability pressures, and global expansion (Kotter, 2012; Highsmith, 2013).</w:t>
      </w:r>
    </w:p>
    <w:p w14:paraId="386014BE" w14:textId="77777777" w:rsidR="00754C28" w:rsidRPr="00754C28" w:rsidRDefault="00754C28" w:rsidP="009A034D">
      <w:pPr>
        <w:spacing w:line="360" w:lineRule="auto"/>
        <w:rPr>
          <w:rFonts w:ascii="Arial" w:hAnsi="Arial" w:cs="Arial"/>
          <w:sz w:val="22"/>
          <w:szCs w:val="22"/>
        </w:rPr>
      </w:pPr>
      <w:r w:rsidRPr="00754C28">
        <w:rPr>
          <w:rFonts w:ascii="Arial" w:hAnsi="Arial" w:cs="Arial"/>
          <w:sz w:val="22"/>
          <w:szCs w:val="22"/>
        </w:rPr>
        <w:t xml:space="preserve">Transformational leadership and </w:t>
      </w:r>
      <w:proofErr w:type="spellStart"/>
      <w:r w:rsidRPr="00754C28">
        <w:rPr>
          <w:rFonts w:ascii="Arial" w:hAnsi="Arial" w:cs="Arial"/>
          <w:sz w:val="22"/>
          <w:szCs w:val="22"/>
        </w:rPr>
        <w:t>Gymshark’s</w:t>
      </w:r>
      <w:proofErr w:type="spellEnd"/>
      <w:r w:rsidRPr="00754C28">
        <w:rPr>
          <w:rFonts w:ascii="Arial" w:hAnsi="Arial" w:cs="Arial"/>
          <w:sz w:val="22"/>
          <w:szCs w:val="22"/>
        </w:rPr>
        <w:t xml:space="preserve"> entrepreneurial culture are key enablers of change, but operational discipline and scalable systems are necessary for long-term growth (Bass &amp; Riggio, 2006; Burnes, 2021). The proposed AI-Driven Omnichannel Transformation Plan will enhance customer personalisation, embed sustainability, and strengthen omnichannel operations, positioning </w:t>
      </w:r>
      <w:proofErr w:type="spellStart"/>
      <w:r w:rsidRPr="00754C28">
        <w:rPr>
          <w:rFonts w:ascii="Arial" w:hAnsi="Arial" w:cs="Arial"/>
          <w:sz w:val="22"/>
          <w:szCs w:val="22"/>
        </w:rPr>
        <w:t>Gymshark</w:t>
      </w:r>
      <w:proofErr w:type="spellEnd"/>
      <w:r w:rsidRPr="00754C28">
        <w:rPr>
          <w:rFonts w:ascii="Arial" w:hAnsi="Arial" w:cs="Arial"/>
          <w:sz w:val="22"/>
          <w:szCs w:val="22"/>
        </w:rPr>
        <w:t xml:space="preserve"> to sustain competitive advantage while maintaining its authentic brand identity (Francis, 2023).</w:t>
      </w:r>
    </w:p>
    <w:p w14:paraId="0B2875C8" w14:textId="06C2DD88" w:rsidR="00754C28" w:rsidRPr="00754C28" w:rsidRDefault="00754C28" w:rsidP="009A034D">
      <w:pPr>
        <w:pStyle w:val="Heading1"/>
        <w:spacing w:line="360" w:lineRule="auto"/>
        <w:rPr>
          <w:rFonts w:ascii="Arial" w:hAnsi="Arial" w:cs="Arial"/>
          <w:sz w:val="22"/>
          <w:szCs w:val="22"/>
        </w:rPr>
      </w:pPr>
      <w:bookmarkStart w:id="20" w:name="_Toc215334811"/>
      <w:r w:rsidRPr="00754C28">
        <w:rPr>
          <w:rFonts w:ascii="Arial" w:hAnsi="Arial" w:cs="Arial"/>
          <w:sz w:val="22"/>
          <w:szCs w:val="22"/>
        </w:rPr>
        <w:t>References</w:t>
      </w:r>
      <w:bookmarkEnd w:id="20"/>
    </w:p>
    <w:p w14:paraId="3BBA0D81"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Bass, B.M. &amp; Riggio, R.E. (2006) </w:t>
      </w:r>
      <w:r w:rsidRPr="00CF4254">
        <w:rPr>
          <w:rFonts w:ascii="Arial" w:hAnsi="Arial" w:cs="Arial"/>
          <w:i/>
          <w:iCs/>
          <w:sz w:val="22"/>
          <w:szCs w:val="22"/>
        </w:rPr>
        <w:t>Transformational Leadership</w:t>
      </w:r>
      <w:r w:rsidRPr="00CF4254">
        <w:rPr>
          <w:rFonts w:ascii="Arial" w:hAnsi="Arial" w:cs="Arial"/>
          <w:sz w:val="22"/>
          <w:szCs w:val="22"/>
        </w:rPr>
        <w:t xml:space="preserve">. 2nd </w:t>
      </w:r>
      <w:proofErr w:type="spellStart"/>
      <w:r w:rsidRPr="00CF4254">
        <w:rPr>
          <w:rFonts w:ascii="Arial" w:hAnsi="Arial" w:cs="Arial"/>
          <w:sz w:val="22"/>
          <w:szCs w:val="22"/>
        </w:rPr>
        <w:t>edn</w:t>
      </w:r>
      <w:proofErr w:type="spellEnd"/>
      <w:r w:rsidRPr="00CF4254">
        <w:rPr>
          <w:rFonts w:ascii="Arial" w:hAnsi="Arial" w:cs="Arial"/>
          <w:sz w:val="22"/>
          <w:szCs w:val="22"/>
        </w:rPr>
        <w:t>. Mahwah, NJ: Lawrence Erlbaum Associates.</w:t>
      </w:r>
    </w:p>
    <w:p w14:paraId="6BA4D7D1" w14:textId="790B5D83"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BBC News (2022) </w:t>
      </w:r>
      <w:proofErr w:type="spellStart"/>
      <w:r w:rsidRPr="00CF4254">
        <w:rPr>
          <w:rFonts w:ascii="Arial" w:hAnsi="Arial" w:cs="Arial"/>
          <w:i/>
          <w:iCs/>
          <w:sz w:val="22"/>
          <w:szCs w:val="22"/>
        </w:rPr>
        <w:t>Gymshark</w:t>
      </w:r>
      <w:proofErr w:type="spellEnd"/>
      <w:r w:rsidRPr="00CF4254">
        <w:rPr>
          <w:rFonts w:ascii="Arial" w:hAnsi="Arial" w:cs="Arial"/>
          <w:i/>
          <w:iCs/>
          <w:sz w:val="22"/>
          <w:szCs w:val="22"/>
        </w:rPr>
        <w:t xml:space="preserve"> Opens First Physical Store on Regent Street</w:t>
      </w:r>
      <w:r w:rsidRPr="00CF4254">
        <w:rPr>
          <w:rFonts w:ascii="Arial" w:hAnsi="Arial" w:cs="Arial"/>
          <w:sz w:val="22"/>
          <w:szCs w:val="22"/>
        </w:rPr>
        <w:t xml:space="preserve">. [Online] Available at: </w:t>
      </w:r>
      <w:hyperlink r:id="rId11" w:tgtFrame="_new" w:history="1">
        <w:r w:rsidRPr="00CF4254">
          <w:rPr>
            <w:rStyle w:val="Hyperlink"/>
            <w:rFonts w:ascii="Arial" w:hAnsi="Arial" w:cs="Arial"/>
            <w:sz w:val="22"/>
            <w:szCs w:val="22"/>
          </w:rPr>
          <w:t>https://www.bbc.co.uk/news/business</w:t>
        </w:r>
      </w:hyperlink>
      <w:r w:rsidRPr="00CF4254">
        <w:rPr>
          <w:rFonts w:ascii="Arial" w:hAnsi="Arial" w:cs="Arial"/>
          <w:sz w:val="22"/>
          <w:szCs w:val="22"/>
        </w:rPr>
        <w:t xml:space="preserve"> </w:t>
      </w:r>
      <w:r w:rsidRPr="00754C28">
        <w:rPr>
          <w:rFonts w:ascii="Arial" w:hAnsi="Arial" w:cs="Arial"/>
          <w:sz w:val="22"/>
          <w:szCs w:val="22"/>
        </w:rPr>
        <w:t>(</w:t>
      </w:r>
      <w:r w:rsidRPr="00CF4254">
        <w:rPr>
          <w:rFonts w:ascii="Arial" w:hAnsi="Arial" w:cs="Arial"/>
          <w:sz w:val="22"/>
          <w:szCs w:val="22"/>
        </w:rPr>
        <w:t xml:space="preserve">Accessed </w:t>
      </w:r>
      <w:r w:rsidR="002F3560">
        <w:rPr>
          <w:rFonts w:ascii="Arial" w:hAnsi="Arial" w:cs="Arial"/>
          <w:sz w:val="22"/>
          <w:szCs w:val="22"/>
        </w:rPr>
        <w:t>30 Nov</w:t>
      </w:r>
      <w:r w:rsidRPr="00CF4254">
        <w:rPr>
          <w:rFonts w:ascii="Arial" w:hAnsi="Arial" w:cs="Arial"/>
          <w:sz w:val="22"/>
          <w:szCs w:val="22"/>
        </w:rPr>
        <w:t>ember 2025</w:t>
      </w:r>
      <w:r w:rsidRPr="00754C28">
        <w:rPr>
          <w:rFonts w:ascii="Arial" w:hAnsi="Arial" w:cs="Arial"/>
          <w:sz w:val="22"/>
          <w:szCs w:val="22"/>
        </w:rPr>
        <w:t>)</w:t>
      </w:r>
      <w:r w:rsidRPr="00CF4254">
        <w:rPr>
          <w:rFonts w:ascii="Arial" w:hAnsi="Arial" w:cs="Arial"/>
          <w:sz w:val="22"/>
          <w:szCs w:val="22"/>
        </w:rPr>
        <w:t>.</w:t>
      </w:r>
    </w:p>
    <w:p w14:paraId="2DF8517B"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Burnes, B. (2004) ‘</w:t>
      </w:r>
      <w:r w:rsidRPr="00CF4254">
        <w:rPr>
          <w:rFonts w:ascii="Arial" w:hAnsi="Arial" w:cs="Arial"/>
          <w:i/>
          <w:iCs/>
          <w:sz w:val="22"/>
          <w:szCs w:val="22"/>
        </w:rPr>
        <w:t>Kurt Lewin and the planned approach to change: A re-appraisal’</w:t>
      </w:r>
      <w:r w:rsidRPr="00CF4254">
        <w:rPr>
          <w:rFonts w:ascii="Arial" w:hAnsi="Arial" w:cs="Arial"/>
          <w:sz w:val="22"/>
          <w:szCs w:val="22"/>
        </w:rPr>
        <w:t xml:space="preserve">, </w:t>
      </w:r>
      <w:r w:rsidRPr="00CF4254">
        <w:rPr>
          <w:rFonts w:ascii="Arial" w:hAnsi="Arial" w:cs="Arial"/>
          <w:i/>
          <w:iCs/>
          <w:sz w:val="22"/>
          <w:szCs w:val="22"/>
        </w:rPr>
        <w:t>Journal of Management Studies</w:t>
      </w:r>
      <w:r w:rsidRPr="00CF4254">
        <w:rPr>
          <w:rFonts w:ascii="Arial" w:hAnsi="Arial" w:cs="Arial"/>
          <w:sz w:val="22"/>
          <w:szCs w:val="22"/>
        </w:rPr>
        <w:t>, 41(6), pp. 977–1002.</w:t>
      </w:r>
    </w:p>
    <w:p w14:paraId="2A5AAC88"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Burnes, B. (2021) </w:t>
      </w:r>
      <w:r w:rsidRPr="00CF4254">
        <w:rPr>
          <w:rFonts w:ascii="Arial" w:hAnsi="Arial" w:cs="Arial"/>
          <w:i/>
          <w:iCs/>
          <w:sz w:val="22"/>
          <w:szCs w:val="22"/>
        </w:rPr>
        <w:t>Managing Change</w:t>
      </w:r>
      <w:r w:rsidRPr="00CF4254">
        <w:rPr>
          <w:rFonts w:ascii="Arial" w:hAnsi="Arial" w:cs="Arial"/>
          <w:sz w:val="22"/>
          <w:szCs w:val="22"/>
        </w:rPr>
        <w:t>. 8th ed. Harlow: Pearson Education Limited.</w:t>
      </w:r>
    </w:p>
    <w:p w14:paraId="7399B6DE"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By, R.T. (2005) ‘Organisational change management: A critical review’, </w:t>
      </w:r>
      <w:r w:rsidRPr="00CF4254">
        <w:rPr>
          <w:rFonts w:ascii="Arial" w:hAnsi="Arial" w:cs="Arial"/>
          <w:i/>
          <w:iCs/>
          <w:sz w:val="22"/>
          <w:szCs w:val="22"/>
        </w:rPr>
        <w:t>Journal of Change Management</w:t>
      </w:r>
      <w:r w:rsidRPr="00CF4254">
        <w:rPr>
          <w:rFonts w:ascii="Arial" w:hAnsi="Arial" w:cs="Arial"/>
          <w:sz w:val="22"/>
          <w:szCs w:val="22"/>
        </w:rPr>
        <w:t>, 5(4), pp. 369–380.</w:t>
      </w:r>
    </w:p>
    <w:p w14:paraId="6B095E34" w14:textId="00DE968E"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Francis, B. (2023) </w:t>
      </w:r>
      <w:proofErr w:type="spellStart"/>
      <w:r w:rsidRPr="00CF4254">
        <w:rPr>
          <w:rFonts w:ascii="Arial" w:hAnsi="Arial" w:cs="Arial"/>
          <w:i/>
          <w:iCs/>
          <w:sz w:val="22"/>
          <w:szCs w:val="22"/>
        </w:rPr>
        <w:t>Gymshark’s</w:t>
      </w:r>
      <w:proofErr w:type="spellEnd"/>
      <w:r w:rsidRPr="00CF4254">
        <w:rPr>
          <w:rFonts w:ascii="Arial" w:hAnsi="Arial" w:cs="Arial"/>
          <w:i/>
          <w:iCs/>
          <w:sz w:val="22"/>
          <w:szCs w:val="22"/>
        </w:rPr>
        <w:t xml:space="preserve"> Transformation Journey</w:t>
      </w:r>
      <w:r w:rsidRPr="00CF4254">
        <w:rPr>
          <w:rFonts w:ascii="Arial" w:hAnsi="Arial" w:cs="Arial"/>
          <w:sz w:val="22"/>
          <w:szCs w:val="22"/>
        </w:rPr>
        <w:t xml:space="preserve">. </w:t>
      </w:r>
      <w:proofErr w:type="spellStart"/>
      <w:r w:rsidRPr="00CF4254">
        <w:rPr>
          <w:rFonts w:ascii="Arial" w:hAnsi="Arial" w:cs="Arial"/>
          <w:sz w:val="22"/>
          <w:szCs w:val="22"/>
        </w:rPr>
        <w:t>Gymshark</w:t>
      </w:r>
      <w:proofErr w:type="spellEnd"/>
      <w:r w:rsidRPr="00CF4254">
        <w:rPr>
          <w:rFonts w:ascii="Arial" w:hAnsi="Arial" w:cs="Arial"/>
          <w:sz w:val="22"/>
          <w:szCs w:val="22"/>
        </w:rPr>
        <w:t xml:space="preserve"> Blog. Available at: </w:t>
      </w:r>
      <w:hyperlink r:id="rId12" w:tgtFrame="_new" w:history="1">
        <w:r w:rsidRPr="00CF4254">
          <w:rPr>
            <w:rStyle w:val="Hyperlink"/>
            <w:rFonts w:ascii="Arial" w:hAnsi="Arial" w:cs="Arial"/>
            <w:sz w:val="22"/>
            <w:szCs w:val="22"/>
          </w:rPr>
          <w:t>https://www.gymshark.com/blogs/news</w:t>
        </w:r>
      </w:hyperlink>
      <w:r w:rsidRPr="00CF4254">
        <w:rPr>
          <w:rFonts w:ascii="Arial" w:hAnsi="Arial" w:cs="Arial"/>
          <w:sz w:val="22"/>
          <w:szCs w:val="22"/>
        </w:rPr>
        <w:t xml:space="preserve"> </w:t>
      </w:r>
      <w:r w:rsidRPr="00754C28">
        <w:rPr>
          <w:rFonts w:ascii="Arial" w:hAnsi="Arial" w:cs="Arial"/>
          <w:sz w:val="22"/>
          <w:szCs w:val="22"/>
        </w:rPr>
        <w:t>(</w:t>
      </w:r>
      <w:r w:rsidRPr="00CF4254">
        <w:rPr>
          <w:rFonts w:ascii="Arial" w:hAnsi="Arial" w:cs="Arial"/>
          <w:sz w:val="22"/>
          <w:szCs w:val="22"/>
        </w:rPr>
        <w:t xml:space="preserve">Accessed </w:t>
      </w:r>
      <w:r w:rsidR="002F3560">
        <w:rPr>
          <w:rFonts w:ascii="Arial" w:hAnsi="Arial" w:cs="Arial"/>
          <w:sz w:val="22"/>
          <w:szCs w:val="22"/>
        </w:rPr>
        <w:t>13</w:t>
      </w:r>
      <w:r w:rsidRPr="00CF4254">
        <w:rPr>
          <w:rFonts w:ascii="Arial" w:hAnsi="Arial" w:cs="Arial"/>
          <w:sz w:val="22"/>
          <w:szCs w:val="22"/>
        </w:rPr>
        <w:t xml:space="preserve"> </w:t>
      </w:r>
      <w:r w:rsidR="002F3560">
        <w:rPr>
          <w:rFonts w:ascii="Arial" w:hAnsi="Arial" w:cs="Arial"/>
          <w:sz w:val="22"/>
          <w:szCs w:val="22"/>
        </w:rPr>
        <w:t>Dec</w:t>
      </w:r>
      <w:r w:rsidRPr="00CF4254">
        <w:rPr>
          <w:rFonts w:ascii="Arial" w:hAnsi="Arial" w:cs="Arial"/>
          <w:sz w:val="22"/>
          <w:szCs w:val="22"/>
        </w:rPr>
        <w:t>ember 2025</w:t>
      </w:r>
      <w:r w:rsidRPr="00754C28">
        <w:rPr>
          <w:rFonts w:ascii="Arial" w:hAnsi="Arial" w:cs="Arial"/>
          <w:sz w:val="22"/>
          <w:szCs w:val="22"/>
        </w:rPr>
        <w:t>)</w:t>
      </w:r>
      <w:r w:rsidRPr="00CF4254">
        <w:rPr>
          <w:rFonts w:ascii="Arial" w:hAnsi="Arial" w:cs="Arial"/>
          <w:sz w:val="22"/>
          <w:szCs w:val="22"/>
        </w:rPr>
        <w:t>.</w:t>
      </w:r>
    </w:p>
    <w:p w14:paraId="616FDEF5"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Grant, R.M. (2021) </w:t>
      </w:r>
      <w:r w:rsidRPr="00CF4254">
        <w:rPr>
          <w:rFonts w:ascii="Arial" w:hAnsi="Arial" w:cs="Arial"/>
          <w:i/>
          <w:iCs/>
          <w:sz w:val="22"/>
          <w:szCs w:val="22"/>
        </w:rPr>
        <w:t>Contemporary Strategy Analysis: Text and Cases Edition</w:t>
      </w:r>
      <w:r w:rsidRPr="00CF4254">
        <w:rPr>
          <w:rFonts w:ascii="Arial" w:hAnsi="Arial" w:cs="Arial"/>
          <w:sz w:val="22"/>
          <w:szCs w:val="22"/>
        </w:rPr>
        <w:t>. 11th ed. Hoboken, NJ: Wiley.</w:t>
      </w:r>
    </w:p>
    <w:p w14:paraId="1BC956C4"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Highsmith, J. (2013) </w:t>
      </w:r>
      <w:r w:rsidRPr="00CF4254">
        <w:rPr>
          <w:rFonts w:ascii="Arial" w:hAnsi="Arial" w:cs="Arial"/>
          <w:i/>
          <w:iCs/>
          <w:sz w:val="22"/>
          <w:szCs w:val="22"/>
        </w:rPr>
        <w:t>Adaptive Leadership: Accelerating Enterprise Agility</w:t>
      </w:r>
      <w:r w:rsidRPr="00CF4254">
        <w:rPr>
          <w:rFonts w:ascii="Arial" w:hAnsi="Arial" w:cs="Arial"/>
          <w:sz w:val="22"/>
          <w:szCs w:val="22"/>
        </w:rPr>
        <w:t>. Boston: Addison-Wesley.</w:t>
      </w:r>
    </w:p>
    <w:p w14:paraId="1612570D"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lastRenderedPageBreak/>
        <w:t xml:space="preserve">Johnson, G., Scholes, K. &amp; Whittington, R. (2020) </w:t>
      </w:r>
      <w:r w:rsidRPr="00CF4254">
        <w:rPr>
          <w:rFonts w:ascii="Arial" w:hAnsi="Arial" w:cs="Arial"/>
          <w:i/>
          <w:iCs/>
          <w:sz w:val="22"/>
          <w:szCs w:val="22"/>
        </w:rPr>
        <w:t>Exploring Strategy: Text and Cases</w:t>
      </w:r>
      <w:r w:rsidRPr="00CF4254">
        <w:rPr>
          <w:rFonts w:ascii="Arial" w:hAnsi="Arial" w:cs="Arial"/>
          <w:sz w:val="22"/>
          <w:szCs w:val="22"/>
        </w:rPr>
        <w:t>. 12th ed. Harlow: Pearson Education Limited.</w:t>
      </w:r>
    </w:p>
    <w:p w14:paraId="58A249E4"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Kotter, J.P. (2012) </w:t>
      </w:r>
      <w:r w:rsidRPr="00CF4254">
        <w:rPr>
          <w:rFonts w:ascii="Arial" w:hAnsi="Arial" w:cs="Arial"/>
          <w:i/>
          <w:iCs/>
          <w:sz w:val="22"/>
          <w:szCs w:val="22"/>
        </w:rPr>
        <w:t>Leading Change</w:t>
      </w:r>
      <w:r w:rsidRPr="00CF4254">
        <w:rPr>
          <w:rFonts w:ascii="Arial" w:hAnsi="Arial" w:cs="Arial"/>
          <w:sz w:val="22"/>
          <w:szCs w:val="22"/>
        </w:rPr>
        <w:t>. Boston, MA: Harvard Business Review Press.</w:t>
      </w:r>
    </w:p>
    <w:p w14:paraId="64F98432"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Niinimäki, K. et al. (2020</w:t>
      </w:r>
      <w:r w:rsidRPr="00CF4254">
        <w:rPr>
          <w:rFonts w:ascii="Arial" w:hAnsi="Arial" w:cs="Arial"/>
          <w:i/>
          <w:iCs/>
          <w:sz w:val="22"/>
          <w:szCs w:val="22"/>
        </w:rPr>
        <w:t>) ‘The environmental price of fast fashion’, Nature Reviews Earth &amp; Environment</w:t>
      </w:r>
      <w:r w:rsidRPr="00CF4254">
        <w:rPr>
          <w:rFonts w:ascii="Arial" w:hAnsi="Arial" w:cs="Arial"/>
          <w:sz w:val="22"/>
          <w:szCs w:val="22"/>
        </w:rPr>
        <w:t>, 1(4), pp. 189–200.</w:t>
      </w:r>
    </w:p>
    <w:p w14:paraId="5351603C"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Northouse, P.G. (2019) </w:t>
      </w:r>
      <w:r w:rsidRPr="00CF4254">
        <w:rPr>
          <w:rFonts w:ascii="Arial" w:hAnsi="Arial" w:cs="Arial"/>
          <w:i/>
          <w:iCs/>
          <w:sz w:val="22"/>
          <w:szCs w:val="22"/>
        </w:rPr>
        <w:t>Leadership: Theory and Practice</w:t>
      </w:r>
      <w:r w:rsidRPr="00CF4254">
        <w:rPr>
          <w:rFonts w:ascii="Arial" w:hAnsi="Arial" w:cs="Arial"/>
          <w:sz w:val="22"/>
          <w:szCs w:val="22"/>
        </w:rPr>
        <w:t xml:space="preserve">. 8th </w:t>
      </w:r>
      <w:proofErr w:type="spellStart"/>
      <w:r w:rsidRPr="00CF4254">
        <w:rPr>
          <w:rFonts w:ascii="Arial" w:hAnsi="Arial" w:cs="Arial"/>
          <w:sz w:val="22"/>
          <w:szCs w:val="22"/>
        </w:rPr>
        <w:t>edn</w:t>
      </w:r>
      <w:proofErr w:type="spellEnd"/>
      <w:r w:rsidRPr="00CF4254">
        <w:rPr>
          <w:rFonts w:ascii="Arial" w:hAnsi="Arial" w:cs="Arial"/>
          <w:sz w:val="22"/>
          <w:szCs w:val="22"/>
        </w:rPr>
        <w:t>. Thousand Oaks, CA: Sage Publications.</w:t>
      </w:r>
    </w:p>
    <w:p w14:paraId="73E5B11D"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Pahl, N. &amp; Richter, A. (2009) </w:t>
      </w:r>
      <w:r w:rsidRPr="00CF4254">
        <w:rPr>
          <w:rFonts w:ascii="Arial" w:hAnsi="Arial" w:cs="Arial"/>
          <w:i/>
          <w:iCs/>
          <w:sz w:val="22"/>
          <w:szCs w:val="22"/>
        </w:rPr>
        <w:t>SWOT Analysis: Idea, Methodology and a Practical Approach</w:t>
      </w:r>
      <w:r w:rsidRPr="00CF4254">
        <w:rPr>
          <w:rFonts w:ascii="Arial" w:hAnsi="Arial" w:cs="Arial"/>
          <w:sz w:val="22"/>
          <w:szCs w:val="22"/>
        </w:rPr>
        <w:t>. Munich: GRIN Verlag.</w:t>
      </w:r>
    </w:p>
    <w:p w14:paraId="4DC8A523" w14:textId="77777777" w:rsidR="00754C28" w:rsidRPr="00CF4254" w:rsidRDefault="00754C28" w:rsidP="009A034D">
      <w:pPr>
        <w:spacing w:line="360" w:lineRule="auto"/>
        <w:rPr>
          <w:rFonts w:ascii="Arial" w:hAnsi="Arial" w:cs="Arial"/>
          <w:sz w:val="22"/>
          <w:szCs w:val="22"/>
        </w:rPr>
      </w:pPr>
      <w:r w:rsidRPr="00CF4254">
        <w:rPr>
          <w:rFonts w:ascii="Arial" w:hAnsi="Arial" w:cs="Arial"/>
          <w:sz w:val="22"/>
          <w:szCs w:val="22"/>
        </w:rPr>
        <w:t xml:space="preserve">Pearce, J.A. &amp; Robinson, R.B. (2021) </w:t>
      </w:r>
      <w:r w:rsidRPr="00CF4254">
        <w:rPr>
          <w:rFonts w:ascii="Arial" w:hAnsi="Arial" w:cs="Arial"/>
          <w:i/>
          <w:iCs/>
          <w:sz w:val="22"/>
          <w:szCs w:val="22"/>
        </w:rPr>
        <w:t>Strategic Management: Formulation, Implementation, and Control</w:t>
      </w:r>
      <w:r w:rsidRPr="00CF4254">
        <w:rPr>
          <w:rFonts w:ascii="Arial" w:hAnsi="Arial" w:cs="Arial"/>
          <w:sz w:val="22"/>
          <w:szCs w:val="22"/>
        </w:rPr>
        <w:t>. 15th ed. New York: McGraw-Hill Education.</w:t>
      </w:r>
    </w:p>
    <w:p w14:paraId="25741672" w14:textId="77777777" w:rsidR="00754C28" w:rsidRPr="002F3560" w:rsidRDefault="00754C28" w:rsidP="009A034D">
      <w:pPr>
        <w:spacing w:line="360" w:lineRule="auto"/>
        <w:rPr>
          <w:rFonts w:ascii="Arial" w:hAnsi="Arial" w:cs="Arial"/>
          <w:sz w:val="22"/>
          <w:szCs w:val="22"/>
        </w:rPr>
      </w:pPr>
      <w:r w:rsidRPr="00CF4254">
        <w:rPr>
          <w:rFonts w:ascii="Arial" w:hAnsi="Arial" w:cs="Arial"/>
          <w:sz w:val="22"/>
          <w:szCs w:val="22"/>
        </w:rPr>
        <w:t>Porter, M.E. (2008) ‘</w:t>
      </w:r>
      <w:r w:rsidRPr="002F3560">
        <w:rPr>
          <w:rFonts w:ascii="Arial" w:hAnsi="Arial" w:cs="Arial"/>
          <w:i/>
          <w:iCs/>
          <w:sz w:val="22"/>
          <w:szCs w:val="22"/>
        </w:rPr>
        <w:t>The Five Competitive Forces That Shape</w:t>
      </w:r>
      <w:r w:rsidRPr="00CF4254">
        <w:rPr>
          <w:rFonts w:ascii="Arial" w:hAnsi="Arial" w:cs="Arial"/>
          <w:sz w:val="22"/>
          <w:szCs w:val="22"/>
        </w:rPr>
        <w:t xml:space="preserve"> </w:t>
      </w:r>
      <w:r w:rsidRPr="002F3560">
        <w:rPr>
          <w:rFonts w:ascii="Arial" w:hAnsi="Arial" w:cs="Arial"/>
          <w:i/>
          <w:iCs/>
          <w:sz w:val="22"/>
          <w:szCs w:val="22"/>
        </w:rPr>
        <w:t>Strategy</w:t>
      </w:r>
      <w:r w:rsidRPr="00CF4254">
        <w:rPr>
          <w:rFonts w:ascii="Arial" w:hAnsi="Arial" w:cs="Arial"/>
          <w:sz w:val="22"/>
          <w:szCs w:val="22"/>
        </w:rPr>
        <w:t xml:space="preserve">’, </w:t>
      </w:r>
      <w:r w:rsidRPr="002F3560">
        <w:rPr>
          <w:rFonts w:ascii="Arial" w:hAnsi="Arial" w:cs="Arial"/>
          <w:sz w:val="22"/>
          <w:szCs w:val="22"/>
        </w:rPr>
        <w:t>Harvard Business Review Press.</w:t>
      </w:r>
    </w:p>
    <w:p w14:paraId="718DC803" w14:textId="155F400F" w:rsidR="00754C28" w:rsidRPr="00CF4254" w:rsidRDefault="00754C28" w:rsidP="00270080">
      <w:pPr>
        <w:spacing w:line="360" w:lineRule="auto"/>
        <w:rPr>
          <w:rFonts w:ascii="Arial" w:hAnsi="Arial" w:cs="Arial"/>
          <w:sz w:val="22"/>
          <w:szCs w:val="22"/>
        </w:rPr>
      </w:pPr>
      <w:proofErr w:type="spellStart"/>
      <w:r w:rsidRPr="00CF4254">
        <w:rPr>
          <w:rFonts w:ascii="Arial" w:hAnsi="Arial" w:cs="Arial"/>
          <w:sz w:val="22"/>
          <w:szCs w:val="22"/>
        </w:rPr>
        <w:t>Sarsby</w:t>
      </w:r>
      <w:proofErr w:type="spellEnd"/>
      <w:r w:rsidRPr="00CF4254">
        <w:rPr>
          <w:rFonts w:ascii="Arial" w:hAnsi="Arial" w:cs="Arial"/>
          <w:sz w:val="22"/>
          <w:szCs w:val="22"/>
        </w:rPr>
        <w:t xml:space="preserve">, A. (2016) </w:t>
      </w:r>
      <w:r w:rsidRPr="00CF4254">
        <w:rPr>
          <w:rFonts w:ascii="Arial" w:hAnsi="Arial" w:cs="Arial"/>
          <w:i/>
          <w:iCs/>
          <w:sz w:val="22"/>
          <w:szCs w:val="22"/>
        </w:rPr>
        <w:t>SWOT Analysis</w:t>
      </w:r>
      <w:r w:rsidRPr="00CF4254">
        <w:rPr>
          <w:rFonts w:ascii="Arial" w:hAnsi="Arial" w:cs="Arial"/>
          <w:sz w:val="22"/>
          <w:szCs w:val="22"/>
        </w:rPr>
        <w:t xml:space="preserve">. London: Lulu.com. Available at: </w:t>
      </w:r>
      <w:hyperlink r:id="rId13" w:tgtFrame="_new" w:history="1">
        <w:r w:rsidRPr="00CF4254">
          <w:rPr>
            <w:rStyle w:val="Hyperlink"/>
            <w:rFonts w:ascii="Arial" w:hAnsi="Arial" w:cs="Arial"/>
            <w:sz w:val="22"/>
            <w:szCs w:val="22"/>
          </w:rPr>
          <w:t>https://www.lulu.com/shop/alan-sarsby/swot-analysis/paperback/product-22932529.html</w:t>
        </w:r>
      </w:hyperlink>
      <w:r w:rsidRPr="00CF4254">
        <w:rPr>
          <w:rFonts w:ascii="Arial" w:hAnsi="Arial" w:cs="Arial"/>
          <w:sz w:val="22"/>
          <w:szCs w:val="22"/>
        </w:rPr>
        <w:t xml:space="preserve"> </w:t>
      </w:r>
      <w:r w:rsidRPr="00754C28">
        <w:rPr>
          <w:rFonts w:ascii="Arial" w:hAnsi="Arial" w:cs="Arial"/>
          <w:sz w:val="22"/>
          <w:szCs w:val="22"/>
        </w:rPr>
        <w:t>(</w:t>
      </w:r>
      <w:r w:rsidRPr="00CF4254">
        <w:rPr>
          <w:rFonts w:ascii="Arial" w:hAnsi="Arial" w:cs="Arial"/>
          <w:sz w:val="22"/>
          <w:szCs w:val="22"/>
        </w:rPr>
        <w:t xml:space="preserve">Accessed </w:t>
      </w:r>
      <w:r w:rsidRPr="00754C28">
        <w:rPr>
          <w:rFonts w:ascii="Arial" w:hAnsi="Arial" w:cs="Arial"/>
          <w:sz w:val="22"/>
          <w:szCs w:val="22"/>
        </w:rPr>
        <w:t>1</w:t>
      </w:r>
      <w:r w:rsidR="002F3560">
        <w:rPr>
          <w:rFonts w:ascii="Arial" w:hAnsi="Arial" w:cs="Arial"/>
          <w:sz w:val="22"/>
          <w:szCs w:val="22"/>
        </w:rPr>
        <w:t>1</w:t>
      </w:r>
      <w:r w:rsidRPr="00CF4254">
        <w:rPr>
          <w:rFonts w:ascii="Arial" w:hAnsi="Arial" w:cs="Arial"/>
          <w:sz w:val="22"/>
          <w:szCs w:val="22"/>
        </w:rPr>
        <w:t xml:space="preserve"> </w:t>
      </w:r>
      <w:r w:rsidR="002F3560">
        <w:rPr>
          <w:rFonts w:ascii="Arial" w:hAnsi="Arial" w:cs="Arial"/>
          <w:sz w:val="22"/>
          <w:szCs w:val="22"/>
        </w:rPr>
        <w:t>Dec</w:t>
      </w:r>
      <w:r w:rsidRPr="00CF4254">
        <w:rPr>
          <w:rFonts w:ascii="Arial" w:hAnsi="Arial" w:cs="Arial"/>
          <w:sz w:val="22"/>
          <w:szCs w:val="22"/>
        </w:rPr>
        <w:t>ember 2025</w:t>
      </w:r>
      <w:r w:rsidRPr="00754C28">
        <w:rPr>
          <w:rFonts w:ascii="Arial" w:hAnsi="Arial" w:cs="Arial"/>
          <w:sz w:val="22"/>
          <w:szCs w:val="22"/>
        </w:rPr>
        <w:t>)</w:t>
      </w:r>
      <w:r w:rsidRPr="00CF4254">
        <w:rPr>
          <w:rFonts w:ascii="Arial" w:hAnsi="Arial" w:cs="Arial"/>
          <w:sz w:val="22"/>
          <w:szCs w:val="22"/>
        </w:rPr>
        <w:t>.</w:t>
      </w:r>
    </w:p>
    <w:p w14:paraId="673F088F" w14:textId="77777777" w:rsidR="00754C28" w:rsidRPr="00CF4254" w:rsidRDefault="00754C28" w:rsidP="00270080">
      <w:pPr>
        <w:spacing w:line="360" w:lineRule="auto"/>
        <w:rPr>
          <w:rFonts w:ascii="Arial" w:hAnsi="Arial" w:cs="Arial"/>
          <w:sz w:val="22"/>
          <w:szCs w:val="22"/>
        </w:rPr>
      </w:pPr>
      <w:r w:rsidRPr="00CF4254">
        <w:rPr>
          <w:rFonts w:ascii="Arial" w:hAnsi="Arial" w:cs="Arial"/>
          <w:sz w:val="22"/>
          <w:szCs w:val="22"/>
        </w:rPr>
        <w:t>Verhoef, P.C., Kannan, P.K. &amp; Inman, J.J. (2021</w:t>
      </w:r>
      <w:r w:rsidRPr="00CF4254">
        <w:rPr>
          <w:rFonts w:ascii="Arial" w:hAnsi="Arial" w:cs="Arial"/>
          <w:i/>
          <w:iCs/>
          <w:sz w:val="22"/>
          <w:szCs w:val="22"/>
        </w:rPr>
        <w:t>) ‘From multi-channel retailing to omnichannel retailing’, Journal of Retailing,</w:t>
      </w:r>
      <w:r w:rsidRPr="00CF4254">
        <w:rPr>
          <w:rFonts w:ascii="Arial" w:hAnsi="Arial" w:cs="Arial"/>
          <w:sz w:val="22"/>
          <w:szCs w:val="22"/>
        </w:rPr>
        <w:t xml:space="preserve"> 97(1), pp. 5–25.</w:t>
      </w:r>
    </w:p>
    <w:p w14:paraId="6C81CDB9" w14:textId="77777777" w:rsidR="00754C28" w:rsidRPr="00754C28" w:rsidRDefault="00754C28" w:rsidP="00270080">
      <w:pPr>
        <w:spacing w:line="360" w:lineRule="auto"/>
        <w:rPr>
          <w:rFonts w:ascii="Arial" w:hAnsi="Arial" w:cs="Arial"/>
          <w:sz w:val="22"/>
          <w:szCs w:val="22"/>
        </w:rPr>
      </w:pPr>
    </w:p>
    <w:p w14:paraId="2EC2DEEC" w14:textId="77777777" w:rsidR="00754C28" w:rsidRPr="00754C28" w:rsidRDefault="00754C28" w:rsidP="00754C28">
      <w:pPr>
        <w:rPr>
          <w:rFonts w:ascii="Arial" w:hAnsi="Arial" w:cs="Arial"/>
          <w:sz w:val="22"/>
          <w:szCs w:val="22"/>
        </w:rPr>
      </w:pPr>
    </w:p>
    <w:p w14:paraId="0FF7A831" w14:textId="77777777" w:rsidR="00754C28" w:rsidRPr="00754C28" w:rsidRDefault="00754C28" w:rsidP="00754C28">
      <w:pPr>
        <w:rPr>
          <w:rFonts w:ascii="Arial" w:hAnsi="Arial" w:cs="Arial"/>
          <w:sz w:val="22"/>
          <w:szCs w:val="22"/>
        </w:rPr>
      </w:pPr>
    </w:p>
    <w:p w14:paraId="49036A8C" w14:textId="77777777" w:rsidR="007A6B65" w:rsidRPr="00754C28" w:rsidRDefault="007A6B65" w:rsidP="007A6B65">
      <w:pPr>
        <w:rPr>
          <w:rFonts w:ascii="Arial" w:hAnsi="Arial" w:cs="Arial"/>
          <w:sz w:val="22"/>
          <w:szCs w:val="22"/>
        </w:rPr>
      </w:pPr>
    </w:p>
    <w:p w14:paraId="4FE6FB9A" w14:textId="77777777" w:rsidR="007A6B65" w:rsidRPr="00754C28" w:rsidRDefault="007A6B65" w:rsidP="00741115">
      <w:pPr>
        <w:rPr>
          <w:rFonts w:ascii="Arial" w:hAnsi="Arial" w:cs="Arial"/>
          <w:sz w:val="22"/>
          <w:szCs w:val="22"/>
        </w:rPr>
      </w:pPr>
    </w:p>
    <w:sectPr w:rsidR="007A6B65" w:rsidRPr="00754C28" w:rsidSect="00754C28">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E29D9" w14:textId="77777777" w:rsidR="00F15A3D" w:rsidRDefault="00F15A3D" w:rsidP="00754C28">
      <w:pPr>
        <w:spacing w:after="0" w:line="240" w:lineRule="auto"/>
      </w:pPr>
      <w:r>
        <w:separator/>
      </w:r>
    </w:p>
  </w:endnote>
  <w:endnote w:type="continuationSeparator" w:id="0">
    <w:p w14:paraId="453BF64A" w14:textId="77777777" w:rsidR="00F15A3D" w:rsidRDefault="00F15A3D" w:rsidP="00754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172614"/>
      <w:docPartObj>
        <w:docPartGallery w:val="Page Numbers (Bottom of Page)"/>
        <w:docPartUnique/>
      </w:docPartObj>
    </w:sdtPr>
    <w:sdtContent>
      <w:p w14:paraId="0BF860BD" w14:textId="335DEE32" w:rsidR="00754C28" w:rsidRDefault="00754C28">
        <w:pPr>
          <w:pStyle w:val="Footer"/>
        </w:pPr>
        <w:r>
          <w:rPr>
            <w:noProof/>
          </w:rPr>
          <mc:AlternateContent>
            <mc:Choice Requires="wps">
              <w:drawing>
                <wp:anchor distT="0" distB="0" distL="114300" distR="114300" simplePos="0" relativeHeight="251660288" behindDoc="0" locked="0" layoutInCell="1" allowOverlap="1" wp14:anchorId="725F008C" wp14:editId="1839D056">
                  <wp:simplePos x="0" y="0"/>
                  <wp:positionH relativeFrom="margin">
                    <wp:align>center</wp:align>
                  </wp:positionH>
                  <wp:positionV relativeFrom="bottomMargin">
                    <wp:align>center</wp:align>
                  </wp:positionV>
                  <wp:extent cx="551815" cy="238760"/>
                  <wp:effectExtent l="19050" t="19050" r="19685" b="18415"/>
                  <wp:wrapNone/>
                  <wp:docPr id="54236106" name="Double Bracket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FC4F7A1" w14:textId="77777777" w:rsidR="00754C28" w:rsidRDefault="00754C2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25F008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6FC4F7A1" w14:textId="77777777" w:rsidR="00754C28" w:rsidRDefault="00754C2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1A4F12C" wp14:editId="16D1A57F">
                  <wp:simplePos x="0" y="0"/>
                  <wp:positionH relativeFrom="margin">
                    <wp:align>center</wp:align>
                  </wp:positionH>
                  <wp:positionV relativeFrom="bottomMargin">
                    <wp:align>center</wp:align>
                  </wp:positionV>
                  <wp:extent cx="5518150" cy="0"/>
                  <wp:effectExtent l="9525" t="9525" r="6350" b="9525"/>
                  <wp:wrapNone/>
                  <wp:docPr id="37877591"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13C3E79"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31AE5" w14:textId="77777777" w:rsidR="00F15A3D" w:rsidRDefault="00F15A3D" w:rsidP="00754C28">
      <w:pPr>
        <w:spacing w:after="0" w:line="240" w:lineRule="auto"/>
      </w:pPr>
      <w:r>
        <w:separator/>
      </w:r>
    </w:p>
  </w:footnote>
  <w:footnote w:type="continuationSeparator" w:id="0">
    <w:p w14:paraId="140F7842" w14:textId="77777777" w:rsidR="00F15A3D" w:rsidRDefault="00F15A3D" w:rsidP="00754C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A034D" w14:paraId="67DDA854" w14:textId="77777777" w:rsidTr="009A034D">
      <w:tc>
        <w:tcPr>
          <w:tcW w:w="4508" w:type="dxa"/>
        </w:tcPr>
        <w:p w14:paraId="02D59491" w14:textId="304C34BD" w:rsidR="009A034D" w:rsidRDefault="009A034D">
          <w:pPr>
            <w:pStyle w:val="Header"/>
          </w:pPr>
          <w:r>
            <w:rPr>
              <w:noProof/>
            </w:rPr>
            <w:drawing>
              <wp:inline distT="0" distB="0" distL="0" distR="0" wp14:anchorId="76900D80" wp14:editId="6317D13E">
                <wp:extent cx="1590675" cy="600075"/>
                <wp:effectExtent l="0" t="0" r="9525" b="9525"/>
                <wp:docPr id="879835391"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35391" name="Picture 4" descr="A black background with white tex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591444" cy="600365"/>
                        </a:xfrm>
                        <a:prstGeom prst="rect">
                          <a:avLst/>
                        </a:prstGeom>
                      </pic:spPr>
                    </pic:pic>
                  </a:graphicData>
                </a:graphic>
              </wp:inline>
            </w:drawing>
          </w:r>
        </w:p>
      </w:tc>
      <w:tc>
        <w:tcPr>
          <w:tcW w:w="4508" w:type="dxa"/>
        </w:tcPr>
        <w:p w14:paraId="69CE7B65" w14:textId="77777777" w:rsidR="009A034D" w:rsidRDefault="009A034D" w:rsidP="009A034D">
          <w:pPr>
            <w:pStyle w:val="Header"/>
            <w:jc w:val="right"/>
          </w:pPr>
          <w:r>
            <w:t>Erika Vegh</w:t>
          </w:r>
        </w:p>
        <w:p w14:paraId="56B138D2" w14:textId="0DF3885F" w:rsidR="009A034D" w:rsidRDefault="009A034D" w:rsidP="009A034D">
          <w:pPr>
            <w:pStyle w:val="Header"/>
            <w:jc w:val="right"/>
          </w:pPr>
          <w:r>
            <w:t>2245805</w:t>
          </w:r>
        </w:p>
      </w:tc>
    </w:tr>
  </w:tbl>
  <w:p w14:paraId="0C9D0C53" w14:textId="77777777" w:rsidR="009A034D" w:rsidRDefault="009A03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F2BB5"/>
    <w:multiLevelType w:val="multilevel"/>
    <w:tmpl w:val="DB641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F1127"/>
    <w:multiLevelType w:val="multilevel"/>
    <w:tmpl w:val="94948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5C7C6F"/>
    <w:multiLevelType w:val="multilevel"/>
    <w:tmpl w:val="E8BC13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C671AB"/>
    <w:multiLevelType w:val="multilevel"/>
    <w:tmpl w:val="1474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EE5059"/>
    <w:multiLevelType w:val="multilevel"/>
    <w:tmpl w:val="5ADE8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643A4"/>
    <w:multiLevelType w:val="multilevel"/>
    <w:tmpl w:val="3BE05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B7471"/>
    <w:multiLevelType w:val="multilevel"/>
    <w:tmpl w:val="E458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F57186"/>
    <w:multiLevelType w:val="multilevel"/>
    <w:tmpl w:val="C4A8E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9276C2"/>
    <w:multiLevelType w:val="multilevel"/>
    <w:tmpl w:val="73529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AE6BBE"/>
    <w:multiLevelType w:val="multilevel"/>
    <w:tmpl w:val="3A80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BE049E"/>
    <w:multiLevelType w:val="multilevel"/>
    <w:tmpl w:val="88F48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AA6508"/>
    <w:multiLevelType w:val="multilevel"/>
    <w:tmpl w:val="6FB8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141E87"/>
    <w:multiLevelType w:val="multilevel"/>
    <w:tmpl w:val="B02AB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5962FC"/>
    <w:multiLevelType w:val="multilevel"/>
    <w:tmpl w:val="5B6ED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E177F2"/>
    <w:multiLevelType w:val="multilevel"/>
    <w:tmpl w:val="A8322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5370658">
    <w:abstractNumId w:val="12"/>
  </w:num>
  <w:num w:numId="2" w16cid:durableId="1059284289">
    <w:abstractNumId w:val="10"/>
  </w:num>
  <w:num w:numId="3" w16cid:durableId="913316875">
    <w:abstractNumId w:val="6"/>
  </w:num>
  <w:num w:numId="4" w16cid:durableId="1204947045">
    <w:abstractNumId w:val="7"/>
  </w:num>
  <w:num w:numId="5" w16cid:durableId="1378966008">
    <w:abstractNumId w:val="5"/>
  </w:num>
  <w:num w:numId="6" w16cid:durableId="1246038253">
    <w:abstractNumId w:val="8"/>
  </w:num>
  <w:num w:numId="7" w16cid:durableId="352390609">
    <w:abstractNumId w:val="1"/>
  </w:num>
  <w:num w:numId="8" w16cid:durableId="824666108">
    <w:abstractNumId w:val="9"/>
  </w:num>
  <w:num w:numId="9" w16cid:durableId="1903756635">
    <w:abstractNumId w:val="13"/>
  </w:num>
  <w:num w:numId="10" w16cid:durableId="1269848647">
    <w:abstractNumId w:val="3"/>
  </w:num>
  <w:num w:numId="11" w16cid:durableId="1692607809">
    <w:abstractNumId w:val="0"/>
  </w:num>
  <w:num w:numId="12" w16cid:durableId="774977531">
    <w:abstractNumId w:val="14"/>
  </w:num>
  <w:num w:numId="13" w16cid:durableId="376978669">
    <w:abstractNumId w:val="11"/>
  </w:num>
  <w:num w:numId="14" w16cid:durableId="113064391">
    <w:abstractNumId w:val="2"/>
  </w:num>
  <w:num w:numId="15" w16cid:durableId="6797408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115"/>
    <w:rsid w:val="00270080"/>
    <w:rsid w:val="002A6F56"/>
    <w:rsid w:val="002F3560"/>
    <w:rsid w:val="00545B75"/>
    <w:rsid w:val="00565896"/>
    <w:rsid w:val="00634043"/>
    <w:rsid w:val="006506E2"/>
    <w:rsid w:val="0069610D"/>
    <w:rsid w:val="00741115"/>
    <w:rsid w:val="00754C28"/>
    <w:rsid w:val="007A2A1F"/>
    <w:rsid w:val="007A6B65"/>
    <w:rsid w:val="008A6266"/>
    <w:rsid w:val="00976FE6"/>
    <w:rsid w:val="009A034D"/>
    <w:rsid w:val="00B07C2F"/>
    <w:rsid w:val="00B130B9"/>
    <w:rsid w:val="00C42757"/>
    <w:rsid w:val="00C83EFD"/>
    <w:rsid w:val="00CD2931"/>
    <w:rsid w:val="00CD616B"/>
    <w:rsid w:val="00DE462E"/>
    <w:rsid w:val="00EB5B1C"/>
    <w:rsid w:val="00EC018F"/>
    <w:rsid w:val="00EC4CF9"/>
    <w:rsid w:val="00F115EF"/>
    <w:rsid w:val="00F15A3D"/>
    <w:rsid w:val="00F96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BDBCA0"/>
  <w15:chartTrackingRefBased/>
  <w15:docId w15:val="{4C789C5F-B3E4-4CE7-9212-C52E41CD9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115"/>
    <w:rPr>
      <w:rFonts w:eastAsiaTheme="majorEastAsia" w:cstheme="majorBidi"/>
      <w:color w:val="272727" w:themeColor="text1" w:themeTint="D8"/>
    </w:rPr>
  </w:style>
  <w:style w:type="paragraph" w:styleId="Title">
    <w:name w:val="Title"/>
    <w:basedOn w:val="Normal"/>
    <w:next w:val="Normal"/>
    <w:link w:val="TitleChar"/>
    <w:uiPriority w:val="10"/>
    <w:qFormat/>
    <w:rsid w:val="00741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115"/>
    <w:pPr>
      <w:spacing w:before="160"/>
      <w:jc w:val="center"/>
    </w:pPr>
    <w:rPr>
      <w:i/>
      <w:iCs/>
      <w:color w:val="404040" w:themeColor="text1" w:themeTint="BF"/>
    </w:rPr>
  </w:style>
  <w:style w:type="character" w:customStyle="1" w:styleId="QuoteChar">
    <w:name w:val="Quote Char"/>
    <w:basedOn w:val="DefaultParagraphFont"/>
    <w:link w:val="Quote"/>
    <w:uiPriority w:val="29"/>
    <w:rsid w:val="00741115"/>
    <w:rPr>
      <w:i/>
      <w:iCs/>
      <w:color w:val="404040" w:themeColor="text1" w:themeTint="BF"/>
    </w:rPr>
  </w:style>
  <w:style w:type="paragraph" w:styleId="ListParagraph">
    <w:name w:val="List Paragraph"/>
    <w:basedOn w:val="Normal"/>
    <w:uiPriority w:val="34"/>
    <w:qFormat/>
    <w:rsid w:val="00741115"/>
    <w:pPr>
      <w:ind w:left="720"/>
      <w:contextualSpacing/>
    </w:pPr>
  </w:style>
  <w:style w:type="character" w:styleId="IntenseEmphasis">
    <w:name w:val="Intense Emphasis"/>
    <w:basedOn w:val="DefaultParagraphFont"/>
    <w:uiPriority w:val="21"/>
    <w:qFormat/>
    <w:rsid w:val="00741115"/>
    <w:rPr>
      <w:i/>
      <w:iCs/>
      <w:color w:val="0F4761" w:themeColor="accent1" w:themeShade="BF"/>
    </w:rPr>
  </w:style>
  <w:style w:type="paragraph" w:styleId="IntenseQuote">
    <w:name w:val="Intense Quote"/>
    <w:basedOn w:val="Normal"/>
    <w:next w:val="Normal"/>
    <w:link w:val="IntenseQuoteChar"/>
    <w:uiPriority w:val="30"/>
    <w:qFormat/>
    <w:rsid w:val="00741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115"/>
    <w:rPr>
      <w:i/>
      <w:iCs/>
      <w:color w:val="0F4761" w:themeColor="accent1" w:themeShade="BF"/>
    </w:rPr>
  </w:style>
  <w:style w:type="character" w:styleId="IntenseReference">
    <w:name w:val="Intense Reference"/>
    <w:basedOn w:val="DefaultParagraphFont"/>
    <w:uiPriority w:val="32"/>
    <w:qFormat/>
    <w:rsid w:val="00741115"/>
    <w:rPr>
      <w:b/>
      <w:bCs/>
      <w:smallCaps/>
      <w:color w:val="0F4761" w:themeColor="accent1" w:themeShade="BF"/>
      <w:spacing w:val="5"/>
    </w:rPr>
  </w:style>
  <w:style w:type="character" w:styleId="Hyperlink">
    <w:name w:val="Hyperlink"/>
    <w:basedOn w:val="DefaultParagraphFont"/>
    <w:uiPriority w:val="99"/>
    <w:unhideWhenUsed/>
    <w:rsid w:val="00754C28"/>
    <w:rPr>
      <w:color w:val="467886" w:themeColor="hyperlink"/>
      <w:u w:val="single"/>
    </w:rPr>
  </w:style>
  <w:style w:type="character" w:styleId="FollowedHyperlink">
    <w:name w:val="FollowedHyperlink"/>
    <w:basedOn w:val="DefaultParagraphFont"/>
    <w:uiPriority w:val="99"/>
    <w:semiHidden/>
    <w:unhideWhenUsed/>
    <w:rsid w:val="00754C28"/>
    <w:rPr>
      <w:color w:val="96607D" w:themeColor="followedHyperlink"/>
      <w:u w:val="single"/>
    </w:rPr>
  </w:style>
  <w:style w:type="paragraph" w:styleId="NoSpacing">
    <w:name w:val="No Spacing"/>
    <w:link w:val="NoSpacingChar"/>
    <w:uiPriority w:val="1"/>
    <w:qFormat/>
    <w:rsid w:val="00754C2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54C28"/>
    <w:rPr>
      <w:rFonts w:eastAsiaTheme="minorEastAsia"/>
      <w:kern w:val="0"/>
      <w:sz w:val="22"/>
      <w:szCs w:val="22"/>
      <w:lang w:val="en-US"/>
      <w14:ligatures w14:val="none"/>
    </w:rPr>
  </w:style>
  <w:style w:type="paragraph" w:styleId="Header">
    <w:name w:val="header"/>
    <w:basedOn w:val="Normal"/>
    <w:link w:val="HeaderChar"/>
    <w:uiPriority w:val="99"/>
    <w:unhideWhenUsed/>
    <w:rsid w:val="00754C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C28"/>
  </w:style>
  <w:style w:type="paragraph" w:styleId="Footer">
    <w:name w:val="footer"/>
    <w:basedOn w:val="Normal"/>
    <w:link w:val="FooterChar"/>
    <w:uiPriority w:val="99"/>
    <w:unhideWhenUsed/>
    <w:rsid w:val="00754C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C28"/>
  </w:style>
  <w:style w:type="paragraph" w:styleId="TOCHeading">
    <w:name w:val="TOC Heading"/>
    <w:basedOn w:val="Heading1"/>
    <w:next w:val="Normal"/>
    <w:uiPriority w:val="39"/>
    <w:unhideWhenUsed/>
    <w:qFormat/>
    <w:rsid w:val="00754C2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4C28"/>
    <w:pPr>
      <w:spacing w:after="100"/>
    </w:pPr>
  </w:style>
  <w:style w:type="paragraph" w:styleId="TOC2">
    <w:name w:val="toc 2"/>
    <w:basedOn w:val="Normal"/>
    <w:next w:val="Normal"/>
    <w:autoRedefine/>
    <w:uiPriority w:val="39"/>
    <w:unhideWhenUsed/>
    <w:rsid w:val="00754C28"/>
    <w:pPr>
      <w:spacing w:after="100"/>
      <w:ind w:left="240"/>
    </w:pPr>
  </w:style>
  <w:style w:type="table" w:styleId="TableGrid">
    <w:name w:val="Table Grid"/>
    <w:basedOn w:val="TableNormal"/>
    <w:uiPriority w:val="39"/>
    <w:rsid w:val="009A0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ulu.com/shop/alan-sarsby/swot-analysis/paperback/product-22932529.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ymshark.com/blogs/news"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02460D57EBE4104B856019E07C65BAA"/>
        <w:category>
          <w:name w:val="General"/>
          <w:gallery w:val="placeholder"/>
        </w:category>
        <w:types>
          <w:type w:val="bbPlcHdr"/>
        </w:types>
        <w:behaviors>
          <w:behavior w:val="content"/>
        </w:behaviors>
        <w:guid w:val="{37BEC166-83F0-4C3D-BB75-0DD9A9982CC4}"/>
      </w:docPartPr>
      <w:docPartBody>
        <w:p w:rsidR="00252F05" w:rsidRDefault="00B31287" w:rsidP="00B31287">
          <w:pPr>
            <w:pStyle w:val="802460D57EBE4104B856019E07C65BA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287"/>
    <w:rsid w:val="00105F86"/>
    <w:rsid w:val="00252F05"/>
    <w:rsid w:val="00565896"/>
    <w:rsid w:val="00713251"/>
    <w:rsid w:val="008A6266"/>
    <w:rsid w:val="00AA2A13"/>
    <w:rsid w:val="00B31287"/>
    <w:rsid w:val="00C42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2460D57EBE4104B856019E07C65BAA">
    <w:name w:val="802460D57EBE4104B856019E07C65BAA"/>
    <w:rsid w:val="00B312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CEA35-F1D8-498C-A1C5-C948F0C05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22</Pages>
  <Words>6229</Words>
  <Characters>35509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Strategic chANGE PLAN OF                                  GYMSHARK</vt:lpstr>
    </vt:vector>
  </TitlesOfParts>
  <Company>mODULE NAME: LEADING AND IMPLEMENTING CHANGE</Company>
  <LinksUpToDate>false</LinksUpToDate>
  <CharactersWithSpaces>41655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PLAN OF                                  GYMSHARK</dc:title>
  <dc:subject/>
  <dc:creator>Erika Vegh (2245805)</dc:creator>
  <cp:keywords/>
  <dc:description/>
  <cp:lastModifiedBy>Erika Vegh (2245805)</cp:lastModifiedBy>
  <cp:revision>5</cp:revision>
  <dcterms:created xsi:type="dcterms:W3CDTF">2025-11-22T14:23:00Z</dcterms:created>
  <dcterms:modified xsi:type="dcterms:W3CDTF">2025-12-16T18:13:00Z</dcterms:modified>
</cp:coreProperties>
</file>