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9E4B8" w14:textId="1DEB60A3" w:rsidR="009773EE" w:rsidRDefault="00DB2C81">
      <w:r>
        <w:rPr>
          <w:noProof/>
        </w:rPr>
        <w:drawing>
          <wp:inline distT="0" distB="0" distL="0" distR="0" wp14:anchorId="79439D16" wp14:editId="31EE4C21">
            <wp:extent cx="2247900" cy="752475"/>
            <wp:effectExtent l="0" t="0" r="0" b="9525"/>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p w14:paraId="69E70E1A" w14:textId="6014E0D2" w:rsidR="00DB2C81" w:rsidRDefault="00DB2C81"/>
    <w:p w14:paraId="1C01CF47" w14:textId="0C799B5B" w:rsidR="00DB2C81" w:rsidRDefault="00DB2C81"/>
    <w:p w14:paraId="3049AD41" w14:textId="15885D20" w:rsidR="00DB2C81" w:rsidRDefault="00DB2C81"/>
    <w:p w14:paraId="6B09DE08" w14:textId="77777777" w:rsidR="00DB2C81" w:rsidRPr="00575992" w:rsidRDefault="00DB2C81" w:rsidP="00DB2C81">
      <w:pPr>
        <w:jc w:val="center"/>
        <w:rPr>
          <w:b/>
          <w:bCs/>
          <w:sz w:val="72"/>
          <w:szCs w:val="72"/>
        </w:rPr>
      </w:pPr>
      <w:r w:rsidRPr="00575992">
        <w:rPr>
          <w:b/>
          <w:bCs/>
          <w:sz w:val="72"/>
          <w:szCs w:val="72"/>
        </w:rPr>
        <w:t>LAW AND LEGAL PRACTICE</w:t>
      </w:r>
    </w:p>
    <w:p w14:paraId="277AB241" w14:textId="412A5CF9" w:rsidR="00DB2C81" w:rsidRDefault="00DB2C81" w:rsidP="00DB2C81">
      <w:pPr>
        <w:jc w:val="center"/>
        <w:rPr>
          <w:b/>
          <w:bCs/>
          <w:sz w:val="72"/>
          <w:szCs w:val="72"/>
        </w:rPr>
      </w:pPr>
      <w:r>
        <w:rPr>
          <w:b/>
          <w:bCs/>
          <w:sz w:val="72"/>
          <w:szCs w:val="72"/>
        </w:rPr>
        <w:t>BMPL4005, BMLW4006 – LEGAL PROCESS</w:t>
      </w:r>
    </w:p>
    <w:p w14:paraId="113D9AA5" w14:textId="03626BC9" w:rsidR="00C42BB0" w:rsidRDefault="00C42BB0" w:rsidP="00DB2C81">
      <w:pPr>
        <w:jc w:val="center"/>
        <w:rPr>
          <w:b/>
          <w:bCs/>
          <w:sz w:val="72"/>
          <w:szCs w:val="72"/>
        </w:rPr>
      </w:pPr>
    </w:p>
    <w:p w14:paraId="71CDA834" w14:textId="79BAB6D7" w:rsidR="00C42BB0" w:rsidRDefault="00C42BB0" w:rsidP="00DB2C81">
      <w:pPr>
        <w:jc w:val="center"/>
        <w:rPr>
          <w:b/>
          <w:bCs/>
          <w:sz w:val="72"/>
          <w:szCs w:val="72"/>
        </w:rPr>
      </w:pPr>
    </w:p>
    <w:p w14:paraId="0B05624D" w14:textId="6898D1C0" w:rsidR="00C42BB0" w:rsidRDefault="00C42BB0" w:rsidP="00DB2C81">
      <w:pPr>
        <w:jc w:val="center"/>
        <w:rPr>
          <w:b/>
          <w:bCs/>
          <w:sz w:val="72"/>
          <w:szCs w:val="72"/>
        </w:rPr>
      </w:pPr>
    </w:p>
    <w:p w14:paraId="49B3B247" w14:textId="0DCB2D7B" w:rsidR="00C42BB0" w:rsidRDefault="00C42BB0" w:rsidP="00DB2C81">
      <w:pPr>
        <w:jc w:val="center"/>
        <w:rPr>
          <w:b/>
          <w:bCs/>
          <w:sz w:val="72"/>
          <w:szCs w:val="72"/>
        </w:rPr>
      </w:pPr>
    </w:p>
    <w:p w14:paraId="74D4C06C" w14:textId="589944B3" w:rsidR="00C42BB0" w:rsidRDefault="00C42BB0" w:rsidP="00DB2C81">
      <w:pPr>
        <w:jc w:val="center"/>
        <w:rPr>
          <w:b/>
          <w:bCs/>
          <w:sz w:val="72"/>
          <w:szCs w:val="72"/>
        </w:rPr>
      </w:pPr>
      <w:r>
        <w:rPr>
          <w:b/>
          <w:bCs/>
          <w:sz w:val="72"/>
          <w:szCs w:val="72"/>
        </w:rPr>
        <w:t>STU2214002</w:t>
      </w:r>
    </w:p>
    <w:p w14:paraId="536EF856" w14:textId="6339D54E" w:rsidR="00DB2C81" w:rsidRDefault="00DB2C81" w:rsidP="00C42BB0">
      <w:pPr>
        <w:rPr>
          <w:b/>
          <w:bCs/>
          <w:sz w:val="72"/>
          <w:szCs w:val="72"/>
        </w:rPr>
      </w:pPr>
    </w:p>
    <w:p w14:paraId="3CB8F7EA" w14:textId="71B0AA77" w:rsidR="00DB2C81" w:rsidRDefault="00DB2C81" w:rsidP="00DB2C81">
      <w:pPr>
        <w:jc w:val="center"/>
        <w:rPr>
          <w:b/>
          <w:bCs/>
          <w:sz w:val="24"/>
          <w:szCs w:val="24"/>
        </w:rPr>
      </w:pPr>
    </w:p>
    <w:p w14:paraId="20D16A1A" w14:textId="5DFD84EF" w:rsidR="005A0766" w:rsidRPr="005A0766" w:rsidRDefault="005A0766" w:rsidP="003B40D1">
      <w:pPr>
        <w:ind w:firstLine="720"/>
        <w:jc w:val="both"/>
        <w:rPr>
          <w:sz w:val="24"/>
          <w:szCs w:val="24"/>
        </w:rPr>
      </w:pPr>
      <w:r w:rsidRPr="005A0766">
        <w:rPr>
          <w:sz w:val="24"/>
          <w:szCs w:val="24"/>
        </w:rPr>
        <w:lastRenderedPageBreak/>
        <w:t>The United Kingdom is a monarchy based on the Constitution. The king (and not the president) serves as the Head of State, with limited constitutional authority. Political neutrality is expected of the monarch as part of the protocol.</w:t>
      </w:r>
    </w:p>
    <w:p w14:paraId="75BD5A63" w14:textId="3CF02C3D" w:rsidR="005A0766" w:rsidRDefault="005A0766" w:rsidP="003B40D1">
      <w:pPr>
        <w:ind w:firstLine="720"/>
        <w:jc w:val="both"/>
        <w:rPr>
          <w:sz w:val="24"/>
          <w:szCs w:val="24"/>
        </w:rPr>
      </w:pPr>
      <w:r w:rsidRPr="005A0766">
        <w:rPr>
          <w:sz w:val="24"/>
          <w:szCs w:val="24"/>
        </w:rPr>
        <w:t>The legal system in England and Wales is called "common law," and it is based on a hybrid of legislative enactment and the development of precedent through court decisions.</w:t>
      </w:r>
    </w:p>
    <w:p w14:paraId="64DDFCFF" w14:textId="12450F76" w:rsidR="003B40D1" w:rsidRDefault="003B40D1" w:rsidP="003B40D1">
      <w:pPr>
        <w:ind w:firstLine="720"/>
        <w:jc w:val="both"/>
        <w:rPr>
          <w:sz w:val="24"/>
          <w:szCs w:val="24"/>
        </w:rPr>
      </w:pPr>
      <w:r w:rsidRPr="003B40D1">
        <w:rPr>
          <w:sz w:val="24"/>
          <w:szCs w:val="24"/>
        </w:rPr>
        <w:t>Legislation is established by Parliament, which includes the "Monarch," the House of Commons, and the House of Lords. In most democracies, the Prime Minister has traditionally been a member of the House of Commons, which is why that body receives its mandate directly from the electorate. The judiciary is independent from Parliament and exercises sole authority over the court system and case law.</w:t>
      </w:r>
    </w:p>
    <w:p w14:paraId="28DB428F" w14:textId="77777777" w:rsidR="003B40D1" w:rsidRPr="005A0766" w:rsidRDefault="003B40D1" w:rsidP="003B40D1">
      <w:pPr>
        <w:ind w:firstLine="720"/>
        <w:jc w:val="both"/>
        <w:rPr>
          <w:sz w:val="24"/>
          <w:szCs w:val="24"/>
        </w:rPr>
      </w:pPr>
    </w:p>
    <w:p w14:paraId="21889257" w14:textId="667D734E" w:rsidR="00DB2C81" w:rsidRDefault="00DB2C81" w:rsidP="003B40D1">
      <w:pPr>
        <w:jc w:val="both"/>
        <w:rPr>
          <w:b/>
          <w:bCs/>
          <w:sz w:val="24"/>
          <w:szCs w:val="24"/>
        </w:rPr>
      </w:pPr>
      <w:r>
        <w:rPr>
          <w:b/>
          <w:bCs/>
          <w:sz w:val="24"/>
          <w:szCs w:val="24"/>
        </w:rPr>
        <w:t>What is Common Law?</w:t>
      </w:r>
    </w:p>
    <w:p w14:paraId="3BB61DD0" w14:textId="00858C75" w:rsidR="00BD611B" w:rsidRPr="00BD611B" w:rsidRDefault="002C5823" w:rsidP="0021244C">
      <w:pPr>
        <w:ind w:firstLine="720"/>
        <w:jc w:val="both"/>
        <w:rPr>
          <w:sz w:val="24"/>
          <w:szCs w:val="24"/>
        </w:rPr>
      </w:pPr>
      <w:r w:rsidRPr="002C5823">
        <w:rPr>
          <w:sz w:val="24"/>
          <w:szCs w:val="24"/>
        </w:rPr>
        <w:t>Judicial precedent is the essence of common law, which is developed in the halls of the law courts. Common law is dynamic, unlike statutes, which are static acts of parliament.</w:t>
      </w:r>
      <w:r w:rsidR="00C540D4">
        <w:rPr>
          <w:sz w:val="24"/>
          <w:szCs w:val="24"/>
        </w:rPr>
        <w:t xml:space="preserve"> </w:t>
      </w:r>
      <w:r w:rsidRPr="002C5823">
        <w:rPr>
          <w:sz w:val="24"/>
          <w:szCs w:val="24"/>
        </w:rPr>
        <w:t xml:space="preserve">This is due to the judges' discretion in interpreting the law to the specifics of each case before them, taking into account both established precedent and common sense. </w:t>
      </w:r>
      <w:r w:rsidR="00BD611B" w:rsidRPr="00BD611B">
        <w:rPr>
          <w:sz w:val="24"/>
          <w:szCs w:val="24"/>
        </w:rPr>
        <w:t>Both substantive rules, such as the crime of murder, and procedural rules, such as rules of court procedure based on the court's inherent jurisdiction, are found in the common law.</w:t>
      </w:r>
    </w:p>
    <w:p w14:paraId="79AB6931" w14:textId="3F98F291" w:rsidR="00BD611B" w:rsidRPr="00BD611B" w:rsidRDefault="00BD611B" w:rsidP="00C540D4">
      <w:pPr>
        <w:ind w:firstLine="720"/>
        <w:jc w:val="both"/>
        <w:rPr>
          <w:sz w:val="24"/>
          <w:szCs w:val="24"/>
        </w:rPr>
      </w:pPr>
      <w:r w:rsidRPr="00BD611B">
        <w:rPr>
          <w:sz w:val="24"/>
          <w:szCs w:val="24"/>
        </w:rPr>
        <w:t>The common law may be "trumped" or otherwise substituted by statute, which is to say that the statute takes precedence over the common law. The ancient punishments for murder (but not the offence itself) were replaced by statutes like the Murder Act 1957, and the Theft Acts 1968, 1978, etc., are all based on the old common law offence of larceny.</w:t>
      </w:r>
    </w:p>
    <w:p w14:paraId="13BB68FD" w14:textId="669FAFEF" w:rsidR="005D4384" w:rsidRDefault="00BD611B" w:rsidP="0021244C">
      <w:pPr>
        <w:ind w:firstLine="720"/>
        <w:jc w:val="both"/>
        <w:rPr>
          <w:sz w:val="24"/>
          <w:szCs w:val="24"/>
        </w:rPr>
      </w:pPr>
      <w:r w:rsidRPr="00BD611B">
        <w:rPr>
          <w:sz w:val="24"/>
          <w:szCs w:val="24"/>
        </w:rPr>
        <w:t>However innovative or "active" a common law judge may be, they have limited ability to update an outmoded body of law that has its origins in legislation. In such a case, only Parliament has the authority to alter the legislation. The Law Commission, an institution established to examine and recommend changes to outmoded or insufficient legislation, is often the impetus for such a shift.</w:t>
      </w:r>
    </w:p>
    <w:p w14:paraId="172D4A97" w14:textId="77777777" w:rsidR="0021244C" w:rsidRDefault="0021244C" w:rsidP="0021244C">
      <w:pPr>
        <w:ind w:firstLine="720"/>
        <w:jc w:val="both"/>
        <w:rPr>
          <w:sz w:val="24"/>
          <w:szCs w:val="24"/>
        </w:rPr>
      </w:pPr>
    </w:p>
    <w:p w14:paraId="74B601BC" w14:textId="279BD9B4" w:rsidR="005D4384" w:rsidRDefault="005D4384" w:rsidP="003B40D1">
      <w:pPr>
        <w:jc w:val="both"/>
        <w:rPr>
          <w:b/>
          <w:bCs/>
          <w:sz w:val="24"/>
          <w:szCs w:val="24"/>
        </w:rPr>
      </w:pPr>
      <w:r>
        <w:rPr>
          <w:b/>
          <w:bCs/>
          <w:sz w:val="24"/>
          <w:szCs w:val="24"/>
        </w:rPr>
        <w:t>What is Civil Law?</w:t>
      </w:r>
    </w:p>
    <w:p w14:paraId="20FB92E1" w14:textId="4010B8BD" w:rsidR="002C5823" w:rsidRDefault="0022700D" w:rsidP="00081F9A">
      <w:pPr>
        <w:ind w:firstLine="720"/>
        <w:jc w:val="both"/>
        <w:rPr>
          <w:sz w:val="24"/>
          <w:szCs w:val="24"/>
        </w:rPr>
      </w:pPr>
      <w:r w:rsidRPr="0022700D">
        <w:rPr>
          <w:sz w:val="24"/>
          <w:szCs w:val="24"/>
        </w:rPr>
        <w:t>From the sixth-century codification of Roman law by Justinian, the concept of "civil law" emerged in the late Roman Empire. This had a significant impact on the development of civil law on the European continent, where it replaced canon law as the dominant body of law beginning in the Middle Ages and eventually giving rise to the codified legal regimes with which we are familiar. Much of Latin America and some areas of Africa and Asia adopted civil law as a result of the colonial expansion of Europe, specifically France, Portugal, and Spain. Over 150 countries have adopted civil law as their legal system.</w:t>
      </w:r>
    </w:p>
    <w:p w14:paraId="5C8C08EB" w14:textId="536BC0C7" w:rsidR="00CA1339" w:rsidRPr="0022700D" w:rsidRDefault="00CA1339" w:rsidP="00081F9A">
      <w:pPr>
        <w:ind w:firstLine="720"/>
        <w:jc w:val="both"/>
        <w:rPr>
          <w:sz w:val="24"/>
          <w:szCs w:val="24"/>
        </w:rPr>
      </w:pPr>
      <w:r>
        <w:rPr>
          <w:sz w:val="24"/>
          <w:szCs w:val="24"/>
        </w:rPr>
        <w:lastRenderedPageBreak/>
        <w:t>There are several types of Civil Law, such as: Contract, Tort, Company Law, Revenue Law, Intellectual Property, Media and Communication</w:t>
      </w:r>
      <w:r w:rsidR="00C12C34">
        <w:rPr>
          <w:sz w:val="24"/>
          <w:szCs w:val="24"/>
        </w:rPr>
        <w:t>s</w:t>
      </w:r>
      <w:r>
        <w:rPr>
          <w:sz w:val="24"/>
          <w:szCs w:val="24"/>
        </w:rPr>
        <w:t xml:space="preserve"> Law, </w:t>
      </w:r>
      <w:r w:rsidR="00C12C34">
        <w:rPr>
          <w:sz w:val="24"/>
          <w:szCs w:val="24"/>
        </w:rPr>
        <w:t>Family Law and Court of Protection.</w:t>
      </w:r>
    </w:p>
    <w:p w14:paraId="6D404F5B" w14:textId="573152F7" w:rsidR="002C5823" w:rsidRDefault="002C5823" w:rsidP="003B40D1">
      <w:pPr>
        <w:jc w:val="both"/>
        <w:rPr>
          <w:sz w:val="24"/>
          <w:szCs w:val="24"/>
        </w:rPr>
      </w:pPr>
    </w:p>
    <w:p w14:paraId="1A489FC8" w14:textId="1C2062C6" w:rsidR="002C5823" w:rsidRPr="0022700D" w:rsidRDefault="0022700D" w:rsidP="003B40D1">
      <w:pPr>
        <w:jc w:val="both"/>
        <w:rPr>
          <w:b/>
          <w:bCs/>
          <w:sz w:val="24"/>
          <w:szCs w:val="24"/>
        </w:rPr>
      </w:pPr>
      <w:r w:rsidRPr="0022700D">
        <w:rPr>
          <w:b/>
          <w:bCs/>
          <w:sz w:val="24"/>
          <w:szCs w:val="24"/>
        </w:rPr>
        <w:t>Difference between Common Law and Civil Law</w:t>
      </w:r>
    </w:p>
    <w:p w14:paraId="281AC825" w14:textId="48C64F2A" w:rsidR="00CD44D3" w:rsidRPr="00CD44D3" w:rsidRDefault="00CD44D3" w:rsidP="00CD44D3">
      <w:pPr>
        <w:ind w:firstLine="720"/>
        <w:jc w:val="both"/>
        <w:rPr>
          <w:sz w:val="24"/>
          <w:szCs w:val="24"/>
        </w:rPr>
      </w:pPr>
      <w:r w:rsidRPr="00CD44D3">
        <w:rPr>
          <w:sz w:val="24"/>
          <w:szCs w:val="24"/>
        </w:rPr>
        <w:t>In a codified system, the fundamental rules of a legal system are enshrined in a single, easily accessible text, as is the case in civil law nations. Yet, in common law jurisdictions (such as England and Wales), precedent is established through case law.</w:t>
      </w:r>
      <w:r>
        <w:rPr>
          <w:sz w:val="24"/>
          <w:szCs w:val="24"/>
        </w:rPr>
        <w:t xml:space="preserve"> </w:t>
      </w:r>
      <w:r w:rsidRPr="00CD44D3">
        <w:rPr>
          <w:sz w:val="24"/>
          <w:szCs w:val="24"/>
        </w:rPr>
        <w:t>Both legal systems have the potential to significantly alter the way transactions are handled in various countries. One reason why international arbitration (as opposed to litigation) is employed so frequently in cases involving a cross-border aspect is because of this variety.</w:t>
      </w:r>
    </w:p>
    <w:p w14:paraId="2104136D" w14:textId="753A425F" w:rsidR="00CD44D3" w:rsidRPr="00CD44D3" w:rsidRDefault="00CD44D3" w:rsidP="00CD44D3">
      <w:pPr>
        <w:ind w:firstLine="720"/>
        <w:jc w:val="both"/>
        <w:rPr>
          <w:sz w:val="24"/>
          <w:szCs w:val="24"/>
        </w:rPr>
      </w:pPr>
      <w:r w:rsidRPr="00CD44D3">
        <w:rPr>
          <w:sz w:val="24"/>
          <w:szCs w:val="24"/>
        </w:rPr>
        <w:t>The widespread adoption of English common law has resulted in a stable, coherent legal framework that is applied in countries all over the world. </w:t>
      </w:r>
    </w:p>
    <w:p w14:paraId="6C4A688E" w14:textId="620827EC" w:rsidR="00CD44D3" w:rsidRPr="00CD44D3" w:rsidRDefault="00CD44D3" w:rsidP="00CD44D3">
      <w:pPr>
        <w:ind w:firstLine="720"/>
        <w:jc w:val="both"/>
        <w:rPr>
          <w:sz w:val="24"/>
          <w:szCs w:val="24"/>
        </w:rPr>
      </w:pPr>
      <w:r w:rsidRPr="00CD44D3">
        <w:rPr>
          <w:sz w:val="24"/>
          <w:szCs w:val="24"/>
        </w:rPr>
        <w:t>Legal counsel in common law cases are expected to take a more combative stance. Instead of the judge asking questions of witnesses and presenting evidence, it is the lawyer's job to do so.</w:t>
      </w:r>
      <w:r>
        <w:rPr>
          <w:sz w:val="24"/>
          <w:szCs w:val="24"/>
        </w:rPr>
        <w:t xml:space="preserve"> </w:t>
      </w:r>
      <w:r w:rsidRPr="00CD44D3">
        <w:rPr>
          <w:sz w:val="24"/>
          <w:szCs w:val="24"/>
        </w:rPr>
        <w:t>Lawyers in civil law jurisdictions play a more inquisitorial function, which is a major distinction. They argue their client's case in court using the evidence the judge has uncovered, field the judge's inquiries, and otherwise help the judge make a decision.</w:t>
      </w:r>
      <w:r>
        <w:rPr>
          <w:sz w:val="24"/>
          <w:szCs w:val="24"/>
        </w:rPr>
        <w:t xml:space="preserve"> </w:t>
      </w:r>
      <w:r w:rsidRPr="00CD44D3">
        <w:rPr>
          <w:sz w:val="24"/>
          <w:szCs w:val="24"/>
        </w:rPr>
        <w:t>For their clients, lawyers in civil law do not do the bulk of the necessary investigation; rather, the court does. Judging entails little more than establishing the facts of the case and applying the applicable law.</w:t>
      </w:r>
    </w:p>
    <w:p w14:paraId="7D99FABB" w14:textId="77777777" w:rsidR="00CD44D3" w:rsidRPr="00CD44D3" w:rsidRDefault="00CD44D3" w:rsidP="00CD44D3">
      <w:pPr>
        <w:ind w:firstLine="720"/>
        <w:jc w:val="both"/>
        <w:rPr>
          <w:sz w:val="24"/>
          <w:szCs w:val="24"/>
        </w:rPr>
      </w:pPr>
      <w:r w:rsidRPr="00CD44D3">
        <w:rPr>
          <w:sz w:val="24"/>
          <w:szCs w:val="24"/>
        </w:rPr>
        <w:t>Judges in common law systems listen to all sides of an argument before reaching a decision. As an objective observer rather than the lead investigator, they analyse the details of each case. To a considerably greater extent than a judge would, lawyers in common law nations actively shape their clients' cases.</w:t>
      </w:r>
    </w:p>
    <w:p w14:paraId="4BCDC2CD" w14:textId="25A60197" w:rsidR="00CD44D3" w:rsidRPr="00CD44D3" w:rsidRDefault="00CD44D3" w:rsidP="00CD44D3">
      <w:pPr>
        <w:ind w:firstLine="720"/>
        <w:jc w:val="both"/>
        <w:rPr>
          <w:sz w:val="24"/>
          <w:szCs w:val="24"/>
        </w:rPr>
      </w:pPr>
      <w:r w:rsidRPr="00CD44D3">
        <w:rPr>
          <w:sz w:val="24"/>
          <w:szCs w:val="24"/>
        </w:rPr>
        <w:t>Juries are rarely used in civil disputes under a codified legal system and are reserved for criminal trials instead. Laws in each country may require a lesser degree of consensus than a unanimous jury (and by state, in some cases).</w:t>
      </w:r>
      <w:r>
        <w:rPr>
          <w:sz w:val="24"/>
          <w:szCs w:val="24"/>
        </w:rPr>
        <w:t xml:space="preserve"> </w:t>
      </w:r>
      <w:r w:rsidRPr="00CD44D3">
        <w:rPr>
          <w:sz w:val="24"/>
          <w:szCs w:val="24"/>
        </w:rPr>
        <w:t>Juries are often only used in criminal proceedings (when a sentence of 6 months or longer is at stake) and in limited civil situations in common law systems like England and Wales (libel and slander trials are perhaps the most prominent examples). In some countries, including the United States, juries are routinely utilised in both civil and criminal proceedings.</w:t>
      </w:r>
      <w:r>
        <w:rPr>
          <w:sz w:val="24"/>
          <w:szCs w:val="24"/>
        </w:rPr>
        <w:t xml:space="preserve"> </w:t>
      </w:r>
      <w:r w:rsidRPr="00CD44D3">
        <w:rPr>
          <w:sz w:val="24"/>
          <w:szCs w:val="24"/>
        </w:rPr>
        <w:t>In civil law, the codification of a country's laws is the primary source for judges to use when making a judgement on a matter.</w:t>
      </w:r>
    </w:p>
    <w:p w14:paraId="1A6C013D" w14:textId="6C97C602" w:rsidR="00CD44D3" w:rsidRPr="00CD44D3" w:rsidRDefault="00CD44D3" w:rsidP="00CD44D3">
      <w:pPr>
        <w:ind w:firstLine="720"/>
        <w:jc w:val="both"/>
        <w:rPr>
          <w:sz w:val="24"/>
          <w:szCs w:val="24"/>
        </w:rPr>
      </w:pPr>
      <w:r w:rsidRPr="00CD44D3">
        <w:rPr>
          <w:sz w:val="24"/>
          <w:szCs w:val="24"/>
        </w:rPr>
        <w:t>Precedent is utilised in common law to make decisions that are more uniform (and hence, more fair). When the circumstances of two cases are similar enough, and the earlier decision was rendered by a higher court, the precedent becomes binding.</w:t>
      </w:r>
    </w:p>
    <w:p w14:paraId="6E7075E1" w14:textId="44D49005" w:rsidR="00CD44D3" w:rsidRPr="00CD44D3" w:rsidRDefault="00CD44D3" w:rsidP="00E86C6B">
      <w:pPr>
        <w:ind w:firstLine="720"/>
        <w:jc w:val="both"/>
        <w:rPr>
          <w:sz w:val="24"/>
          <w:szCs w:val="24"/>
        </w:rPr>
      </w:pPr>
      <w:r w:rsidRPr="00CD44D3">
        <w:rPr>
          <w:sz w:val="24"/>
          <w:szCs w:val="24"/>
        </w:rPr>
        <w:lastRenderedPageBreak/>
        <w:t>Of fact, the rules for presenting evidence in court are different in common law and civil law countries. The discovery procedure and the admission of testimonies in civil law are two examples.</w:t>
      </w:r>
    </w:p>
    <w:p w14:paraId="6FBBA16B" w14:textId="7DAA0F04" w:rsidR="00CD44D3" w:rsidRPr="00CD44D3" w:rsidRDefault="00CD44D3" w:rsidP="00081F9A">
      <w:pPr>
        <w:ind w:firstLine="720"/>
        <w:jc w:val="both"/>
        <w:rPr>
          <w:sz w:val="24"/>
          <w:szCs w:val="24"/>
        </w:rPr>
      </w:pPr>
      <w:r w:rsidRPr="00CD44D3">
        <w:rPr>
          <w:sz w:val="24"/>
          <w:szCs w:val="24"/>
        </w:rPr>
        <w:t>Since that the judge in a civil law trial also serves as the primary investigator, court-ordered expert investigations often play a significant role in civil law trials. In common law, parties typically appoint an expert witness, who is then subjected to cross-examination by counsel for both sides.</w:t>
      </w:r>
    </w:p>
    <w:p w14:paraId="2537A024" w14:textId="613D700A" w:rsidR="00CD44D3" w:rsidRPr="00CD44D3" w:rsidRDefault="00CD44D3" w:rsidP="00081F9A">
      <w:pPr>
        <w:ind w:firstLine="720"/>
        <w:jc w:val="both"/>
        <w:rPr>
          <w:sz w:val="24"/>
          <w:szCs w:val="24"/>
        </w:rPr>
      </w:pPr>
      <w:r w:rsidRPr="00CD44D3">
        <w:rPr>
          <w:sz w:val="24"/>
          <w:szCs w:val="24"/>
        </w:rPr>
        <w:t>Commercial parties may be concerned that their evidence may be interpreted differently due to cultural norms or the fact that they are involved in a dispute that spans more than one civil law or common law jurisdiction.</w:t>
      </w:r>
      <w:r w:rsidR="00081F9A">
        <w:rPr>
          <w:sz w:val="24"/>
          <w:szCs w:val="24"/>
        </w:rPr>
        <w:t xml:space="preserve"> </w:t>
      </w:r>
      <w:r w:rsidRPr="00CD44D3">
        <w:rPr>
          <w:sz w:val="24"/>
          <w:szCs w:val="24"/>
        </w:rPr>
        <w:t>Since the parties to an arbitration agreement can establish their own rules of proof, this method is often chosen (instead of litigation) to resolve commercial issues.</w:t>
      </w:r>
      <w:r w:rsidR="00081F9A">
        <w:rPr>
          <w:sz w:val="24"/>
          <w:szCs w:val="24"/>
        </w:rPr>
        <w:t xml:space="preserve"> </w:t>
      </w:r>
      <w:r w:rsidRPr="00CD44D3">
        <w:rPr>
          <w:sz w:val="24"/>
          <w:szCs w:val="24"/>
        </w:rPr>
        <w:t>The parties may also agree that the arbitration shall take place in a jurisdiction (whether civil or common law) of their choosing.</w:t>
      </w:r>
    </w:p>
    <w:p w14:paraId="48A877F1" w14:textId="0D001158" w:rsidR="0022700D" w:rsidRDefault="00CD44D3" w:rsidP="00CD44D3">
      <w:pPr>
        <w:ind w:firstLine="720"/>
        <w:jc w:val="both"/>
        <w:rPr>
          <w:sz w:val="24"/>
          <w:szCs w:val="24"/>
        </w:rPr>
      </w:pPr>
      <w:r w:rsidRPr="00CD44D3">
        <w:rPr>
          <w:sz w:val="24"/>
          <w:szCs w:val="24"/>
        </w:rPr>
        <w:t>The 'inquisitorial' nature of civil law and the 'adversarial' nature of common law are two broad categories that can be used to describe the distinctions between these two types of legal systems.</w:t>
      </w:r>
    </w:p>
    <w:p w14:paraId="56A60B0C" w14:textId="77777777" w:rsidR="00081F9A" w:rsidRDefault="00081F9A" w:rsidP="00CD44D3">
      <w:pPr>
        <w:ind w:firstLine="720"/>
        <w:jc w:val="both"/>
        <w:rPr>
          <w:sz w:val="24"/>
          <w:szCs w:val="24"/>
        </w:rPr>
      </w:pPr>
    </w:p>
    <w:p w14:paraId="2FE9E3E1" w14:textId="3BD7F276" w:rsidR="002C5823" w:rsidRPr="005A0766" w:rsidRDefault="005A0766" w:rsidP="003B40D1">
      <w:pPr>
        <w:jc w:val="both"/>
        <w:rPr>
          <w:b/>
          <w:bCs/>
          <w:sz w:val="24"/>
          <w:szCs w:val="24"/>
        </w:rPr>
      </w:pPr>
      <w:r w:rsidRPr="005A0766">
        <w:rPr>
          <w:b/>
          <w:bCs/>
          <w:sz w:val="24"/>
          <w:szCs w:val="24"/>
        </w:rPr>
        <w:t>History  of the Common Law</w:t>
      </w:r>
    </w:p>
    <w:p w14:paraId="790570C9" w14:textId="77777777" w:rsidR="002C5823" w:rsidRPr="002C5823" w:rsidRDefault="002C5823" w:rsidP="00C540D4">
      <w:pPr>
        <w:ind w:firstLine="720"/>
        <w:jc w:val="both"/>
        <w:rPr>
          <w:sz w:val="24"/>
          <w:szCs w:val="24"/>
        </w:rPr>
      </w:pPr>
      <w:r w:rsidRPr="002C5823">
        <w:rPr>
          <w:sz w:val="24"/>
          <w:szCs w:val="24"/>
        </w:rPr>
        <w:t>The Kings Bench, the Court of Common Pleas, and the Exchequer in England created common law to ensure that higher courts' rulings would always take precedence over lower ones.</w:t>
      </w:r>
    </w:p>
    <w:p w14:paraId="6226CF08" w14:textId="3D617CFC" w:rsidR="002C5823" w:rsidRDefault="002C5823" w:rsidP="00C540D4">
      <w:pPr>
        <w:ind w:firstLine="720"/>
        <w:jc w:val="both"/>
        <w:rPr>
          <w:sz w:val="24"/>
          <w:szCs w:val="24"/>
        </w:rPr>
      </w:pPr>
      <w:r w:rsidRPr="002C5823">
        <w:rPr>
          <w:sz w:val="24"/>
          <w:szCs w:val="24"/>
        </w:rPr>
        <w:t>Common law is developed by judicial rulings on actual instances. For instance, if each Magistrates' Court in England and Wales was free to set and enforce its own precedent, this would lead to a dizzying array of local and regional customs, potentially rendering different jurisdictions' legal systems unrecognizably different from one another.</w:t>
      </w:r>
      <w:r w:rsidR="00C540D4">
        <w:rPr>
          <w:sz w:val="24"/>
          <w:szCs w:val="24"/>
        </w:rPr>
        <w:t xml:space="preserve"> </w:t>
      </w:r>
      <w:r w:rsidRPr="002C5823">
        <w:rPr>
          <w:sz w:val="24"/>
          <w:szCs w:val="24"/>
        </w:rPr>
        <w:t>As its name implies, the common law ensures that the law is consistent across the country. To be clear, lower courts in England and Wales must adhere to the precedent set by the House of Lords and the Court of Appeal (Criminal Division) in criminal cases.</w:t>
      </w:r>
    </w:p>
    <w:p w14:paraId="4FC8D602" w14:textId="76837FA0" w:rsidR="00C540D4" w:rsidRPr="002C5823" w:rsidRDefault="00C540D4" w:rsidP="00C540D4">
      <w:pPr>
        <w:ind w:firstLine="720"/>
        <w:jc w:val="both"/>
        <w:rPr>
          <w:sz w:val="24"/>
          <w:szCs w:val="24"/>
        </w:rPr>
      </w:pPr>
      <w:r w:rsidRPr="00BD611B">
        <w:rPr>
          <w:sz w:val="24"/>
          <w:szCs w:val="24"/>
        </w:rPr>
        <w:t>Common law is the body of law established by judges and based on past cases. Its name, "common," comes from the fact that it was intended to be uniformly applied throughout the land, and it has its roots in the 12th-century legal reforms of King Henry II. Stare decisis is the Latin term for the doctrine of binding precedent, which states that lower courts must adhere to the principles expressed in rulings made by higher courts (sometimes called "courts of record").</w:t>
      </w:r>
    </w:p>
    <w:p w14:paraId="0AFC3C64" w14:textId="7912F588" w:rsidR="002C5823" w:rsidRDefault="002C5823" w:rsidP="00C540D4">
      <w:pPr>
        <w:ind w:firstLine="720"/>
        <w:jc w:val="both"/>
        <w:rPr>
          <w:sz w:val="24"/>
          <w:szCs w:val="24"/>
        </w:rPr>
      </w:pPr>
      <w:r w:rsidRPr="002C5823">
        <w:rPr>
          <w:sz w:val="24"/>
          <w:szCs w:val="24"/>
        </w:rPr>
        <w:t xml:space="preserve">The English courts will occasionally resort to the decisions of other commonwealth courts for insight or direction when faced with a novel situation under the common law. In the absence of any precedent set in an English court, the court may be urged to consider a case decided in </w:t>
      </w:r>
      <w:r w:rsidRPr="002C5823">
        <w:rPr>
          <w:sz w:val="24"/>
          <w:szCs w:val="24"/>
        </w:rPr>
        <w:lastRenderedPageBreak/>
        <w:t>Canada or Australia. As a result of courts looking to one another for guidance, this can also help the common law system to have both flexibility and stability.</w:t>
      </w:r>
    </w:p>
    <w:p w14:paraId="67625AAA" w14:textId="35DCAAAD" w:rsidR="0022700D" w:rsidRDefault="0022700D" w:rsidP="00C540D4">
      <w:pPr>
        <w:ind w:firstLine="720"/>
        <w:jc w:val="both"/>
        <w:rPr>
          <w:sz w:val="24"/>
          <w:szCs w:val="24"/>
        </w:rPr>
      </w:pPr>
      <w:r w:rsidRPr="0022700D">
        <w:rPr>
          <w:sz w:val="24"/>
          <w:szCs w:val="24"/>
        </w:rPr>
        <w:t>Common law countries include the United States, Canada, Australia, New Zealand, Ireland, and India, as well as many more that were once possessions or territories of Britain. Presently, there are around 80 countries that use common law.</w:t>
      </w:r>
    </w:p>
    <w:p w14:paraId="6D8C8A1C" w14:textId="439B3727" w:rsidR="00CA1339" w:rsidRDefault="00CA1339" w:rsidP="00C540D4">
      <w:pPr>
        <w:ind w:firstLine="720"/>
        <w:jc w:val="both"/>
        <w:rPr>
          <w:sz w:val="24"/>
          <w:szCs w:val="24"/>
        </w:rPr>
      </w:pPr>
    </w:p>
    <w:p w14:paraId="349FAB0F" w14:textId="4927BF9B" w:rsidR="00CA1339" w:rsidRPr="00CA1339" w:rsidRDefault="00CA1339" w:rsidP="00CA1339">
      <w:pPr>
        <w:jc w:val="both"/>
        <w:rPr>
          <w:b/>
          <w:bCs/>
          <w:sz w:val="24"/>
          <w:szCs w:val="24"/>
        </w:rPr>
      </w:pPr>
      <w:r w:rsidRPr="00CA1339">
        <w:rPr>
          <w:b/>
          <w:bCs/>
          <w:sz w:val="24"/>
          <w:szCs w:val="24"/>
        </w:rPr>
        <w:t>Examples of Common Law working in practice</w:t>
      </w:r>
    </w:p>
    <w:p w14:paraId="4683CCDA" w14:textId="518AB84B" w:rsidR="00CA1339" w:rsidRPr="00CA1339" w:rsidRDefault="00CA1339" w:rsidP="00CA1339">
      <w:pPr>
        <w:ind w:firstLine="720"/>
        <w:jc w:val="both"/>
        <w:rPr>
          <w:sz w:val="24"/>
          <w:szCs w:val="24"/>
        </w:rPr>
      </w:pPr>
      <w:r w:rsidRPr="00CA1339">
        <w:rPr>
          <w:sz w:val="24"/>
          <w:szCs w:val="24"/>
        </w:rPr>
        <w:t>In some cases, common law has been the inspiration for brand new pieces of legislation. The crime of "outraging public decency" has been on the books in the United Kingdom's common law system for decades. Authorities have been using this centuries-old common law to prosecute a new form of intrusive behaviour known as upskirting in the last decade. Upskirting involves placing a camera between a person's legs without their knowledge or consent in order to record a visual of their private parts for the purposes of sexual gratification, humiliation, or distress</w:t>
      </w:r>
    </w:p>
    <w:p w14:paraId="1E3B479D" w14:textId="51CCFCF2" w:rsidR="00CA1339" w:rsidRPr="00CA1339" w:rsidRDefault="00CA1339" w:rsidP="00CA1339">
      <w:pPr>
        <w:ind w:firstLine="720"/>
        <w:jc w:val="both"/>
        <w:rPr>
          <w:sz w:val="24"/>
          <w:szCs w:val="24"/>
        </w:rPr>
      </w:pPr>
      <w:r w:rsidRPr="00CA1339">
        <w:rPr>
          <w:sz w:val="24"/>
          <w:szCs w:val="24"/>
        </w:rPr>
        <w:t>The Voyeurism (Offences) Act, which criminalises upskirting and carries a maximum sentence of two years in prison and the potential of being added to the sex offenders register, was approved by the British Parliament in February 2019.</w:t>
      </w:r>
    </w:p>
    <w:p w14:paraId="14EE7B59" w14:textId="63370A9B" w:rsidR="00CA1339" w:rsidRDefault="00CA1339" w:rsidP="00CA1339">
      <w:pPr>
        <w:ind w:firstLine="720"/>
        <w:jc w:val="both"/>
        <w:rPr>
          <w:sz w:val="24"/>
          <w:szCs w:val="24"/>
        </w:rPr>
      </w:pPr>
      <w:r w:rsidRPr="00CA1339">
        <w:rPr>
          <w:sz w:val="24"/>
          <w:szCs w:val="24"/>
        </w:rPr>
        <w:t>One contemporary application of common law is the concept of common-law marriage, which grants the same legal protections as marriage to unmarried couples who meet certain requirements.</w:t>
      </w:r>
    </w:p>
    <w:p w14:paraId="2ECA45A5" w14:textId="20DE91C0" w:rsidR="002C5823" w:rsidRDefault="002C5823" w:rsidP="003B40D1">
      <w:pPr>
        <w:jc w:val="both"/>
        <w:rPr>
          <w:sz w:val="24"/>
          <w:szCs w:val="24"/>
        </w:rPr>
      </w:pPr>
    </w:p>
    <w:p w14:paraId="158A3F2E" w14:textId="67CF6623" w:rsidR="002C5823" w:rsidRDefault="002C5823" w:rsidP="003B40D1">
      <w:pPr>
        <w:jc w:val="both"/>
        <w:rPr>
          <w:sz w:val="24"/>
          <w:szCs w:val="24"/>
        </w:rPr>
      </w:pPr>
    </w:p>
    <w:p w14:paraId="1A8E305F" w14:textId="5BE27651" w:rsidR="00C12C34" w:rsidRDefault="00C12C34" w:rsidP="003B40D1">
      <w:pPr>
        <w:jc w:val="both"/>
        <w:rPr>
          <w:sz w:val="24"/>
          <w:szCs w:val="24"/>
        </w:rPr>
      </w:pPr>
    </w:p>
    <w:p w14:paraId="19E1D80C" w14:textId="0829F6F1" w:rsidR="00C12C34" w:rsidRDefault="00C12C34" w:rsidP="003B40D1">
      <w:pPr>
        <w:jc w:val="both"/>
        <w:rPr>
          <w:sz w:val="24"/>
          <w:szCs w:val="24"/>
        </w:rPr>
      </w:pPr>
    </w:p>
    <w:p w14:paraId="4CF31FF7" w14:textId="261E2B36" w:rsidR="00C12C34" w:rsidRDefault="00C12C34" w:rsidP="003B40D1">
      <w:pPr>
        <w:jc w:val="both"/>
        <w:rPr>
          <w:sz w:val="24"/>
          <w:szCs w:val="24"/>
        </w:rPr>
      </w:pPr>
    </w:p>
    <w:p w14:paraId="6E6C8058" w14:textId="5384A5FB" w:rsidR="00C12C34" w:rsidRDefault="00C12C34" w:rsidP="003B40D1">
      <w:pPr>
        <w:jc w:val="both"/>
        <w:rPr>
          <w:sz w:val="24"/>
          <w:szCs w:val="24"/>
        </w:rPr>
      </w:pPr>
    </w:p>
    <w:p w14:paraId="22E06B52" w14:textId="1681FA2A" w:rsidR="00C12C34" w:rsidRDefault="00C12C34" w:rsidP="003B40D1">
      <w:pPr>
        <w:jc w:val="both"/>
        <w:rPr>
          <w:sz w:val="24"/>
          <w:szCs w:val="24"/>
        </w:rPr>
      </w:pPr>
    </w:p>
    <w:p w14:paraId="1366DAC7" w14:textId="6BE3BCA3" w:rsidR="00C12C34" w:rsidRDefault="00C12C34" w:rsidP="003B40D1">
      <w:pPr>
        <w:jc w:val="both"/>
        <w:rPr>
          <w:sz w:val="24"/>
          <w:szCs w:val="24"/>
        </w:rPr>
      </w:pPr>
    </w:p>
    <w:p w14:paraId="1AC8A9D6" w14:textId="1F282A85" w:rsidR="00C12C34" w:rsidRDefault="00C12C34" w:rsidP="003B40D1">
      <w:pPr>
        <w:jc w:val="both"/>
        <w:rPr>
          <w:sz w:val="24"/>
          <w:szCs w:val="24"/>
        </w:rPr>
      </w:pPr>
    </w:p>
    <w:p w14:paraId="62F3F77F" w14:textId="446AB268" w:rsidR="00C12C34" w:rsidRDefault="00C12C34" w:rsidP="003B40D1">
      <w:pPr>
        <w:jc w:val="both"/>
        <w:rPr>
          <w:sz w:val="24"/>
          <w:szCs w:val="24"/>
        </w:rPr>
      </w:pPr>
    </w:p>
    <w:p w14:paraId="4C4B0F81" w14:textId="769EABE4" w:rsidR="00C12C34" w:rsidRDefault="00C12C34" w:rsidP="003B40D1">
      <w:pPr>
        <w:jc w:val="both"/>
        <w:rPr>
          <w:sz w:val="24"/>
          <w:szCs w:val="24"/>
        </w:rPr>
      </w:pPr>
    </w:p>
    <w:p w14:paraId="40353679" w14:textId="5477A87B" w:rsidR="00C12C34" w:rsidRDefault="00C12C34" w:rsidP="003B40D1">
      <w:pPr>
        <w:jc w:val="both"/>
        <w:rPr>
          <w:sz w:val="24"/>
          <w:szCs w:val="24"/>
        </w:rPr>
      </w:pPr>
    </w:p>
    <w:p w14:paraId="0D875F70" w14:textId="1B62FEDB" w:rsidR="00C12C34" w:rsidRPr="00C12C34" w:rsidRDefault="00C12C34" w:rsidP="003B40D1">
      <w:pPr>
        <w:jc w:val="both"/>
        <w:rPr>
          <w:b/>
          <w:bCs/>
          <w:sz w:val="24"/>
          <w:szCs w:val="24"/>
        </w:rPr>
      </w:pPr>
      <w:r w:rsidRPr="00C12C34">
        <w:rPr>
          <w:b/>
          <w:bCs/>
          <w:sz w:val="24"/>
          <w:szCs w:val="24"/>
        </w:rPr>
        <w:lastRenderedPageBreak/>
        <w:t>REFERENCES</w:t>
      </w:r>
    </w:p>
    <w:p w14:paraId="21358BF4" w14:textId="3E694F21" w:rsid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 xml:space="preserve">Bennion, F.A.R. (2001) </w:t>
      </w:r>
      <w:r w:rsidRPr="006433D5">
        <w:rPr>
          <w:rFonts w:ascii="Times New Roman" w:eastAsia="Times New Roman" w:hAnsi="Times New Roman" w:cs="Times New Roman"/>
          <w:i/>
          <w:iCs/>
          <w:sz w:val="24"/>
          <w:szCs w:val="24"/>
          <w:lang w:eastAsia="en-GB"/>
        </w:rPr>
        <w:t>Understanding common law legislation: Drafting and interpretation</w:t>
      </w:r>
      <w:r w:rsidRPr="006433D5">
        <w:rPr>
          <w:rFonts w:ascii="Times New Roman" w:eastAsia="Times New Roman" w:hAnsi="Times New Roman" w:cs="Times New Roman"/>
          <w:sz w:val="24"/>
          <w:szCs w:val="24"/>
          <w:lang w:eastAsia="en-GB"/>
        </w:rPr>
        <w:t xml:space="preserve">. Oxford: OUP Oxford. </w:t>
      </w:r>
    </w:p>
    <w:p w14:paraId="690D7190" w14:textId="72901D1E" w:rsidR="007A1019" w:rsidRPr="006433D5" w:rsidRDefault="007A1019" w:rsidP="00C42BB0">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A1019">
        <w:rPr>
          <w:rFonts w:ascii="Times New Roman" w:eastAsia="Times New Roman" w:hAnsi="Times New Roman" w:cs="Times New Roman"/>
          <w:sz w:val="24"/>
          <w:szCs w:val="24"/>
          <w:lang w:eastAsia="en-GB"/>
        </w:rPr>
        <w:t>Carlsons Solicitors</w:t>
      </w:r>
      <w:r w:rsidRPr="007A1019">
        <w:rPr>
          <w:rFonts w:ascii="Times New Roman" w:eastAsia="Times New Roman" w:hAnsi="Times New Roman" w:cs="Times New Roman"/>
          <w:i/>
          <w:iCs/>
          <w:sz w:val="24"/>
          <w:szCs w:val="24"/>
          <w:lang w:eastAsia="en-GB"/>
        </w:rPr>
        <w:t xml:space="preserve">, </w:t>
      </w:r>
      <w:r w:rsidRPr="007A1019">
        <w:rPr>
          <w:rFonts w:ascii="Times New Roman" w:eastAsia="Times New Roman" w:hAnsi="Times New Roman" w:cs="Times New Roman"/>
          <w:i/>
          <w:iCs/>
          <w:sz w:val="24"/>
          <w:szCs w:val="24"/>
          <w:lang w:eastAsia="en-GB"/>
        </w:rPr>
        <w:t>Law firm in North London &amp; Central London.</w:t>
      </w:r>
      <w:r w:rsidRPr="007A1019">
        <w:rPr>
          <w:rFonts w:ascii="Times New Roman" w:eastAsia="Times New Roman" w:hAnsi="Times New Roman" w:cs="Times New Roman"/>
          <w:sz w:val="24"/>
          <w:szCs w:val="24"/>
          <w:lang w:eastAsia="en-GB"/>
        </w:rPr>
        <w:t xml:space="preserve"> </w:t>
      </w:r>
      <w:r w:rsidRPr="007A1019">
        <w:rPr>
          <w:rFonts w:ascii="Times New Roman" w:eastAsia="Times New Roman" w:hAnsi="Times New Roman" w:cs="Times New Roman"/>
          <w:sz w:val="24"/>
          <w:szCs w:val="24"/>
          <w:lang w:eastAsia="en-GB"/>
        </w:rPr>
        <w:t xml:space="preserve">(2021) </w:t>
      </w:r>
      <w:r w:rsidRPr="007A1019">
        <w:rPr>
          <w:rFonts w:ascii="Times New Roman" w:eastAsia="Times New Roman" w:hAnsi="Times New Roman" w:cs="Times New Roman"/>
          <w:i/>
          <w:iCs/>
          <w:sz w:val="24"/>
          <w:szCs w:val="24"/>
          <w:lang w:eastAsia="en-GB"/>
        </w:rPr>
        <w:t>Civil vs common law differences in</w:t>
      </w:r>
      <w:r>
        <w:rPr>
          <w:rFonts w:ascii="Times New Roman" w:eastAsia="Times New Roman" w:hAnsi="Times New Roman" w:cs="Times New Roman"/>
          <w:i/>
          <w:iCs/>
          <w:sz w:val="24"/>
          <w:szCs w:val="24"/>
          <w:lang w:eastAsia="en-GB"/>
        </w:rPr>
        <w:t xml:space="preserve"> litigation</w:t>
      </w:r>
      <w:r w:rsidR="0074767D">
        <w:rPr>
          <w:rFonts w:ascii="Times New Roman" w:eastAsia="Times New Roman" w:hAnsi="Times New Roman" w:cs="Times New Roman"/>
          <w:i/>
          <w:iCs/>
          <w:sz w:val="24"/>
          <w:szCs w:val="24"/>
          <w:lang w:eastAsia="en-GB"/>
        </w:rPr>
        <w:t xml:space="preserve">. </w:t>
      </w:r>
      <w:r w:rsidRPr="007A1019">
        <w:rPr>
          <w:rFonts w:ascii="Times New Roman" w:eastAsia="Times New Roman" w:hAnsi="Times New Roman" w:cs="Times New Roman"/>
          <w:sz w:val="24"/>
          <w:szCs w:val="24"/>
          <w:lang w:eastAsia="en-GB"/>
        </w:rPr>
        <w:t xml:space="preserve">Available at: https://www.carlsonssolicitors.com/news/2021/7/12/litigation-under-a-codified-system-civil-law-vs-common-law#:~:text=Civil%20law%20jurisdictions%20rely%20on,by%20judges%20in%20previous%20cases. (Accessed: March </w:t>
      </w:r>
      <w:r w:rsidR="00C42BB0">
        <w:rPr>
          <w:rFonts w:ascii="Times New Roman" w:eastAsia="Times New Roman" w:hAnsi="Times New Roman" w:cs="Times New Roman"/>
          <w:sz w:val="24"/>
          <w:szCs w:val="24"/>
          <w:lang w:eastAsia="en-GB"/>
        </w:rPr>
        <w:t>07</w:t>
      </w:r>
      <w:r w:rsidRPr="007A1019">
        <w:rPr>
          <w:rFonts w:ascii="Times New Roman" w:eastAsia="Times New Roman" w:hAnsi="Times New Roman" w:cs="Times New Roman"/>
          <w:sz w:val="24"/>
          <w:szCs w:val="24"/>
          <w:lang w:eastAsia="en-GB"/>
        </w:rPr>
        <w:t xml:space="preserve">, 2023). </w:t>
      </w:r>
    </w:p>
    <w:p w14:paraId="1E46E643" w14:textId="050F1C9C" w:rsidR="006433D5" w:rsidRP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 xml:space="preserve">Chen, J. (2022) </w:t>
      </w:r>
      <w:r w:rsidRPr="006433D5">
        <w:rPr>
          <w:rFonts w:ascii="Times New Roman" w:eastAsia="Times New Roman" w:hAnsi="Times New Roman" w:cs="Times New Roman"/>
          <w:i/>
          <w:iCs/>
          <w:sz w:val="24"/>
          <w:szCs w:val="24"/>
          <w:lang w:eastAsia="en-GB"/>
        </w:rPr>
        <w:t>Common law: What it is, how it's used, and how it differs from civil law</w:t>
      </w:r>
      <w:r w:rsidRPr="006433D5">
        <w:rPr>
          <w:rFonts w:ascii="Times New Roman" w:eastAsia="Times New Roman" w:hAnsi="Times New Roman" w:cs="Times New Roman"/>
          <w:sz w:val="24"/>
          <w:szCs w:val="24"/>
          <w:lang w:eastAsia="en-GB"/>
        </w:rPr>
        <w:t xml:space="preserve">, </w:t>
      </w:r>
      <w:r w:rsidRPr="006433D5">
        <w:rPr>
          <w:rFonts w:ascii="Times New Roman" w:eastAsia="Times New Roman" w:hAnsi="Times New Roman" w:cs="Times New Roman"/>
          <w:i/>
          <w:iCs/>
          <w:sz w:val="24"/>
          <w:szCs w:val="24"/>
          <w:lang w:eastAsia="en-GB"/>
        </w:rPr>
        <w:t>Investopedia</w:t>
      </w:r>
      <w:r w:rsidRPr="006433D5">
        <w:rPr>
          <w:rFonts w:ascii="Times New Roman" w:eastAsia="Times New Roman" w:hAnsi="Times New Roman" w:cs="Times New Roman"/>
          <w:sz w:val="24"/>
          <w:szCs w:val="24"/>
          <w:lang w:eastAsia="en-GB"/>
        </w:rPr>
        <w:t xml:space="preserve">. Investopedia. Available at: https://www.investopedia.com/terms/c/common-law.asp (Accessed: March </w:t>
      </w:r>
      <w:r w:rsidR="00C42BB0">
        <w:rPr>
          <w:rFonts w:ascii="Times New Roman" w:eastAsia="Times New Roman" w:hAnsi="Times New Roman" w:cs="Times New Roman"/>
          <w:sz w:val="24"/>
          <w:szCs w:val="24"/>
          <w:lang w:eastAsia="en-GB"/>
        </w:rPr>
        <w:t>5</w:t>
      </w:r>
      <w:r w:rsidRPr="006433D5">
        <w:rPr>
          <w:rFonts w:ascii="Times New Roman" w:eastAsia="Times New Roman" w:hAnsi="Times New Roman" w:cs="Times New Roman"/>
          <w:sz w:val="24"/>
          <w:szCs w:val="24"/>
          <w:lang w:eastAsia="en-GB"/>
        </w:rPr>
        <w:t xml:space="preserve">, 2023). </w:t>
      </w:r>
    </w:p>
    <w:p w14:paraId="20FC4AEB" w14:textId="56CE620E" w:rsidR="006433D5" w:rsidRP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Coutroom Advice,</w:t>
      </w:r>
      <w:r>
        <w:rPr>
          <w:rFonts w:ascii="Times New Roman" w:eastAsia="Times New Roman" w:hAnsi="Times New Roman" w:cs="Times New Roman"/>
          <w:i/>
          <w:iCs/>
          <w:sz w:val="24"/>
          <w:szCs w:val="24"/>
          <w:lang w:eastAsia="en-GB"/>
        </w:rPr>
        <w:t xml:space="preserve"> </w:t>
      </w:r>
      <w:r w:rsidRPr="006433D5">
        <w:rPr>
          <w:rFonts w:ascii="Times New Roman" w:eastAsia="Times New Roman" w:hAnsi="Times New Roman" w:cs="Times New Roman"/>
          <w:i/>
          <w:iCs/>
          <w:sz w:val="24"/>
          <w:szCs w:val="24"/>
          <w:lang w:eastAsia="en-GB"/>
        </w:rPr>
        <w:t>Common Law in England</w:t>
      </w:r>
      <w:r w:rsidRPr="006433D5">
        <w:rPr>
          <w:rFonts w:ascii="Times New Roman" w:eastAsia="Times New Roman" w:hAnsi="Times New Roman" w:cs="Times New Roman"/>
          <w:sz w:val="24"/>
          <w:szCs w:val="24"/>
          <w:lang w:eastAsia="en-GB"/>
        </w:rPr>
        <w:t xml:space="preserve"> . Available at: https://www.courtroomadvice.co.uk/common-law-england.html (Accessed: March </w:t>
      </w:r>
      <w:r w:rsidR="00C42BB0">
        <w:rPr>
          <w:rFonts w:ascii="Times New Roman" w:eastAsia="Times New Roman" w:hAnsi="Times New Roman" w:cs="Times New Roman"/>
          <w:sz w:val="24"/>
          <w:szCs w:val="24"/>
          <w:lang w:eastAsia="en-GB"/>
        </w:rPr>
        <w:t>5</w:t>
      </w:r>
      <w:r w:rsidRPr="006433D5">
        <w:rPr>
          <w:rFonts w:ascii="Times New Roman" w:eastAsia="Times New Roman" w:hAnsi="Times New Roman" w:cs="Times New Roman"/>
          <w:sz w:val="24"/>
          <w:szCs w:val="24"/>
          <w:lang w:eastAsia="en-GB"/>
        </w:rPr>
        <w:t xml:space="preserve">, 2023). </w:t>
      </w:r>
    </w:p>
    <w:p w14:paraId="7A876A48" w14:textId="77777777" w:rsidR="006433D5" w:rsidRP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 xml:space="preserve">Eves, W. </w:t>
      </w:r>
      <w:r w:rsidRPr="006433D5">
        <w:rPr>
          <w:rFonts w:ascii="Times New Roman" w:eastAsia="Times New Roman" w:hAnsi="Times New Roman" w:cs="Times New Roman"/>
          <w:i/>
          <w:iCs/>
          <w:sz w:val="24"/>
          <w:szCs w:val="24"/>
          <w:lang w:eastAsia="en-GB"/>
        </w:rPr>
        <w:t>et al.</w:t>
      </w:r>
      <w:r w:rsidRPr="006433D5">
        <w:rPr>
          <w:rFonts w:ascii="Times New Roman" w:eastAsia="Times New Roman" w:hAnsi="Times New Roman" w:cs="Times New Roman"/>
          <w:sz w:val="24"/>
          <w:szCs w:val="24"/>
          <w:lang w:eastAsia="en-GB"/>
        </w:rPr>
        <w:t xml:space="preserve"> (2021) </w:t>
      </w:r>
      <w:r w:rsidRPr="006433D5">
        <w:rPr>
          <w:rFonts w:ascii="Times New Roman" w:eastAsia="Times New Roman" w:hAnsi="Times New Roman" w:cs="Times New Roman"/>
          <w:i/>
          <w:iCs/>
          <w:sz w:val="24"/>
          <w:szCs w:val="24"/>
          <w:lang w:eastAsia="en-GB"/>
        </w:rPr>
        <w:t>Common law, civil law, and Colonial Law Essays in Comparative Legal History from the twelfth to the twentieth centuries</w:t>
      </w:r>
      <w:r w:rsidRPr="006433D5">
        <w:rPr>
          <w:rFonts w:ascii="Times New Roman" w:eastAsia="Times New Roman" w:hAnsi="Times New Roman" w:cs="Times New Roman"/>
          <w:sz w:val="24"/>
          <w:szCs w:val="24"/>
          <w:lang w:eastAsia="en-GB"/>
        </w:rPr>
        <w:t xml:space="preserve">. Cambridge: Cambridge University Press. </w:t>
      </w:r>
    </w:p>
    <w:p w14:paraId="38053C40" w14:textId="03B89222" w:rsid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 xml:space="preserve">Gibson-Morgan, E. (2021) </w:t>
      </w:r>
      <w:r w:rsidRPr="006433D5">
        <w:rPr>
          <w:rFonts w:ascii="Times New Roman" w:eastAsia="Times New Roman" w:hAnsi="Times New Roman" w:cs="Times New Roman"/>
          <w:i/>
          <w:iCs/>
          <w:sz w:val="24"/>
          <w:szCs w:val="24"/>
          <w:lang w:eastAsia="en-GB"/>
        </w:rPr>
        <w:t>Fighting for justice: Common law and civil law judges: Threats and challenges</w:t>
      </w:r>
      <w:r w:rsidRPr="006433D5">
        <w:rPr>
          <w:rFonts w:ascii="Times New Roman" w:eastAsia="Times New Roman" w:hAnsi="Times New Roman" w:cs="Times New Roman"/>
          <w:sz w:val="24"/>
          <w:szCs w:val="24"/>
          <w:lang w:eastAsia="en-GB"/>
        </w:rPr>
        <w:t xml:space="preserve">. Cardiff: University of Wales Press. </w:t>
      </w:r>
    </w:p>
    <w:p w14:paraId="5ACAE543" w14:textId="4AD29E93" w:rsidR="006433D5" w:rsidRP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ICLR</w:t>
      </w:r>
      <w:r>
        <w:rPr>
          <w:rFonts w:ascii="Times New Roman" w:eastAsia="Times New Roman" w:hAnsi="Times New Roman" w:cs="Times New Roman"/>
          <w:i/>
          <w:iCs/>
          <w:sz w:val="24"/>
          <w:szCs w:val="24"/>
          <w:lang w:eastAsia="en-GB"/>
        </w:rPr>
        <w:t xml:space="preserve">, </w:t>
      </w:r>
      <w:r w:rsidRPr="006433D5">
        <w:rPr>
          <w:rFonts w:ascii="Times New Roman" w:eastAsia="Times New Roman" w:hAnsi="Times New Roman" w:cs="Times New Roman"/>
          <w:i/>
          <w:iCs/>
          <w:sz w:val="24"/>
          <w:szCs w:val="24"/>
          <w:lang w:eastAsia="en-GB"/>
        </w:rPr>
        <w:t>The English legal system</w:t>
      </w:r>
      <w:r w:rsidRPr="006433D5">
        <w:rPr>
          <w:rFonts w:ascii="Times New Roman" w:eastAsia="Times New Roman" w:hAnsi="Times New Roman" w:cs="Times New Roman"/>
          <w:sz w:val="24"/>
          <w:szCs w:val="24"/>
          <w:lang w:eastAsia="en-GB"/>
        </w:rPr>
        <w:t xml:space="preserve"> (2018). Available at: https://www.iclr.co.uk/knowledge/topics/the-english-legal-system/#:~:text=The%20common%20law%20is%20the,equally%20across%20the%20whole%20country (Accessed: March </w:t>
      </w:r>
      <w:r w:rsidR="00C42BB0">
        <w:rPr>
          <w:rFonts w:ascii="Times New Roman" w:eastAsia="Times New Roman" w:hAnsi="Times New Roman" w:cs="Times New Roman"/>
          <w:sz w:val="24"/>
          <w:szCs w:val="24"/>
          <w:lang w:eastAsia="en-GB"/>
        </w:rPr>
        <w:t>6</w:t>
      </w:r>
      <w:r w:rsidRPr="006433D5">
        <w:rPr>
          <w:rFonts w:ascii="Times New Roman" w:eastAsia="Times New Roman" w:hAnsi="Times New Roman" w:cs="Times New Roman"/>
          <w:sz w:val="24"/>
          <w:szCs w:val="24"/>
          <w:lang w:eastAsia="en-GB"/>
        </w:rPr>
        <w:t xml:space="preserve">, 2023). </w:t>
      </w:r>
    </w:p>
    <w:p w14:paraId="3BE532E6" w14:textId="42012028" w:rsidR="006433D5" w:rsidRP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LegalUK</w:t>
      </w:r>
      <w:r>
        <w:rPr>
          <w:rFonts w:ascii="Times New Roman" w:eastAsia="Times New Roman" w:hAnsi="Times New Roman" w:cs="Times New Roman"/>
          <w:i/>
          <w:iCs/>
          <w:sz w:val="24"/>
          <w:szCs w:val="24"/>
          <w:lang w:eastAsia="en-GB"/>
        </w:rPr>
        <w:t>,</w:t>
      </w:r>
      <w:r w:rsidRPr="006433D5">
        <w:rPr>
          <w:rFonts w:ascii="Times New Roman" w:eastAsia="Times New Roman" w:hAnsi="Times New Roman" w:cs="Times New Roman"/>
          <w:i/>
          <w:iCs/>
          <w:sz w:val="24"/>
          <w:szCs w:val="24"/>
          <w:lang w:eastAsia="en-GB"/>
        </w:rPr>
        <w:t xml:space="preserve"> The strength of English Law and the UK jurisdiction</w:t>
      </w:r>
      <w:r w:rsidRPr="006433D5">
        <w:rPr>
          <w:rFonts w:ascii="Times New Roman" w:eastAsia="Times New Roman" w:hAnsi="Times New Roman" w:cs="Times New Roman"/>
          <w:sz w:val="24"/>
          <w:szCs w:val="24"/>
          <w:lang w:eastAsia="en-GB"/>
        </w:rPr>
        <w:t xml:space="preserve">. Available at: https://www.judiciary.uk/wp-content/uploads/2017/08/legaluk-strength-of-english-law-draft-4-FINAL.pdf (Accessed: March </w:t>
      </w:r>
      <w:r w:rsidR="00C42BB0">
        <w:rPr>
          <w:rFonts w:ascii="Times New Roman" w:eastAsia="Times New Roman" w:hAnsi="Times New Roman" w:cs="Times New Roman"/>
          <w:sz w:val="24"/>
          <w:szCs w:val="24"/>
          <w:lang w:eastAsia="en-GB"/>
        </w:rPr>
        <w:t>6</w:t>
      </w:r>
      <w:r w:rsidRPr="006433D5">
        <w:rPr>
          <w:rFonts w:ascii="Times New Roman" w:eastAsia="Times New Roman" w:hAnsi="Times New Roman" w:cs="Times New Roman"/>
          <w:sz w:val="24"/>
          <w:szCs w:val="24"/>
          <w:lang w:eastAsia="en-GB"/>
        </w:rPr>
        <w:t xml:space="preserve">, 2023). </w:t>
      </w:r>
    </w:p>
    <w:p w14:paraId="62DE7E9D" w14:textId="77777777" w:rsidR="006433D5" w:rsidRP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 xml:space="preserve">Malleson, K. and Moules, R. (2010) </w:t>
      </w:r>
      <w:r w:rsidRPr="006433D5">
        <w:rPr>
          <w:rFonts w:ascii="Times New Roman" w:eastAsia="Times New Roman" w:hAnsi="Times New Roman" w:cs="Times New Roman"/>
          <w:i/>
          <w:iCs/>
          <w:sz w:val="24"/>
          <w:szCs w:val="24"/>
          <w:lang w:eastAsia="en-GB"/>
        </w:rPr>
        <w:t>The legal system</w:t>
      </w:r>
      <w:r w:rsidRPr="006433D5">
        <w:rPr>
          <w:rFonts w:ascii="Times New Roman" w:eastAsia="Times New Roman" w:hAnsi="Times New Roman" w:cs="Times New Roman"/>
          <w:sz w:val="24"/>
          <w:szCs w:val="24"/>
          <w:lang w:eastAsia="en-GB"/>
        </w:rPr>
        <w:t xml:space="preserve">. 4th Ed. Oxford: Oxford University Press. </w:t>
      </w:r>
    </w:p>
    <w:p w14:paraId="0CAC3DCE" w14:textId="42EA98AD" w:rsidR="006433D5" w:rsidRP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Oxford libguides</w:t>
      </w:r>
      <w:r>
        <w:rPr>
          <w:rFonts w:ascii="Times New Roman" w:eastAsia="Times New Roman" w:hAnsi="Times New Roman" w:cs="Times New Roman"/>
          <w:i/>
          <w:iCs/>
          <w:sz w:val="24"/>
          <w:szCs w:val="24"/>
          <w:lang w:eastAsia="en-GB"/>
        </w:rPr>
        <w:t>,</w:t>
      </w:r>
      <w:r w:rsidRPr="006433D5">
        <w:rPr>
          <w:rFonts w:ascii="Times New Roman" w:eastAsia="Times New Roman" w:hAnsi="Times New Roman" w:cs="Times New Roman"/>
          <w:i/>
          <w:iCs/>
          <w:sz w:val="24"/>
          <w:szCs w:val="24"/>
          <w:lang w:eastAsia="en-GB"/>
        </w:rPr>
        <w:t xml:space="preserve"> United Kingdom law: Legal system</w:t>
      </w:r>
      <w:r w:rsidRPr="006433D5">
        <w:rPr>
          <w:rFonts w:ascii="Times New Roman" w:eastAsia="Times New Roman" w:hAnsi="Times New Roman" w:cs="Times New Roman"/>
          <w:sz w:val="24"/>
          <w:szCs w:val="24"/>
          <w:lang w:eastAsia="en-GB"/>
        </w:rPr>
        <w:t xml:space="preserve">. Available at: https://ox.libguides.com/c.php?g=422832&amp;p=2887374 (Accessed: March </w:t>
      </w:r>
      <w:r w:rsidR="00C42BB0">
        <w:rPr>
          <w:rFonts w:ascii="Times New Roman" w:eastAsia="Times New Roman" w:hAnsi="Times New Roman" w:cs="Times New Roman"/>
          <w:sz w:val="24"/>
          <w:szCs w:val="24"/>
          <w:lang w:eastAsia="en-GB"/>
        </w:rPr>
        <w:t>7</w:t>
      </w:r>
      <w:r w:rsidRPr="006433D5">
        <w:rPr>
          <w:rFonts w:ascii="Times New Roman" w:eastAsia="Times New Roman" w:hAnsi="Times New Roman" w:cs="Times New Roman"/>
          <w:sz w:val="24"/>
          <w:szCs w:val="24"/>
          <w:lang w:eastAsia="en-GB"/>
        </w:rPr>
        <w:t xml:space="preserve">, 2023). </w:t>
      </w:r>
    </w:p>
    <w:p w14:paraId="46CBC979" w14:textId="600D0075" w:rsidR="006433D5" w:rsidRP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t xml:space="preserve">Rab, S. (2022) </w:t>
      </w:r>
      <w:r w:rsidRPr="006433D5">
        <w:rPr>
          <w:rFonts w:ascii="Times New Roman" w:eastAsia="Times New Roman" w:hAnsi="Times New Roman" w:cs="Times New Roman"/>
          <w:i/>
          <w:iCs/>
          <w:sz w:val="24"/>
          <w:szCs w:val="24"/>
          <w:lang w:eastAsia="en-GB"/>
        </w:rPr>
        <w:t>Legal systems in the UK (England and Wales): Overview</w:t>
      </w:r>
      <w:r w:rsidRPr="006433D5">
        <w:rPr>
          <w:rFonts w:ascii="Times New Roman" w:eastAsia="Times New Roman" w:hAnsi="Times New Roman" w:cs="Times New Roman"/>
          <w:sz w:val="24"/>
          <w:szCs w:val="24"/>
          <w:lang w:eastAsia="en-GB"/>
        </w:rPr>
        <w:t xml:space="preserve">. Available at: https://uk.practicallaw.thomsonreuters.com/5-636-2498?contextData=(sc.Default) (Accessed: March </w:t>
      </w:r>
      <w:r w:rsidR="00C42BB0">
        <w:rPr>
          <w:rFonts w:ascii="Times New Roman" w:eastAsia="Times New Roman" w:hAnsi="Times New Roman" w:cs="Times New Roman"/>
          <w:sz w:val="24"/>
          <w:szCs w:val="24"/>
          <w:lang w:eastAsia="en-GB"/>
        </w:rPr>
        <w:t>7</w:t>
      </w:r>
      <w:r w:rsidRPr="006433D5">
        <w:rPr>
          <w:rFonts w:ascii="Times New Roman" w:eastAsia="Times New Roman" w:hAnsi="Times New Roman" w:cs="Times New Roman"/>
          <w:sz w:val="24"/>
          <w:szCs w:val="24"/>
          <w:lang w:eastAsia="en-GB"/>
        </w:rPr>
        <w:t xml:space="preserve">, 2023). </w:t>
      </w:r>
    </w:p>
    <w:p w14:paraId="12FD054B" w14:textId="2FFEDA0E" w:rsidR="006433D5" w:rsidRDefault="006433D5"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6433D5">
        <w:rPr>
          <w:rFonts w:ascii="Times New Roman" w:eastAsia="Times New Roman" w:hAnsi="Times New Roman" w:cs="Times New Roman"/>
          <w:sz w:val="24"/>
          <w:szCs w:val="24"/>
          <w:lang w:eastAsia="en-GB"/>
        </w:rPr>
        <w:lastRenderedPageBreak/>
        <w:t xml:space="preserve">Sime, S. (2021) </w:t>
      </w:r>
      <w:r w:rsidRPr="006433D5">
        <w:rPr>
          <w:rFonts w:ascii="Times New Roman" w:eastAsia="Times New Roman" w:hAnsi="Times New Roman" w:cs="Times New Roman"/>
          <w:i/>
          <w:iCs/>
          <w:sz w:val="24"/>
          <w:szCs w:val="24"/>
          <w:lang w:eastAsia="en-GB"/>
        </w:rPr>
        <w:t>A practical approach to civil procedure</w:t>
      </w:r>
      <w:r w:rsidRPr="006433D5">
        <w:rPr>
          <w:rFonts w:ascii="Times New Roman" w:eastAsia="Times New Roman" w:hAnsi="Times New Roman" w:cs="Times New Roman"/>
          <w:sz w:val="24"/>
          <w:szCs w:val="24"/>
          <w:lang w:eastAsia="en-GB"/>
        </w:rPr>
        <w:t xml:space="preserve">. 24th Ed. Oxford, United Kingdom: Oxford University Press. </w:t>
      </w:r>
    </w:p>
    <w:p w14:paraId="3E827653" w14:textId="4032A383" w:rsidR="007A1019" w:rsidRPr="007A1019" w:rsidRDefault="007A1019" w:rsidP="007A1019">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7A1019">
        <w:rPr>
          <w:rFonts w:ascii="Times New Roman" w:eastAsia="Times New Roman" w:hAnsi="Times New Roman" w:cs="Times New Roman"/>
          <w:sz w:val="24"/>
          <w:szCs w:val="24"/>
          <w:lang w:eastAsia="en-GB"/>
        </w:rPr>
        <w:t>Legislation.gov.uk</w:t>
      </w:r>
      <w:r w:rsidRPr="007A1019">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7A1019">
        <w:rPr>
          <w:rFonts w:ascii="Times New Roman" w:eastAsia="Times New Roman" w:hAnsi="Times New Roman" w:cs="Times New Roman"/>
          <w:i/>
          <w:iCs/>
          <w:sz w:val="24"/>
          <w:szCs w:val="24"/>
          <w:lang w:eastAsia="en-GB"/>
        </w:rPr>
        <w:t>Voyeurism (offences) act 2019</w:t>
      </w:r>
      <w:r w:rsidRPr="007A1019">
        <w:rPr>
          <w:rFonts w:ascii="Times New Roman" w:eastAsia="Times New Roman" w:hAnsi="Times New Roman" w:cs="Times New Roman"/>
          <w:sz w:val="24"/>
          <w:szCs w:val="24"/>
          <w:lang w:eastAsia="en-GB"/>
        </w:rPr>
        <w:t xml:space="preserve">. Available at: https://www.legislation.gov.uk/ukpga/2019/2/enacted (Accessed: March </w:t>
      </w:r>
      <w:r w:rsidR="00C42BB0">
        <w:rPr>
          <w:rFonts w:ascii="Times New Roman" w:eastAsia="Times New Roman" w:hAnsi="Times New Roman" w:cs="Times New Roman"/>
          <w:sz w:val="24"/>
          <w:szCs w:val="24"/>
          <w:lang w:eastAsia="en-GB"/>
        </w:rPr>
        <w:t>5</w:t>
      </w:r>
      <w:r w:rsidRPr="007A1019">
        <w:rPr>
          <w:rFonts w:ascii="Times New Roman" w:eastAsia="Times New Roman" w:hAnsi="Times New Roman" w:cs="Times New Roman"/>
          <w:sz w:val="24"/>
          <w:szCs w:val="24"/>
          <w:lang w:eastAsia="en-GB"/>
        </w:rPr>
        <w:t xml:space="preserve">, 2023). </w:t>
      </w:r>
    </w:p>
    <w:p w14:paraId="5F002659" w14:textId="77777777" w:rsidR="007A1019" w:rsidRPr="006433D5" w:rsidRDefault="007A1019" w:rsidP="006433D5">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p>
    <w:p w14:paraId="3FD7E5B6" w14:textId="77777777" w:rsidR="00C12C34" w:rsidRPr="002C5823" w:rsidRDefault="00C12C34" w:rsidP="00E86C6B">
      <w:pPr>
        <w:spacing w:before="100" w:beforeAutospacing="1" w:after="100" w:afterAutospacing="1" w:line="240" w:lineRule="auto"/>
        <w:ind w:left="567" w:hanging="567"/>
        <w:rPr>
          <w:sz w:val="24"/>
          <w:szCs w:val="24"/>
        </w:rPr>
      </w:pPr>
    </w:p>
    <w:sectPr w:rsidR="00C12C34" w:rsidRPr="002C5823" w:rsidSect="00F524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C81"/>
    <w:rsid w:val="00081F9A"/>
    <w:rsid w:val="0021244C"/>
    <w:rsid w:val="0022700D"/>
    <w:rsid w:val="002A176A"/>
    <w:rsid w:val="002C5823"/>
    <w:rsid w:val="003B40D1"/>
    <w:rsid w:val="005A0766"/>
    <w:rsid w:val="005D4384"/>
    <w:rsid w:val="006433D5"/>
    <w:rsid w:val="0074767D"/>
    <w:rsid w:val="007A1019"/>
    <w:rsid w:val="009773EE"/>
    <w:rsid w:val="00BD611B"/>
    <w:rsid w:val="00C12C34"/>
    <w:rsid w:val="00C42BB0"/>
    <w:rsid w:val="00C540D4"/>
    <w:rsid w:val="00CA1339"/>
    <w:rsid w:val="00CD44D3"/>
    <w:rsid w:val="00D62B1F"/>
    <w:rsid w:val="00DB2C81"/>
    <w:rsid w:val="00E86C6B"/>
    <w:rsid w:val="00F5241C"/>
    <w:rsid w:val="00F727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51059"/>
  <w15:chartTrackingRefBased/>
  <w15:docId w15:val="{CF5ABE23-B4A5-4F93-A3F0-C02E24FB7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2C3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790">
      <w:bodyDiv w:val="1"/>
      <w:marLeft w:val="0"/>
      <w:marRight w:val="0"/>
      <w:marTop w:val="0"/>
      <w:marBottom w:val="0"/>
      <w:divBdr>
        <w:top w:val="none" w:sz="0" w:space="0" w:color="auto"/>
        <w:left w:val="none" w:sz="0" w:space="0" w:color="auto"/>
        <w:bottom w:val="none" w:sz="0" w:space="0" w:color="auto"/>
        <w:right w:val="none" w:sz="0" w:space="0" w:color="auto"/>
      </w:divBdr>
    </w:div>
    <w:div w:id="232551838">
      <w:bodyDiv w:val="1"/>
      <w:marLeft w:val="0"/>
      <w:marRight w:val="0"/>
      <w:marTop w:val="0"/>
      <w:marBottom w:val="0"/>
      <w:divBdr>
        <w:top w:val="none" w:sz="0" w:space="0" w:color="auto"/>
        <w:left w:val="none" w:sz="0" w:space="0" w:color="auto"/>
        <w:bottom w:val="none" w:sz="0" w:space="0" w:color="auto"/>
        <w:right w:val="none" w:sz="0" w:space="0" w:color="auto"/>
      </w:divBdr>
    </w:div>
    <w:div w:id="403114078">
      <w:bodyDiv w:val="1"/>
      <w:marLeft w:val="0"/>
      <w:marRight w:val="0"/>
      <w:marTop w:val="0"/>
      <w:marBottom w:val="0"/>
      <w:divBdr>
        <w:top w:val="none" w:sz="0" w:space="0" w:color="auto"/>
        <w:left w:val="none" w:sz="0" w:space="0" w:color="auto"/>
        <w:bottom w:val="none" w:sz="0" w:space="0" w:color="auto"/>
        <w:right w:val="none" w:sz="0" w:space="0" w:color="auto"/>
      </w:divBdr>
    </w:div>
    <w:div w:id="528376235">
      <w:bodyDiv w:val="1"/>
      <w:marLeft w:val="0"/>
      <w:marRight w:val="0"/>
      <w:marTop w:val="0"/>
      <w:marBottom w:val="0"/>
      <w:divBdr>
        <w:top w:val="none" w:sz="0" w:space="0" w:color="auto"/>
        <w:left w:val="none" w:sz="0" w:space="0" w:color="auto"/>
        <w:bottom w:val="none" w:sz="0" w:space="0" w:color="auto"/>
        <w:right w:val="none" w:sz="0" w:space="0" w:color="auto"/>
      </w:divBdr>
    </w:div>
    <w:div w:id="597446898">
      <w:bodyDiv w:val="1"/>
      <w:marLeft w:val="0"/>
      <w:marRight w:val="0"/>
      <w:marTop w:val="0"/>
      <w:marBottom w:val="0"/>
      <w:divBdr>
        <w:top w:val="none" w:sz="0" w:space="0" w:color="auto"/>
        <w:left w:val="none" w:sz="0" w:space="0" w:color="auto"/>
        <w:bottom w:val="none" w:sz="0" w:space="0" w:color="auto"/>
        <w:right w:val="none" w:sz="0" w:space="0" w:color="auto"/>
      </w:divBdr>
    </w:div>
    <w:div w:id="1492983176">
      <w:bodyDiv w:val="1"/>
      <w:marLeft w:val="0"/>
      <w:marRight w:val="0"/>
      <w:marTop w:val="0"/>
      <w:marBottom w:val="0"/>
      <w:divBdr>
        <w:top w:val="none" w:sz="0" w:space="0" w:color="auto"/>
        <w:left w:val="none" w:sz="0" w:space="0" w:color="auto"/>
        <w:bottom w:val="none" w:sz="0" w:space="0" w:color="auto"/>
        <w:right w:val="none" w:sz="0" w:space="0" w:color="auto"/>
      </w:divBdr>
    </w:div>
    <w:div w:id="1520971793">
      <w:bodyDiv w:val="1"/>
      <w:marLeft w:val="0"/>
      <w:marRight w:val="0"/>
      <w:marTop w:val="0"/>
      <w:marBottom w:val="0"/>
      <w:divBdr>
        <w:top w:val="none" w:sz="0" w:space="0" w:color="auto"/>
        <w:left w:val="none" w:sz="0" w:space="0" w:color="auto"/>
        <w:bottom w:val="none" w:sz="0" w:space="0" w:color="auto"/>
        <w:right w:val="none" w:sz="0" w:space="0" w:color="auto"/>
      </w:divBdr>
    </w:div>
    <w:div w:id="152209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7</Pages>
  <Words>1812</Words>
  <Characters>10330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Matei</dc:creator>
  <cp:keywords/>
  <dc:description/>
  <cp:lastModifiedBy>Alina Matei</cp:lastModifiedBy>
  <cp:revision>3</cp:revision>
  <dcterms:created xsi:type="dcterms:W3CDTF">2023-03-09T11:37:00Z</dcterms:created>
  <dcterms:modified xsi:type="dcterms:W3CDTF">2023-03-10T14:10:00Z</dcterms:modified>
</cp:coreProperties>
</file>