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BC9A0" w14:textId="4477F5AC" w:rsidR="00D857E5" w:rsidRDefault="00162279" w:rsidP="00162279">
      <w:pPr>
        <w:spacing w:line="360" w:lineRule="auto"/>
        <w:jc w:val="both"/>
        <w:rPr>
          <w:rFonts w:ascii="Arial" w:hAnsi="Arial" w:cs="Arial"/>
          <w:sz w:val="24"/>
          <w:szCs w:val="24"/>
          <w:lang w:val="en-US"/>
        </w:rPr>
      </w:pPr>
      <w:r>
        <w:rPr>
          <w:rFonts w:ascii="Arial" w:hAnsi="Arial" w:cs="Arial"/>
          <w:sz w:val="24"/>
          <w:szCs w:val="24"/>
          <w:lang w:val="en-US"/>
        </w:rPr>
        <w:t xml:space="preserve">                          Hotel Handbook for Intercultural Competence</w:t>
      </w:r>
    </w:p>
    <w:p w14:paraId="4918A632" w14:textId="51AC966B" w:rsidR="00162279" w:rsidRDefault="00162279" w:rsidP="00162279">
      <w:pPr>
        <w:spacing w:line="360" w:lineRule="auto"/>
        <w:jc w:val="both"/>
        <w:rPr>
          <w:rFonts w:ascii="Arial" w:hAnsi="Arial" w:cs="Arial"/>
          <w:sz w:val="24"/>
          <w:szCs w:val="24"/>
          <w:lang w:val="en-US"/>
        </w:rPr>
      </w:pPr>
    </w:p>
    <w:p w14:paraId="651360EF" w14:textId="1CD0F9DC" w:rsidR="00162279" w:rsidRDefault="00162279" w:rsidP="00162279">
      <w:pPr>
        <w:spacing w:line="360" w:lineRule="auto"/>
        <w:jc w:val="both"/>
        <w:rPr>
          <w:rFonts w:ascii="Arial" w:hAnsi="Arial" w:cs="Arial"/>
          <w:sz w:val="24"/>
          <w:szCs w:val="24"/>
          <w:lang w:val="en-US"/>
        </w:rPr>
      </w:pPr>
      <w:r>
        <w:rPr>
          <w:rFonts w:ascii="Arial" w:hAnsi="Arial" w:cs="Arial"/>
          <w:sz w:val="24"/>
          <w:szCs w:val="24"/>
          <w:lang w:val="en-US"/>
        </w:rPr>
        <w:t>Gheorghe-Minel Nica</w:t>
      </w:r>
    </w:p>
    <w:p w14:paraId="180E32E8" w14:textId="57CBE912" w:rsidR="00162279" w:rsidRDefault="00162279" w:rsidP="00162279">
      <w:pPr>
        <w:spacing w:line="360" w:lineRule="auto"/>
        <w:jc w:val="both"/>
        <w:rPr>
          <w:rFonts w:ascii="Arial" w:hAnsi="Arial" w:cs="Arial"/>
          <w:sz w:val="24"/>
          <w:szCs w:val="24"/>
          <w:lang w:val="en-US"/>
        </w:rPr>
      </w:pPr>
      <w:r>
        <w:rPr>
          <w:rFonts w:ascii="Arial" w:hAnsi="Arial" w:cs="Arial"/>
          <w:sz w:val="24"/>
          <w:szCs w:val="24"/>
          <w:lang w:val="en-US"/>
        </w:rPr>
        <w:t>2122262</w:t>
      </w:r>
    </w:p>
    <w:p w14:paraId="44B92E28" w14:textId="45B315EC" w:rsidR="00162279" w:rsidRDefault="00162279" w:rsidP="00162279">
      <w:pPr>
        <w:spacing w:line="360" w:lineRule="auto"/>
        <w:jc w:val="both"/>
        <w:rPr>
          <w:rFonts w:ascii="Arial" w:hAnsi="Arial" w:cs="Arial"/>
          <w:sz w:val="24"/>
          <w:szCs w:val="24"/>
          <w:lang w:val="en-US"/>
        </w:rPr>
      </w:pPr>
      <w:r>
        <w:rPr>
          <w:rFonts w:ascii="Arial" w:hAnsi="Arial" w:cs="Arial"/>
          <w:sz w:val="24"/>
          <w:szCs w:val="24"/>
          <w:lang w:val="en-US"/>
        </w:rPr>
        <w:t>Cultural Awareness (BMIH5003)</w:t>
      </w:r>
    </w:p>
    <w:p w14:paraId="025CDB6D" w14:textId="6E5048B7" w:rsidR="00162279" w:rsidRDefault="00162279" w:rsidP="00162279">
      <w:pPr>
        <w:spacing w:line="360" w:lineRule="auto"/>
        <w:jc w:val="both"/>
        <w:rPr>
          <w:rFonts w:ascii="Arial" w:hAnsi="Arial" w:cs="Arial"/>
          <w:sz w:val="24"/>
          <w:szCs w:val="24"/>
          <w:lang w:val="en-US"/>
        </w:rPr>
      </w:pPr>
      <w:r>
        <w:rPr>
          <w:rFonts w:ascii="Arial" w:hAnsi="Arial" w:cs="Arial"/>
          <w:sz w:val="24"/>
          <w:szCs w:val="24"/>
          <w:lang w:val="en-US"/>
        </w:rPr>
        <w:t>Rodrigo Fernandes Aguilera</w:t>
      </w:r>
    </w:p>
    <w:p w14:paraId="190293A3" w14:textId="12E69122" w:rsidR="00162279" w:rsidRDefault="00162279" w:rsidP="00162279">
      <w:pPr>
        <w:spacing w:line="360" w:lineRule="auto"/>
        <w:jc w:val="both"/>
        <w:rPr>
          <w:rFonts w:ascii="Arial" w:hAnsi="Arial" w:cs="Arial"/>
          <w:sz w:val="24"/>
          <w:szCs w:val="24"/>
          <w:lang w:val="en-US"/>
        </w:rPr>
      </w:pPr>
    </w:p>
    <w:p w14:paraId="325A92AE" w14:textId="57B9E212" w:rsidR="00162279" w:rsidRDefault="00162279" w:rsidP="00162279">
      <w:pPr>
        <w:spacing w:line="360" w:lineRule="auto"/>
        <w:jc w:val="both"/>
        <w:rPr>
          <w:rFonts w:ascii="Arial" w:hAnsi="Arial" w:cs="Arial"/>
          <w:sz w:val="24"/>
          <w:szCs w:val="24"/>
          <w:lang w:val="en-US"/>
        </w:rPr>
      </w:pPr>
    </w:p>
    <w:p w14:paraId="1122A39C" w14:textId="78EB4DB1" w:rsidR="00162279" w:rsidRDefault="00162279" w:rsidP="00162279">
      <w:pPr>
        <w:spacing w:line="360" w:lineRule="auto"/>
        <w:jc w:val="both"/>
        <w:rPr>
          <w:rFonts w:ascii="Arial" w:hAnsi="Arial" w:cs="Arial"/>
          <w:sz w:val="24"/>
          <w:szCs w:val="24"/>
          <w:lang w:val="en-US"/>
        </w:rPr>
      </w:pPr>
    </w:p>
    <w:p w14:paraId="76107E14" w14:textId="71C1ABFD" w:rsidR="00162279" w:rsidRDefault="00162279" w:rsidP="00162279">
      <w:pPr>
        <w:spacing w:line="360" w:lineRule="auto"/>
        <w:jc w:val="both"/>
        <w:rPr>
          <w:rFonts w:ascii="Arial" w:hAnsi="Arial" w:cs="Arial"/>
          <w:sz w:val="24"/>
          <w:szCs w:val="24"/>
          <w:lang w:val="en-US"/>
        </w:rPr>
      </w:pPr>
    </w:p>
    <w:p w14:paraId="2DF00A50" w14:textId="6CC86D36" w:rsidR="00162279" w:rsidRDefault="00162279" w:rsidP="00162279">
      <w:pPr>
        <w:spacing w:line="360" w:lineRule="auto"/>
        <w:jc w:val="both"/>
        <w:rPr>
          <w:rFonts w:ascii="Arial" w:hAnsi="Arial" w:cs="Arial"/>
          <w:sz w:val="24"/>
          <w:szCs w:val="24"/>
          <w:lang w:val="en-US"/>
        </w:rPr>
      </w:pPr>
    </w:p>
    <w:p w14:paraId="60129BC3" w14:textId="44EE7E74" w:rsidR="00162279" w:rsidRDefault="00162279" w:rsidP="00162279">
      <w:pPr>
        <w:spacing w:line="360" w:lineRule="auto"/>
        <w:jc w:val="both"/>
        <w:rPr>
          <w:rFonts w:ascii="Arial" w:hAnsi="Arial" w:cs="Arial"/>
          <w:sz w:val="24"/>
          <w:szCs w:val="24"/>
          <w:lang w:val="en-US"/>
        </w:rPr>
      </w:pPr>
    </w:p>
    <w:p w14:paraId="0C75F03A" w14:textId="238D8A82" w:rsidR="00162279" w:rsidRDefault="00162279" w:rsidP="00162279">
      <w:pPr>
        <w:spacing w:line="360" w:lineRule="auto"/>
        <w:jc w:val="both"/>
        <w:rPr>
          <w:rFonts w:ascii="Arial" w:hAnsi="Arial" w:cs="Arial"/>
          <w:sz w:val="24"/>
          <w:szCs w:val="24"/>
          <w:lang w:val="en-US"/>
        </w:rPr>
      </w:pPr>
    </w:p>
    <w:p w14:paraId="080761DD" w14:textId="1E421D73" w:rsidR="00162279" w:rsidRDefault="00162279" w:rsidP="00162279">
      <w:pPr>
        <w:spacing w:line="360" w:lineRule="auto"/>
        <w:jc w:val="both"/>
        <w:rPr>
          <w:rFonts w:ascii="Arial" w:hAnsi="Arial" w:cs="Arial"/>
          <w:sz w:val="24"/>
          <w:szCs w:val="24"/>
          <w:lang w:val="en-US"/>
        </w:rPr>
      </w:pPr>
    </w:p>
    <w:p w14:paraId="69708729" w14:textId="1CFE2D8D" w:rsidR="00162279" w:rsidRDefault="00162279" w:rsidP="00162279">
      <w:pPr>
        <w:spacing w:line="360" w:lineRule="auto"/>
        <w:jc w:val="both"/>
        <w:rPr>
          <w:rFonts w:ascii="Arial" w:hAnsi="Arial" w:cs="Arial"/>
          <w:sz w:val="24"/>
          <w:szCs w:val="24"/>
          <w:lang w:val="en-US"/>
        </w:rPr>
      </w:pPr>
    </w:p>
    <w:p w14:paraId="5E264526" w14:textId="7D37B537" w:rsidR="00162279" w:rsidRDefault="00162279" w:rsidP="00162279">
      <w:pPr>
        <w:spacing w:line="360" w:lineRule="auto"/>
        <w:jc w:val="both"/>
        <w:rPr>
          <w:rFonts w:ascii="Arial" w:hAnsi="Arial" w:cs="Arial"/>
          <w:sz w:val="24"/>
          <w:szCs w:val="24"/>
          <w:lang w:val="en-US"/>
        </w:rPr>
      </w:pPr>
    </w:p>
    <w:p w14:paraId="5D300D31" w14:textId="177707B7" w:rsidR="00162279" w:rsidRDefault="00162279" w:rsidP="00162279">
      <w:pPr>
        <w:spacing w:line="360" w:lineRule="auto"/>
        <w:jc w:val="both"/>
        <w:rPr>
          <w:rFonts w:ascii="Arial" w:hAnsi="Arial" w:cs="Arial"/>
          <w:sz w:val="24"/>
          <w:szCs w:val="24"/>
          <w:lang w:val="en-US"/>
        </w:rPr>
      </w:pPr>
    </w:p>
    <w:p w14:paraId="4C6FB512" w14:textId="74825937" w:rsidR="00162279" w:rsidRDefault="00162279" w:rsidP="00162279">
      <w:pPr>
        <w:spacing w:line="360" w:lineRule="auto"/>
        <w:jc w:val="both"/>
        <w:rPr>
          <w:rFonts w:ascii="Arial" w:hAnsi="Arial" w:cs="Arial"/>
          <w:sz w:val="24"/>
          <w:szCs w:val="24"/>
          <w:lang w:val="en-US"/>
        </w:rPr>
      </w:pPr>
    </w:p>
    <w:p w14:paraId="47A57F7A" w14:textId="331845C3" w:rsidR="00162279" w:rsidRDefault="00162279" w:rsidP="00162279">
      <w:pPr>
        <w:spacing w:line="360" w:lineRule="auto"/>
        <w:jc w:val="both"/>
        <w:rPr>
          <w:rFonts w:ascii="Arial" w:hAnsi="Arial" w:cs="Arial"/>
          <w:sz w:val="24"/>
          <w:szCs w:val="24"/>
          <w:lang w:val="en-US"/>
        </w:rPr>
      </w:pPr>
    </w:p>
    <w:p w14:paraId="45390688" w14:textId="37BC6E31" w:rsidR="00162279" w:rsidRDefault="00162279" w:rsidP="00162279">
      <w:pPr>
        <w:spacing w:line="360" w:lineRule="auto"/>
        <w:jc w:val="both"/>
        <w:rPr>
          <w:rFonts w:ascii="Arial" w:hAnsi="Arial" w:cs="Arial"/>
          <w:sz w:val="24"/>
          <w:szCs w:val="24"/>
          <w:lang w:val="en-US"/>
        </w:rPr>
      </w:pPr>
    </w:p>
    <w:p w14:paraId="52DC1F06" w14:textId="619EFF1F" w:rsidR="00162279" w:rsidRDefault="00162279" w:rsidP="00162279">
      <w:pPr>
        <w:spacing w:line="360" w:lineRule="auto"/>
        <w:jc w:val="both"/>
        <w:rPr>
          <w:rFonts w:ascii="Arial" w:hAnsi="Arial" w:cs="Arial"/>
          <w:sz w:val="24"/>
          <w:szCs w:val="24"/>
          <w:lang w:val="en-US"/>
        </w:rPr>
      </w:pPr>
    </w:p>
    <w:p w14:paraId="2BAE2F37" w14:textId="54561A7C" w:rsidR="00162279" w:rsidRDefault="00162279" w:rsidP="00162279">
      <w:pPr>
        <w:spacing w:line="360" w:lineRule="auto"/>
        <w:jc w:val="both"/>
        <w:rPr>
          <w:rFonts w:ascii="Arial" w:hAnsi="Arial" w:cs="Arial"/>
          <w:sz w:val="24"/>
          <w:szCs w:val="24"/>
          <w:lang w:val="en-US"/>
        </w:rPr>
      </w:pPr>
    </w:p>
    <w:p w14:paraId="0642E828" w14:textId="4FD10997" w:rsidR="00162279" w:rsidRDefault="00162279" w:rsidP="00162279">
      <w:pPr>
        <w:spacing w:line="360" w:lineRule="auto"/>
        <w:jc w:val="both"/>
        <w:rPr>
          <w:rFonts w:ascii="Arial" w:hAnsi="Arial" w:cs="Arial"/>
          <w:sz w:val="24"/>
          <w:szCs w:val="24"/>
          <w:lang w:val="en-US"/>
        </w:rPr>
      </w:pPr>
    </w:p>
    <w:p w14:paraId="2169D580" w14:textId="74305BB3" w:rsidR="00162279" w:rsidRDefault="00162279" w:rsidP="00162279">
      <w:pPr>
        <w:spacing w:line="360" w:lineRule="auto"/>
        <w:jc w:val="both"/>
        <w:rPr>
          <w:rFonts w:ascii="Arial" w:hAnsi="Arial" w:cs="Arial"/>
          <w:sz w:val="24"/>
          <w:szCs w:val="24"/>
          <w:lang w:val="en-US"/>
        </w:rPr>
      </w:pPr>
    </w:p>
    <w:p w14:paraId="7E90F051" w14:textId="77777777" w:rsidR="00162279" w:rsidRPr="00162279" w:rsidRDefault="00162279" w:rsidP="00162279">
      <w:pPr>
        <w:pStyle w:val="Heading1"/>
        <w:spacing w:line="360" w:lineRule="auto"/>
        <w:rPr>
          <w:rFonts w:ascii="Arial" w:hAnsi="Arial" w:cs="Arial"/>
          <w:color w:val="000000" w:themeColor="text1"/>
        </w:rPr>
      </w:pPr>
      <w:bookmarkStart w:id="0" w:name="_Toc126696889"/>
      <w:r w:rsidRPr="00162279">
        <w:rPr>
          <w:rFonts w:ascii="Arial" w:hAnsi="Arial" w:cs="Arial"/>
          <w:color w:val="000000" w:themeColor="text1"/>
        </w:rPr>
        <w:lastRenderedPageBreak/>
        <w:t>Introduction</w:t>
      </w:r>
      <w:bookmarkEnd w:id="0"/>
    </w:p>
    <w:p w14:paraId="3186D777" w14:textId="71DDF895" w:rsidR="00162279" w:rsidRDefault="00162279" w:rsidP="00162279">
      <w:pPr>
        <w:spacing w:after="0" w:line="360" w:lineRule="auto"/>
        <w:jc w:val="both"/>
        <w:rPr>
          <w:rFonts w:ascii="Arial" w:hAnsi="Arial" w:cs="Arial"/>
          <w:color w:val="000000" w:themeColor="text1"/>
          <w:sz w:val="24"/>
          <w:szCs w:val="24"/>
        </w:rPr>
      </w:pPr>
      <w:r w:rsidRPr="00162279">
        <w:rPr>
          <w:rFonts w:ascii="Arial" w:hAnsi="Arial" w:cs="Arial"/>
          <w:color w:val="000000" w:themeColor="text1"/>
          <w:sz w:val="24"/>
          <w:szCs w:val="24"/>
        </w:rPr>
        <w:t>People must be aware of both the differences and the similarities between their own culture and the culture they are trying to understand for intercultural awareness to grow. When a person learns a foreign language, he or she brings his or her own unique culture into the process of communicating with people from the other culture (</w:t>
      </w:r>
      <w:proofErr w:type="spellStart"/>
      <w:r w:rsidRPr="00162279">
        <w:rPr>
          <w:rFonts w:ascii="Arial" w:hAnsi="Arial" w:cs="Arial"/>
          <w:color w:val="000000" w:themeColor="text1"/>
          <w:sz w:val="24"/>
          <w:szCs w:val="24"/>
        </w:rPr>
        <w:t>Piatkowska</w:t>
      </w:r>
      <w:proofErr w:type="spellEnd"/>
      <w:r w:rsidRPr="00162279">
        <w:rPr>
          <w:rFonts w:ascii="Arial" w:hAnsi="Arial" w:cs="Arial"/>
          <w:color w:val="000000" w:themeColor="text1"/>
          <w:sz w:val="24"/>
          <w:szCs w:val="24"/>
        </w:rPr>
        <w:t xml:space="preserve">, 2015). Geert Hofstede also came up with Hofstede's cultural dimensions theory, which is a way to talk to people from different cultures. It uses a structure that comes from factor analysis to show how the culture of a society affects the values of its persons and how these morals affect how people act (Soomro et al., 2015). Moreover, this report will analyse the cultural differences with the help of the Hofstede model application. This discussion will examine the country analysis to investigate the key differences between chosen countries. Furthermore, this report will evaluate the hotel handbook in terms of dos and </w:t>
      </w:r>
      <w:r w:rsidRPr="00162279">
        <w:rPr>
          <w:rFonts w:ascii="Arial" w:hAnsi="Arial" w:cs="Arial"/>
          <w:color w:val="000000" w:themeColor="text1"/>
          <w:sz w:val="24"/>
          <w:szCs w:val="24"/>
        </w:rPr>
        <w:t>don’ts.</w:t>
      </w:r>
    </w:p>
    <w:p w14:paraId="6B966FED" w14:textId="77777777" w:rsidR="002C2144" w:rsidRDefault="002C2144" w:rsidP="00162279">
      <w:pPr>
        <w:spacing w:after="0" w:line="360" w:lineRule="auto"/>
        <w:jc w:val="both"/>
        <w:rPr>
          <w:rFonts w:ascii="Arial" w:hAnsi="Arial" w:cs="Arial"/>
          <w:color w:val="000000" w:themeColor="text1"/>
          <w:sz w:val="24"/>
          <w:szCs w:val="24"/>
        </w:rPr>
      </w:pPr>
    </w:p>
    <w:p w14:paraId="6C866545" w14:textId="77777777" w:rsidR="00162279" w:rsidRPr="00162279" w:rsidRDefault="00162279" w:rsidP="00162279">
      <w:pPr>
        <w:pStyle w:val="Heading1"/>
        <w:spacing w:line="360" w:lineRule="auto"/>
        <w:rPr>
          <w:rFonts w:ascii="Arial" w:hAnsi="Arial" w:cs="Arial"/>
          <w:color w:val="000000" w:themeColor="text1"/>
        </w:rPr>
      </w:pPr>
      <w:bookmarkStart w:id="1" w:name="_Toc126696890"/>
      <w:r w:rsidRPr="00162279">
        <w:rPr>
          <w:rFonts w:ascii="Arial" w:hAnsi="Arial" w:cs="Arial"/>
          <w:color w:val="000000" w:themeColor="text1"/>
        </w:rPr>
        <w:t>Country A- United Kingdom</w:t>
      </w:r>
      <w:bookmarkEnd w:id="1"/>
    </w:p>
    <w:p w14:paraId="068C1750" w14:textId="77777777" w:rsidR="002C2144" w:rsidRDefault="00162279" w:rsidP="00162279">
      <w:pPr>
        <w:spacing w:after="0" w:line="360" w:lineRule="auto"/>
        <w:jc w:val="both"/>
        <w:rPr>
          <w:rFonts w:ascii="Arial" w:hAnsi="Arial" w:cs="Arial"/>
          <w:color w:val="000000" w:themeColor="text1"/>
          <w:sz w:val="24"/>
          <w:szCs w:val="24"/>
        </w:rPr>
      </w:pPr>
      <w:r w:rsidRPr="00162279">
        <w:rPr>
          <w:rFonts w:ascii="Arial" w:hAnsi="Arial" w:cs="Arial"/>
          <w:color w:val="000000" w:themeColor="text1"/>
          <w:sz w:val="24"/>
          <w:szCs w:val="24"/>
        </w:rPr>
        <w:t>Country A which has been chosen for the guest's home country is the UK. Whereas the cultures of England, Scotland, Wales, and Northern Ireland come together to form a beautiful and distinct amalgam known as British culture. The amalgamation of the customs and practises of all of these nations is what gives the British culture its renowned depth and variety. The British refer to this as their "cultural capital." The people of Britain take pride in the idea that they are sophisticated and have excellent taste in many aspects of life, including the things they eat, wear, listen to, and watch (Nugent and Catalano, 2015). Surprisingly, despite the fact that the people of Britain have a reputation for being unfriendly towards other people, they like giving kisses on the cheek as a sort of welcome. When it comes to keeping to schedules, the British are notoriously punctual sticklers. When it comes to following the rules, particularly when it comes to waiting in line, British people take great pride in doing so (</w:t>
      </w:r>
      <w:proofErr w:type="spellStart"/>
      <w:r w:rsidRPr="00162279">
        <w:rPr>
          <w:rFonts w:ascii="Arial" w:hAnsi="Arial" w:cs="Arial"/>
          <w:color w:val="000000" w:themeColor="text1"/>
          <w:sz w:val="24"/>
          <w:szCs w:val="24"/>
        </w:rPr>
        <w:t>Nechifor</w:t>
      </w:r>
      <w:proofErr w:type="spellEnd"/>
      <w:r w:rsidRPr="00162279">
        <w:rPr>
          <w:rFonts w:ascii="Arial" w:hAnsi="Arial" w:cs="Arial"/>
          <w:color w:val="000000" w:themeColor="text1"/>
          <w:sz w:val="24"/>
          <w:szCs w:val="24"/>
        </w:rPr>
        <w:t xml:space="preserve"> and </w:t>
      </w:r>
      <w:proofErr w:type="spellStart"/>
      <w:r w:rsidRPr="00162279">
        <w:rPr>
          <w:rFonts w:ascii="Arial" w:hAnsi="Arial" w:cs="Arial"/>
          <w:color w:val="000000" w:themeColor="text1"/>
          <w:sz w:val="24"/>
          <w:szCs w:val="24"/>
        </w:rPr>
        <w:t>Borca</w:t>
      </w:r>
      <w:proofErr w:type="spellEnd"/>
      <w:r w:rsidRPr="00162279">
        <w:rPr>
          <w:rFonts w:ascii="Arial" w:hAnsi="Arial" w:cs="Arial"/>
          <w:color w:val="000000" w:themeColor="text1"/>
          <w:sz w:val="24"/>
          <w:szCs w:val="24"/>
        </w:rPr>
        <w:t>, 2020).</w:t>
      </w:r>
    </w:p>
    <w:p w14:paraId="58940EE5" w14:textId="77777777" w:rsidR="002C2144" w:rsidRDefault="002C2144" w:rsidP="00162279">
      <w:pPr>
        <w:spacing w:after="0" w:line="360" w:lineRule="auto"/>
        <w:jc w:val="both"/>
        <w:rPr>
          <w:rFonts w:ascii="Arial" w:hAnsi="Arial" w:cs="Arial"/>
          <w:color w:val="000000" w:themeColor="text1"/>
          <w:sz w:val="24"/>
          <w:szCs w:val="24"/>
        </w:rPr>
      </w:pPr>
    </w:p>
    <w:p w14:paraId="27B2BE21" w14:textId="0DD8EAC7" w:rsidR="002C2144" w:rsidRPr="002C2144" w:rsidRDefault="002C2144" w:rsidP="002C2144">
      <w:pPr>
        <w:pStyle w:val="Heading2"/>
        <w:spacing w:line="360" w:lineRule="auto"/>
        <w:jc w:val="both"/>
        <w:rPr>
          <w:rFonts w:ascii="Arial" w:hAnsi="Arial" w:cs="Arial"/>
          <w:color w:val="000000" w:themeColor="text1"/>
          <w:sz w:val="24"/>
          <w:szCs w:val="24"/>
        </w:rPr>
      </w:pPr>
      <w:bookmarkStart w:id="2" w:name="_Toc126696891"/>
      <w:r>
        <w:rPr>
          <w:rFonts w:ascii="Arial" w:hAnsi="Arial" w:cs="Arial"/>
          <w:color w:val="000000" w:themeColor="text1"/>
          <w:sz w:val="24"/>
          <w:szCs w:val="24"/>
        </w:rPr>
        <w:t xml:space="preserve">    </w:t>
      </w:r>
      <w:r w:rsidRPr="002C2144">
        <w:rPr>
          <w:rFonts w:ascii="Arial" w:hAnsi="Arial" w:cs="Arial"/>
          <w:color w:val="000000" w:themeColor="text1"/>
          <w:sz w:val="24"/>
          <w:szCs w:val="24"/>
        </w:rPr>
        <w:t xml:space="preserve"> Hofstede Model </w:t>
      </w:r>
      <w:bookmarkEnd w:id="2"/>
    </w:p>
    <w:p w14:paraId="0F34C6BE" w14:textId="77777777" w:rsidR="002C2144" w:rsidRPr="002C2144" w:rsidRDefault="002C2144" w:rsidP="002C2144">
      <w:pPr>
        <w:pStyle w:val="ListParagraph"/>
        <w:numPr>
          <w:ilvl w:val="0"/>
          <w:numId w:val="1"/>
        </w:numPr>
        <w:spacing w:after="0" w:line="360" w:lineRule="auto"/>
        <w:rPr>
          <w:rFonts w:ascii="Arial" w:hAnsi="Arial" w:cs="Arial"/>
          <w:color w:val="000000" w:themeColor="text1"/>
        </w:rPr>
      </w:pPr>
      <w:r w:rsidRPr="002C2144">
        <w:rPr>
          <w:rFonts w:ascii="Arial" w:hAnsi="Arial" w:cs="Arial"/>
          <w:b/>
          <w:bCs/>
          <w:color w:val="000000" w:themeColor="text1"/>
        </w:rPr>
        <w:t xml:space="preserve">Power Distance- </w:t>
      </w:r>
      <w:r w:rsidRPr="002C2144">
        <w:rPr>
          <w:rFonts w:ascii="Arial" w:hAnsi="Arial" w:cs="Arial"/>
          <w:color w:val="000000" w:themeColor="text1"/>
        </w:rPr>
        <w:t>UK power distance is 35% which includes a society that focuses on minimising inequities between individuals (</w:t>
      </w:r>
      <w:proofErr w:type="spellStart"/>
      <w:r w:rsidRPr="002C2144">
        <w:rPr>
          <w:rFonts w:ascii="Arial" w:hAnsi="Arial" w:cs="Arial"/>
          <w:color w:val="000000" w:themeColor="text1"/>
        </w:rPr>
        <w:t>Kalaja</w:t>
      </w:r>
      <w:proofErr w:type="spellEnd"/>
      <w:r w:rsidRPr="002C2144">
        <w:rPr>
          <w:rFonts w:ascii="Arial" w:hAnsi="Arial" w:cs="Arial"/>
          <w:color w:val="000000" w:themeColor="text1"/>
        </w:rPr>
        <w:t xml:space="preserve"> and </w:t>
      </w:r>
      <w:proofErr w:type="spellStart"/>
      <w:r w:rsidRPr="002C2144">
        <w:rPr>
          <w:rFonts w:ascii="Arial" w:hAnsi="Arial" w:cs="Arial"/>
          <w:color w:val="000000" w:themeColor="text1"/>
        </w:rPr>
        <w:t>Pitkänen-Huhta</w:t>
      </w:r>
      <w:proofErr w:type="spellEnd"/>
      <w:r w:rsidRPr="002C2144">
        <w:rPr>
          <w:rFonts w:ascii="Arial" w:hAnsi="Arial" w:cs="Arial"/>
          <w:color w:val="000000" w:themeColor="text1"/>
        </w:rPr>
        <w:t>, 2020).</w:t>
      </w:r>
    </w:p>
    <w:p w14:paraId="76B916D3" w14:textId="77777777" w:rsidR="002C2144" w:rsidRPr="002C2144" w:rsidRDefault="002C2144" w:rsidP="002C2144">
      <w:pPr>
        <w:pStyle w:val="ListParagraph"/>
        <w:numPr>
          <w:ilvl w:val="0"/>
          <w:numId w:val="1"/>
        </w:numPr>
        <w:spacing w:after="0" w:line="360" w:lineRule="auto"/>
        <w:rPr>
          <w:rFonts w:ascii="Arial" w:hAnsi="Arial" w:cs="Arial"/>
          <w:color w:val="000000" w:themeColor="text1"/>
        </w:rPr>
      </w:pPr>
      <w:r w:rsidRPr="002C2144">
        <w:rPr>
          <w:rFonts w:ascii="Arial" w:hAnsi="Arial" w:cs="Arial"/>
          <w:b/>
          <w:bCs/>
          <w:color w:val="000000" w:themeColor="text1"/>
        </w:rPr>
        <w:t xml:space="preserve">Individualism- </w:t>
      </w:r>
      <w:r w:rsidRPr="002C2144">
        <w:rPr>
          <w:rFonts w:ascii="Arial" w:hAnsi="Arial" w:cs="Arial"/>
          <w:color w:val="000000" w:themeColor="text1"/>
        </w:rPr>
        <w:t xml:space="preserve">UK 89% comprise a culture in which individuals are trained to think </w:t>
      </w:r>
      <w:r w:rsidRPr="002C2144">
        <w:rPr>
          <w:rFonts w:ascii="Arial" w:hAnsi="Arial" w:cs="Arial"/>
          <w:color w:val="000000" w:themeColor="text1"/>
        </w:rPr>
        <w:lastRenderedPageBreak/>
        <w:t>independently (</w:t>
      </w:r>
      <w:proofErr w:type="spellStart"/>
      <w:r w:rsidRPr="002C2144">
        <w:rPr>
          <w:rFonts w:ascii="Arial" w:hAnsi="Arial" w:cs="Arial"/>
          <w:color w:val="000000" w:themeColor="text1"/>
        </w:rPr>
        <w:t>Piatkowska</w:t>
      </w:r>
      <w:proofErr w:type="spellEnd"/>
      <w:r w:rsidRPr="002C2144">
        <w:rPr>
          <w:rFonts w:ascii="Arial" w:hAnsi="Arial" w:cs="Arial"/>
          <w:color w:val="000000" w:themeColor="text1"/>
        </w:rPr>
        <w:t>, 2015).</w:t>
      </w:r>
    </w:p>
    <w:p w14:paraId="35AD9883" w14:textId="77777777" w:rsidR="002C2144" w:rsidRPr="002C2144" w:rsidRDefault="002C2144" w:rsidP="002C2144">
      <w:pPr>
        <w:pStyle w:val="ListParagraph"/>
        <w:numPr>
          <w:ilvl w:val="0"/>
          <w:numId w:val="1"/>
        </w:numPr>
        <w:spacing w:after="0" w:line="360" w:lineRule="auto"/>
        <w:rPr>
          <w:rFonts w:ascii="Arial" w:hAnsi="Arial" w:cs="Arial"/>
          <w:color w:val="000000" w:themeColor="text1"/>
        </w:rPr>
      </w:pPr>
      <w:r w:rsidRPr="002C2144">
        <w:rPr>
          <w:rFonts w:ascii="Arial" w:hAnsi="Arial" w:cs="Arial"/>
          <w:b/>
          <w:bCs/>
          <w:color w:val="000000" w:themeColor="text1"/>
        </w:rPr>
        <w:t xml:space="preserve">Masculinity- </w:t>
      </w:r>
      <w:r w:rsidRPr="002C2144">
        <w:rPr>
          <w:rFonts w:ascii="Arial" w:hAnsi="Arial" w:cs="Arial"/>
          <w:color w:val="000000" w:themeColor="text1"/>
        </w:rPr>
        <w:t xml:space="preserve">UK 66% involves a culture that is very success-oriented and motivated (de </w:t>
      </w:r>
      <w:proofErr w:type="spellStart"/>
      <w:r w:rsidRPr="002C2144">
        <w:rPr>
          <w:rFonts w:ascii="Arial" w:hAnsi="Arial" w:cs="Arial"/>
          <w:color w:val="000000" w:themeColor="text1"/>
        </w:rPr>
        <w:t>Lurdes</w:t>
      </w:r>
      <w:proofErr w:type="spellEnd"/>
      <w:r w:rsidRPr="002C2144">
        <w:rPr>
          <w:rFonts w:ascii="Arial" w:hAnsi="Arial" w:cs="Arial"/>
          <w:color w:val="000000" w:themeColor="text1"/>
        </w:rPr>
        <w:t xml:space="preserve"> Martins, 2015).</w:t>
      </w:r>
    </w:p>
    <w:p w14:paraId="5FC096CE" w14:textId="77777777" w:rsidR="002C2144" w:rsidRPr="002C2144" w:rsidRDefault="002C2144" w:rsidP="002C2144">
      <w:pPr>
        <w:pStyle w:val="ListParagraph"/>
        <w:numPr>
          <w:ilvl w:val="0"/>
          <w:numId w:val="1"/>
        </w:numPr>
        <w:spacing w:after="0" w:line="360" w:lineRule="auto"/>
        <w:rPr>
          <w:rFonts w:ascii="Arial" w:hAnsi="Arial" w:cs="Arial"/>
          <w:color w:val="000000" w:themeColor="text1"/>
        </w:rPr>
      </w:pPr>
      <w:r w:rsidRPr="002C2144">
        <w:rPr>
          <w:rFonts w:ascii="Arial" w:hAnsi="Arial" w:cs="Arial"/>
          <w:b/>
          <w:bCs/>
          <w:color w:val="000000" w:themeColor="text1"/>
        </w:rPr>
        <w:t xml:space="preserve">Uncertainty Avoidance- </w:t>
      </w:r>
      <w:r w:rsidRPr="002C2144">
        <w:rPr>
          <w:rFonts w:ascii="Arial" w:hAnsi="Arial" w:cs="Arial"/>
          <w:color w:val="000000" w:themeColor="text1"/>
        </w:rPr>
        <w:t>UK 35% integrate comfortably with uncertain circumstances (</w:t>
      </w:r>
      <w:proofErr w:type="spellStart"/>
      <w:r w:rsidRPr="002C2144">
        <w:rPr>
          <w:rFonts w:ascii="Arial" w:hAnsi="Arial" w:cs="Arial"/>
          <w:color w:val="000000" w:themeColor="text1"/>
        </w:rPr>
        <w:t>Haghjou</w:t>
      </w:r>
      <w:proofErr w:type="spellEnd"/>
      <w:r w:rsidRPr="002C2144">
        <w:rPr>
          <w:rFonts w:ascii="Arial" w:hAnsi="Arial" w:cs="Arial"/>
          <w:color w:val="000000" w:themeColor="text1"/>
        </w:rPr>
        <w:t>, S., 2020).</w:t>
      </w:r>
    </w:p>
    <w:p w14:paraId="7A664608" w14:textId="77777777" w:rsidR="002C2144" w:rsidRPr="002C2144" w:rsidRDefault="002C2144" w:rsidP="002C2144">
      <w:pPr>
        <w:pStyle w:val="ListParagraph"/>
        <w:numPr>
          <w:ilvl w:val="0"/>
          <w:numId w:val="1"/>
        </w:numPr>
        <w:spacing w:after="0" w:line="360" w:lineRule="auto"/>
        <w:rPr>
          <w:rFonts w:ascii="Arial" w:hAnsi="Arial" w:cs="Arial"/>
          <w:color w:val="000000" w:themeColor="text1"/>
        </w:rPr>
      </w:pPr>
      <w:r w:rsidRPr="002C2144">
        <w:rPr>
          <w:rFonts w:ascii="Arial" w:hAnsi="Arial" w:cs="Arial"/>
          <w:b/>
          <w:bCs/>
          <w:color w:val="000000" w:themeColor="text1"/>
        </w:rPr>
        <w:t xml:space="preserve">Long-term Orientation- </w:t>
      </w:r>
      <w:r w:rsidRPr="002C2144">
        <w:rPr>
          <w:rFonts w:ascii="Arial" w:hAnsi="Arial" w:cs="Arial"/>
          <w:color w:val="000000" w:themeColor="text1"/>
        </w:rPr>
        <w:t>UK 51% involves a community that cherishes its own history equally while addressing the concerns of the future and present (Soomro et al., 2015).</w:t>
      </w:r>
    </w:p>
    <w:p w14:paraId="4099A202" w14:textId="0A6DA20D" w:rsidR="002C2144" w:rsidRDefault="002C2144" w:rsidP="002C2144">
      <w:pPr>
        <w:pStyle w:val="ListParagraph"/>
        <w:numPr>
          <w:ilvl w:val="0"/>
          <w:numId w:val="1"/>
        </w:numPr>
        <w:spacing w:after="0" w:line="360" w:lineRule="auto"/>
        <w:rPr>
          <w:rFonts w:ascii="Arial" w:hAnsi="Arial" w:cs="Arial"/>
          <w:color w:val="000000" w:themeColor="text1"/>
        </w:rPr>
      </w:pPr>
      <w:r w:rsidRPr="002C2144">
        <w:rPr>
          <w:rFonts w:ascii="Arial" w:hAnsi="Arial" w:cs="Arial"/>
          <w:b/>
          <w:bCs/>
          <w:color w:val="000000" w:themeColor="text1"/>
        </w:rPr>
        <w:t>Indulgence-</w:t>
      </w:r>
      <w:r w:rsidRPr="002C2144">
        <w:rPr>
          <w:rFonts w:ascii="Arial" w:hAnsi="Arial" w:cs="Arial"/>
          <w:color w:val="000000" w:themeColor="text1"/>
        </w:rPr>
        <w:t xml:space="preserve"> UK 69% includes a culture characterised by a readiness to act on their wishes and inclinations in relation to the good life (de </w:t>
      </w:r>
      <w:proofErr w:type="spellStart"/>
      <w:r w:rsidRPr="002C2144">
        <w:rPr>
          <w:rFonts w:ascii="Arial" w:hAnsi="Arial" w:cs="Arial"/>
          <w:color w:val="000000" w:themeColor="text1"/>
        </w:rPr>
        <w:t>Lurdes</w:t>
      </w:r>
      <w:proofErr w:type="spellEnd"/>
      <w:r w:rsidRPr="002C2144">
        <w:rPr>
          <w:rFonts w:ascii="Arial" w:hAnsi="Arial" w:cs="Arial"/>
          <w:color w:val="000000" w:themeColor="text1"/>
        </w:rPr>
        <w:t xml:space="preserve"> Martins, 2015).</w:t>
      </w:r>
    </w:p>
    <w:p w14:paraId="2AEE7722" w14:textId="195D25DA" w:rsidR="002C2144" w:rsidRDefault="002C2144" w:rsidP="002C2144">
      <w:pPr>
        <w:pStyle w:val="ListParagraph"/>
        <w:spacing w:after="0" w:line="360" w:lineRule="auto"/>
        <w:ind w:left="360" w:firstLine="0"/>
        <w:rPr>
          <w:rFonts w:ascii="Arial" w:hAnsi="Arial" w:cs="Arial"/>
          <w:b/>
          <w:bCs/>
          <w:color w:val="000000" w:themeColor="text1"/>
        </w:rPr>
      </w:pPr>
    </w:p>
    <w:p w14:paraId="2581CF26" w14:textId="5D10CD9E" w:rsidR="002C2144" w:rsidRDefault="002C2144" w:rsidP="002C2144">
      <w:pPr>
        <w:pStyle w:val="ListParagraph"/>
        <w:spacing w:after="0" w:line="360" w:lineRule="auto"/>
        <w:ind w:left="360" w:firstLine="0"/>
        <w:rPr>
          <w:rFonts w:ascii="Arial" w:hAnsi="Arial" w:cs="Arial"/>
          <w:color w:val="000000" w:themeColor="text1"/>
        </w:rPr>
      </w:pPr>
    </w:p>
    <w:p w14:paraId="4F8A5A5C" w14:textId="77777777" w:rsidR="002C2144" w:rsidRPr="002C2144" w:rsidRDefault="002C2144" w:rsidP="002C2144">
      <w:pPr>
        <w:pStyle w:val="Heading1"/>
        <w:spacing w:line="360" w:lineRule="auto"/>
        <w:rPr>
          <w:rFonts w:ascii="Arial" w:hAnsi="Arial" w:cs="Arial"/>
          <w:color w:val="000000" w:themeColor="text1"/>
        </w:rPr>
      </w:pPr>
      <w:bookmarkStart w:id="3" w:name="_Toc126696892"/>
      <w:r w:rsidRPr="002C2144">
        <w:rPr>
          <w:rFonts w:ascii="Arial" w:hAnsi="Arial" w:cs="Arial"/>
          <w:color w:val="000000" w:themeColor="text1"/>
        </w:rPr>
        <w:t>Country B- China</w:t>
      </w:r>
      <w:bookmarkEnd w:id="3"/>
    </w:p>
    <w:p w14:paraId="09B94B99" w14:textId="6CA7080D" w:rsidR="002C2144" w:rsidRPr="002C2144" w:rsidRDefault="002C2144" w:rsidP="002C2144">
      <w:pPr>
        <w:spacing w:after="0" w:line="360" w:lineRule="auto"/>
        <w:jc w:val="both"/>
        <w:rPr>
          <w:rFonts w:ascii="Arial" w:hAnsi="Arial" w:cs="Arial"/>
          <w:color w:val="000000" w:themeColor="text1"/>
          <w:sz w:val="24"/>
          <w:szCs w:val="24"/>
        </w:rPr>
      </w:pPr>
      <w:r w:rsidRPr="002C2144">
        <w:rPr>
          <w:rFonts w:ascii="Arial" w:hAnsi="Arial" w:cs="Arial"/>
          <w:color w:val="000000" w:themeColor="text1"/>
          <w:sz w:val="24"/>
          <w:szCs w:val="24"/>
        </w:rPr>
        <w:t>Country B which has been chosen for the guest's home country is China.  The culture of China includes the concept of harmony is considered the most important of China's traditional values and is embodied in China's diplomacy. Other traditional Chinese cultural values, such as benevolence, holiness, courtesy, knowledge and understanding, honesty, devotion, and filial piety, are also embodied in China's diplomacy (</w:t>
      </w:r>
      <w:proofErr w:type="spellStart"/>
      <w:r w:rsidRPr="002C2144">
        <w:rPr>
          <w:rFonts w:ascii="Arial" w:hAnsi="Arial" w:cs="Arial"/>
          <w:color w:val="000000" w:themeColor="text1"/>
          <w:sz w:val="24"/>
          <w:szCs w:val="24"/>
        </w:rPr>
        <w:t>Piatkowska</w:t>
      </w:r>
      <w:proofErr w:type="spellEnd"/>
      <w:r w:rsidRPr="002C2144">
        <w:rPr>
          <w:rFonts w:ascii="Arial" w:hAnsi="Arial" w:cs="Arial"/>
          <w:color w:val="000000" w:themeColor="text1"/>
          <w:sz w:val="24"/>
          <w:szCs w:val="24"/>
        </w:rPr>
        <w:t xml:space="preserve">, 2015). Eating is a very significant part of Chinese culture since the country has a rich history of customs and manners pertaining to the practice of eating. After a thousand years of development, China evolved a broad meal ritual and customs; yet, it varies according to the nature and purpose of a feast as well as geographically. </w:t>
      </w:r>
    </w:p>
    <w:p w14:paraId="2495EDB2" w14:textId="77777777" w:rsidR="002C2144" w:rsidRPr="002C2144" w:rsidRDefault="002C2144" w:rsidP="002C2144">
      <w:pPr>
        <w:spacing w:after="0" w:line="360" w:lineRule="auto"/>
        <w:jc w:val="both"/>
        <w:rPr>
          <w:rFonts w:ascii="Arial" w:hAnsi="Arial" w:cs="Arial"/>
          <w:color w:val="000000" w:themeColor="text1"/>
          <w:sz w:val="24"/>
          <w:szCs w:val="24"/>
        </w:rPr>
      </w:pPr>
    </w:p>
    <w:p w14:paraId="26CC9996" w14:textId="1B746591" w:rsidR="002C2144" w:rsidRPr="002C2144" w:rsidRDefault="002C2144" w:rsidP="002C2144">
      <w:pPr>
        <w:pStyle w:val="Heading2"/>
        <w:spacing w:line="360" w:lineRule="auto"/>
        <w:jc w:val="both"/>
        <w:rPr>
          <w:rFonts w:ascii="Arial" w:hAnsi="Arial" w:cs="Arial"/>
          <w:color w:val="000000" w:themeColor="text1"/>
          <w:sz w:val="24"/>
          <w:szCs w:val="24"/>
        </w:rPr>
      </w:pPr>
      <w:bookmarkStart w:id="4" w:name="_Toc126696893"/>
      <w:r w:rsidRPr="002C2144">
        <w:rPr>
          <w:rFonts w:ascii="Arial" w:hAnsi="Arial" w:cs="Arial"/>
          <w:color w:val="000000" w:themeColor="text1"/>
          <w:sz w:val="24"/>
          <w:szCs w:val="24"/>
        </w:rPr>
        <w:t xml:space="preserve">Use Hofstede Model </w:t>
      </w:r>
      <w:bookmarkEnd w:id="4"/>
    </w:p>
    <w:p w14:paraId="122CD3C1" w14:textId="1167CE61" w:rsidR="002C2144" w:rsidRPr="002C2144" w:rsidRDefault="002C2144" w:rsidP="002C2144">
      <w:pPr>
        <w:spacing w:after="0" w:line="360" w:lineRule="auto"/>
        <w:jc w:val="both"/>
        <w:rPr>
          <w:rFonts w:ascii="Arial" w:hAnsi="Arial" w:cs="Arial"/>
          <w:color w:val="000000" w:themeColor="text1"/>
          <w:sz w:val="24"/>
          <w:szCs w:val="24"/>
        </w:rPr>
      </w:pPr>
    </w:p>
    <w:p w14:paraId="5CC458CC" w14:textId="77777777" w:rsidR="002C2144" w:rsidRPr="002C2144" w:rsidRDefault="002C2144" w:rsidP="002C2144">
      <w:pPr>
        <w:pStyle w:val="ListParagraph"/>
        <w:numPr>
          <w:ilvl w:val="0"/>
          <w:numId w:val="2"/>
        </w:numPr>
        <w:spacing w:after="0" w:line="360" w:lineRule="auto"/>
        <w:rPr>
          <w:rFonts w:ascii="Arial" w:hAnsi="Arial" w:cs="Arial"/>
          <w:color w:val="000000" w:themeColor="text1"/>
          <w:shd w:val="clear" w:color="auto" w:fill="auto"/>
          <w:lang w:val="en-US"/>
        </w:rPr>
      </w:pPr>
      <w:r w:rsidRPr="002C2144">
        <w:rPr>
          <w:rFonts w:ascii="Arial" w:hAnsi="Arial" w:cs="Arial"/>
          <w:b/>
          <w:bCs/>
          <w:color w:val="000000" w:themeColor="text1"/>
        </w:rPr>
        <w:t>Power Distance</w:t>
      </w:r>
      <w:r w:rsidRPr="002C2144">
        <w:rPr>
          <w:rFonts w:ascii="Arial" w:hAnsi="Arial" w:cs="Arial"/>
          <w:color w:val="000000" w:themeColor="text1"/>
          <w:shd w:val="clear" w:color="auto" w:fill="auto"/>
          <w:lang w:val="en-US"/>
        </w:rPr>
        <w:t>- China is, to an extent of 80%, a society that accepts inequality between individuals (</w:t>
      </w:r>
      <w:proofErr w:type="spellStart"/>
      <w:r w:rsidRPr="002C2144">
        <w:rPr>
          <w:rFonts w:ascii="Arial" w:hAnsi="Arial" w:cs="Arial"/>
          <w:color w:val="000000" w:themeColor="text1"/>
          <w:shd w:val="clear" w:color="auto" w:fill="auto"/>
          <w:lang w:val="en-US"/>
        </w:rPr>
        <w:t>Lokkesmoe</w:t>
      </w:r>
      <w:proofErr w:type="spellEnd"/>
      <w:r w:rsidRPr="002C2144">
        <w:rPr>
          <w:rFonts w:ascii="Arial" w:hAnsi="Arial" w:cs="Arial"/>
          <w:color w:val="000000" w:themeColor="text1"/>
          <w:shd w:val="clear" w:color="auto" w:fill="auto"/>
          <w:lang w:val="en-US"/>
        </w:rPr>
        <w:t xml:space="preserve"> et al., 2016).</w:t>
      </w:r>
    </w:p>
    <w:p w14:paraId="738F6119" w14:textId="77777777" w:rsidR="002C2144" w:rsidRPr="002C2144" w:rsidRDefault="002C2144" w:rsidP="002C2144">
      <w:pPr>
        <w:pStyle w:val="ListParagraph"/>
        <w:numPr>
          <w:ilvl w:val="0"/>
          <w:numId w:val="2"/>
        </w:numPr>
        <w:spacing w:after="0" w:line="360" w:lineRule="auto"/>
        <w:rPr>
          <w:rFonts w:ascii="Arial" w:hAnsi="Arial" w:cs="Arial"/>
          <w:color w:val="000000" w:themeColor="text1"/>
          <w:shd w:val="clear" w:color="auto" w:fill="auto"/>
          <w:lang w:val="en-US"/>
        </w:rPr>
      </w:pPr>
      <w:r w:rsidRPr="002C2144">
        <w:rPr>
          <w:rFonts w:ascii="Arial" w:hAnsi="Arial" w:cs="Arial"/>
          <w:b/>
          <w:bCs/>
          <w:color w:val="000000" w:themeColor="text1"/>
        </w:rPr>
        <w:t xml:space="preserve">Individualism- </w:t>
      </w:r>
      <w:r w:rsidRPr="002C2144">
        <w:rPr>
          <w:rFonts w:ascii="Arial" w:hAnsi="Arial" w:cs="Arial"/>
          <w:color w:val="000000" w:themeColor="text1"/>
          <w:shd w:val="clear" w:color="auto" w:fill="auto"/>
          <w:lang w:val="en-US"/>
        </w:rPr>
        <w:t xml:space="preserve">China 20% includes a highly collectivist society in which individuals operate in the group's best interests and not necessarily their own. </w:t>
      </w:r>
    </w:p>
    <w:p w14:paraId="5E8CF7DD" w14:textId="77777777" w:rsidR="002C2144" w:rsidRPr="002C2144" w:rsidRDefault="002C2144" w:rsidP="002C2144">
      <w:pPr>
        <w:pStyle w:val="ListParagraph"/>
        <w:numPr>
          <w:ilvl w:val="0"/>
          <w:numId w:val="2"/>
        </w:numPr>
        <w:spacing w:after="0" w:line="360" w:lineRule="auto"/>
        <w:rPr>
          <w:rFonts w:ascii="Arial" w:hAnsi="Arial" w:cs="Arial"/>
          <w:color w:val="000000" w:themeColor="text1"/>
          <w:shd w:val="clear" w:color="auto" w:fill="auto"/>
          <w:lang w:val="en-US"/>
        </w:rPr>
      </w:pPr>
      <w:r w:rsidRPr="002C2144">
        <w:rPr>
          <w:rFonts w:ascii="Arial" w:hAnsi="Arial" w:cs="Arial"/>
          <w:b/>
          <w:bCs/>
          <w:color w:val="000000" w:themeColor="text1"/>
        </w:rPr>
        <w:t xml:space="preserve">Masculinity- </w:t>
      </w:r>
      <w:r w:rsidRPr="002C2144">
        <w:rPr>
          <w:rFonts w:ascii="Arial" w:hAnsi="Arial" w:cs="Arial"/>
          <w:color w:val="000000" w:themeColor="text1"/>
          <w:shd w:val="clear" w:color="auto" w:fill="auto"/>
          <w:lang w:val="en-US"/>
        </w:rPr>
        <w:t>China 66% involves motivated by achievement, and many Chinese would compromise family and leisure time for work (</w:t>
      </w:r>
      <w:proofErr w:type="spellStart"/>
      <w:r w:rsidRPr="002C2144">
        <w:rPr>
          <w:rFonts w:ascii="Arial" w:hAnsi="Arial" w:cs="Arial"/>
          <w:color w:val="000000" w:themeColor="text1"/>
          <w:shd w:val="clear" w:color="auto" w:fill="auto"/>
          <w:lang w:val="en-US"/>
        </w:rPr>
        <w:t>Salamatina</w:t>
      </w:r>
      <w:proofErr w:type="spellEnd"/>
      <w:r w:rsidRPr="002C2144">
        <w:rPr>
          <w:rFonts w:ascii="Arial" w:hAnsi="Arial" w:cs="Arial"/>
          <w:color w:val="000000" w:themeColor="text1"/>
          <w:shd w:val="clear" w:color="auto" w:fill="auto"/>
          <w:lang w:val="en-US"/>
        </w:rPr>
        <w:t xml:space="preserve"> and </w:t>
      </w:r>
      <w:proofErr w:type="spellStart"/>
      <w:r w:rsidRPr="002C2144">
        <w:rPr>
          <w:rFonts w:ascii="Arial" w:hAnsi="Arial" w:cs="Arial"/>
          <w:color w:val="000000" w:themeColor="text1"/>
          <w:shd w:val="clear" w:color="auto" w:fill="auto"/>
          <w:lang w:val="en-US"/>
        </w:rPr>
        <w:t>Zh</w:t>
      </w:r>
      <w:proofErr w:type="spellEnd"/>
      <w:r w:rsidRPr="002C2144">
        <w:rPr>
          <w:rFonts w:ascii="Arial" w:hAnsi="Arial" w:cs="Arial"/>
          <w:color w:val="000000" w:themeColor="text1"/>
          <w:shd w:val="clear" w:color="auto" w:fill="auto"/>
          <w:lang w:val="en-US"/>
        </w:rPr>
        <w:t>, 2016).</w:t>
      </w:r>
    </w:p>
    <w:p w14:paraId="610DB5D2" w14:textId="77777777" w:rsidR="002C2144" w:rsidRPr="002C2144" w:rsidRDefault="002C2144" w:rsidP="002C2144">
      <w:pPr>
        <w:pStyle w:val="ListParagraph"/>
        <w:numPr>
          <w:ilvl w:val="0"/>
          <w:numId w:val="2"/>
        </w:numPr>
        <w:spacing w:after="0" w:line="360" w:lineRule="auto"/>
        <w:rPr>
          <w:rFonts w:ascii="Arial" w:hAnsi="Arial" w:cs="Arial"/>
          <w:color w:val="000000" w:themeColor="text1"/>
          <w:shd w:val="clear" w:color="auto" w:fill="auto"/>
          <w:lang w:val="en-US"/>
        </w:rPr>
      </w:pPr>
      <w:r w:rsidRPr="002C2144">
        <w:rPr>
          <w:rFonts w:ascii="Arial" w:hAnsi="Arial" w:cs="Arial"/>
          <w:b/>
          <w:bCs/>
          <w:color w:val="000000" w:themeColor="text1"/>
        </w:rPr>
        <w:t xml:space="preserve">Uncertainty Avoidance- In </w:t>
      </w:r>
      <w:r w:rsidRPr="002C2144">
        <w:rPr>
          <w:rFonts w:ascii="Arial" w:hAnsi="Arial" w:cs="Arial"/>
          <w:color w:val="000000" w:themeColor="text1"/>
          <w:shd w:val="clear" w:color="auto" w:fill="auto"/>
          <w:lang w:val="en-US"/>
        </w:rPr>
        <w:t xml:space="preserve">China 30% of the population is at ease with </w:t>
      </w:r>
      <w:r w:rsidRPr="002C2144">
        <w:rPr>
          <w:rFonts w:ascii="Arial" w:hAnsi="Arial" w:cs="Arial"/>
          <w:color w:val="000000" w:themeColor="text1"/>
          <w:shd w:val="clear" w:color="auto" w:fill="auto"/>
          <w:lang w:val="en-US"/>
        </w:rPr>
        <w:lastRenderedPageBreak/>
        <w:t>uncertainty, adaptive, and enterprising (</w:t>
      </w:r>
      <w:proofErr w:type="spellStart"/>
      <w:r w:rsidRPr="002C2144">
        <w:rPr>
          <w:rFonts w:ascii="Arial" w:hAnsi="Arial" w:cs="Arial"/>
          <w:color w:val="000000" w:themeColor="text1"/>
          <w:shd w:val="clear" w:color="auto" w:fill="auto"/>
          <w:lang w:val="en-US"/>
        </w:rPr>
        <w:t>Haghjou</w:t>
      </w:r>
      <w:proofErr w:type="spellEnd"/>
      <w:r w:rsidRPr="002C2144">
        <w:rPr>
          <w:rFonts w:ascii="Arial" w:hAnsi="Arial" w:cs="Arial"/>
          <w:color w:val="000000" w:themeColor="text1"/>
          <w:shd w:val="clear" w:color="auto" w:fill="auto"/>
          <w:lang w:val="en-US"/>
        </w:rPr>
        <w:t>, S., 2020).</w:t>
      </w:r>
    </w:p>
    <w:p w14:paraId="66051FA4" w14:textId="77777777" w:rsidR="002C2144" w:rsidRPr="002C2144" w:rsidRDefault="002C2144" w:rsidP="002C2144">
      <w:pPr>
        <w:pStyle w:val="ListParagraph"/>
        <w:numPr>
          <w:ilvl w:val="0"/>
          <w:numId w:val="2"/>
        </w:numPr>
        <w:spacing w:after="0" w:line="360" w:lineRule="auto"/>
        <w:rPr>
          <w:rFonts w:ascii="Arial" w:hAnsi="Arial" w:cs="Arial"/>
          <w:color w:val="000000" w:themeColor="text1"/>
          <w:shd w:val="clear" w:color="auto" w:fill="auto"/>
          <w:lang w:val="en-US"/>
        </w:rPr>
      </w:pPr>
      <w:r w:rsidRPr="002C2144">
        <w:rPr>
          <w:rFonts w:ascii="Arial" w:hAnsi="Arial" w:cs="Arial"/>
          <w:b/>
          <w:bCs/>
          <w:color w:val="000000" w:themeColor="text1"/>
        </w:rPr>
        <w:t xml:space="preserve">Long-term Orientation- </w:t>
      </w:r>
      <w:r w:rsidRPr="002C2144">
        <w:rPr>
          <w:rFonts w:ascii="Arial" w:hAnsi="Arial" w:cs="Arial"/>
          <w:color w:val="000000" w:themeColor="text1"/>
          <w:shd w:val="clear" w:color="auto" w:fill="auto"/>
          <w:lang w:val="en-US"/>
        </w:rPr>
        <w:t>China's long-term orientation is 87% - a culture with a practical perspective that can quickly adjust traditions to changing circumstances (</w:t>
      </w:r>
      <w:proofErr w:type="spellStart"/>
      <w:r w:rsidRPr="002C2144">
        <w:rPr>
          <w:rFonts w:ascii="Arial" w:hAnsi="Arial" w:cs="Arial"/>
          <w:color w:val="000000" w:themeColor="text1"/>
          <w:shd w:val="clear" w:color="auto" w:fill="auto"/>
          <w:lang w:val="en-US"/>
        </w:rPr>
        <w:t>Salamatina</w:t>
      </w:r>
      <w:proofErr w:type="spellEnd"/>
      <w:r w:rsidRPr="002C2144">
        <w:rPr>
          <w:rFonts w:ascii="Arial" w:hAnsi="Arial" w:cs="Arial"/>
          <w:color w:val="000000" w:themeColor="text1"/>
          <w:shd w:val="clear" w:color="auto" w:fill="auto"/>
          <w:lang w:val="en-US"/>
        </w:rPr>
        <w:t xml:space="preserve"> and </w:t>
      </w:r>
      <w:proofErr w:type="spellStart"/>
      <w:r w:rsidRPr="002C2144">
        <w:rPr>
          <w:rFonts w:ascii="Arial" w:hAnsi="Arial" w:cs="Arial"/>
          <w:color w:val="000000" w:themeColor="text1"/>
          <w:shd w:val="clear" w:color="auto" w:fill="auto"/>
          <w:lang w:val="en-US"/>
        </w:rPr>
        <w:t>Zh</w:t>
      </w:r>
      <w:proofErr w:type="spellEnd"/>
      <w:r w:rsidRPr="002C2144">
        <w:rPr>
          <w:rFonts w:ascii="Arial" w:hAnsi="Arial" w:cs="Arial"/>
          <w:color w:val="000000" w:themeColor="text1"/>
          <w:shd w:val="clear" w:color="auto" w:fill="auto"/>
          <w:lang w:val="en-US"/>
        </w:rPr>
        <w:t>, 2016).</w:t>
      </w:r>
    </w:p>
    <w:p w14:paraId="68ACFD9D" w14:textId="7D2CF373" w:rsidR="002C2144" w:rsidRDefault="002C2144" w:rsidP="002C2144">
      <w:pPr>
        <w:pStyle w:val="ListParagraph"/>
        <w:spacing w:after="0" w:line="360" w:lineRule="auto"/>
        <w:ind w:left="360" w:firstLine="0"/>
        <w:rPr>
          <w:rFonts w:ascii="Arial" w:hAnsi="Arial" w:cs="Arial"/>
          <w:color w:val="000000" w:themeColor="text1"/>
          <w:shd w:val="clear" w:color="auto" w:fill="auto"/>
          <w:lang w:val="en-US"/>
        </w:rPr>
      </w:pPr>
      <w:r w:rsidRPr="002C2144">
        <w:rPr>
          <w:rFonts w:ascii="Arial" w:hAnsi="Arial" w:cs="Arial"/>
          <w:b/>
          <w:bCs/>
          <w:color w:val="000000" w:themeColor="text1"/>
        </w:rPr>
        <w:t>Indulgence-</w:t>
      </w:r>
      <w:r w:rsidRPr="002C2144">
        <w:rPr>
          <w:rFonts w:ascii="Arial" w:hAnsi="Arial" w:cs="Arial"/>
          <w:color w:val="000000" w:themeColor="text1"/>
          <w:shd w:val="clear" w:color="auto" w:fill="auto"/>
          <w:lang w:val="en-US"/>
        </w:rPr>
        <w:t>China 24% comprise a society that places little importance on free time and gratifying their wishes (</w:t>
      </w:r>
      <w:proofErr w:type="spellStart"/>
      <w:r w:rsidRPr="002C2144">
        <w:rPr>
          <w:rFonts w:ascii="Arial" w:hAnsi="Arial" w:cs="Arial"/>
          <w:color w:val="000000" w:themeColor="text1"/>
          <w:shd w:val="clear" w:color="auto" w:fill="auto"/>
          <w:lang w:val="en-US"/>
        </w:rPr>
        <w:t>Nechifor</w:t>
      </w:r>
      <w:proofErr w:type="spellEnd"/>
      <w:r w:rsidRPr="002C2144">
        <w:rPr>
          <w:rFonts w:ascii="Arial" w:hAnsi="Arial" w:cs="Arial"/>
          <w:color w:val="000000" w:themeColor="text1"/>
          <w:shd w:val="clear" w:color="auto" w:fill="auto"/>
          <w:lang w:val="en-US"/>
        </w:rPr>
        <w:t xml:space="preserve"> and </w:t>
      </w:r>
      <w:proofErr w:type="spellStart"/>
      <w:r w:rsidRPr="002C2144">
        <w:rPr>
          <w:rFonts w:ascii="Arial" w:hAnsi="Arial" w:cs="Arial"/>
          <w:color w:val="000000" w:themeColor="text1"/>
          <w:shd w:val="clear" w:color="auto" w:fill="auto"/>
          <w:lang w:val="en-US"/>
        </w:rPr>
        <w:t>Borca</w:t>
      </w:r>
      <w:proofErr w:type="spellEnd"/>
      <w:r w:rsidRPr="002C2144">
        <w:rPr>
          <w:rFonts w:ascii="Arial" w:hAnsi="Arial" w:cs="Arial"/>
          <w:color w:val="000000" w:themeColor="text1"/>
          <w:shd w:val="clear" w:color="auto" w:fill="auto"/>
          <w:lang w:val="en-US"/>
        </w:rPr>
        <w:t>, 2020)</w:t>
      </w:r>
    </w:p>
    <w:p w14:paraId="40848ED2" w14:textId="3867D47F" w:rsidR="002C2144" w:rsidRDefault="002C2144" w:rsidP="002C2144">
      <w:pPr>
        <w:pStyle w:val="ListParagraph"/>
        <w:spacing w:after="0" w:line="360" w:lineRule="auto"/>
        <w:ind w:left="360" w:firstLine="0"/>
        <w:rPr>
          <w:rFonts w:ascii="Arial" w:hAnsi="Arial" w:cs="Arial"/>
          <w:color w:val="000000" w:themeColor="text1"/>
        </w:rPr>
      </w:pPr>
    </w:p>
    <w:p w14:paraId="755D52C2" w14:textId="77777777" w:rsidR="002C2144" w:rsidRPr="002C2144" w:rsidRDefault="002C2144" w:rsidP="002C2144">
      <w:pPr>
        <w:pStyle w:val="Heading1"/>
        <w:spacing w:line="360" w:lineRule="auto"/>
        <w:rPr>
          <w:rFonts w:ascii="Arial" w:hAnsi="Arial" w:cs="Arial"/>
          <w:color w:val="000000" w:themeColor="text1"/>
        </w:rPr>
      </w:pPr>
      <w:bookmarkStart w:id="5" w:name="_Toc126696894"/>
      <w:r w:rsidRPr="002C2144">
        <w:rPr>
          <w:rFonts w:ascii="Arial" w:hAnsi="Arial" w:cs="Arial"/>
          <w:color w:val="000000" w:themeColor="text1"/>
        </w:rPr>
        <w:t>Country Analysis</w:t>
      </w:r>
      <w:bookmarkEnd w:id="5"/>
    </w:p>
    <w:p w14:paraId="183CCD19" w14:textId="77777777" w:rsidR="002C2144" w:rsidRPr="002C2144" w:rsidRDefault="002C2144" w:rsidP="002C2144">
      <w:pPr>
        <w:spacing w:after="0" w:line="360" w:lineRule="auto"/>
        <w:jc w:val="both"/>
        <w:rPr>
          <w:rFonts w:ascii="Arial" w:hAnsi="Arial" w:cs="Arial"/>
          <w:color w:val="000000" w:themeColor="text1"/>
          <w:sz w:val="24"/>
          <w:szCs w:val="24"/>
        </w:rPr>
      </w:pPr>
      <w:r w:rsidRPr="002C2144">
        <w:rPr>
          <w:rFonts w:ascii="Arial" w:hAnsi="Arial" w:cs="Arial"/>
          <w:color w:val="000000" w:themeColor="text1"/>
          <w:sz w:val="24"/>
          <w:szCs w:val="24"/>
        </w:rPr>
        <w:t xml:space="preserve">Nur (2016) evaluated that the culture of the United Kingdom is centred on individuality, but the culture of China emphasises collectivism; hence, Chinese individuals are more cautious not to upset others and may repeat others' thoughts more often. In addition to expressing concurrence, they may also convey admiration and respect for the ideas of </w:t>
      </w:r>
      <w:proofErr w:type="spellStart"/>
      <w:proofErr w:type="gramStart"/>
      <w:r w:rsidRPr="002C2144">
        <w:rPr>
          <w:rFonts w:ascii="Arial" w:hAnsi="Arial" w:cs="Arial"/>
          <w:color w:val="000000" w:themeColor="text1"/>
          <w:sz w:val="24"/>
          <w:szCs w:val="24"/>
        </w:rPr>
        <w:t>others.In</w:t>
      </w:r>
      <w:proofErr w:type="spellEnd"/>
      <w:proofErr w:type="gramEnd"/>
      <w:r w:rsidRPr="002C2144">
        <w:rPr>
          <w:rFonts w:ascii="Arial" w:hAnsi="Arial" w:cs="Arial"/>
          <w:color w:val="000000" w:themeColor="text1"/>
          <w:sz w:val="24"/>
          <w:szCs w:val="24"/>
        </w:rPr>
        <w:t xml:space="preserve"> general, Garzón-Díaz, (2021) examined that workplaces in the United Kingdom are less hierarchical than those in China. Respecting superiors is still crucial, but the disparities between top management and general staff have diminished. It is fairly unusual for workers to joke about or even mock their employers sarcastically.</w:t>
      </w:r>
    </w:p>
    <w:p w14:paraId="6F94EBDB" w14:textId="6764E190" w:rsidR="002C2144" w:rsidRDefault="002C2144" w:rsidP="002C2144">
      <w:pPr>
        <w:spacing w:after="0" w:line="360" w:lineRule="auto"/>
        <w:jc w:val="both"/>
        <w:rPr>
          <w:rFonts w:ascii="Arial" w:hAnsi="Arial" w:cs="Arial"/>
          <w:color w:val="000000" w:themeColor="text1"/>
          <w:sz w:val="24"/>
          <w:szCs w:val="24"/>
        </w:rPr>
      </w:pPr>
      <w:r w:rsidRPr="002C2144">
        <w:rPr>
          <w:rFonts w:ascii="Arial" w:hAnsi="Arial" w:cs="Arial"/>
          <w:color w:val="000000" w:themeColor="text1"/>
          <w:sz w:val="24"/>
          <w:szCs w:val="24"/>
        </w:rPr>
        <w:t>Guerrero-Rodríguez et al., (2022) analysed that the UK as the country A integrate a culture which includes fewer formalities in the workplace. The UK hotel staff are polite and welcome constructive criticism.  However, the hotel staff of the UK possess all the mentioned characteristics. They welcome their staff in a more polite and effective manner (</w:t>
      </w:r>
      <w:proofErr w:type="spellStart"/>
      <w:r w:rsidRPr="002C2144">
        <w:rPr>
          <w:rFonts w:ascii="Arial" w:hAnsi="Arial" w:cs="Arial"/>
          <w:color w:val="000000" w:themeColor="text1"/>
          <w:sz w:val="24"/>
          <w:szCs w:val="24"/>
        </w:rPr>
        <w:t>Salamatina</w:t>
      </w:r>
      <w:proofErr w:type="spellEnd"/>
      <w:r w:rsidRPr="002C2144">
        <w:rPr>
          <w:rFonts w:ascii="Arial" w:hAnsi="Arial" w:cs="Arial"/>
          <w:color w:val="000000" w:themeColor="text1"/>
          <w:sz w:val="24"/>
          <w:szCs w:val="24"/>
        </w:rPr>
        <w:t xml:space="preserve"> and </w:t>
      </w:r>
      <w:proofErr w:type="spellStart"/>
      <w:r w:rsidRPr="002C2144">
        <w:rPr>
          <w:rFonts w:ascii="Arial" w:hAnsi="Arial" w:cs="Arial"/>
          <w:color w:val="000000" w:themeColor="text1"/>
          <w:sz w:val="24"/>
          <w:szCs w:val="24"/>
        </w:rPr>
        <w:t>Zh</w:t>
      </w:r>
      <w:proofErr w:type="spellEnd"/>
      <w:r w:rsidRPr="002C2144">
        <w:rPr>
          <w:rFonts w:ascii="Arial" w:hAnsi="Arial" w:cs="Arial"/>
          <w:color w:val="000000" w:themeColor="text1"/>
          <w:sz w:val="24"/>
          <w:szCs w:val="24"/>
        </w:rPr>
        <w:t xml:space="preserve">, 2016).  </w:t>
      </w:r>
    </w:p>
    <w:p w14:paraId="57367130" w14:textId="5EA1351F" w:rsidR="002C2144" w:rsidRDefault="002C2144" w:rsidP="002C2144">
      <w:pPr>
        <w:spacing w:after="0" w:line="360" w:lineRule="auto"/>
        <w:jc w:val="both"/>
        <w:rPr>
          <w:rFonts w:ascii="Arial" w:hAnsi="Arial" w:cs="Arial"/>
          <w:color w:val="000000" w:themeColor="text1"/>
          <w:sz w:val="24"/>
          <w:szCs w:val="24"/>
        </w:rPr>
      </w:pPr>
    </w:p>
    <w:p w14:paraId="697FDBAC" w14:textId="691B4786" w:rsidR="002C2144" w:rsidRDefault="002C2144" w:rsidP="002C2144">
      <w:pPr>
        <w:spacing w:after="0" w:line="360" w:lineRule="auto"/>
        <w:jc w:val="both"/>
        <w:rPr>
          <w:rFonts w:ascii="Arial" w:hAnsi="Arial" w:cs="Arial"/>
          <w:color w:val="000000" w:themeColor="text1"/>
          <w:sz w:val="24"/>
          <w:szCs w:val="24"/>
        </w:rPr>
      </w:pPr>
    </w:p>
    <w:p w14:paraId="5693CB0D" w14:textId="7EE196B9" w:rsidR="002C2144" w:rsidRDefault="002C2144" w:rsidP="002C2144">
      <w:pPr>
        <w:spacing w:after="0" w:line="360" w:lineRule="auto"/>
        <w:jc w:val="both"/>
        <w:rPr>
          <w:rFonts w:ascii="Arial" w:hAnsi="Arial" w:cs="Arial"/>
          <w:color w:val="000000" w:themeColor="text1"/>
          <w:sz w:val="24"/>
          <w:szCs w:val="24"/>
        </w:rPr>
      </w:pPr>
    </w:p>
    <w:p w14:paraId="2F6031B7" w14:textId="77777777" w:rsidR="002C2144" w:rsidRPr="002C2144" w:rsidRDefault="002C2144" w:rsidP="002C2144">
      <w:pPr>
        <w:spacing w:after="0" w:line="360" w:lineRule="auto"/>
        <w:jc w:val="both"/>
        <w:rPr>
          <w:rFonts w:ascii="Arial" w:hAnsi="Arial" w:cs="Arial"/>
          <w:color w:val="000000" w:themeColor="text1"/>
          <w:sz w:val="24"/>
          <w:szCs w:val="24"/>
        </w:rPr>
      </w:pPr>
    </w:p>
    <w:p w14:paraId="3F291E1B" w14:textId="77777777" w:rsidR="002C2144" w:rsidRPr="002C2144" w:rsidRDefault="002C2144" w:rsidP="002C2144">
      <w:pPr>
        <w:spacing w:after="0" w:line="360" w:lineRule="auto"/>
        <w:jc w:val="both"/>
        <w:rPr>
          <w:rFonts w:ascii="Arial" w:hAnsi="Arial" w:cs="Arial"/>
          <w:color w:val="000000" w:themeColor="text1"/>
          <w:sz w:val="24"/>
          <w:szCs w:val="24"/>
        </w:rPr>
      </w:pPr>
    </w:p>
    <w:p w14:paraId="2774BADE" w14:textId="77777777" w:rsidR="002C2144" w:rsidRPr="002C2144" w:rsidRDefault="002C2144" w:rsidP="002C2144">
      <w:pPr>
        <w:pStyle w:val="Heading1"/>
        <w:spacing w:line="360" w:lineRule="auto"/>
        <w:rPr>
          <w:rFonts w:ascii="Arial" w:hAnsi="Arial" w:cs="Arial"/>
          <w:color w:val="000000" w:themeColor="text1"/>
        </w:rPr>
      </w:pPr>
      <w:r w:rsidRPr="002C2144">
        <w:rPr>
          <w:rFonts w:ascii="Arial" w:hAnsi="Arial" w:cs="Arial"/>
          <w:color w:val="000000" w:themeColor="text1"/>
        </w:rPr>
        <w:t xml:space="preserve"> </w:t>
      </w:r>
      <w:bookmarkStart w:id="6" w:name="_Toc126696895"/>
      <w:proofErr w:type="gramStart"/>
      <w:r w:rsidRPr="002C2144">
        <w:rPr>
          <w:rFonts w:ascii="Arial" w:hAnsi="Arial" w:cs="Arial"/>
          <w:color w:val="000000" w:themeColor="text1"/>
        </w:rPr>
        <w:t>Do’s</w:t>
      </w:r>
      <w:proofErr w:type="gramEnd"/>
      <w:r w:rsidRPr="002C2144">
        <w:rPr>
          <w:rFonts w:ascii="Arial" w:hAnsi="Arial" w:cs="Arial"/>
          <w:color w:val="000000" w:themeColor="text1"/>
        </w:rPr>
        <w:t xml:space="preserve"> and Don’ts</w:t>
      </w:r>
      <w:bookmarkEnd w:id="6"/>
    </w:p>
    <w:tbl>
      <w:tblPr>
        <w:tblW w:w="9350" w:type="dxa"/>
        <w:tblInd w:w="113"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4674"/>
        <w:gridCol w:w="4676"/>
      </w:tblGrid>
      <w:tr w:rsidR="002C2144" w:rsidRPr="002C2144" w14:paraId="5FA1E891" w14:textId="77777777" w:rsidTr="0045213D">
        <w:trPr>
          <w:trHeight w:val="651"/>
        </w:trPr>
        <w:tc>
          <w:tcPr>
            <w:tcW w:w="4674" w:type="dxa"/>
            <w:tcBorders>
              <w:left w:val="single" w:sz="4" w:space="0" w:color="000009"/>
              <w:right w:val="single" w:sz="4" w:space="0" w:color="000009"/>
            </w:tcBorders>
            <w:shd w:val="clear" w:color="auto" w:fill="D5DCE4" w:themeFill="text2" w:themeFillTint="33"/>
          </w:tcPr>
          <w:p w14:paraId="44318DF2" w14:textId="77777777" w:rsidR="002C2144" w:rsidRPr="002C2144" w:rsidRDefault="002C2144" w:rsidP="002C2144">
            <w:pPr>
              <w:pStyle w:val="TableParagraph"/>
              <w:spacing w:line="360" w:lineRule="auto"/>
              <w:rPr>
                <w:rFonts w:ascii="Arial" w:hAnsi="Arial" w:cs="Arial"/>
                <w:b/>
                <w:color w:val="000000" w:themeColor="text1"/>
                <w:spacing w:val="35"/>
                <w:sz w:val="24"/>
                <w:szCs w:val="24"/>
              </w:rPr>
            </w:pPr>
            <w:r w:rsidRPr="002C2144">
              <w:rPr>
                <w:rFonts w:ascii="Arial" w:hAnsi="Arial" w:cs="Arial"/>
                <w:b/>
                <w:color w:val="000000" w:themeColor="text1"/>
                <w:sz w:val="24"/>
                <w:szCs w:val="24"/>
              </w:rPr>
              <w:t>Do</w:t>
            </w:r>
          </w:p>
        </w:tc>
        <w:tc>
          <w:tcPr>
            <w:tcW w:w="4676" w:type="dxa"/>
            <w:tcBorders>
              <w:left w:val="single" w:sz="4" w:space="0" w:color="000009"/>
              <w:right w:val="single" w:sz="4" w:space="0" w:color="000009"/>
            </w:tcBorders>
            <w:shd w:val="clear" w:color="auto" w:fill="D5DCE4" w:themeFill="text2" w:themeFillTint="33"/>
          </w:tcPr>
          <w:p w14:paraId="3C1F58B4" w14:textId="77777777" w:rsidR="002C2144" w:rsidRPr="002C2144" w:rsidRDefault="002C2144" w:rsidP="002C2144">
            <w:pPr>
              <w:pStyle w:val="TableParagraph"/>
              <w:spacing w:line="360" w:lineRule="auto"/>
              <w:ind w:left="115"/>
              <w:rPr>
                <w:rFonts w:ascii="Arial" w:hAnsi="Arial" w:cs="Arial"/>
                <w:color w:val="000000" w:themeColor="text1"/>
                <w:sz w:val="24"/>
                <w:szCs w:val="24"/>
              </w:rPr>
            </w:pPr>
            <w:r w:rsidRPr="002C2144">
              <w:rPr>
                <w:rFonts w:ascii="Arial" w:hAnsi="Arial" w:cs="Arial"/>
                <w:b/>
                <w:color w:val="000000" w:themeColor="text1"/>
                <w:sz w:val="24"/>
                <w:szCs w:val="24"/>
              </w:rPr>
              <w:t>Don’t</w:t>
            </w:r>
          </w:p>
          <w:p w14:paraId="199AB86D" w14:textId="77777777" w:rsidR="002C2144" w:rsidRPr="002C2144" w:rsidRDefault="002C2144" w:rsidP="002C2144">
            <w:pPr>
              <w:pStyle w:val="TableParagraph"/>
              <w:spacing w:line="360" w:lineRule="auto"/>
              <w:ind w:left="115"/>
              <w:rPr>
                <w:rFonts w:ascii="Arial" w:hAnsi="Arial" w:cs="Arial"/>
                <w:b/>
                <w:bCs/>
                <w:color w:val="000000" w:themeColor="text1"/>
                <w:sz w:val="24"/>
                <w:szCs w:val="24"/>
              </w:rPr>
            </w:pPr>
          </w:p>
        </w:tc>
      </w:tr>
      <w:tr w:rsidR="002C2144" w:rsidRPr="002C2144" w14:paraId="5CA5CD3F" w14:textId="77777777" w:rsidTr="0045213D">
        <w:trPr>
          <w:trHeight w:val="462"/>
        </w:trPr>
        <w:tc>
          <w:tcPr>
            <w:tcW w:w="4674" w:type="dxa"/>
            <w:tcBorders>
              <w:left w:val="single" w:sz="4" w:space="0" w:color="000009"/>
              <w:right w:val="single" w:sz="4" w:space="0" w:color="000009"/>
            </w:tcBorders>
          </w:tcPr>
          <w:p w14:paraId="6163DAA4" w14:textId="77777777" w:rsidR="002C2144" w:rsidRPr="002C2144" w:rsidRDefault="002C2144" w:rsidP="002C2144">
            <w:pPr>
              <w:pStyle w:val="TableParagraph"/>
              <w:spacing w:line="360" w:lineRule="auto"/>
              <w:rPr>
                <w:rFonts w:ascii="Arial" w:hAnsi="Arial" w:cs="Arial"/>
                <w:color w:val="000000" w:themeColor="text1"/>
                <w:sz w:val="24"/>
                <w:szCs w:val="24"/>
              </w:rPr>
            </w:pPr>
            <w:r w:rsidRPr="002C2144">
              <w:rPr>
                <w:rFonts w:ascii="Arial" w:hAnsi="Arial" w:cs="Arial"/>
                <w:color w:val="000000" w:themeColor="text1"/>
                <w:sz w:val="24"/>
                <w:szCs w:val="24"/>
              </w:rPr>
              <w:t xml:space="preserve">The Chinese are very respectful and polite. Thus, to create a good impression, UK staff must also be courteous and respectful to </w:t>
            </w:r>
            <w:r w:rsidRPr="002C2144">
              <w:rPr>
                <w:rFonts w:ascii="Arial" w:hAnsi="Arial" w:cs="Arial"/>
                <w:color w:val="000000" w:themeColor="text1"/>
                <w:sz w:val="24"/>
                <w:szCs w:val="24"/>
              </w:rPr>
              <w:lastRenderedPageBreak/>
              <w:t>Chinese guests (</w:t>
            </w:r>
            <w:proofErr w:type="spellStart"/>
            <w:r w:rsidRPr="002C2144">
              <w:rPr>
                <w:rFonts w:ascii="Arial" w:hAnsi="Arial" w:cs="Arial"/>
                <w:color w:val="000000" w:themeColor="text1"/>
                <w:sz w:val="24"/>
                <w:szCs w:val="24"/>
              </w:rPr>
              <w:t>Salamatina</w:t>
            </w:r>
            <w:proofErr w:type="spellEnd"/>
            <w:r w:rsidRPr="002C2144">
              <w:rPr>
                <w:rFonts w:ascii="Arial" w:hAnsi="Arial" w:cs="Arial"/>
                <w:color w:val="000000" w:themeColor="text1"/>
                <w:sz w:val="24"/>
                <w:szCs w:val="24"/>
              </w:rPr>
              <w:t xml:space="preserve"> and </w:t>
            </w:r>
            <w:proofErr w:type="spellStart"/>
            <w:r w:rsidRPr="002C2144">
              <w:rPr>
                <w:rFonts w:ascii="Arial" w:hAnsi="Arial" w:cs="Arial"/>
                <w:color w:val="000000" w:themeColor="text1"/>
                <w:sz w:val="24"/>
                <w:szCs w:val="24"/>
              </w:rPr>
              <w:t>Zh</w:t>
            </w:r>
            <w:proofErr w:type="spellEnd"/>
            <w:r w:rsidRPr="002C2144">
              <w:rPr>
                <w:rFonts w:ascii="Arial" w:hAnsi="Arial" w:cs="Arial"/>
                <w:color w:val="000000" w:themeColor="text1"/>
                <w:sz w:val="24"/>
                <w:szCs w:val="24"/>
              </w:rPr>
              <w:t>, 2016).</w:t>
            </w:r>
          </w:p>
        </w:tc>
        <w:tc>
          <w:tcPr>
            <w:tcW w:w="4676" w:type="dxa"/>
            <w:tcBorders>
              <w:left w:val="single" w:sz="4" w:space="0" w:color="000009"/>
              <w:right w:val="single" w:sz="4" w:space="0" w:color="000009"/>
            </w:tcBorders>
          </w:tcPr>
          <w:p w14:paraId="4EC7A8DC" w14:textId="77777777" w:rsidR="002C2144" w:rsidRPr="002C2144" w:rsidRDefault="002C2144" w:rsidP="002C2144">
            <w:pPr>
              <w:pStyle w:val="TableParagraph"/>
              <w:spacing w:line="360" w:lineRule="auto"/>
              <w:ind w:left="115" w:right="97"/>
              <w:rPr>
                <w:rFonts w:ascii="Arial" w:hAnsi="Arial" w:cs="Arial"/>
                <w:color w:val="000000" w:themeColor="text1"/>
                <w:sz w:val="24"/>
                <w:szCs w:val="24"/>
              </w:rPr>
            </w:pPr>
            <w:r w:rsidRPr="002C2144">
              <w:rPr>
                <w:rFonts w:ascii="Arial" w:hAnsi="Arial" w:cs="Arial"/>
                <w:color w:val="000000" w:themeColor="text1"/>
                <w:sz w:val="24"/>
                <w:szCs w:val="24"/>
              </w:rPr>
              <w:lastRenderedPageBreak/>
              <w:t xml:space="preserve">First impressions are really crucial. Therefore, hotel personnel in the United Kingdom should refrain from </w:t>
            </w:r>
            <w:proofErr w:type="spellStart"/>
            <w:r w:rsidRPr="002C2144">
              <w:rPr>
                <w:rFonts w:ascii="Arial" w:hAnsi="Arial" w:cs="Arial"/>
                <w:color w:val="000000" w:themeColor="text1"/>
                <w:sz w:val="24"/>
                <w:szCs w:val="24"/>
              </w:rPr>
              <w:t>unfavourable</w:t>
            </w:r>
            <w:proofErr w:type="spellEnd"/>
            <w:r w:rsidRPr="002C2144">
              <w:rPr>
                <w:rFonts w:ascii="Arial" w:hAnsi="Arial" w:cs="Arial"/>
                <w:color w:val="000000" w:themeColor="text1"/>
                <w:sz w:val="24"/>
                <w:szCs w:val="24"/>
              </w:rPr>
              <w:t xml:space="preserve"> </w:t>
            </w:r>
            <w:r w:rsidRPr="002C2144">
              <w:rPr>
                <w:rFonts w:ascii="Arial" w:hAnsi="Arial" w:cs="Arial"/>
                <w:color w:val="000000" w:themeColor="text1"/>
                <w:sz w:val="24"/>
                <w:szCs w:val="24"/>
              </w:rPr>
              <w:lastRenderedPageBreak/>
              <w:t xml:space="preserve">actions (de </w:t>
            </w:r>
            <w:proofErr w:type="spellStart"/>
            <w:r w:rsidRPr="002C2144">
              <w:rPr>
                <w:rFonts w:ascii="Arial" w:hAnsi="Arial" w:cs="Arial"/>
                <w:color w:val="000000" w:themeColor="text1"/>
                <w:sz w:val="24"/>
                <w:szCs w:val="24"/>
              </w:rPr>
              <w:t>Lurdes</w:t>
            </w:r>
            <w:proofErr w:type="spellEnd"/>
            <w:r w:rsidRPr="002C2144">
              <w:rPr>
                <w:rFonts w:ascii="Arial" w:hAnsi="Arial" w:cs="Arial"/>
                <w:color w:val="000000" w:themeColor="text1"/>
                <w:sz w:val="24"/>
                <w:szCs w:val="24"/>
              </w:rPr>
              <w:t xml:space="preserve"> Martins, 2015).</w:t>
            </w:r>
          </w:p>
        </w:tc>
      </w:tr>
      <w:tr w:rsidR="002C2144" w:rsidRPr="002C2144" w14:paraId="0D4C0D47" w14:textId="77777777" w:rsidTr="0045213D">
        <w:trPr>
          <w:trHeight w:val="1324"/>
        </w:trPr>
        <w:tc>
          <w:tcPr>
            <w:tcW w:w="4674" w:type="dxa"/>
            <w:tcBorders>
              <w:left w:val="single" w:sz="4" w:space="0" w:color="000009"/>
              <w:right w:val="single" w:sz="4" w:space="0" w:color="000009"/>
            </w:tcBorders>
          </w:tcPr>
          <w:p w14:paraId="5FBFD51C" w14:textId="77777777" w:rsidR="002C2144" w:rsidRPr="002C2144" w:rsidRDefault="002C2144" w:rsidP="002C2144">
            <w:pPr>
              <w:pStyle w:val="TableParagraph"/>
              <w:spacing w:line="360" w:lineRule="auto"/>
              <w:ind w:right="99"/>
              <w:rPr>
                <w:rFonts w:ascii="Arial" w:hAnsi="Arial" w:cs="Arial"/>
                <w:color w:val="000000" w:themeColor="text1"/>
                <w:sz w:val="24"/>
                <w:szCs w:val="24"/>
              </w:rPr>
            </w:pPr>
            <w:r w:rsidRPr="002C2144">
              <w:rPr>
                <w:rFonts w:ascii="Arial" w:hAnsi="Arial" w:cs="Arial"/>
                <w:color w:val="000000" w:themeColor="text1"/>
                <w:sz w:val="24"/>
                <w:szCs w:val="24"/>
              </w:rPr>
              <w:lastRenderedPageBreak/>
              <w:t>To avoid mismanagement, hotel staff in the UK should plan and keep track of how they serve Chinese guests (Nugent and Catalano, 2015).</w:t>
            </w:r>
          </w:p>
          <w:p w14:paraId="5D5F6A3D" w14:textId="77777777" w:rsidR="002C2144" w:rsidRPr="002C2144" w:rsidRDefault="002C2144" w:rsidP="002C2144">
            <w:pPr>
              <w:pStyle w:val="TableParagraph"/>
              <w:spacing w:line="360" w:lineRule="auto"/>
              <w:ind w:right="99"/>
              <w:rPr>
                <w:rFonts w:ascii="Arial" w:hAnsi="Arial" w:cs="Arial"/>
                <w:color w:val="000000" w:themeColor="text1"/>
                <w:sz w:val="24"/>
                <w:szCs w:val="24"/>
              </w:rPr>
            </w:pPr>
          </w:p>
        </w:tc>
        <w:tc>
          <w:tcPr>
            <w:tcW w:w="4676" w:type="dxa"/>
            <w:tcBorders>
              <w:left w:val="single" w:sz="4" w:space="0" w:color="000009"/>
              <w:right w:val="single" w:sz="4" w:space="0" w:color="000009"/>
            </w:tcBorders>
          </w:tcPr>
          <w:p w14:paraId="307B828C" w14:textId="77777777" w:rsidR="002C2144" w:rsidRPr="002C2144" w:rsidRDefault="002C2144" w:rsidP="002C2144">
            <w:pPr>
              <w:pStyle w:val="TableParagraph"/>
              <w:spacing w:line="360" w:lineRule="auto"/>
              <w:ind w:left="0" w:right="99"/>
              <w:rPr>
                <w:rFonts w:ascii="Arial" w:hAnsi="Arial" w:cs="Arial"/>
                <w:color w:val="000000" w:themeColor="text1"/>
                <w:sz w:val="24"/>
                <w:szCs w:val="24"/>
              </w:rPr>
            </w:pPr>
            <w:r w:rsidRPr="002C2144">
              <w:rPr>
                <w:rFonts w:ascii="Arial" w:hAnsi="Arial" w:cs="Arial"/>
                <w:color w:val="000000" w:themeColor="text1"/>
                <w:sz w:val="24"/>
                <w:szCs w:val="24"/>
              </w:rPr>
              <w:t>The staff at a UK hotel shouldn't treat Chinese guests unfairly or unequally, because that will give the hotel a bad name (</w:t>
            </w:r>
            <w:proofErr w:type="spellStart"/>
            <w:r w:rsidRPr="002C2144">
              <w:rPr>
                <w:rFonts w:ascii="Arial" w:hAnsi="Arial" w:cs="Arial"/>
                <w:color w:val="000000" w:themeColor="text1"/>
                <w:sz w:val="24"/>
                <w:szCs w:val="24"/>
              </w:rPr>
              <w:t>Kalaja</w:t>
            </w:r>
            <w:proofErr w:type="spellEnd"/>
            <w:r w:rsidRPr="002C2144">
              <w:rPr>
                <w:rFonts w:ascii="Arial" w:hAnsi="Arial" w:cs="Arial"/>
                <w:color w:val="000000" w:themeColor="text1"/>
                <w:sz w:val="24"/>
                <w:szCs w:val="24"/>
              </w:rPr>
              <w:t xml:space="preserve"> and </w:t>
            </w:r>
            <w:proofErr w:type="spellStart"/>
            <w:r w:rsidRPr="002C2144">
              <w:rPr>
                <w:rFonts w:ascii="Arial" w:hAnsi="Arial" w:cs="Arial"/>
                <w:color w:val="000000" w:themeColor="text1"/>
                <w:sz w:val="24"/>
                <w:szCs w:val="24"/>
              </w:rPr>
              <w:t>Pitkänen-Huhta</w:t>
            </w:r>
            <w:proofErr w:type="spellEnd"/>
            <w:r w:rsidRPr="002C2144">
              <w:rPr>
                <w:rFonts w:ascii="Arial" w:hAnsi="Arial" w:cs="Arial"/>
                <w:color w:val="000000" w:themeColor="text1"/>
                <w:sz w:val="24"/>
                <w:szCs w:val="24"/>
              </w:rPr>
              <w:t>, 2020).</w:t>
            </w:r>
          </w:p>
        </w:tc>
      </w:tr>
      <w:tr w:rsidR="002C2144" w:rsidRPr="002C2144" w14:paraId="4704693E" w14:textId="77777777" w:rsidTr="0045213D">
        <w:trPr>
          <w:trHeight w:val="1398"/>
        </w:trPr>
        <w:tc>
          <w:tcPr>
            <w:tcW w:w="4674" w:type="dxa"/>
            <w:tcBorders>
              <w:left w:val="single" w:sz="4" w:space="0" w:color="000009"/>
              <w:right w:val="single" w:sz="4" w:space="0" w:color="000009"/>
            </w:tcBorders>
          </w:tcPr>
          <w:p w14:paraId="39A61D28" w14:textId="77777777" w:rsidR="002C2144" w:rsidRPr="002C2144" w:rsidRDefault="002C2144" w:rsidP="002C2144">
            <w:pPr>
              <w:pStyle w:val="TableParagraph"/>
              <w:spacing w:line="360" w:lineRule="auto"/>
              <w:ind w:right="88"/>
              <w:rPr>
                <w:rFonts w:ascii="Arial" w:hAnsi="Arial" w:cs="Arial"/>
                <w:color w:val="000000" w:themeColor="text1"/>
                <w:sz w:val="24"/>
                <w:szCs w:val="24"/>
              </w:rPr>
            </w:pPr>
            <w:r w:rsidRPr="002C2144">
              <w:rPr>
                <w:rFonts w:ascii="Arial" w:hAnsi="Arial" w:cs="Arial"/>
                <w:color w:val="000000" w:themeColor="text1"/>
                <w:sz w:val="24"/>
                <w:szCs w:val="24"/>
              </w:rPr>
              <w:t>To attract guests, hotel personnel in the United Kingdom must maintain clean and well-organized hotel Chinese guestrooms (</w:t>
            </w:r>
            <w:proofErr w:type="spellStart"/>
            <w:r w:rsidRPr="002C2144">
              <w:rPr>
                <w:rFonts w:ascii="Arial" w:hAnsi="Arial" w:cs="Arial"/>
                <w:color w:val="000000" w:themeColor="text1"/>
                <w:sz w:val="24"/>
                <w:szCs w:val="24"/>
              </w:rPr>
              <w:t>Nechifor</w:t>
            </w:r>
            <w:proofErr w:type="spellEnd"/>
            <w:r w:rsidRPr="002C2144">
              <w:rPr>
                <w:rFonts w:ascii="Arial" w:hAnsi="Arial" w:cs="Arial"/>
                <w:color w:val="000000" w:themeColor="text1"/>
                <w:sz w:val="24"/>
                <w:szCs w:val="24"/>
              </w:rPr>
              <w:t xml:space="preserve"> and </w:t>
            </w:r>
            <w:proofErr w:type="spellStart"/>
            <w:r w:rsidRPr="002C2144">
              <w:rPr>
                <w:rFonts w:ascii="Arial" w:hAnsi="Arial" w:cs="Arial"/>
                <w:color w:val="000000" w:themeColor="text1"/>
                <w:sz w:val="24"/>
                <w:szCs w:val="24"/>
              </w:rPr>
              <w:t>Borca</w:t>
            </w:r>
            <w:proofErr w:type="spellEnd"/>
            <w:r w:rsidRPr="002C2144">
              <w:rPr>
                <w:rFonts w:ascii="Arial" w:hAnsi="Arial" w:cs="Arial"/>
                <w:color w:val="000000" w:themeColor="text1"/>
                <w:sz w:val="24"/>
                <w:szCs w:val="24"/>
              </w:rPr>
              <w:t>, 2020).</w:t>
            </w:r>
          </w:p>
        </w:tc>
        <w:tc>
          <w:tcPr>
            <w:tcW w:w="4676" w:type="dxa"/>
            <w:tcBorders>
              <w:left w:val="single" w:sz="4" w:space="0" w:color="000009"/>
              <w:right w:val="single" w:sz="4" w:space="0" w:color="000009"/>
            </w:tcBorders>
          </w:tcPr>
          <w:p w14:paraId="34B9627F" w14:textId="77777777" w:rsidR="002C2144" w:rsidRPr="002C2144" w:rsidRDefault="002C2144" w:rsidP="002C2144">
            <w:pPr>
              <w:pStyle w:val="TableParagraph"/>
              <w:spacing w:line="360" w:lineRule="auto"/>
              <w:ind w:left="0" w:right="92"/>
              <w:rPr>
                <w:rFonts w:ascii="Arial" w:hAnsi="Arial" w:cs="Arial"/>
                <w:color w:val="000000" w:themeColor="text1"/>
                <w:sz w:val="24"/>
                <w:szCs w:val="24"/>
              </w:rPr>
            </w:pPr>
            <w:r w:rsidRPr="002C2144">
              <w:rPr>
                <w:rFonts w:ascii="Arial" w:hAnsi="Arial" w:cs="Arial"/>
                <w:color w:val="000000" w:themeColor="text1"/>
                <w:sz w:val="24"/>
                <w:szCs w:val="24"/>
              </w:rPr>
              <w:t>Hotel personnel in the United Kingdom should not overcharge Chinese guests and eliminate any hidden fees (</w:t>
            </w:r>
            <w:proofErr w:type="spellStart"/>
            <w:r w:rsidRPr="002C2144">
              <w:rPr>
                <w:rFonts w:ascii="Arial" w:hAnsi="Arial" w:cs="Arial"/>
                <w:color w:val="000000" w:themeColor="text1"/>
                <w:sz w:val="24"/>
                <w:szCs w:val="24"/>
              </w:rPr>
              <w:t>Piatkowska</w:t>
            </w:r>
            <w:proofErr w:type="spellEnd"/>
            <w:r w:rsidRPr="002C2144">
              <w:rPr>
                <w:rFonts w:ascii="Arial" w:hAnsi="Arial" w:cs="Arial"/>
                <w:color w:val="000000" w:themeColor="text1"/>
                <w:sz w:val="24"/>
                <w:szCs w:val="24"/>
              </w:rPr>
              <w:t>, 2015).</w:t>
            </w:r>
          </w:p>
        </w:tc>
      </w:tr>
      <w:tr w:rsidR="002C2144" w:rsidRPr="002C2144" w14:paraId="68A6A4CA" w14:textId="77777777" w:rsidTr="0045213D">
        <w:trPr>
          <w:trHeight w:val="1512"/>
        </w:trPr>
        <w:tc>
          <w:tcPr>
            <w:tcW w:w="4674" w:type="dxa"/>
            <w:tcBorders>
              <w:left w:val="single" w:sz="4" w:space="0" w:color="000009"/>
              <w:right w:val="single" w:sz="4" w:space="0" w:color="000009"/>
            </w:tcBorders>
          </w:tcPr>
          <w:p w14:paraId="0F4657D4" w14:textId="77777777" w:rsidR="002C2144" w:rsidRPr="002C2144" w:rsidRDefault="002C2144" w:rsidP="002C2144">
            <w:pPr>
              <w:pStyle w:val="TableParagraph"/>
              <w:spacing w:line="360" w:lineRule="auto"/>
              <w:ind w:right="100"/>
              <w:rPr>
                <w:rFonts w:ascii="Arial" w:hAnsi="Arial" w:cs="Arial"/>
                <w:color w:val="000000" w:themeColor="text1"/>
                <w:sz w:val="24"/>
                <w:szCs w:val="24"/>
              </w:rPr>
            </w:pPr>
            <w:r w:rsidRPr="002C2144">
              <w:rPr>
                <w:rFonts w:ascii="Arial" w:hAnsi="Arial" w:cs="Arial"/>
                <w:color w:val="000000" w:themeColor="text1"/>
                <w:sz w:val="24"/>
                <w:szCs w:val="24"/>
              </w:rPr>
              <w:t xml:space="preserve">Sanitation is essential for hotel administration. Therefore, it is essential for hotel workers in the United Kingdom to provide Chinese guests with daily hygienic and cleaning services (de </w:t>
            </w:r>
            <w:proofErr w:type="spellStart"/>
            <w:r w:rsidRPr="002C2144">
              <w:rPr>
                <w:rFonts w:ascii="Arial" w:hAnsi="Arial" w:cs="Arial"/>
                <w:color w:val="000000" w:themeColor="text1"/>
                <w:sz w:val="24"/>
                <w:szCs w:val="24"/>
              </w:rPr>
              <w:t>Lurdes</w:t>
            </w:r>
            <w:proofErr w:type="spellEnd"/>
            <w:r w:rsidRPr="002C2144">
              <w:rPr>
                <w:rFonts w:ascii="Arial" w:hAnsi="Arial" w:cs="Arial"/>
                <w:color w:val="000000" w:themeColor="text1"/>
                <w:sz w:val="24"/>
                <w:szCs w:val="24"/>
              </w:rPr>
              <w:t xml:space="preserve"> Martins, 2015).</w:t>
            </w:r>
          </w:p>
        </w:tc>
        <w:tc>
          <w:tcPr>
            <w:tcW w:w="4676" w:type="dxa"/>
            <w:tcBorders>
              <w:left w:val="single" w:sz="4" w:space="0" w:color="000009"/>
              <w:right w:val="single" w:sz="4" w:space="0" w:color="000009"/>
            </w:tcBorders>
          </w:tcPr>
          <w:p w14:paraId="18A40D80" w14:textId="77777777" w:rsidR="002C2144" w:rsidRPr="002C2144" w:rsidRDefault="002C2144" w:rsidP="002C2144">
            <w:pPr>
              <w:pStyle w:val="TableParagraph"/>
              <w:spacing w:line="360" w:lineRule="auto"/>
              <w:ind w:left="0" w:right="97"/>
              <w:rPr>
                <w:rFonts w:ascii="Arial" w:hAnsi="Arial" w:cs="Arial"/>
                <w:color w:val="000000" w:themeColor="text1"/>
                <w:sz w:val="24"/>
                <w:szCs w:val="24"/>
              </w:rPr>
            </w:pPr>
            <w:r w:rsidRPr="002C2144">
              <w:rPr>
                <w:rFonts w:ascii="Arial" w:hAnsi="Arial" w:cs="Arial"/>
                <w:color w:val="000000" w:themeColor="text1"/>
                <w:sz w:val="24"/>
                <w:szCs w:val="24"/>
              </w:rPr>
              <w:t>Hotel personnel in the United Kingdom should not give unhygienic food or services to Chinese guests to save money (</w:t>
            </w:r>
            <w:proofErr w:type="spellStart"/>
            <w:r w:rsidRPr="002C2144">
              <w:rPr>
                <w:rFonts w:ascii="Arial" w:hAnsi="Arial" w:cs="Arial"/>
                <w:color w:val="000000" w:themeColor="text1"/>
                <w:sz w:val="24"/>
                <w:szCs w:val="24"/>
              </w:rPr>
              <w:t>Salamatina</w:t>
            </w:r>
            <w:proofErr w:type="spellEnd"/>
            <w:r w:rsidRPr="002C2144">
              <w:rPr>
                <w:rFonts w:ascii="Arial" w:hAnsi="Arial" w:cs="Arial"/>
                <w:color w:val="000000" w:themeColor="text1"/>
                <w:sz w:val="24"/>
                <w:szCs w:val="24"/>
              </w:rPr>
              <w:t xml:space="preserve"> and </w:t>
            </w:r>
            <w:proofErr w:type="spellStart"/>
            <w:r w:rsidRPr="002C2144">
              <w:rPr>
                <w:rFonts w:ascii="Arial" w:hAnsi="Arial" w:cs="Arial"/>
                <w:color w:val="000000" w:themeColor="text1"/>
                <w:sz w:val="24"/>
                <w:szCs w:val="24"/>
              </w:rPr>
              <w:t>Zh</w:t>
            </w:r>
            <w:proofErr w:type="spellEnd"/>
            <w:r w:rsidRPr="002C2144">
              <w:rPr>
                <w:rFonts w:ascii="Arial" w:hAnsi="Arial" w:cs="Arial"/>
                <w:color w:val="000000" w:themeColor="text1"/>
                <w:sz w:val="24"/>
                <w:szCs w:val="24"/>
              </w:rPr>
              <w:t>, 2016).</w:t>
            </w:r>
          </w:p>
        </w:tc>
      </w:tr>
      <w:tr w:rsidR="002C2144" w:rsidRPr="002C2144" w14:paraId="2E9C9D0C" w14:textId="77777777" w:rsidTr="0045213D">
        <w:trPr>
          <w:trHeight w:val="1605"/>
        </w:trPr>
        <w:tc>
          <w:tcPr>
            <w:tcW w:w="4674" w:type="dxa"/>
            <w:tcBorders>
              <w:left w:val="single" w:sz="4" w:space="0" w:color="000009"/>
              <w:right w:val="single" w:sz="4" w:space="0" w:color="000009"/>
            </w:tcBorders>
          </w:tcPr>
          <w:p w14:paraId="5C0CC98D" w14:textId="77777777" w:rsidR="002C2144" w:rsidRPr="002C2144" w:rsidRDefault="002C2144" w:rsidP="002C2144">
            <w:pPr>
              <w:pStyle w:val="TableParagraph"/>
              <w:spacing w:line="360" w:lineRule="auto"/>
              <w:ind w:right="96"/>
              <w:rPr>
                <w:rFonts w:ascii="Arial" w:hAnsi="Arial" w:cs="Arial"/>
                <w:color w:val="000000" w:themeColor="text1"/>
                <w:sz w:val="24"/>
                <w:szCs w:val="24"/>
              </w:rPr>
            </w:pPr>
            <w:r w:rsidRPr="002C2144">
              <w:rPr>
                <w:rFonts w:ascii="Arial" w:hAnsi="Arial" w:cs="Arial"/>
                <w:color w:val="000000" w:themeColor="text1"/>
                <w:sz w:val="24"/>
                <w:szCs w:val="24"/>
              </w:rPr>
              <w:t xml:space="preserve">The hotel staff in the United Kingdom is aware that the Chinese guests, hence UK hotel staff should </w:t>
            </w:r>
            <w:proofErr w:type="spellStart"/>
            <w:r w:rsidRPr="002C2144">
              <w:rPr>
                <w:rFonts w:ascii="Arial" w:hAnsi="Arial" w:cs="Arial"/>
                <w:color w:val="000000" w:themeColor="text1"/>
                <w:sz w:val="24"/>
                <w:szCs w:val="24"/>
              </w:rPr>
              <w:t>organise</w:t>
            </w:r>
            <w:proofErr w:type="spellEnd"/>
            <w:r w:rsidRPr="002C2144">
              <w:rPr>
                <w:rFonts w:ascii="Arial" w:hAnsi="Arial" w:cs="Arial"/>
                <w:color w:val="000000" w:themeColor="text1"/>
                <w:sz w:val="24"/>
                <w:szCs w:val="24"/>
              </w:rPr>
              <w:t xml:space="preserve"> enjoyable guest preference-oriented activities and games (</w:t>
            </w:r>
            <w:proofErr w:type="spellStart"/>
            <w:r w:rsidRPr="002C2144">
              <w:rPr>
                <w:rFonts w:ascii="Arial" w:hAnsi="Arial" w:cs="Arial"/>
                <w:color w:val="000000" w:themeColor="text1"/>
                <w:sz w:val="24"/>
                <w:szCs w:val="24"/>
              </w:rPr>
              <w:t>Lokkesmoe</w:t>
            </w:r>
            <w:proofErr w:type="spellEnd"/>
            <w:r w:rsidRPr="002C2144">
              <w:rPr>
                <w:rFonts w:ascii="Arial" w:hAnsi="Arial" w:cs="Arial"/>
                <w:color w:val="000000" w:themeColor="text1"/>
                <w:sz w:val="24"/>
                <w:szCs w:val="24"/>
              </w:rPr>
              <w:t xml:space="preserve"> et al., 2016).</w:t>
            </w:r>
          </w:p>
        </w:tc>
        <w:tc>
          <w:tcPr>
            <w:tcW w:w="4676" w:type="dxa"/>
            <w:tcBorders>
              <w:left w:val="single" w:sz="4" w:space="0" w:color="000009"/>
              <w:right w:val="single" w:sz="4" w:space="0" w:color="000009"/>
            </w:tcBorders>
          </w:tcPr>
          <w:p w14:paraId="719CFCD6" w14:textId="77777777" w:rsidR="002C2144" w:rsidRPr="002C2144" w:rsidRDefault="002C2144" w:rsidP="002C2144">
            <w:pPr>
              <w:pStyle w:val="TableParagraph"/>
              <w:spacing w:line="360" w:lineRule="auto"/>
              <w:ind w:left="0" w:right="93"/>
              <w:rPr>
                <w:rFonts w:ascii="Arial" w:hAnsi="Arial" w:cs="Arial"/>
                <w:color w:val="000000" w:themeColor="text1"/>
                <w:sz w:val="24"/>
                <w:szCs w:val="24"/>
              </w:rPr>
            </w:pPr>
            <w:r w:rsidRPr="002C2144">
              <w:rPr>
                <w:rFonts w:ascii="Arial" w:hAnsi="Arial" w:cs="Arial"/>
                <w:color w:val="000000" w:themeColor="text1"/>
                <w:sz w:val="24"/>
                <w:szCs w:val="24"/>
              </w:rPr>
              <w:t xml:space="preserve">The hotel personnel in the United </w:t>
            </w:r>
            <w:proofErr w:type="spellStart"/>
            <w:r w:rsidRPr="002C2144">
              <w:rPr>
                <w:rFonts w:ascii="Arial" w:hAnsi="Arial" w:cs="Arial"/>
                <w:color w:val="000000" w:themeColor="text1"/>
                <w:sz w:val="24"/>
                <w:szCs w:val="24"/>
              </w:rPr>
              <w:t>Kingdommust</w:t>
            </w:r>
            <w:proofErr w:type="spellEnd"/>
            <w:r w:rsidRPr="002C2144">
              <w:rPr>
                <w:rFonts w:ascii="Arial" w:hAnsi="Arial" w:cs="Arial"/>
                <w:color w:val="000000" w:themeColor="text1"/>
                <w:sz w:val="24"/>
                <w:szCs w:val="24"/>
              </w:rPr>
              <w:t xml:space="preserve"> always be courteous while engaging with Chinese guests (de </w:t>
            </w:r>
            <w:proofErr w:type="spellStart"/>
            <w:r w:rsidRPr="002C2144">
              <w:rPr>
                <w:rFonts w:ascii="Arial" w:hAnsi="Arial" w:cs="Arial"/>
                <w:color w:val="000000" w:themeColor="text1"/>
                <w:sz w:val="24"/>
                <w:szCs w:val="24"/>
              </w:rPr>
              <w:t>Lurdes</w:t>
            </w:r>
            <w:proofErr w:type="spellEnd"/>
            <w:r w:rsidRPr="002C2144">
              <w:rPr>
                <w:rFonts w:ascii="Arial" w:hAnsi="Arial" w:cs="Arial"/>
                <w:color w:val="000000" w:themeColor="text1"/>
                <w:sz w:val="24"/>
                <w:szCs w:val="24"/>
              </w:rPr>
              <w:t xml:space="preserve"> Martins, 2015).</w:t>
            </w:r>
          </w:p>
        </w:tc>
      </w:tr>
      <w:tr w:rsidR="002C2144" w:rsidRPr="002C2144" w14:paraId="67CA08C8" w14:textId="77777777" w:rsidTr="005D12BE">
        <w:trPr>
          <w:trHeight w:val="65"/>
        </w:trPr>
        <w:tc>
          <w:tcPr>
            <w:tcW w:w="4674" w:type="dxa"/>
            <w:tcBorders>
              <w:left w:val="single" w:sz="4" w:space="0" w:color="000009"/>
              <w:right w:val="single" w:sz="4" w:space="0" w:color="000009"/>
            </w:tcBorders>
          </w:tcPr>
          <w:p w14:paraId="4941A036" w14:textId="009469BD" w:rsidR="002C2144" w:rsidRPr="002C2144" w:rsidRDefault="002C2144" w:rsidP="002C2144">
            <w:pPr>
              <w:pStyle w:val="TableParagraph"/>
              <w:spacing w:line="360" w:lineRule="auto"/>
              <w:ind w:right="95"/>
              <w:rPr>
                <w:rFonts w:ascii="Arial" w:hAnsi="Arial" w:cs="Arial"/>
                <w:color w:val="000000" w:themeColor="text1"/>
                <w:sz w:val="24"/>
                <w:szCs w:val="24"/>
              </w:rPr>
            </w:pPr>
          </w:p>
        </w:tc>
        <w:tc>
          <w:tcPr>
            <w:tcW w:w="4676" w:type="dxa"/>
            <w:tcBorders>
              <w:left w:val="single" w:sz="4" w:space="0" w:color="000009"/>
              <w:right w:val="single" w:sz="4" w:space="0" w:color="000009"/>
            </w:tcBorders>
          </w:tcPr>
          <w:p w14:paraId="75AC2310" w14:textId="432B8170" w:rsidR="002C2144" w:rsidRPr="002C2144" w:rsidRDefault="002C2144" w:rsidP="002C2144">
            <w:pPr>
              <w:pStyle w:val="TableParagraph"/>
              <w:spacing w:line="360" w:lineRule="auto"/>
              <w:ind w:left="0" w:right="93"/>
              <w:rPr>
                <w:rFonts w:ascii="Arial" w:hAnsi="Arial" w:cs="Arial"/>
                <w:color w:val="000000" w:themeColor="text1"/>
                <w:sz w:val="24"/>
                <w:szCs w:val="24"/>
              </w:rPr>
            </w:pPr>
          </w:p>
        </w:tc>
      </w:tr>
    </w:tbl>
    <w:p w14:paraId="4CBFD71E" w14:textId="77777777" w:rsidR="002C2144" w:rsidRPr="002C2144" w:rsidRDefault="002C2144" w:rsidP="002C2144">
      <w:pPr>
        <w:spacing w:after="0" w:line="360" w:lineRule="auto"/>
        <w:jc w:val="both"/>
        <w:rPr>
          <w:rFonts w:ascii="Arial" w:hAnsi="Arial" w:cs="Arial"/>
          <w:color w:val="000000" w:themeColor="text1"/>
          <w:sz w:val="24"/>
          <w:szCs w:val="24"/>
        </w:rPr>
      </w:pPr>
    </w:p>
    <w:p w14:paraId="76AC7A67" w14:textId="77777777" w:rsidR="002C2144" w:rsidRPr="002C2144" w:rsidRDefault="002C2144" w:rsidP="002C2144">
      <w:pPr>
        <w:pStyle w:val="Heading1"/>
        <w:spacing w:line="360" w:lineRule="auto"/>
        <w:rPr>
          <w:rFonts w:ascii="Arial" w:hAnsi="Arial" w:cs="Arial"/>
          <w:color w:val="000000" w:themeColor="text1"/>
        </w:rPr>
      </w:pPr>
      <w:bookmarkStart w:id="7" w:name="_Toc126696896"/>
      <w:r w:rsidRPr="002C2144">
        <w:rPr>
          <w:rFonts w:ascii="Arial" w:hAnsi="Arial" w:cs="Arial"/>
          <w:color w:val="000000" w:themeColor="text1"/>
        </w:rPr>
        <w:t>Conclusion</w:t>
      </w:r>
      <w:bookmarkEnd w:id="7"/>
    </w:p>
    <w:p w14:paraId="21115352" w14:textId="3123CD31" w:rsidR="005D12BE" w:rsidRDefault="002C2144" w:rsidP="002C2144">
      <w:pPr>
        <w:spacing w:after="0" w:line="360" w:lineRule="auto"/>
        <w:jc w:val="both"/>
        <w:rPr>
          <w:rFonts w:ascii="Arial" w:hAnsi="Arial" w:cs="Arial"/>
          <w:color w:val="000000" w:themeColor="text1"/>
          <w:sz w:val="24"/>
          <w:szCs w:val="24"/>
        </w:rPr>
      </w:pPr>
      <w:r w:rsidRPr="002C2144">
        <w:rPr>
          <w:rFonts w:ascii="Arial" w:hAnsi="Arial" w:cs="Arial"/>
          <w:color w:val="000000" w:themeColor="text1"/>
          <w:sz w:val="24"/>
          <w:szCs w:val="24"/>
        </w:rPr>
        <w:t>In conclusion, cultural awareness may help individuals overcome cultural barriers and develop bridges by learning how to recognise and respect others who are distinct from themselves. As individuals get a deeper understanding of themselves and their own culture, they will be better able to connect to persons from other cultures. This paper has focused mostly on cultural differences between the United Kingdom as the host nation and China as the visitor country.</w:t>
      </w:r>
    </w:p>
    <w:p w14:paraId="458391B0" w14:textId="6378F250" w:rsidR="005D12BE" w:rsidRDefault="005D12BE" w:rsidP="002C2144">
      <w:pPr>
        <w:spacing w:after="0" w:line="360" w:lineRule="auto"/>
        <w:jc w:val="both"/>
        <w:rPr>
          <w:rFonts w:ascii="Arial" w:hAnsi="Arial" w:cs="Arial"/>
          <w:color w:val="000000" w:themeColor="text1"/>
          <w:sz w:val="24"/>
          <w:szCs w:val="24"/>
        </w:rPr>
      </w:pPr>
    </w:p>
    <w:p w14:paraId="31F4DE0D" w14:textId="19F75D49" w:rsidR="005D12BE" w:rsidRDefault="005D12BE" w:rsidP="002C2144">
      <w:pPr>
        <w:spacing w:after="0" w:line="360" w:lineRule="auto"/>
        <w:jc w:val="both"/>
        <w:rPr>
          <w:rFonts w:ascii="Arial" w:hAnsi="Arial" w:cs="Arial"/>
          <w:color w:val="000000" w:themeColor="text1"/>
          <w:sz w:val="24"/>
          <w:szCs w:val="24"/>
        </w:rPr>
      </w:pPr>
    </w:p>
    <w:p w14:paraId="3C008AE3" w14:textId="7BDD0C70" w:rsidR="005D12BE" w:rsidRDefault="005D12BE" w:rsidP="002C2144">
      <w:pPr>
        <w:spacing w:after="0" w:line="360" w:lineRule="auto"/>
        <w:jc w:val="both"/>
        <w:rPr>
          <w:rFonts w:ascii="Arial" w:hAnsi="Arial" w:cs="Arial"/>
          <w:color w:val="000000" w:themeColor="text1"/>
          <w:sz w:val="24"/>
          <w:szCs w:val="24"/>
        </w:rPr>
      </w:pPr>
    </w:p>
    <w:p w14:paraId="0CBC30B5" w14:textId="77777777" w:rsidR="005D12BE" w:rsidRPr="005D12BE" w:rsidRDefault="005D12BE" w:rsidP="005D12BE">
      <w:pPr>
        <w:pStyle w:val="Heading1"/>
        <w:spacing w:line="360" w:lineRule="auto"/>
        <w:rPr>
          <w:rFonts w:ascii="Arial" w:hAnsi="Arial" w:cs="Arial"/>
          <w:color w:val="000000" w:themeColor="text1"/>
        </w:rPr>
      </w:pPr>
      <w:bookmarkStart w:id="8" w:name="_Toc126696897"/>
      <w:r w:rsidRPr="005D12BE">
        <w:rPr>
          <w:rFonts w:ascii="Arial" w:hAnsi="Arial" w:cs="Arial"/>
          <w:color w:val="000000" w:themeColor="text1"/>
        </w:rPr>
        <w:lastRenderedPageBreak/>
        <w:t>References</w:t>
      </w:r>
      <w:bookmarkEnd w:id="8"/>
    </w:p>
    <w:p w14:paraId="2AA5445B"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r w:rsidRPr="005D12BE">
        <w:rPr>
          <w:rFonts w:ascii="Arial" w:hAnsi="Arial" w:cs="Arial"/>
          <w:color w:val="000000" w:themeColor="text1"/>
          <w:sz w:val="24"/>
          <w:szCs w:val="24"/>
        </w:rPr>
        <w:t xml:space="preserve">De </w:t>
      </w:r>
      <w:proofErr w:type="spellStart"/>
      <w:r w:rsidRPr="005D12BE">
        <w:rPr>
          <w:rFonts w:ascii="Arial" w:hAnsi="Arial" w:cs="Arial"/>
          <w:color w:val="000000" w:themeColor="text1"/>
          <w:sz w:val="24"/>
          <w:szCs w:val="24"/>
        </w:rPr>
        <w:t>Lurdes</w:t>
      </w:r>
      <w:proofErr w:type="spellEnd"/>
      <w:r w:rsidRPr="005D12BE">
        <w:rPr>
          <w:rFonts w:ascii="Arial" w:hAnsi="Arial" w:cs="Arial"/>
          <w:color w:val="000000" w:themeColor="text1"/>
          <w:sz w:val="24"/>
          <w:szCs w:val="24"/>
        </w:rPr>
        <w:t xml:space="preserve"> Martins, M., 2015. How to effectively integrate technology in the foreign language classroom for learning and collaboration. </w:t>
      </w:r>
      <w:r w:rsidRPr="005D12BE">
        <w:rPr>
          <w:rFonts w:ascii="Arial" w:hAnsi="Arial" w:cs="Arial"/>
          <w:i/>
          <w:iCs/>
          <w:color w:val="000000" w:themeColor="text1"/>
          <w:sz w:val="24"/>
          <w:szCs w:val="24"/>
        </w:rPr>
        <w:t xml:space="preserve">Procedia-Social and </w:t>
      </w:r>
      <w:proofErr w:type="spellStart"/>
      <w:r w:rsidRPr="005D12BE">
        <w:rPr>
          <w:rFonts w:ascii="Arial" w:hAnsi="Arial" w:cs="Arial"/>
          <w:i/>
          <w:iCs/>
          <w:color w:val="000000" w:themeColor="text1"/>
          <w:sz w:val="24"/>
          <w:szCs w:val="24"/>
        </w:rPr>
        <w:t>Behavioral</w:t>
      </w:r>
      <w:proofErr w:type="spellEnd"/>
      <w:r w:rsidRPr="005D12BE">
        <w:rPr>
          <w:rFonts w:ascii="Arial" w:hAnsi="Arial" w:cs="Arial"/>
          <w:i/>
          <w:iCs/>
          <w:color w:val="000000" w:themeColor="text1"/>
          <w:sz w:val="24"/>
          <w:szCs w:val="24"/>
        </w:rPr>
        <w:t xml:space="preserve"> Sciences</w:t>
      </w:r>
      <w:r w:rsidRPr="005D12BE">
        <w:rPr>
          <w:rFonts w:ascii="Arial" w:hAnsi="Arial" w:cs="Arial"/>
          <w:color w:val="000000" w:themeColor="text1"/>
          <w:sz w:val="24"/>
          <w:szCs w:val="24"/>
        </w:rPr>
        <w:t>, </w:t>
      </w:r>
      <w:r w:rsidRPr="005D12BE">
        <w:rPr>
          <w:rFonts w:ascii="Arial" w:hAnsi="Arial" w:cs="Arial"/>
          <w:i/>
          <w:iCs/>
          <w:color w:val="000000" w:themeColor="text1"/>
          <w:sz w:val="24"/>
          <w:szCs w:val="24"/>
        </w:rPr>
        <w:t>174</w:t>
      </w:r>
      <w:r w:rsidRPr="005D12BE">
        <w:rPr>
          <w:rFonts w:ascii="Arial" w:hAnsi="Arial" w:cs="Arial"/>
          <w:color w:val="000000" w:themeColor="text1"/>
          <w:sz w:val="24"/>
          <w:szCs w:val="24"/>
        </w:rPr>
        <w:t>, pp.77-84.</w:t>
      </w:r>
    </w:p>
    <w:p w14:paraId="213C1E2B"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r w:rsidRPr="005D12BE">
        <w:rPr>
          <w:rFonts w:ascii="Arial" w:hAnsi="Arial" w:cs="Arial"/>
          <w:color w:val="000000" w:themeColor="text1"/>
          <w:sz w:val="24"/>
          <w:szCs w:val="24"/>
        </w:rPr>
        <w:t>Garzón-Díaz, E., 2021. From cultural awareness to scientific citizenship: Implementing content and language integrated learning projects to connect environmental science and English in a state school in Colombia. </w:t>
      </w:r>
      <w:r w:rsidRPr="005D12BE">
        <w:rPr>
          <w:rFonts w:ascii="Arial" w:hAnsi="Arial" w:cs="Arial"/>
          <w:i/>
          <w:iCs/>
          <w:color w:val="000000" w:themeColor="text1"/>
          <w:sz w:val="24"/>
          <w:szCs w:val="24"/>
        </w:rPr>
        <w:t>International Journal of Bilingual Education and Bilingualism</w:t>
      </w:r>
      <w:r w:rsidRPr="005D12BE">
        <w:rPr>
          <w:rFonts w:ascii="Arial" w:hAnsi="Arial" w:cs="Arial"/>
          <w:color w:val="000000" w:themeColor="text1"/>
          <w:sz w:val="24"/>
          <w:szCs w:val="24"/>
        </w:rPr>
        <w:t>, </w:t>
      </w:r>
      <w:r w:rsidRPr="005D12BE">
        <w:rPr>
          <w:rFonts w:ascii="Arial" w:hAnsi="Arial" w:cs="Arial"/>
          <w:i/>
          <w:iCs/>
          <w:color w:val="000000" w:themeColor="text1"/>
          <w:sz w:val="24"/>
          <w:szCs w:val="24"/>
        </w:rPr>
        <w:t>24</w:t>
      </w:r>
      <w:r w:rsidRPr="005D12BE">
        <w:rPr>
          <w:rFonts w:ascii="Arial" w:hAnsi="Arial" w:cs="Arial"/>
          <w:color w:val="000000" w:themeColor="text1"/>
          <w:sz w:val="24"/>
          <w:szCs w:val="24"/>
        </w:rPr>
        <w:t>(2), pp.242-259.</w:t>
      </w:r>
    </w:p>
    <w:p w14:paraId="1A5E1990"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r w:rsidRPr="005D12BE">
        <w:rPr>
          <w:rFonts w:ascii="Arial" w:hAnsi="Arial" w:cs="Arial"/>
          <w:color w:val="000000" w:themeColor="text1"/>
          <w:sz w:val="24"/>
          <w:szCs w:val="24"/>
        </w:rPr>
        <w:t>Guerrero</w:t>
      </w:r>
      <w:r w:rsidRPr="005D12BE">
        <w:rPr>
          <w:rFonts w:ascii="Cambria Math" w:hAnsi="Cambria Math" w:cs="Cambria Math"/>
          <w:color w:val="000000" w:themeColor="text1"/>
          <w:sz w:val="24"/>
          <w:szCs w:val="24"/>
        </w:rPr>
        <w:t>‐</w:t>
      </w:r>
      <w:r w:rsidRPr="005D12BE">
        <w:rPr>
          <w:rFonts w:ascii="Arial" w:hAnsi="Arial" w:cs="Arial"/>
          <w:color w:val="000000" w:themeColor="text1"/>
          <w:sz w:val="24"/>
          <w:szCs w:val="24"/>
        </w:rPr>
        <w:t xml:space="preserve">Rodríguez, P., </w:t>
      </w:r>
      <w:proofErr w:type="spellStart"/>
      <w:r w:rsidRPr="005D12BE">
        <w:rPr>
          <w:rFonts w:ascii="Arial" w:hAnsi="Arial" w:cs="Arial"/>
          <w:color w:val="000000" w:themeColor="text1"/>
          <w:sz w:val="24"/>
          <w:szCs w:val="24"/>
        </w:rPr>
        <w:t>Lomicka</w:t>
      </w:r>
      <w:proofErr w:type="spellEnd"/>
      <w:r w:rsidRPr="005D12BE">
        <w:rPr>
          <w:rFonts w:ascii="Arial" w:hAnsi="Arial" w:cs="Arial"/>
          <w:color w:val="000000" w:themeColor="text1"/>
          <w:sz w:val="24"/>
          <w:szCs w:val="24"/>
        </w:rPr>
        <w:t xml:space="preserve"> Anderson, L. and Lord, G., 2022. SIFTR</w:t>
      </w:r>
      <w:r w:rsidRPr="005D12BE">
        <w:rPr>
          <w:rFonts w:ascii="Cambria Math" w:hAnsi="Cambria Math" w:cs="Cambria Math"/>
          <w:color w:val="000000" w:themeColor="text1"/>
          <w:sz w:val="24"/>
          <w:szCs w:val="24"/>
        </w:rPr>
        <w:t>‐</w:t>
      </w:r>
      <w:proofErr w:type="spellStart"/>
      <w:r w:rsidRPr="005D12BE">
        <w:rPr>
          <w:rFonts w:ascii="Arial" w:hAnsi="Arial" w:cs="Arial"/>
          <w:color w:val="000000" w:themeColor="text1"/>
          <w:sz w:val="24"/>
          <w:szCs w:val="24"/>
        </w:rPr>
        <w:t>ing</w:t>
      </w:r>
      <w:proofErr w:type="spellEnd"/>
      <w:r w:rsidRPr="005D12BE">
        <w:rPr>
          <w:rFonts w:ascii="Arial" w:hAnsi="Arial" w:cs="Arial"/>
          <w:color w:val="000000" w:themeColor="text1"/>
          <w:sz w:val="24"/>
          <w:szCs w:val="24"/>
        </w:rPr>
        <w:t xml:space="preserve"> through the development of cultural awareness at home and abroad. </w:t>
      </w:r>
      <w:r w:rsidRPr="005D12BE">
        <w:rPr>
          <w:rFonts w:ascii="Arial" w:hAnsi="Arial" w:cs="Arial"/>
          <w:i/>
          <w:iCs/>
          <w:color w:val="000000" w:themeColor="text1"/>
          <w:sz w:val="24"/>
          <w:szCs w:val="24"/>
        </w:rPr>
        <w:t>Foreign Language Annals</w:t>
      </w:r>
      <w:r w:rsidRPr="005D12BE">
        <w:rPr>
          <w:rFonts w:ascii="Arial" w:hAnsi="Arial" w:cs="Arial"/>
          <w:color w:val="000000" w:themeColor="text1"/>
          <w:sz w:val="24"/>
          <w:szCs w:val="24"/>
        </w:rPr>
        <w:t>, </w:t>
      </w:r>
      <w:r w:rsidRPr="005D12BE">
        <w:rPr>
          <w:rFonts w:ascii="Arial" w:hAnsi="Arial" w:cs="Arial"/>
          <w:i/>
          <w:iCs/>
          <w:color w:val="000000" w:themeColor="text1"/>
          <w:sz w:val="24"/>
          <w:szCs w:val="24"/>
        </w:rPr>
        <w:t>55</w:t>
      </w:r>
      <w:r w:rsidRPr="005D12BE">
        <w:rPr>
          <w:rFonts w:ascii="Arial" w:hAnsi="Arial" w:cs="Arial"/>
          <w:color w:val="000000" w:themeColor="text1"/>
          <w:sz w:val="24"/>
          <w:szCs w:val="24"/>
        </w:rPr>
        <w:t>(2), pp.435-454.</w:t>
      </w:r>
    </w:p>
    <w:p w14:paraId="270756CC"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proofErr w:type="spellStart"/>
      <w:r w:rsidRPr="005D12BE">
        <w:rPr>
          <w:rFonts w:ascii="Arial" w:hAnsi="Arial" w:cs="Arial"/>
          <w:color w:val="000000" w:themeColor="text1"/>
          <w:sz w:val="24"/>
          <w:szCs w:val="24"/>
        </w:rPr>
        <w:t>Haghjou</w:t>
      </w:r>
      <w:proofErr w:type="spellEnd"/>
      <w:r w:rsidRPr="005D12BE">
        <w:rPr>
          <w:rFonts w:ascii="Arial" w:hAnsi="Arial" w:cs="Arial"/>
          <w:color w:val="000000" w:themeColor="text1"/>
          <w:sz w:val="24"/>
          <w:szCs w:val="24"/>
        </w:rPr>
        <w:t>, S., Importance of Socio-Cultural Awareness in Foreign Language Learning.</w:t>
      </w:r>
    </w:p>
    <w:p w14:paraId="5F998D66"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proofErr w:type="spellStart"/>
      <w:r w:rsidRPr="005D12BE">
        <w:rPr>
          <w:rFonts w:ascii="Arial" w:hAnsi="Arial" w:cs="Arial"/>
          <w:color w:val="000000" w:themeColor="text1"/>
          <w:sz w:val="24"/>
          <w:szCs w:val="24"/>
        </w:rPr>
        <w:t>Kalaja</w:t>
      </w:r>
      <w:proofErr w:type="spellEnd"/>
      <w:r w:rsidRPr="005D12BE">
        <w:rPr>
          <w:rFonts w:ascii="Arial" w:hAnsi="Arial" w:cs="Arial"/>
          <w:color w:val="000000" w:themeColor="text1"/>
          <w:sz w:val="24"/>
          <w:szCs w:val="24"/>
        </w:rPr>
        <w:t xml:space="preserve">, P. and </w:t>
      </w:r>
      <w:proofErr w:type="spellStart"/>
      <w:r w:rsidRPr="005D12BE">
        <w:rPr>
          <w:rFonts w:ascii="Arial" w:hAnsi="Arial" w:cs="Arial"/>
          <w:color w:val="000000" w:themeColor="text1"/>
          <w:sz w:val="24"/>
          <w:szCs w:val="24"/>
        </w:rPr>
        <w:t>Pitkänen-Huhta</w:t>
      </w:r>
      <w:proofErr w:type="spellEnd"/>
      <w:r w:rsidRPr="005D12BE">
        <w:rPr>
          <w:rFonts w:ascii="Arial" w:hAnsi="Arial" w:cs="Arial"/>
          <w:color w:val="000000" w:themeColor="text1"/>
          <w:sz w:val="24"/>
          <w:szCs w:val="24"/>
        </w:rPr>
        <w:t>, A., 2020. Raising awareness of multilingualism as lived–in the context of teaching English as a foreign language. </w:t>
      </w:r>
      <w:r w:rsidRPr="005D12BE">
        <w:rPr>
          <w:rFonts w:ascii="Arial" w:hAnsi="Arial" w:cs="Arial"/>
          <w:i/>
          <w:iCs/>
          <w:color w:val="000000" w:themeColor="text1"/>
          <w:sz w:val="24"/>
          <w:szCs w:val="24"/>
        </w:rPr>
        <w:t>Language and Intercultural Communication</w:t>
      </w:r>
      <w:r w:rsidRPr="005D12BE">
        <w:rPr>
          <w:rFonts w:ascii="Arial" w:hAnsi="Arial" w:cs="Arial"/>
          <w:color w:val="000000" w:themeColor="text1"/>
          <w:sz w:val="24"/>
          <w:szCs w:val="24"/>
        </w:rPr>
        <w:t>, </w:t>
      </w:r>
      <w:r w:rsidRPr="005D12BE">
        <w:rPr>
          <w:rFonts w:ascii="Arial" w:hAnsi="Arial" w:cs="Arial"/>
          <w:i/>
          <w:iCs/>
          <w:color w:val="000000" w:themeColor="text1"/>
          <w:sz w:val="24"/>
          <w:szCs w:val="24"/>
        </w:rPr>
        <w:t>20</w:t>
      </w:r>
      <w:r w:rsidRPr="005D12BE">
        <w:rPr>
          <w:rFonts w:ascii="Arial" w:hAnsi="Arial" w:cs="Arial"/>
          <w:color w:val="000000" w:themeColor="text1"/>
          <w:sz w:val="24"/>
          <w:szCs w:val="24"/>
        </w:rPr>
        <w:t>(4), pp.340-355.</w:t>
      </w:r>
    </w:p>
    <w:p w14:paraId="20D27239"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proofErr w:type="spellStart"/>
      <w:r w:rsidRPr="005D12BE">
        <w:rPr>
          <w:rFonts w:ascii="Arial" w:hAnsi="Arial" w:cs="Arial"/>
          <w:color w:val="000000" w:themeColor="text1"/>
          <w:sz w:val="24"/>
          <w:szCs w:val="24"/>
        </w:rPr>
        <w:t>Lokkesmoe</w:t>
      </w:r>
      <w:proofErr w:type="spellEnd"/>
      <w:r w:rsidRPr="005D12BE">
        <w:rPr>
          <w:rFonts w:ascii="Arial" w:hAnsi="Arial" w:cs="Arial"/>
          <w:color w:val="000000" w:themeColor="text1"/>
          <w:sz w:val="24"/>
          <w:szCs w:val="24"/>
        </w:rPr>
        <w:t xml:space="preserve">, K.J., </w:t>
      </w:r>
      <w:proofErr w:type="spellStart"/>
      <w:r w:rsidRPr="005D12BE">
        <w:rPr>
          <w:rFonts w:ascii="Arial" w:hAnsi="Arial" w:cs="Arial"/>
          <w:color w:val="000000" w:themeColor="text1"/>
          <w:sz w:val="24"/>
          <w:szCs w:val="24"/>
        </w:rPr>
        <w:t>Kuchinke</w:t>
      </w:r>
      <w:proofErr w:type="spellEnd"/>
      <w:r w:rsidRPr="005D12BE">
        <w:rPr>
          <w:rFonts w:ascii="Arial" w:hAnsi="Arial" w:cs="Arial"/>
          <w:color w:val="000000" w:themeColor="text1"/>
          <w:sz w:val="24"/>
          <w:szCs w:val="24"/>
        </w:rPr>
        <w:t xml:space="preserve">, K.P. and </w:t>
      </w:r>
      <w:proofErr w:type="spellStart"/>
      <w:r w:rsidRPr="005D12BE">
        <w:rPr>
          <w:rFonts w:ascii="Arial" w:hAnsi="Arial" w:cs="Arial"/>
          <w:color w:val="000000" w:themeColor="text1"/>
          <w:sz w:val="24"/>
          <w:szCs w:val="24"/>
        </w:rPr>
        <w:t>Ardichvili</w:t>
      </w:r>
      <w:proofErr w:type="spellEnd"/>
      <w:r w:rsidRPr="005D12BE">
        <w:rPr>
          <w:rFonts w:ascii="Arial" w:hAnsi="Arial" w:cs="Arial"/>
          <w:color w:val="000000" w:themeColor="text1"/>
          <w:sz w:val="24"/>
          <w:szCs w:val="24"/>
        </w:rPr>
        <w:t>, A., 2016. Developing cross-cultural awareness through foreign immersion programs: Implications of university study abroad research for global competency development. </w:t>
      </w:r>
      <w:r w:rsidRPr="005D12BE">
        <w:rPr>
          <w:rFonts w:ascii="Arial" w:hAnsi="Arial" w:cs="Arial"/>
          <w:i/>
          <w:iCs/>
          <w:color w:val="000000" w:themeColor="text1"/>
          <w:sz w:val="24"/>
          <w:szCs w:val="24"/>
        </w:rPr>
        <w:t>European Journal of Training and Development</w:t>
      </w:r>
      <w:r w:rsidRPr="005D12BE">
        <w:rPr>
          <w:rFonts w:ascii="Arial" w:hAnsi="Arial" w:cs="Arial"/>
          <w:color w:val="000000" w:themeColor="text1"/>
          <w:sz w:val="24"/>
          <w:szCs w:val="24"/>
        </w:rPr>
        <w:t>.</w:t>
      </w:r>
    </w:p>
    <w:p w14:paraId="4474CB53"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proofErr w:type="spellStart"/>
      <w:r w:rsidRPr="005D12BE">
        <w:rPr>
          <w:rFonts w:ascii="Arial" w:hAnsi="Arial" w:cs="Arial"/>
          <w:color w:val="000000" w:themeColor="text1"/>
          <w:sz w:val="24"/>
          <w:szCs w:val="24"/>
        </w:rPr>
        <w:t>Nechifor</w:t>
      </w:r>
      <w:proofErr w:type="spellEnd"/>
      <w:r w:rsidRPr="005D12BE">
        <w:rPr>
          <w:rFonts w:ascii="Arial" w:hAnsi="Arial" w:cs="Arial"/>
          <w:color w:val="000000" w:themeColor="text1"/>
          <w:sz w:val="24"/>
          <w:szCs w:val="24"/>
        </w:rPr>
        <w:t xml:space="preserve">, A. and </w:t>
      </w:r>
      <w:proofErr w:type="spellStart"/>
      <w:r w:rsidRPr="005D12BE">
        <w:rPr>
          <w:rFonts w:ascii="Arial" w:hAnsi="Arial" w:cs="Arial"/>
          <w:color w:val="000000" w:themeColor="text1"/>
          <w:sz w:val="24"/>
          <w:szCs w:val="24"/>
        </w:rPr>
        <w:t>Borca</w:t>
      </w:r>
      <w:proofErr w:type="spellEnd"/>
      <w:r w:rsidRPr="005D12BE">
        <w:rPr>
          <w:rFonts w:ascii="Arial" w:hAnsi="Arial" w:cs="Arial"/>
          <w:color w:val="000000" w:themeColor="text1"/>
          <w:sz w:val="24"/>
          <w:szCs w:val="24"/>
        </w:rPr>
        <w:t>, A., 2020. Contextualising culture in teaching a foreign language: the cultural element among cultural awareness, cultural competency and cultural literacy. </w:t>
      </w:r>
      <w:proofErr w:type="spellStart"/>
      <w:r w:rsidRPr="005D12BE">
        <w:rPr>
          <w:rFonts w:ascii="Arial" w:hAnsi="Arial" w:cs="Arial"/>
          <w:i/>
          <w:iCs/>
          <w:color w:val="000000" w:themeColor="text1"/>
          <w:sz w:val="24"/>
          <w:szCs w:val="24"/>
        </w:rPr>
        <w:t>Philologica</w:t>
      </w:r>
      <w:proofErr w:type="spellEnd"/>
      <w:r w:rsidRPr="005D12BE">
        <w:rPr>
          <w:rFonts w:ascii="Arial" w:hAnsi="Arial" w:cs="Arial"/>
          <w:i/>
          <w:iCs/>
          <w:color w:val="000000" w:themeColor="text1"/>
          <w:sz w:val="24"/>
          <w:szCs w:val="24"/>
        </w:rPr>
        <w:t xml:space="preserve"> </w:t>
      </w:r>
      <w:proofErr w:type="spellStart"/>
      <w:r w:rsidRPr="005D12BE">
        <w:rPr>
          <w:rFonts w:ascii="Arial" w:hAnsi="Arial" w:cs="Arial"/>
          <w:i/>
          <w:iCs/>
          <w:color w:val="000000" w:themeColor="text1"/>
          <w:sz w:val="24"/>
          <w:szCs w:val="24"/>
        </w:rPr>
        <w:t>Jassyensia</w:t>
      </w:r>
      <w:proofErr w:type="spellEnd"/>
      <w:r w:rsidRPr="005D12BE">
        <w:rPr>
          <w:rFonts w:ascii="Arial" w:hAnsi="Arial" w:cs="Arial"/>
          <w:color w:val="000000" w:themeColor="text1"/>
          <w:sz w:val="24"/>
          <w:szCs w:val="24"/>
        </w:rPr>
        <w:t>, </w:t>
      </w:r>
      <w:r w:rsidRPr="005D12BE">
        <w:rPr>
          <w:rFonts w:ascii="Arial" w:hAnsi="Arial" w:cs="Arial"/>
          <w:i/>
          <w:iCs/>
          <w:color w:val="000000" w:themeColor="text1"/>
          <w:sz w:val="24"/>
          <w:szCs w:val="24"/>
        </w:rPr>
        <w:t>16</w:t>
      </w:r>
      <w:r w:rsidRPr="005D12BE">
        <w:rPr>
          <w:rFonts w:ascii="Arial" w:hAnsi="Arial" w:cs="Arial"/>
          <w:color w:val="000000" w:themeColor="text1"/>
          <w:sz w:val="24"/>
          <w:szCs w:val="24"/>
        </w:rPr>
        <w:t>(2), pp.287-304.</w:t>
      </w:r>
    </w:p>
    <w:p w14:paraId="4FA90817"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r w:rsidRPr="005D12BE">
        <w:rPr>
          <w:rFonts w:ascii="Arial" w:hAnsi="Arial" w:cs="Arial"/>
          <w:color w:val="000000" w:themeColor="text1"/>
          <w:sz w:val="24"/>
          <w:szCs w:val="24"/>
        </w:rPr>
        <w:t>Nugent, K. and Catalano, T., 2015. Critical Cultural Awareness in the Foreign Language Classroom. </w:t>
      </w:r>
      <w:r w:rsidRPr="005D12BE">
        <w:rPr>
          <w:rFonts w:ascii="Arial" w:hAnsi="Arial" w:cs="Arial"/>
          <w:i/>
          <w:iCs/>
          <w:color w:val="000000" w:themeColor="text1"/>
          <w:sz w:val="24"/>
          <w:szCs w:val="24"/>
        </w:rPr>
        <w:t>NECTFL Review</w:t>
      </w:r>
      <w:r w:rsidRPr="005D12BE">
        <w:rPr>
          <w:rFonts w:ascii="Arial" w:hAnsi="Arial" w:cs="Arial"/>
          <w:color w:val="000000" w:themeColor="text1"/>
          <w:sz w:val="24"/>
          <w:szCs w:val="24"/>
        </w:rPr>
        <w:t>, </w:t>
      </w:r>
      <w:r w:rsidRPr="005D12BE">
        <w:rPr>
          <w:rFonts w:ascii="Arial" w:hAnsi="Arial" w:cs="Arial"/>
          <w:i/>
          <w:iCs/>
          <w:color w:val="000000" w:themeColor="text1"/>
          <w:sz w:val="24"/>
          <w:szCs w:val="24"/>
        </w:rPr>
        <w:t>75</w:t>
      </w:r>
      <w:r w:rsidRPr="005D12BE">
        <w:rPr>
          <w:rFonts w:ascii="Arial" w:hAnsi="Arial" w:cs="Arial"/>
          <w:color w:val="000000" w:themeColor="text1"/>
          <w:sz w:val="24"/>
          <w:szCs w:val="24"/>
        </w:rPr>
        <w:t>, pp.15-30.</w:t>
      </w:r>
    </w:p>
    <w:p w14:paraId="22A84B80"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r w:rsidRPr="005D12BE">
        <w:rPr>
          <w:rFonts w:ascii="Arial" w:hAnsi="Arial" w:cs="Arial"/>
          <w:color w:val="000000" w:themeColor="text1"/>
          <w:sz w:val="24"/>
          <w:szCs w:val="24"/>
        </w:rPr>
        <w:t>Nur, S., 2016. Increasing students' cultural awareness by using film in teaching cross-cultural understanding.</w:t>
      </w:r>
    </w:p>
    <w:p w14:paraId="2D652B9E"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proofErr w:type="spellStart"/>
      <w:r w:rsidRPr="005D12BE">
        <w:rPr>
          <w:rFonts w:ascii="Arial" w:hAnsi="Arial" w:cs="Arial"/>
          <w:color w:val="000000" w:themeColor="text1"/>
          <w:sz w:val="24"/>
          <w:szCs w:val="24"/>
        </w:rPr>
        <w:t>Piątkowska</w:t>
      </w:r>
      <w:proofErr w:type="spellEnd"/>
      <w:r w:rsidRPr="005D12BE">
        <w:rPr>
          <w:rFonts w:ascii="Arial" w:hAnsi="Arial" w:cs="Arial"/>
          <w:color w:val="000000" w:themeColor="text1"/>
          <w:sz w:val="24"/>
          <w:szCs w:val="24"/>
        </w:rPr>
        <w:t>, K., 2015. From cultural knowledge to intercultural communicative competence: changing perspectives on the role of culture in foreign language teaching. </w:t>
      </w:r>
      <w:r w:rsidRPr="005D12BE">
        <w:rPr>
          <w:rFonts w:ascii="Arial" w:hAnsi="Arial" w:cs="Arial"/>
          <w:i/>
          <w:iCs/>
          <w:color w:val="000000" w:themeColor="text1"/>
          <w:sz w:val="24"/>
          <w:szCs w:val="24"/>
        </w:rPr>
        <w:t>Intercultural Education</w:t>
      </w:r>
      <w:r w:rsidRPr="005D12BE">
        <w:rPr>
          <w:rFonts w:ascii="Arial" w:hAnsi="Arial" w:cs="Arial"/>
          <w:color w:val="000000" w:themeColor="text1"/>
          <w:sz w:val="24"/>
          <w:szCs w:val="24"/>
        </w:rPr>
        <w:t>, </w:t>
      </w:r>
      <w:r w:rsidRPr="005D12BE">
        <w:rPr>
          <w:rFonts w:ascii="Arial" w:hAnsi="Arial" w:cs="Arial"/>
          <w:i/>
          <w:iCs/>
          <w:color w:val="000000" w:themeColor="text1"/>
          <w:sz w:val="24"/>
          <w:szCs w:val="24"/>
        </w:rPr>
        <w:t>26</w:t>
      </w:r>
      <w:r w:rsidRPr="005D12BE">
        <w:rPr>
          <w:rFonts w:ascii="Arial" w:hAnsi="Arial" w:cs="Arial"/>
          <w:color w:val="000000" w:themeColor="text1"/>
          <w:sz w:val="24"/>
          <w:szCs w:val="24"/>
        </w:rPr>
        <w:t>(5), pp.397-408.</w:t>
      </w:r>
    </w:p>
    <w:p w14:paraId="1D471621" w14:textId="77777777" w:rsidR="005D12BE" w:rsidRPr="005D12BE" w:rsidRDefault="005D12BE" w:rsidP="005D12BE">
      <w:pPr>
        <w:spacing w:after="0" w:line="360" w:lineRule="auto"/>
        <w:ind w:left="720" w:hanging="720"/>
        <w:jc w:val="both"/>
        <w:rPr>
          <w:rFonts w:ascii="Arial" w:hAnsi="Arial" w:cs="Arial"/>
          <w:color w:val="000000" w:themeColor="text1"/>
          <w:sz w:val="24"/>
          <w:szCs w:val="24"/>
        </w:rPr>
      </w:pPr>
      <w:proofErr w:type="spellStart"/>
      <w:r w:rsidRPr="005D12BE">
        <w:rPr>
          <w:rFonts w:ascii="Arial" w:hAnsi="Arial" w:cs="Arial"/>
          <w:color w:val="000000" w:themeColor="text1"/>
          <w:sz w:val="24"/>
          <w:szCs w:val="24"/>
        </w:rPr>
        <w:t>Salamatina</w:t>
      </w:r>
      <w:proofErr w:type="spellEnd"/>
      <w:r w:rsidRPr="005D12BE">
        <w:rPr>
          <w:rFonts w:ascii="Arial" w:hAnsi="Arial" w:cs="Arial"/>
          <w:color w:val="000000" w:themeColor="text1"/>
          <w:sz w:val="24"/>
          <w:szCs w:val="24"/>
        </w:rPr>
        <w:t xml:space="preserve">, I. and </w:t>
      </w:r>
      <w:proofErr w:type="spellStart"/>
      <w:r w:rsidRPr="005D12BE">
        <w:rPr>
          <w:rFonts w:ascii="Arial" w:hAnsi="Arial" w:cs="Arial"/>
          <w:color w:val="000000" w:themeColor="text1"/>
          <w:sz w:val="24"/>
          <w:szCs w:val="24"/>
        </w:rPr>
        <w:t>Zh</w:t>
      </w:r>
      <w:proofErr w:type="spellEnd"/>
      <w:r w:rsidRPr="005D12BE">
        <w:rPr>
          <w:rFonts w:ascii="Arial" w:hAnsi="Arial" w:cs="Arial"/>
          <w:color w:val="000000" w:themeColor="text1"/>
          <w:sz w:val="24"/>
          <w:szCs w:val="24"/>
        </w:rPr>
        <w:t>, S., 2016. Developing social and cultural awareness in foreign language teaching. </w:t>
      </w:r>
      <w:proofErr w:type="spellStart"/>
      <w:r w:rsidRPr="005D12BE">
        <w:rPr>
          <w:rFonts w:ascii="Arial" w:hAnsi="Arial" w:cs="Arial"/>
          <w:i/>
          <w:iCs/>
          <w:color w:val="000000" w:themeColor="text1"/>
          <w:sz w:val="24"/>
          <w:szCs w:val="24"/>
        </w:rPr>
        <w:t>Русистика</w:t>
      </w:r>
      <w:proofErr w:type="spellEnd"/>
      <w:r w:rsidRPr="005D12BE">
        <w:rPr>
          <w:rFonts w:ascii="Arial" w:hAnsi="Arial" w:cs="Arial"/>
          <w:color w:val="000000" w:themeColor="text1"/>
          <w:sz w:val="24"/>
          <w:szCs w:val="24"/>
        </w:rPr>
        <w:t>, (3), pp.89-92.</w:t>
      </w:r>
    </w:p>
    <w:p w14:paraId="6A332D0E" w14:textId="4B28BFA3" w:rsidR="005D12BE" w:rsidRDefault="005D12BE" w:rsidP="005D12BE">
      <w:pPr>
        <w:spacing w:after="0" w:line="360" w:lineRule="auto"/>
        <w:jc w:val="both"/>
        <w:rPr>
          <w:rFonts w:ascii="Arial" w:hAnsi="Arial" w:cs="Arial"/>
          <w:color w:val="000000" w:themeColor="text1"/>
          <w:sz w:val="24"/>
          <w:szCs w:val="24"/>
        </w:rPr>
      </w:pPr>
      <w:r w:rsidRPr="005D12BE">
        <w:rPr>
          <w:rFonts w:ascii="Arial" w:hAnsi="Arial" w:cs="Arial"/>
          <w:color w:val="000000" w:themeColor="text1"/>
          <w:sz w:val="24"/>
          <w:szCs w:val="24"/>
        </w:rPr>
        <w:t xml:space="preserve">Soomro, S., </w:t>
      </w:r>
      <w:proofErr w:type="spellStart"/>
      <w:r w:rsidRPr="005D12BE">
        <w:rPr>
          <w:rFonts w:ascii="Arial" w:hAnsi="Arial" w:cs="Arial"/>
          <w:color w:val="000000" w:themeColor="text1"/>
          <w:sz w:val="24"/>
          <w:szCs w:val="24"/>
        </w:rPr>
        <w:t>Kazemian</w:t>
      </w:r>
      <w:proofErr w:type="spellEnd"/>
      <w:r w:rsidRPr="005D12BE">
        <w:rPr>
          <w:rFonts w:ascii="Arial" w:hAnsi="Arial" w:cs="Arial"/>
          <w:color w:val="000000" w:themeColor="text1"/>
          <w:sz w:val="24"/>
          <w:szCs w:val="24"/>
        </w:rPr>
        <w:t>, B. and Mahar, I., 2015. The importance of culture in second and foreign language learning. </w:t>
      </w:r>
      <w:proofErr w:type="spellStart"/>
      <w:r w:rsidRPr="005D12BE">
        <w:rPr>
          <w:rFonts w:ascii="Arial" w:hAnsi="Arial" w:cs="Arial"/>
          <w:i/>
          <w:iCs/>
          <w:color w:val="000000" w:themeColor="text1"/>
          <w:sz w:val="24"/>
          <w:szCs w:val="24"/>
        </w:rPr>
        <w:t>Dinamika</w:t>
      </w:r>
      <w:proofErr w:type="spellEnd"/>
      <w:r w:rsidRPr="005D12BE">
        <w:rPr>
          <w:rFonts w:ascii="Arial" w:hAnsi="Arial" w:cs="Arial"/>
          <w:i/>
          <w:iCs/>
          <w:color w:val="000000" w:themeColor="text1"/>
          <w:sz w:val="24"/>
          <w:szCs w:val="24"/>
        </w:rPr>
        <w:t xml:space="preserve"> </w:t>
      </w:r>
      <w:proofErr w:type="spellStart"/>
      <w:r w:rsidRPr="005D12BE">
        <w:rPr>
          <w:rFonts w:ascii="Arial" w:hAnsi="Arial" w:cs="Arial"/>
          <w:i/>
          <w:iCs/>
          <w:color w:val="000000" w:themeColor="text1"/>
          <w:sz w:val="24"/>
          <w:szCs w:val="24"/>
        </w:rPr>
        <w:t>Ilmu</w:t>
      </w:r>
      <w:proofErr w:type="spellEnd"/>
      <w:r w:rsidRPr="005D12BE">
        <w:rPr>
          <w:rFonts w:ascii="Arial" w:hAnsi="Arial" w:cs="Arial"/>
          <w:i/>
          <w:iCs/>
          <w:color w:val="000000" w:themeColor="text1"/>
          <w:sz w:val="24"/>
          <w:szCs w:val="24"/>
        </w:rPr>
        <w:t>: Journal of Education</w:t>
      </w:r>
      <w:r w:rsidRPr="005D12BE">
        <w:rPr>
          <w:rFonts w:ascii="Arial" w:hAnsi="Arial" w:cs="Arial"/>
          <w:color w:val="000000" w:themeColor="text1"/>
          <w:sz w:val="24"/>
          <w:szCs w:val="24"/>
        </w:rPr>
        <w:t>, </w:t>
      </w:r>
      <w:r w:rsidRPr="005D12BE">
        <w:rPr>
          <w:rFonts w:ascii="Arial" w:hAnsi="Arial" w:cs="Arial"/>
          <w:i/>
          <w:iCs/>
          <w:color w:val="000000" w:themeColor="text1"/>
          <w:sz w:val="24"/>
          <w:szCs w:val="24"/>
        </w:rPr>
        <w:t>15</w:t>
      </w:r>
      <w:r w:rsidRPr="005D12BE">
        <w:rPr>
          <w:rFonts w:ascii="Arial" w:hAnsi="Arial" w:cs="Arial"/>
          <w:color w:val="000000" w:themeColor="text1"/>
          <w:sz w:val="24"/>
          <w:szCs w:val="24"/>
        </w:rPr>
        <w:t>(1), pp.1-10</w:t>
      </w:r>
      <w:r w:rsidRPr="00A56552">
        <w:rPr>
          <w:rFonts w:asciiTheme="minorBidi" w:hAnsiTheme="minorBidi"/>
          <w:color w:val="000000" w:themeColor="text1"/>
        </w:rPr>
        <w:t>.</w:t>
      </w:r>
    </w:p>
    <w:p w14:paraId="5A1AEE06" w14:textId="77777777" w:rsidR="005D12BE" w:rsidRDefault="005D12BE" w:rsidP="002C2144">
      <w:pPr>
        <w:spacing w:after="0" w:line="360" w:lineRule="auto"/>
        <w:jc w:val="both"/>
        <w:rPr>
          <w:rFonts w:ascii="Arial" w:hAnsi="Arial" w:cs="Arial"/>
          <w:color w:val="000000" w:themeColor="text1"/>
          <w:sz w:val="24"/>
          <w:szCs w:val="24"/>
        </w:rPr>
      </w:pPr>
    </w:p>
    <w:p w14:paraId="51E0BFD2" w14:textId="30B63BA5" w:rsidR="002C2144" w:rsidRPr="002C2144" w:rsidRDefault="002C2144" w:rsidP="002C2144">
      <w:pPr>
        <w:spacing w:after="0" w:line="360" w:lineRule="auto"/>
        <w:jc w:val="both"/>
        <w:rPr>
          <w:rFonts w:ascii="Arial" w:hAnsi="Arial" w:cs="Arial"/>
          <w:color w:val="000000" w:themeColor="text1"/>
          <w:sz w:val="24"/>
          <w:szCs w:val="24"/>
        </w:rPr>
      </w:pPr>
      <w:r w:rsidRPr="002C2144">
        <w:rPr>
          <w:rFonts w:ascii="Arial" w:hAnsi="Arial" w:cs="Arial"/>
          <w:color w:val="000000" w:themeColor="text1"/>
          <w:sz w:val="24"/>
          <w:szCs w:val="24"/>
        </w:rPr>
        <w:t xml:space="preserve"> </w:t>
      </w:r>
    </w:p>
    <w:p w14:paraId="024FED8C" w14:textId="77777777" w:rsidR="002C2144" w:rsidRPr="002C2144" w:rsidRDefault="002C2144" w:rsidP="002C2144">
      <w:pPr>
        <w:pStyle w:val="ListParagraph"/>
        <w:spacing w:after="0" w:line="360" w:lineRule="auto"/>
        <w:ind w:left="360" w:firstLine="0"/>
        <w:rPr>
          <w:rFonts w:ascii="Arial" w:hAnsi="Arial" w:cs="Arial"/>
          <w:color w:val="000000" w:themeColor="text1"/>
        </w:rPr>
      </w:pPr>
    </w:p>
    <w:p w14:paraId="19605C79" w14:textId="476714C1" w:rsidR="00162279" w:rsidRPr="00162279" w:rsidRDefault="00162279" w:rsidP="00162279">
      <w:pPr>
        <w:spacing w:after="0" w:line="360" w:lineRule="auto"/>
        <w:jc w:val="both"/>
        <w:rPr>
          <w:rFonts w:ascii="Arial" w:hAnsi="Arial" w:cs="Arial"/>
          <w:color w:val="000000" w:themeColor="text1"/>
          <w:sz w:val="24"/>
          <w:szCs w:val="24"/>
        </w:rPr>
      </w:pPr>
      <w:r w:rsidRPr="00162279">
        <w:rPr>
          <w:rFonts w:ascii="Arial" w:hAnsi="Arial" w:cs="Arial"/>
          <w:color w:val="000000" w:themeColor="text1"/>
          <w:sz w:val="24"/>
          <w:szCs w:val="24"/>
        </w:rPr>
        <w:t xml:space="preserve"> </w:t>
      </w:r>
    </w:p>
    <w:p w14:paraId="1CED29C6" w14:textId="77777777" w:rsidR="00162279" w:rsidRPr="00162279" w:rsidRDefault="00162279" w:rsidP="00162279">
      <w:pPr>
        <w:spacing w:after="0" w:line="360" w:lineRule="auto"/>
        <w:jc w:val="both"/>
        <w:rPr>
          <w:rFonts w:ascii="Arial" w:hAnsi="Arial" w:cs="Arial"/>
          <w:color w:val="000000" w:themeColor="text1"/>
          <w:sz w:val="24"/>
          <w:szCs w:val="24"/>
        </w:rPr>
      </w:pPr>
    </w:p>
    <w:p w14:paraId="7BDF3D78" w14:textId="77777777" w:rsidR="00162279" w:rsidRPr="00162279" w:rsidRDefault="00162279" w:rsidP="00162279">
      <w:pPr>
        <w:spacing w:line="360" w:lineRule="auto"/>
        <w:jc w:val="both"/>
        <w:rPr>
          <w:rFonts w:ascii="Arial" w:hAnsi="Arial" w:cs="Arial"/>
          <w:sz w:val="24"/>
          <w:szCs w:val="24"/>
          <w:lang w:val="en-US"/>
        </w:rPr>
      </w:pPr>
    </w:p>
    <w:sectPr w:rsidR="00162279" w:rsidRPr="001622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E57C5"/>
    <w:multiLevelType w:val="hybridMultilevel"/>
    <w:tmpl w:val="B416477A"/>
    <w:lvl w:ilvl="0" w:tplc="3D84702E">
      <w:start w:val="1"/>
      <w:numFmt w:val="bullet"/>
      <w:lvlText w:val=""/>
      <w:lvlJc w:val="left"/>
      <w:pPr>
        <w:ind w:left="360" w:hanging="360"/>
      </w:pPr>
      <w:rPr>
        <w:rFonts w:ascii="Symbol" w:hAnsi="Symbol" w:hint="default"/>
      </w:rPr>
    </w:lvl>
    <w:lvl w:ilvl="1" w:tplc="36A24A9C" w:tentative="1">
      <w:start w:val="1"/>
      <w:numFmt w:val="bullet"/>
      <w:lvlText w:val="o"/>
      <w:lvlJc w:val="left"/>
      <w:pPr>
        <w:ind w:left="1080" w:hanging="360"/>
      </w:pPr>
      <w:rPr>
        <w:rFonts w:ascii="Courier New" w:hAnsi="Courier New" w:cs="Courier New" w:hint="default"/>
      </w:rPr>
    </w:lvl>
    <w:lvl w:ilvl="2" w:tplc="9BA2060C" w:tentative="1">
      <w:start w:val="1"/>
      <w:numFmt w:val="bullet"/>
      <w:lvlText w:val=""/>
      <w:lvlJc w:val="left"/>
      <w:pPr>
        <w:ind w:left="1800" w:hanging="360"/>
      </w:pPr>
      <w:rPr>
        <w:rFonts w:ascii="Wingdings" w:hAnsi="Wingdings" w:hint="default"/>
      </w:rPr>
    </w:lvl>
    <w:lvl w:ilvl="3" w:tplc="3386E83C" w:tentative="1">
      <w:start w:val="1"/>
      <w:numFmt w:val="bullet"/>
      <w:lvlText w:val=""/>
      <w:lvlJc w:val="left"/>
      <w:pPr>
        <w:ind w:left="2520" w:hanging="360"/>
      </w:pPr>
      <w:rPr>
        <w:rFonts w:ascii="Symbol" w:hAnsi="Symbol" w:hint="default"/>
      </w:rPr>
    </w:lvl>
    <w:lvl w:ilvl="4" w:tplc="E6B8E032" w:tentative="1">
      <w:start w:val="1"/>
      <w:numFmt w:val="bullet"/>
      <w:lvlText w:val="o"/>
      <w:lvlJc w:val="left"/>
      <w:pPr>
        <w:ind w:left="3240" w:hanging="360"/>
      </w:pPr>
      <w:rPr>
        <w:rFonts w:ascii="Courier New" w:hAnsi="Courier New" w:cs="Courier New" w:hint="default"/>
      </w:rPr>
    </w:lvl>
    <w:lvl w:ilvl="5" w:tplc="73840CC2" w:tentative="1">
      <w:start w:val="1"/>
      <w:numFmt w:val="bullet"/>
      <w:lvlText w:val=""/>
      <w:lvlJc w:val="left"/>
      <w:pPr>
        <w:ind w:left="3960" w:hanging="360"/>
      </w:pPr>
      <w:rPr>
        <w:rFonts w:ascii="Wingdings" w:hAnsi="Wingdings" w:hint="default"/>
      </w:rPr>
    </w:lvl>
    <w:lvl w:ilvl="6" w:tplc="EAC8AB62" w:tentative="1">
      <w:start w:val="1"/>
      <w:numFmt w:val="bullet"/>
      <w:lvlText w:val=""/>
      <w:lvlJc w:val="left"/>
      <w:pPr>
        <w:ind w:left="4680" w:hanging="360"/>
      </w:pPr>
      <w:rPr>
        <w:rFonts w:ascii="Symbol" w:hAnsi="Symbol" w:hint="default"/>
      </w:rPr>
    </w:lvl>
    <w:lvl w:ilvl="7" w:tplc="72D0381C" w:tentative="1">
      <w:start w:val="1"/>
      <w:numFmt w:val="bullet"/>
      <w:lvlText w:val="o"/>
      <w:lvlJc w:val="left"/>
      <w:pPr>
        <w:ind w:left="5400" w:hanging="360"/>
      </w:pPr>
      <w:rPr>
        <w:rFonts w:ascii="Courier New" w:hAnsi="Courier New" w:cs="Courier New" w:hint="default"/>
      </w:rPr>
    </w:lvl>
    <w:lvl w:ilvl="8" w:tplc="0CA0D758" w:tentative="1">
      <w:start w:val="1"/>
      <w:numFmt w:val="bullet"/>
      <w:lvlText w:val=""/>
      <w:lvlJc w:val="left"/>
      <w:pPr>
        <w:ind w:left="6120" w:hanging="360"/>
      </w:pPr>
      <w:rPr>
        <w:rFonts w:ascii="Wingdings" w:hAnsi="Wingdings" w:hint="default"/>
      </w:rPr>
    </w:lvl>
  </w:abstractNum>
  <w:abstractNum w:abstractNumId="1" w15:restartNumberingAfterBreak="0">
    <w:nsid w:val="3260513E"/>
    <w:multiLevelType w:val="hybridMultilevel"/>
    <w:tmpl w:val="FB86F202"/>
    <w:lvl w:ilvl="0" w:tplc="65E0A668">
      <w:start w:val="1"/>
      <w:numFmt w:val="bullet"/>
      <w:lvlText w:val=""/>
      <w:lvlJc w:val="left"/>
      <w:pPr>
        <w:ind w:left="360" w:hanging="360"/>
      </w:pPr>
      <w:rPr>
        <w:rFonts w:ascii="Symbol" w:hAnsi="Symbol" w:hint="default"/>
      </w:rPr>
    </w:lvl>
    <w:lvl w:ilvl="1" w:tplc="4EEC4374" w:tentative="1">
      <w:start w:val="1"/>
      <w:numFmt w:val="bullet"/>
      <w:lvlText w:val="o"/>
      <w:lvlJc w:val="left"/>
      <w:pPr>
        <w:ind w:left="1080" w:hanging="360"/>
      </w:pPr>
      <w:rPr>
        <w:rFonts w:ascii="Courier New" w:hAnsi="Courier New" w:cs="Courier New" w:hint="default"/>
      </w:rPr>
    </w:lvl>
    <w:lvl w:ilvl="2" w:tplc="2DBC037E" w:tentative="1">
      <w:start w:val="1"/>
      <w:numFmt w:val="bullet"/>
      <w:lvlText w:val=""/>
      <w:lvlJc w:val="left"/>
      <w:pPr>
        <w:ind w:left="1800" w:hanging="360"/>
      </w:pPr>
      <w:rPr>
        <w:rFonts w:ascii="Wingdings" w:hAnsi="Wingdings" w:hint="default"/>
      </w:rPr>
    </w:lvl>
    <w:lvl w:ilvl="3" w:tplc="55947560" w:tentative="1">
      <w:start w:val="1"/>
      <w:numFmt w:val="bullet"/>
      <w:lvlText w:val=""/>
      <w:lvlJc w:val="left"/>
      <w:pPr>
        <w:ind w:left="2520" w:hanging="360"/>
      </w:pPr>
      <w:rPr>
        <w:rFonts w:ascii="Symbol" w:hAnsi="Symbol" w:hint="default"/>
      </w:rPr>
    </w:lvl>
    <w:lvl w:ilvl="4" w:tplc="88824A24" w:tentative="1">
      <w:start w:val="1"/>
      <w:numFmt w:val="bullet"/>
      <w:lvlText w:val="o"/>
      <w:lvlJc w:val="left"/>
      <w:pPr>
        <w:ind w:left="3240" w:hanging="360"/>
      </w:pPr>
      <w:rPr>
        <w:rFonts w:ascii="Courier New" w:hAnsi="Courier New" w:cs="Courier New" w:hint="default"/>
      </w:rPr>
    </w:lvl>
    <w:lvl w:ilvl="5" w:tplc="CA8254E2" w:tentative="1">
      <w:start w:val="1"/>
      <w:numFmt w:val="bullet"/>
      <w:lvlText w:val=""/>
      <w:lvlJc w:val="left"/>
      <w:pPr>
        <w:ind w:left="3960" w:hanging="360"/>
      </w:pPr>
      <w:rPr>
        <w:rFonts w:ascii="Wingdings" w:hAnsi="Wingdings" w:hint="default"/>
      </w:rPr>
    </w:lvl>
    <w:lvl w:ilvl="6" w:tplc="DA4ACF7E" w:tentative="1">
      <w:start w:val="1"/>
      <w:numFmt w:val="bullet"/>
      <w:lvlText w:val=""/>
      <w:lvlJc w:val="left"/>
      <w:pPr>
        <w:ind w:left="4680" w:hanging="360"/>
      </w:pPr>
      <w:rPr>
        <w:rFonts w:ascii="Symbol" w:hAnsi="Symbol" w:hint="default"/>
      </w:rPr>
    </w:lvl>
    <w:lvl w:ilvl="7" w:tplc="963C0162" w:tentative="1">
      <w:start w:val="1"/>
      <w:numFmt w:val="bullet"/>
      <w:lvlText w:val="o"/>
      <w:lvlJc w:val="left"/>
      <w:pPr>
        <w:ind w:left="5400" w:hanging="360"/>
      </w:pPr>
      <w:rPr>
        <w:rFonts w:ascii="Courier New" w:hAnsi="Courier New" w:cs="Courier New" w:hint="default"/>
      </w:rPr>
    </w:lvl>
    <w:lvl w:ilvl="8" w:tplc="85BE6F9E" w:tentative="1">
      <w:start w:val="1"/>
      <w:numFmt w:val="bullet"/>
      <w:lvlText w:val=""/>
      <w:lvlJc w:val="left"/>
      <w:pPr>
        <w:ind w:left="6120" w:hanging="360"/>
      </w:pPr>
      <w:rPr>
        <w:rFonts w:ascii="Wingdings" w:hAnsi="Wingdings" w:hint="default"/>
      </w:rPr>
    </w:lvl>
  </w:abstractNum>
  <w:num w:numId="1" w16cid:durableId="1625843096">
    <w:abstractNumId w:val="0"/>
  </w:num>
  <w:num w:numId="2" w16cid:durableId="1839812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2C5"/>
    <w:rsid w:val="00162279"/>
    <w:rsid w:val="002C2144"/>
    <w:rsid w:val="005D12BE"/>
    <w:rsid w:val="00D43B1E"/>
    <w:rsid w:val="00D857E5"/>
    <w:rsid w:val="00E26CE7"/>
    <w:rsid w:val="00F23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8D4A7"/>
  <w15:chartTrackingRefBased/>
  <w15:docId w15:val="{35A297A4-61C6-4761-B309-C05FF3311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279"/>
    <w:pPr>
      <w:jc w:val="both"/>
      <w:outlineLvl w:val="0"/>
    </w:pPr>
    <w:rPr>
      <w:rFonts w:asciiTheme="minorBidi" w:hAnsiTheme="minorBidi"/>
      <w:b/>
      <w:bCs/>
      <w:kern w:val="0"/>
      <w:sz w:val="24"/>
      <w:szCs w:val="24"/>
      <w:u w:val="single"/>
      <w:shd w:val="clear" w:color="auto" w:fill="FFFFFF"/>
      <w14:ligatures w14:val="none"/>
    </w:rPr>
  </w:style>
  <w:style w:type="paragraph" w:styleId="Heading2">
    <w:name w:val="heading 2"/>
    <w:basedOn w:val="Normal"/>
    <w:next w:val="Normal"/>
    <w:link w:val="Heading2Char"/>
    <w:uiPriority w:val="9"/>
    <w:unhideWhenUsed/>
    <w:qFormat/>
    <w:rsid w:val="002C21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C21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279"/>
    <w:rPr>
      <w:rFonts w:asciiTheme="minorBidi" w:hAnsiTheme="minorBidi"/>
      <w:b/>
      <w:bCs/>
      <w:kern w:val="0"/>
      <w:sz w:val="24"/>
      <w:szCs w:val="24"/>
      <w:u w:val="single"/>
      <w14:ligatures w14:val="none"/>
    </w:rPr>
  </w:style>
  <w:style w:type="character" w:customStyle="1" w:styleId="Heading2Char">
    <w:name w:val="Heading 2 Char"/>
    <w:basedOn w:val="DefaultParagraphFont"/>
    <w:link w:val="Heading2"/>
    <w:uiPriority w:val="9"/>
    <w:rsid w:val="002C214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1"/>
    <w:rsid w:val="002C2144"/>
    <w:pPr>
      <w:widowControl w:val="0"/>
      <w:autoSpaceDE w:val="0"/>
      <w:autoSpaceDN w:val="0"/>
      <w:ind w:left="944" w:hanging="360"/>
      <w:jc w:val="both"/>
    </w:pPr>
    <w:rPr>
      <w:rFonts w:ascii="Times New Roman" w:eastAsia="Arial MT" w:hAnsi="Times New Roman" w:cs="Arial MT"/>
      <w:kern w:val="0"/>
      <w:sz w:val="24"/>
      <w:szCs w:val="24"/>
      <w:shd w:val="clear" w:color="auto" w:fill="FFFFFF"/>
      <w14:ligatures w14:val="none"/>
    </w:rPr>
  </w:style>
  <w:style w:type="character" w:customStyle="1" w:styleId="Heading3Char">
    <w:name w:val="Heading 3 Char"/>
    <w:basedOn w:val="DefaultParagraphFont"/>
    <w:link w:val="Heading3"/>
    <w:uiPriority w:val="9"/>
    <w:rsid w:val="002C2144"/>
    <w:rPr>
      <w:rFonts w:asciiTheme="majorHAnsi" w:eastAsiaTheme="majorEastAsia" w:hAnsiTheme="majorHAnsi" w:cstheme="majorBidi"/>
      <w:color w:val="1F3763" w:themeColor="accent1" w:themeShade="7F"/>
      <w:sz w:val="24"/>
      <w:szCs w:val="24"/>
    </w:rPr>
  </w:style>
  <w:style w:type="paragraph" w:customStyle="1" w:styleId="TableParagraph">
    <w:name w:val="Table Paragraph"/>
    <w:basedOn w:val="Normal"/>
    <w:uiPriority w:val="1"/>
    <w:qFormat/>
    <w:rsid w:val="002C2144"/>
    <w:pPr>
      <w:widowControl w:val="0"/>
      <w:autoSpaceDE w:val="0"/>
      <w:autoSpaceDN w:val="0"/>
      <w:spacing w:after="0" w:line="240" w:lineRule="auto"/>
      <w:ind w:left="112"/>
      <w:jc w:val="both"/>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1514</Words>
  <Characters>8634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Gheorghe-Minel Nica (2122262)</dc:creator>
  <cp:keywords/>
  <dc:description/>
  <cp:lastModifiedBy>Gheorghe-Minel Nica (2122262)</cp:lastModifiedBy>
  <cp:revision>2</cp:revision>
  <dcterms:created xsi:type="dcterms:W3CDTF">2023-03-10T17:12:00Z</dcterms:created>
  <dcterms:modified xsi:type="dcterms:W3CDTF">2023-03-10T17:12:00Z</dcterms:modified>
</cp:coreProperties>
</file>