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4DFB4C" w14:textId="71E2FD97" w:rsidR="00FC4FCE" w:rsidRDefault="00487D6B" w:rsidP="00487D6B">
      <w:pPr>
        <w:jc w:val="center"/>
        <w:rPr>
          <w:rFonts w:ascii="Calibri" w:hAnsi="Calibri" w:cs="Calibri"/>
          <w:sz w:val="32"/>
          <w:szCs w:val="32"/>
        </w:rPr>
      </w:pPr>
      <w:r w:rsidRPr="00B6038E">
        <w:rPr>
          <w:rFonts w:ascii="Calibri" w:hAnsi="Calibri" w:cs="Calibri"/>
          <w:sz w:val="32"/>
          <w:szCs w:val="32"/>
        </w:rPr>
        <w:t>Evaluat</w:t>
      </w:r>
      <w:r w:rsidR="00A54247">
        <w:rPr>
          <w:rFonts w:ascii="Calibri" w:hAnsi="Calibri" w:cs="Calibri"/>
          <w:sz w:val="32"/>
          <w:szCs w:val="32"/>
        </w:rPr>
        <w:t>e</w:t>
      </w:r>
      <w:r w:rsidRPr="00B6038E">
        <w:rPr>
          <w:rFonts w:ascii="Calibri" w:hAnsi="Calibri" w:cs="Calibri"/>
          <w:sz w:val="32"/>
          <w:szCs w:val="32"/>
        </w:rPr>
        <w:t xml:space="preserve"> the tests used to establish causation in relation to a breach of duty of care.</w:t>
      </w:r>
    </w:p>
    <w:p w14:paraId="55EA8E66" w14:textId="77777777" w:rsidR="004D2968" w:rsidRDefault="004D2968" w:rsidP="00487D6B">
      <w:pPr>
        <w:jc w:val="center"/>
        <w:rPr>
          <w:rFonts w:ascii="Calibri" w:hAnsi="Calibri" w:cs="Calibri"/>
          <w:sz w:val="32"/>
          <w:szCs w:val="32"/>
        </w:rPr>
      </w:pPr>
    </w:p>
    <w:p w14:paraId="6EE54014" w14:textId="509B3F79" w:rsidR="00363C91" w:rsidRDefault="004D2968" w:rsidP="00B83DB0">
      <w:pPr>
        <w:spacing w:line="360" w:lineRule="auto"/>
        <w:rPr>
          <w:rFonts w:ascii="Calibri" w:hAnsi="Calibri" w:cs="Calibri"/>
        </w:rPr>
      </w:pPr>
      <w:r>
        <w:rPr>
          <w:rFonts w:ascii="Calibri" w:hAnsi="Calibri" w:cs="Calibri"/>
        </w:rPr>
        <w:t xml:space="preserve">Duty of care is a required statutory responsibility to keep people </w:t>
      </w:r>
      <w:r w:rsidR="00986062">
        <w:rPr>
          <w:rFonts w:ascii="Calibri" w:hAnsi="Calibri" w:cs="Calibri"/>
        </w:rPr>
        <w:t xml:space="preserve">safe and away from harm, </w:t>
      </w:r>
      <w:r w:rsidR="00A950EF">
        <w:rPr>
          <w:rFonts w:ascii="Calibri" w:hAnsi="Calibri" w:cs="Calibri"/>
        </w:rPr>
        <w:t xml:space="preserve">this was </w:t>
      </w:r>
      <w:r w:rsidR="007E2659">
        <w:rPr>
          <w:rFonts w:ascii="Calibri" w:hAnsi="Calibri" w:cs="Calibri"/>
        </w:rPr>
        <w:t xml:space="preserve">established in the case </w:t>
      </w:r>
      <w:r w:rsidR="00545B1B">
        <w:rPr>
          <w:rFonts w:ascii="Calibri" w:hAnsi="Calibri" w:cs="Calibri"/>
        </w:rPr>
        <w:t xml:space="preserve">of </w:t>
      </w:r>
      <w:r w:rsidR="007E2659">
        <w:rPr>
          <w:rFonts w:ascii="Calibri" w:hAnsi="Calibri" w:cs="Calibri"/>
        </w:rPr>
        <w:t>Donoghue v Stevenson [1932].</w:t>
      </w:r>
      <w:r w:rsidR="002D20CA">
        <w:rPr>
          <w:rFonts w:ascii="Calibri" w:hAnsi="Calibri" w:cs="Calibri"/>
        </w:rPr>
        <w:t xml:space="preserve"> (</w:t>
      </w:r>
      <w:r w:rsidR="002D20CA" w:rsidRPr="002D20CA">
        <w:rPr>
          <w:rFonts w:ascii="Calibri" w:hAnsi="Calibri" w:cs="Calibri"/>
          <w:i/>
          <w:iCs/>
        </w:rPr>
        <w:t>Thompson Solicitors</w:t>
      </w:r>
      <w:r w:rsidR="00280887">
        <w:rPr>
          <w:rFonts w:ascii="Calibri" w:hAnsi="Calibri" w:cs="Calibri"/>
          <w:i/>
          <w:iCs/>
        </w:rPr>
        <w:t>, 2024</w:t>
      </w:r>
      <w:r w:rsidR="002D20CA" w:rsidRPr="002D20CA">
        <w:rPr>
          <w:rFonts w:ascii="Calibri" w:hAnsi="Calibri" w:cs="Calibri"/>
          <w:i/>
          <w:iCs/>
        </w:rPr>
        <w:t>)</w:t>
      </w:r>
      <w:r w:rsidR="00DD0F59">
        <w:rPr>
          <w:rFonts w:ascii="Calibri" w:hAnsi="Calibri" w:cs="Calibri"/>
        </w:rPr>
        <w:t xml:space="preserve">. A </w:t>
      </w:r>
      <w:r w:rsidR="00D11931">
        <w:rPr>
          <w:rFonts w:ascii="Calibri" w:hAnsi="Calibri" w:cs="Calibri"/>
        </w:rPr>
        <w:t>breach of duty of care is when someone</w:t>
      </w:r>
      <w:r w:rsidR="001F3FAE">
        <w:rPr>
          <w:rFonts w:ascii="Calibri" w:hAnsi="Calibri" w:cs="Calibri"/>
        </w:rPr>
        <w:t xml:space="preserve"> or something does not meet a reasonable standard of care. </w:t>
      </w:r>
      <w:r w:rsidR="001F3FAE" w:rsidRPr="001F3FAE">
        <w:rPr>
          <w:rFonts w:ascii="Calibri" w:hAnsi="Calibri" w:cs="Calibri"/>
          <w:i/>
          <w:iCs/>
        </w:rPr>
        <w:t>(</w:t>
      </w:r>
      <w:r w:rsidR="00F63330">
        <w:rPr>
          <w:rFonts w:ascii="Calibri" w:hAnsi="Calibri" w:cs="Calibri"/>
          <w:i/>
          <w:iCs/>
        </w:rPr>
        <w:t>Zieber, B.</w:t>
      </w:r>
      <w:r w:rsidR="001F3FAE" w:rsidRPr="001F3FAE">
        <w:rPr>
          <w:rFonts w:ascii="Calibri" w:hAnsi="Calibri" w:cs="Calibri"/>
          <w:i/>
          <w:iCs/>
        </w:rPr>
        <w:t>), (2023).</w:t>
      </w:r>
      <w:r w:rsidR="001F3FAE">
        <w:rPr>
          <w:rFonts w:ascii="Calibri" w:hAnsi="Calibri" w:cs="Calibri"/>
        </w:rPr>
        <w:t xml:space="preserve"> </w:t>
      </w:r>
      <w:r w:rsidR="00F13DEB">
        <w:rPr>
          <w:rFonts w:ascii="Calibri" w:hAnsi="Calibri" w:cs="Calibri"/>
        </w:rPr>
        <w:t>Causation refers to the policy definition</w:t>
      </w:r>
      <w:r w:rsidR="00DD065B">
        <w:rPr>
          <w:rFonts w:ascii="Calibri" w:hAnsi="Calibri" w:cs="Calibri"/>
        </w:rPr>
        <w:t xml:space="preserve">, as defined by the law, it is a factual relationship between an act and a consequence that </w:t>
      </w:r>
      <w:r w:rsidR="003E5DCA">
        <w:rPr>
          <w:rFonts w:ascii="Calibri" w:hAnsi="Calibri" w:cs="Calibri"/>
        </w:rPr>
        <w:t xml:space="preserve">directly results from the action. </w:t>
      </w:r>
      <w:r w:rsidR="003E5DCA" w:rsidRPr="0060367E">
        <w:rPr>
          <w:rFonts w:ascii="Calibri" w:hAnsi="Calibri" w:cs="Calibri"/>
          <w:i/>
          <w:iCs/>
        </w:rPr>
        <w:t>(LexisNexis, 2024)</w:t>
      </w:r>
      <w:r w:rsidR="0060367E" w:rsidRPr="0060367E">
        <w:rPr>
          <w:rFonts w:ascii="Calibri" w:hAnsi="Calibri" w:cs="Calibri"/>
          <w:i/>
          <w:iCs/>
        </w:rPr>
        <w:t>.</w:t>
      </w:r>
      <w:r w:rsidR="00EF448C">
        <w:rPr>
          <w:rFonts w:ascii="Calibri" w:hAnsi="Calibri" w:cs="Calibri"/>
        </w:rPr>
        <w:t xml:space="preserve"> </w:t>
      </w:r>
      <w:r w:rsidR="00410761">
        <w:rPr>
          <w:rFonts w:ascii="Calibri" w:hAnsi="Calibri" w:cs="Calibri"/>
        </w:rPr>
        <w:t>T</w:t>
      </w:r>
      <w:r w:rsidR="00D73497">
        <w:rPr>
          <w:rFonts w:ascii="Calibri" w:hAnsi="Calibri" w:cs="Calibri"/>
        </w:rPr>
        <w:t>he but-f</w:t>
      </w:r>
      <w:r w:rsidR="004810BF">
        <w:rPr>
          <w:rFonts w:ascii="Calibri" w:hAnsi="Calibri" w:cs="Calibri"/>
        </w:rPr>
        <w:t>or test would provide U</w:t>
      </w:r>
      <w:r w:rsidR="00410761">
        <w:rPr>
          <w:rFonts w:ascii="Calibri" w:hAnsi="Calibri" w:cs="Calibri"/>
        </w:rPr>
        <w:t>K</w:t>
      </w:r>
      <w:r w:rsidR="004810BF">
        <w:rPr>
          <w:rFonts w:ascii="Calibri" w:hAnsi="Calibri" w:cs="Calibri"/>
        </w:rPr>
        <w:t xml:space="preserve"> causation laws more flexibility and equity</w:t>
      </w:r>
      <w:r w:rsidR="00D80CF8">
        <w:rPr>
          <w:rFonts w:ascii="Calibri" w:hAnsi="Calibri" w:cs="Calibri"/>
        </w:rPr>
        <w:t xml:space="preserve">, especially in complicated cases. </w:t>
      </w:r>
      <w:r w:rsidR="00654B6B">
        <w:rPr>
          <w:rFonts w:ascii="Calibri" w:hAnsi="Calibri" w:cs="Calibri"/>
        </w:rPr>
        <w:t>Whereas</w:t>
      </w:r>
      <w:r w:rsidR="00410761">
        <w:rPr>
          <w:rFonts w:ascii="Calibri" w:hAnsi="Calibri" w:cs="Calibri"/>
        </w:rPr>
        <w:t xml:space="preserve"> </w:t>
      </w:r>
      <w:r w:rsidR="00363C91">
        <w:rPr>
          <w:rFonts w:ascii="Calibri" w:hAnsi="Calibri" w:cs="Calibri"/>
        </w:rPr>
        <w:t>the ‘thin skull</w:t>
      </w:r>
      <w:r w:rsidR="007375FE">
        <w:rPr>
          <w:rFonts w:ascii="Calibri" w:hAnsi="Calibri" w:cs="Calibri"/>
        </w:rPr>
        <w:t xml:space="preserve">’ rule could help ensure a balance between fair responsibilities and equal exchanges. </w:t>
      </w:r>
      <w:r w:rsidR="00C477AA">
        <w:rPr>
          <w:rFonts w:ascii="Calibri" w:hAnsi="Calibri" w:cs="Calibri"/>
        </w:rPr>
        <w:t>As a result</w:t>
      </w:r>
      <w:r w:rsidR="000A3898">
        <w:rPr>
          <w:rFonts w:ascii="Calibri" w:hAnsi="Calibri" w:cs="Calibri"/>
        </w:rPr>
        <w:t>, this assignment will evaluate the</w:t>
      </w:r>
      <w:r w:rsidR="00C33327">
        <w:rPr>
          <w:rFonts w:ascii="Calibri" w:hAnsi="Calibri" w:cs="Calibri"/>
        </w:rPr>
        <w:t xml:space="preserve"> but-for</w:t>
      </w:r>
      <w:r w:rsidR="000A3898">
        <w:rPr>
          <w:rFonts w:ascii="Calibri" w:hAnsi="Calibri" w:cs="Calibri"/>
        </w:rPr>
        <w:t xml:space="preserve"> </w:t>
      </w:r>
      <w:r w:rsidR="00C33327">
        <w:rPr>
          <w:rFonts w:ascii="Calibri" w:hAnsi="Calibri" w:cs="Calibri"/>
        </w:rPr>
        <w:t>test, and the thin-skull test</w:t>
      </w:r>
      <w:r w:rsidR="000A3898">
        <w:rPr>
          <w:rFonts w:ascii="Calibri" w:hAnsi="Calibri" w:cs="Calibri"/>
        </w:rPr>
        <w:t xml:space="preserve"> </w:t>
      </w:r>
      <w:r w:rsidR="00A950EF">
        <w:rPr>
          <w:rFonts w:ascii="Calibri" w:hAnsi="Calibri" w:cs="Calibri"/>
        </w:rPr>
        <w:t xml:space="preserve">which are both </w:t>
      </w:r>
      <w:r w:rsidR="000A3898">
        <w:rPr>
          <w:rFonts w:ascii="Calibri" w:hAnsi="Calibri" w:cs="Calibri"/>
        </w:rPr>
        <w:t xml:space="preserve">used to </w:t>
      </w:r>
      <w:r w:rsidR="00345917">
        <w:rPr>
          <w:rFonts w:ascii="Calibri" w:hAnsi="Calibri" w:cs="Calibri"/>
        </w:rPr>
        <w:t xml:space="preserve">establish causation in relation to a breach of duty of care. </w:t>
      </w:r>
    </w:p>
    <w:p w14:paraId="32B4E21D" w14:textId="77777777" w:rsidR="00654B6B" w:rsidRDefault="00654B6B" w:rsidP="00B83DB0">
      <w:pPr>
        <w:spacing w:line="360" w:lineRule="auto"/>
        <w:rPr>
          <w:rFonts w:ascii="Calibri" w:hAnsi="Calibri" w:cs="Calibri"/>
        </w:rPr>
      </w:pPr>
    </w:p>
    <w:p w14:paraId="1723A71B" w14:textId="62A3B583" w:rsidR="00972551" w:rsidRDefault="00E2206C" w:rsidP="00444F07">
      <w:pPr>
        <w:spacing w:line="360" w:lineRule="auto"/>
        <w:rPr>
          <w:rFonts w:ascii="Calibri" w:hAnsi="Calibri" w:cs="Calibri"/>
          <w:i/>
          <w:iCs/>
        </w:rPr>
      </w:pPr>
      <w:r>
        <w:rPr>
          <w:rFonts w:ascii="Calibri" w:hAnsi="Calibri" w:cs="Calibri"/>
        </w:rPr>
        <w:t>Duty of care</w:t>
      </w:r>
      <w:r w:rsidR="000B1C68">
        <w:rPr>
          <w:rFonts w:ascii="Calibri" w:hAnsi="Calibri" w:cs="Calibri"/>
        </w:rPr>
        <w:t xml:space="preserve"> </w:t>
      </w:r>
      <w:r>
        <w:rPr>
          <w:rFonts w:ascii="Calibri" w:hAnsi="Calibri" w:cs="Calibri"/>
        </w:rPr>
        <w:t xml:space="preserve">refers to </w:t>
      </w:r>
      <w:r w:rsidR="004552F5">
        <w:rPr>
          <w:rFonts w:ascii="Calibri" w:hAnsi="Calibri" w:cs="Calibri"/>
        </w:rPr>
        <w:t xml:space="preserve">all the details in a case where the defendant </w:t>
      </w:r>
      <w:r w:rsidR="00E019DD">
        <w:rPr>
          <w:rFonts w:ascii="Calibri" w:hAnsi="Calibri" w:cs="Calibri"/>
        </w:rPr>
        <w:t>must</w:t>
      </w:r>
      <w:r w:rsidR="00641732">
        <w:rPr>
          <w:rFonts w:ascii="Calibri" w:hAnsi="Calibri" w:cs="Calibri"/>
        </w:rPr>
        <w:t xml:space="preserve"> take reasonable steps to prevent foreseeable </w:t>
      </w:r>
      <w:r w:rsidR="00E019DD">
        <w:rPr>
          <w:rFonts w:ascii="Calibri" w:hAnsi="Calibri" w:cs="Calibri"/>
        </w:rPr>
        <w:t xml:space="preserve">harm to the claimant. </w:t>
      </w:r>
      <w:r w:rsidR="000B1C68" w:rsidRPr="003B52F4">
        <w:rPr>
          <w:rFonts w:ascii="Calibri" w:hAnsi="Calibri" w:cs="Calibri"/>
          <w:i/>
          <w:iCs/>
        </w:rPr>
        <w:t>(Lexis</w:t>
      </w:r>
      <w:r w:rsidR="003B52F4" w:rsidRPr="003B52F4">
        <w:rPr>
          <w:rFonts w:ascii="Calibri" w:hAnsi="Calibri" w:cs="Calibri"/>
          <w:i/>
          <w:iCs/>
        </w:rPr>
        <w:t>Nexis), (2024)</w:t>
      </w:r>
      <w:r w:rsidR="00444F07">
        <w:rPr>
          <w:rFonts w:ascii="Calibri" w:hAnsi="Calibri" w:cs="Calibri"/>
        </w:rPr>
        <w:t xml:space="preserve">. In English tort law, the three-part Caparo test </w:t>
      </w:r>
      <w:r w:rsidR="00545B1B">
        <w:rPr>
          <w:rFonts w:ascii="Calibri" w:hAnsi="Calibri" w:cs="Calibri"/>
        </w:rPr>
        <w:t>evaluates</w:t>
      </w:r>
      <w:r w:rsidR="00444F07">
        <w:rPr>
          <w:rFonts w:ascii="Calibri" w:hAnsi="Calibri" w:cs="Calibri"/>
        </w:rPr>
        <w:t xml:space="preserve"> whether a duty of care is owed in certain circumstances. </w:t>
      </w:r>
      <w:r w:rsidR="009763D8">
        <w:rPr>
          <w:rFonts w:ascii="Calibri" w:hAnsi="Calibri" w:cs="Calibri"/>
        </w:rPr>
        <w:t>The three parts</w:t>
      </w:r>
      <w:r w:rsidR="00F568C3">
        <w:rPr>
          <w:rFonts w:ascii="Calibri" w:hAnsi="Calibri" w:cs="Calibri"/>
        </w:rPr>
        <w:t xml:space="preserve"> of the test include foreseeability, proximity, fairness, just</w:t>
      </w:r>
      <w:r w:rsidR="00D620CD">
        <w:rPr>
          <w:rFonts w:ascii="Calibri" w:hAnsi="Calibri" w:cs="Calibri"/>
        </w:rPr>
        <w:t xml:space="preserve">, </w:t>
      </w:r>
      <w:r w:rsidR="00F568C3">
        <w:rPr>
          <w:rFonts w:ascii="Calibri" w:hAnsi="Calibri" w:cs="Calibri"/>
        </w:rPr>
        <w:t xml:space="preserve">and reasonableness. </w:t>
      </w:r>
      <w:r w:rsidR="00444F07">
        <w:rPr>
          <w:rFonts w:ascii="Calibri" w:hAnsi="Calibri" w:cs="Calibri"/>
        </w:rPr>
        <w:t xml:space="preserve">The </w:t>
      </w:r>
      <w:r w:rsidR="00B47567">
        <w:rPr>
          <w:rFonts w:ascii="Calibri" w:hAnsi="Calibri" w:cs="Calibri"/>
        </w:rPr>
        <w:t xml:space="preserve">Caparo </w:t>
      </w:r>
      <w:r w:rsidR="00444F07">
        <w:rPr>
          <w:rFonts w:ascii="Calibri" w:hAnsi="Calibri" w:cs="Calibri"/>
        </w:rPr>
        <w:t xml:space="preserve">test was created by the House of Lords </w:t>
      </w:r>
      <w:r w:rsidR="00B47567">
        <w:rPr>
          <w:rFonts w:ascii="Calibri" w:hAnsi="Calibri" w:cs="Calibri"/>
        </w:rPr>
        <w:t xml:space="preserve">due to </w:t>
      </w:r>
      <w:r w:rsidR="00444F07">
        <w:rPr>
          <w:rFonts w:ascii="Calibri" w:hAnsi="Calibri" w:cs="Calibri"/>
        </w:rPr>
        <w:t>the case of Caparo Industries plc v Dickman [1990].</w:t>
      </w:r>
      <w:r w:rsidR="003D2CA1">
        <w:rPr>
          <w:rFonts w:ascii="Calibri" w:hAnsi="Calibri" w:cs="Calibri"/>
        </w:rPr>
        <w:t xml:space="preserve"> </w:t>
      </w:r>
      <w:r w:rsidR="003D2CA1" w:rsidRPr="003D2CA1">
        <w:rPr>
          <w:rFonts w:ascii="Calibri" w:hAnsi="Calibri" w:cs="Calibri"/>
          <w:i/>
          <w:iCs/>
        </w:rPr>
        <w:t>(UOLLB), (2024).</w:t>
      </w:r>
      <w:r w:rsidR="003D2CA1">
        <w:rPr>
          <w:rFonts w:ascii="Calibri" w:hAnsi="Calibri" w:cs="Calibri"/>
          <w:i/>
          <w:iCs/>
        </w:rPr>
        <w:t xml:space="preserve"> </w:t>
      </w:r>
      <w:r w:rsidR="00D8780A">
        <w:rPr>
          <w:rFonts w:ascii="Calibri" w:hAnsi="Calibri" w:cs="Calibri"/>
        </w:rPr>
        <w:t>The decision</w:t>
      </w:r>
      <w:r w:rsidR="00D20CED">
        <w:rPr>
          <w:rFonts w:ascii="Calibri" w:hAnsi="Calibri" w:cs="Calibri"/>
        </w:rPr>
        <w:t xml:space="preserve"> with</w:t>
      </w:r>
      <w:r w:rsidR="00D8780A">
        <w:rPr>
          <w:rFonts w:ascii="Calibri" w:hAnsi="Calibri" w:cs="Calibri"/>
        </w:rPr>
        <w:t>in the</w:t>
      </w:r>
      <w:r w:rsidR="00020187">
        <w:rPr>
          <w:rFonts w:ascii="Calibri" w:hAnsi="Calibri" w:cs="Calibri"/>
        </w:rPr>
        <w:t xml:space="preserve"> </w:t>
      </w:r>
      <w:r w:rsidR="00A81599">
        <w:rPr>
          <w:rFonts w:ascii="Calibri" w:hAnsi="Calibri" w:cs="Calibri"/>
        </w:rPr>
        <w:t xml:space="preserve">case made it clear that responsibility </w:t>
      </w:r>
      <w:r w:rsidR="00CC6E13">
        <w:rPr>
          <w:rFonts w:ascii="Calibri" w:hAnsi="Calibri" w:cs="Calibri"/>
        </w:rPr>
        <w:t>must be</w:t>
      </w:r>
      <w:r w:rsidR="004E2EA1">
        <w:rPr>
          <w:rFonts w:ascii="Calibri" w:hAnsi="Calibri" w:cs="Calibri"/>
        </w:rPr>
        <w:t xml:space="preserve"> determined by considering the legal requirement</w:t>
      </w:r>
      <w:r w:rsidR="00507743">
        <w:rPr>
          <w:rFonts w:ascii="Calibri" w:hAnsi="Calibri" w:cs="Calibri"/>
        </w:rPr>
        <w:t xml:space="preserve"> </w:t>
      </w:r>
      <w:r w:rsidR="000171F3">
        <w:rPr>
          <w:rFonts w:ascii="Calibri" w:hAnsi="Calibri" w:cs="Calibri"/>
        </w:rPr>
        <w:t xml:space="preserve">to </w:t>
      </w:r>
      <w:r w:rsidR="00507743">
        <w:rPr>
          <w:rFonts w:ascii="Calibri" w:hAnsi="Calibri" w:cs="Calibri"/>
        </w:rPr>
        <w:t>prepare</w:t>
      </w:r>
      <w:r w:rsidR="00BF45D7">
        <w:rPr>
          <w:rFonts w:ascii="Calibri" w:hAnsi="Calibri" w:cs="Calibri"/>
        </w:rPr>
        <w:t xml:space="preserve"> and </w:t>
      </w:r>
      <w:r w:rsidR="00CB4831">
        <w:rPr>
          <w:rFonts w:ascii="Calibri" w:hAnsi="Calibri" w:cs="Calibri"/>
        </w:rPr>
        <w:t>verify statements</w:t>
      </w:r>
      <w:r w:rsidR="00545B1B">
        <w:rPr>
          <w:rFonts w:ascii="Calibri" w:hAnsi="Calibri" w:cs="Calibri"/>
        </w:rPr>
        <w:t>,</w:t>
      </w:r>
      <w:r w:rsidR="00BF45D7">
        <w:rPr>
          <w:rFonts w:ascii="Calibri" w:hAnsi="Calibri" w:cs="Calibri"/>
        </w:rPr>
        <w:t xml:space="preserve"> as foreseeability alone </w:t>
      </w:r>
      <w:r w:rsidR="00545B1B">
        <w:rPr>
          <w:rFonts w:ascii="Calibri" w:hAnsi="Calibri" w:cs="Calibri"/>
        </w:rPr>
        <w:t>cannot</w:t>
      </w:r>
      <w:r w:rsidR="00BF45D7">
        <w:rPr>
          <w:rFonts w:ascii="Calibri" w:hAnsi="Calibri" w:cs="Calibri"/>
        </w:rPr>
        <w:t xml:space="preserve"> establish a duty of care</w:t>
      </w:r>
      <w:r w:rsidR="00B93144">
        <w:rPr>
          <w:rFonts w:ascii="Calibri" w:hAnsi="Calibri" w:cs="Calibri"/>
        </w:rPr>
        <w:t>.</w:t>
      </w:r>
      <w:r w:rsidR="00B93144" w:rsidRPr="00B93144">
        <w:rPr>
          <w:rFonts w:ascii="Calibri" w:hAnsi="Calibri" w:cs="Calibri"/>
          <w:i/>
          <w:iCs/>
        </w:rPr>
        <w:t xml:space="preserve"> (Casemine), (2023).</w:t>
      </w:r>
      <w:r w:rsidR="00B93144">
        <w:rPr>
          <w:rFonts w:ascii="Calibri" w:hAnsi="Calibri" w:cs="Calibri"/>
          <w:i/>
          <w:iCs/>
        </w:rPr>
        <w:t xml:space="preserve"> </w:t>
      </w:r>
    </w:p>
    <w:p w14:paraId="245002E0" w14:textId="77777777" w:rsidR="00D620CD" w:rsidRPr="00D620CD" w:rsidRDefault="00D620CD" w:rsidP="00444F07">
      <w:pPr>
        <w:spacing w:line="360" w:lineRule="auto"/>
        <w:rPr>
          <w:rFonts w:ascii="Calibri" w:hAnsi="Calibri" w:cs="Calibri"/>
          <w:i/>
          <w:iCs/>
        </w:rPr>
      </w:pPr>
    </w:p>
    <w:p w14:paraId="3686B30A" w14:textId="77777777" w:rsidR="00924868" w:rsidRDefault="004C6245" w:rsidP="00444F07">
      <w:pPr>
        <w:spacing w:line="360" w:lineRule="auto"/>
        <w:rPr>
          <w:rFonts w:ascii="Calibri" w:hAnsi="Calibri" w:cs="Calibri"/>
        </w:rPr>
      </w:pPr>
      <w:r>
        <w:rPr>
          <w:rFonts w:ascii="Calibri" w:hAnsi="Calibri" w:cs="Calibri"/>
        </w:rPr>
        <w:t xml:space="preserve">However, when an individual or an organisation fails to apply </w:t>
      </w:r>
      <w:r w:rsidR="00A87784">
        <w:rPr>
          <w:rFonts w:ascii="Calibri" w:hAnsi="Calibri" w:cs="Calibri"/>
        </w:rPr>
        <w:t xml:space="preserve">a reasonable level of care, it Is considered a breach of duty of care. </w:t>
      </w:r>
      <w:r w:rsidR="00CD0567">
        <w:rPr>
          <w:rFonts w:ascii="Calibri" w:hAnsi="Calibri" w:cs="Calibri"/>
        </w:rPr>
        <w:t xml:space="preserve">The claimant must show that the defendant’s actions or lack of actions fell short of the expected standards to prove a breach, which is a key component of a negligence claim. An example can be seen in medical negligence. Medical negligence is when a healthcare provider gives a patient poor treatment that directly causes harm or an existing illness. </w:t>
      </w:r>
      <w:r w:rsidR="00CD0567" w:rsidRPr="00224A47">
        <w:rPr>
          <w:rFonts w:ascii="Calibri" w:hAnsi="Calibri" w:cs="Calibri"/>
          <w:i/>
          <w:iCs/>
        </w:rPr>
        <w:t>(Irwin Mitchell</w:t>
      </w:r>
      <w:r w:rsidR="00B12F4A">
        <w:rPr>
          <w:rFonts w:ascii="Calibri" w:hAnsi="Calibri" w:cs="Calibri"/>
          <w:i/>
          <w:iCs/>
        </w:rPr>
        <w:t xml:space="preserve"> </w:t>
      </w:r>
      <w:r w:rsidR="00CD0567" w:rsidRPr="00224A47">
        <w:rPr>
          <w:rFonts w:ascii="Calibri" w:hAnsi="Calibri" w:cs="Calibri"/>
          <w:i/>
          <w:iCs/>
        </w:rPr>
        <w:t>2024).</w:t>
      </w:r>
      <w:r w:rsidR="00CD0567">
        <w:rPr>
          <w:rFonts w:ascii="Calibri" w:hAnsi="Calibri" w:cs="Calibri"/>
          <w:i/>
          <w:iCs/>
        </w:rPr>
        <w:t xml:space="preserve"> </w:t>
      </w:r>
      <w:r w:rsidR="00CD0567">
        <w:rPr>
          <w:rFonts w:ascii="Calibri" w:hAnsi="Calibri" w:cs="Calibri"/>
        </w:rPr>
        <w:t xml:space="preserve">The standard for medical negligence was established in the case of Bolam v Friern Hospital Management Committee [1957], where the court decided that if a doctor’s acts are in line with a responsible body of medical </w:t>
      </w:r>
      <w:r w:rsidR="00CD0567">
        <w:rPr>
          <w:rFonts w:ascii="Calibri" w:hAnsi="Calibri" w:cs="Calibri"/>
        </w:rPr>
        <w:lastRenderedPageBreak/>
        <w:t xml:space="preserve">opinion, they are not considered negligent. </w:t>
      </w:r>
      <w:r w:rsidR="00CD0567" w:rsidRPr="000B4F90">
        <w:rPr>
          <w:rFonts w:ascii="Calibri" w:hAnsi="Calibri" w:cs="Calibri"/>
          <w:i/>
          <w:iCs/>
        </w:rPr>
        <w:t>(Negligence Solicitors</w:t>
      </w:r>
      <w:r w:rsidR="00417F27">
        <w:rPr>
          <w:rFonts w:ascii="Calibri" w:hAnsi="Calibri" w:cs="Calibri"/>
          <w:i/>
          <w:iCs/>
        </w:rPr>
        <w:t xml:space="preserve">, </w:t>
      </w:r>
      <w:r w:rsidR="00CD0567" w:rsidRPr="000B4F90">
        <w:rPr>
          <w:rFonts w:ascii="Calibri" w:hAnsi="Calibri" w:cs="Calibri"/>
          <w:i/>
          <w:iCs/>
        </w:rPr>
        <w:t>2024)</w:t>
      </w:r>
      <w:r w:rsidR="00CD0567">
        <w:rPr>
          <w:rFonts w:ascii="Calibri" w:hAnsi="Calibri" w:cs="Calibri"/>
        </w:rPr>
        <w:t>.</w:t>
      </w:r>
      <w:r w:rsidR="00EF6FE5">
        <w:rPr>
          <w:rFonts w:ascii="Calibri" w:hAnsi="Calibri" w:cs="Calibri"/>
        </w:rPr>
        <w:t xml:space="preserve"> </w:t>
      </w:r>
      <w:r w:rsidR="00E67386">
        <w:rPr>
          <w:rFonts w:ascii="Calibri" w:hAnsi="Calibri" w:cs="Calibri"/>
        </w:rPr>
        <w:t xml:space="preserve">To </w:t>
      </w:r>
      <w:r w:rsidR="00BC03C3">
        <w:rPr>
          <w:rFonts w:ascii="Calibri" w:hAnsi="Calibri" w:cs="Calibri"/>
        </w:rPr>
        <w:t>determine</w:t>
      </w:r>
      <w:r w:rsidR="00E67386">
        <w:rPr>
          <w:rFonts w:ascii="Calibri" w:hAnsi="Calibri" w:cs="Calibri"/>
        </w:rPr>
        <w:t xml:space="preserve"> if a breach of duty of care ha</w:t>
      </w:r>
      <w:r w:rsidR="00535C8A">
        <w:rPr>
          <w:rFonts w:ascii="Calibri" w:hAnsi="Calibri" w:cs="Calibri"/>
        </w:rPr>
        <w:t xml:space="preserve">s </w:t>
      </w:r>
      <w:r w:rsidR="002971EF">
        <w:rPr>
          <w:rFonts w:ascii="Calibri" w:hAnsi="Calibri" w:cs="Calibri"/>
        </w:rPr>
        <w:t>occurred</w:t>
      </w:r>
      <w:r w:rsidR="00E67386">
        <w:rPr>
          <w:rFonts w:ascii="Calibri" w:hAnsi="Calibri" w:cs="Calibri"/>
        </w:rPr>
        <w:t xml:space="preserve">, </w:t>
      </w:r>
      <w:r w:rsidR="00535C8A">
        <w:rPr>
          <w:rFonts w:ascii="Calibri" w:hAnsi="Calibri" w:cs="Calibri"/>
        </w:rPr>
        <w:t>it is important to consider</w:t>
      </w:r>
      <w:r w:rsidR="002971EF">
        <w:rPr>
          <w:rFonts w:ascii="Calibri" w:hAnsi="Calibri" w:cs="Calibri"/>
        </w:rPr>
        <w:t xml:space="preserve"> whether a </w:t>
      </w:r>
      <w:r w:rsidR="00DA386B">
        <w:rPr>
          <w:rFonts w:ascii="Calibri" w:hAnsi="Calibri" w:cs="Calibri"/>
        </w:rPr>
        <w:t xml:space="preserve">duty of care was owed </w:t>
      </w:r>
      <w:r w:rsidR="008F20F9">
        <w:rPr>
          <w:rFonts w:ascii="Calibri" w:hAnsi="Calibri" w:cs="Calibri"/>
        </w:rPr>
        <w:t xml:space="preserve">and </w:t>
      </w:r>
      <w:r w:rsidR="002971EF">
        <w:rPr>
          <w:rFonts w:ascii="Calibri" w:hAnsi="Calibri" w:cs="Calibri"/>
        </w:rPr>
        <w:t>if</w:t>
      </w:r>
      <w:r w:rsidR="008F20F9">
        <w:rPr>
          <w:rFonts w:ascii="Calibri" w:hAnsi="Calibri" w:cs="Calibri"/>
        </w:rPr>
        <w:t xml:space="preserve"> th</w:t>
      </w:r>
      <w:r w:rsidR="00221E50">
        <w:rPr>
          <w:rFonts w:ascii="Calibri" w:hAnsi="Calibri" w:cs="Calibri"/>
        </w:rPr>
        <w:t>e standard of care has been met.</w:t>
      </w:r>
      <w:r w:rsidR="002309CC">
        <w:rPr>
          <w:rFonts w:ascii="Calibri" w:hAnsi="Calibri" w:cs="Calibri"/>
        </w:rPr>
        <w:t xml:space="preserve"> </w:t>
      </w:r>
      <w:r w:rsidR="002309CC" w:rsidRPr="002309CC">
        <w:rPr>
          <w:rFonts w:ascii="Calibri" w:hAnsi="Calibri" w:cs="Calibri"/>
          <w:i/>
          <w:iCs/>
        </w:rPr>
        <w:t>(</w:t>
      </w:r>
      <w:r w:rsidR="00C65F83">
        <w:rPr>
          <w:rFonts w:ascii="Calibri" w:hAnsi="Calibri" w:cs="Calibri"/>
          <w:i/>
          <w:iCs/>
        </w:rPr>
        <w:t>Zieber, B</w:t>
      </w:r>
      <w:r w:rsidR="00F63330">
        <w:rPr>
          <w:rFonts w:ascii="Calibri" w:hAnsi="Calibri" w:cs="Calibri"/>
          <w:i/>
          <w:iCs/>
        </w:rPr>
        <w:t>.</w:t>
      </w:r>
      <w:r w:rsidR="00F63330" w:rsidRPr="002309CC">
        <w:rPr>
          <w:rFonts w:ascii="Calibri" w:hAnsi="Calibri" w:cs="Calibri"/>
          <w:i/>
          <w:iCs/>
        </w:rPr>
        <w:t>), (</w:t>
      </w:r>
      <w:r w:rsidR="002309CC" w:rsidRPr="002309CC">
        <w:rPr>
          <w:rFonts w:ascii="Calibri" w:hAnsi="Calibri" w:cs="Calibri"/>
          <w:i/>
          <w:iCs/>
        </w:rPr>
        <w:t>2023).</w:t>
      </w:r>
      <w:r w:rsidR="00890D05">
        <w:rPr>
          <w:rFonts w:ascii="Calibri" w:hAnsi="Calibri" w:cs="Calibri"/>
        </w:rPr>
        <w:t xml:space="preserve"> </w:t>
      </w:r>
      <w:r w:rsidR="00750529">
        <w:rPr>
          <w:rFonts w:ascii="Calibri" w:hAnsi="Calibri" w:cs="Calibri"/>
        </w:rPr>
        <w:t>This can be seen in the ca</w:t>
      </w:r>
      <w:r w:rsidR="00A26866">
        <w:rPr>
          <w:rFonts w:ascii="Calibri" w:hAnsi="Calibri" w:cs="Calibri"/>
        </w:rPr>
        <w:t xml:space="preserve">se </w:t>
      </w:r>
      <w:r w:rsidR="0054408C">
        <w:rPr>
          <w:rFonts w:ascii="Calibri" w:hAnsi="Calibri" w:cs="Calibri"/>
        </w:rPr>
        <w:t>Blyth v Birmingham Waterworks Co [1856]</w:t>
      </w:r>
      <w:r w:rsidR="00545B1B">
        <w:rPr>
          <w:rFonts w:ascii="Calibri" w:hAnsi="Calibri" w:cs="Calibri"/>
        </w:rPr>
        <w:t>,</w:t>
      </w:r>
      <w:r w:rsidR="00023BAD">
        <w:rPr>
          <w:rFonts w:ascii="Calibri" w:hAnsi="Calibri" w:cs="Calibri"/>
        </w:rPr>
        <w:t xml:space="preserve"> where the defendant was</w:t>
      </w:r>
      <w:r w:rsidR="00863F5A">
        <w:rPr>
          <w:rFonts w:ascii="Calibri" w:hAnsi="Calibri" w:cs="Calibri"/>
        </w:rPr>
        <w:t xml:space="preserve"> </w:t>
      </w:r>
      <w:r w:rsidR="00CE30C2">
        <w:rPr>
          <w:rFonts w:ascii="Calibri" w:hAnsi="Calibri" w:cs="Calibri"/>
        </w:rPr>
        <w:t>legally obligated to instal</w:t>
      </w:r>
      <w:r w:rsidR="009654EC">
        <w:rPr>
          <w:rFonts w:ascii="Calibri" w:hAnsi="Calibri" w:cs="Calibri"/>
        </w:rPr>
        <w:t>l pipelines and provide fireplugs</w:t>
      </w:r>
      <w:r w:rsidR="00972A0A">
        <w:rPr>
          <w:rFonts w:ascii="Calibri" w:hAnsi="Calibri" w:cs="Calibri"/>
        </w:rPr>
        <w:t xml:space="preserve">. </w:t>
      </w:r>
      <w:r w:rsidR="009654EC">
        <w:rPr>
          <w:rFonts w:ascii="Calibri" w:hAnsi="Calibri" w:cs="Calibri"/>
        </w:rPr>
        <w:t>However, they failed to fulfil these requirements</w:t>
      </w:r>
      <w:r w:rsidR="000904EE">
        <w:rPr>
          <w:rFonts w:ascii="Calibri" w:hAnsi="Calibri" w:cs="Calibri"/>
        </w:rPr>
        <w:t xml:space="preserve">. </w:t>
      </w:r>
      <w:r w:rsidR="001E0280">
        <w:rPr>
          <w:rFonts w:ascii="Calibri" w:hAnsi="Calibri" w:cs="Calibri"/>
        </w:rPr>
        <w:t xml:space="preserve">Resulting </w:t>
      </w:r>
      <w:r w:rsidR="00F50A12">
        <w:rPr>
          <w:rFonts w:ascii="Calibri" w:hAnsi="Calibri" w:cs="Calibri"/>
        </w:rPr>
        <w:t>in</w:t>
      </w:r>
      <w:r w:rsidR="001E0280">
        <w:rPr>
          <w:rFonts w:ascii="Calibri" w:hAnsi="Calibri" w:cs="Calibri"/>
        </w:rPr>
        <w:t xml:space="preserve"> </w:t>
      </w:r>
      <w:r w:rsidR="000904EE">
        <w:rPr>
          <w:rFonts w:ascii="Calibri" w:hAnsi="Calibri" w:cs="Calibri"/>
        </w:rPr>
        <w:t>flooding that damaged the claimant’s home</w:t>
      </w:r>
      <w:r w:rsidR="00360A59">
        <w:rPr>
          <w:rFonts w:ascii="Calibri" w:hAnsi="Calibri" w:cs="Calibri"/>
        </w:rPr>
        <w:t>. Consequently, the County Courts found the defendant to be negligently liable for the damages.</w:t>
      </w:r>
      <w:r w:rsidR="00A160BA">
        <w:rPr>
          <w:rFonts w:ascii="Calibri" w:hAnsi="Calibri" w:cs="Calibri"/>
        </w:rPr>
        <w:t xml:space="preserve"> </w:t>
      </w:r>
      <w:r w:rsidR="00A160BA" w:rsidRPr="00FC7928">
        <w:rPr>
          <w:rFonts w:ascii="Calibri" w:hAnsi="Calibri" w:cs="Calibri"/>
          <w:i/>
          <w:iCs/>
        </w:rPr>
        <w:t>(IPSALOQUITUR), (2019)</w:t>
      </w:r>
      <w:r w:rsidR="00FC7928">
        <w:rPr>
          <w:rFonts w:ascii="Calibri" w:hAnsi="Calibri" w:cs="Calibri"/>
        </w:rPr>
        <w:t>.</w:t>
      </w:r>
    </w:p>
    <w:p w14:paraId="5E49E114" w14:textId="77777777" w:rsidR="00924868" w:rsidRDefault="00924868" w:rsidP="00444F07">
      <w:pPr>
        <w:spacing w:line="360" w:lineRule="auto"/>
        <w:rPr>
          <w:rFonts w:ascii="Calibri" w:hAnsi="Calibri" w:cs="Calibri"/>
        </w:rPr>
      </w:pPr>
    </w:p>
    <w:p w14:paraId="0036513F" w14:textId="688F58AD" w:rsidR="00924868" w:rsidRPr="00924868" w:rsidRDefault="00B601A8" w:rsidP="00444F07">
      <w:pPr>
        <w:spacing w:line="360" w:lineRule="auto"/>
        <w:rPr>
          <w:rFonts w:ascii="Calibri" w:hAnsi="Calibri" w:cs="Calibri"/>
        </w:rPr>
      </w:pPr>
      <w:r>
        <w:rPr>
          <w:rFonts w:ascii="Calibri" w:hAnsi="Calibri" w:cs="Calibri"/>
        </w:rPr>
        <w:t xml:space="preserve">Causation </w:t>
      </w:r>
      <w:r w:rsidR="00D20918">
        <w:rPr>
          <w:rFonts w:ascii="Calibri" w:hAnsi="Calibri" w:cs="Calibri"/>
        </w:rPr>
        <w:t>establishes</w:t>
      </w:r>
      <w:r>
        <w:rPr>
          <w:rFonts w:ascii="Calibri" w:hAnsi="Calibri" w:cs="Calibri"/>
        </w:rPr>
        <w:t xml:space="preserve"> a ca</w:t>
      </w:r>
      <w:r w:rsidR="00D20918">
        <w:rPr>
          <w:rFonts w:ascii="Calibri" w:hAnsi="Calibri" w:cs="Calibri"/>
        </w:rPr>
        <w:t>us</w:t>
      </w:r>
      <w:r>
        <w:rPr>
          <w:rFonts w:ascii="Calibri" w:hAnsi="Calibri" w:cs="Calibri"/>
        </w:rPr>
        <w:t xml:space="preserve">al link between the alleged wrongdoing and the resulting loss. This can </w:t>
      </w:r>
      <w:r w:rsidR="00665569">
        <w:rPr>
          <w:rFonts w:ascii="Calibri" w:hAnsi="Calibri" w:cs="Calibri"/>
        </w:rPr>
        <w:t xml:space="preserve">include </w:t>
      </w:r>
      <w:r>
        <w:rPr>
          <w:rFonts w:ascii="Calibri" w:hAnsi="Calibri" w:cs="Calibri"/>
        </w:rPr>
        <w:t xml:space="preserve">complex factual and legal </w:t>
      </w:r>
      <w:r w:rsidR="00D20918">
        <w:rPr>
          <w:rFonts w:ascii="Calibri" w:hAnsi="Calibri" w:cs="Calibri"/>
        </w:rPr>
        <w:t>matters, and the applicable test will vary based on both the cause of action being pursued and the specific type of loss claimed.</w:t>
      </w:r>
      <w:r w:rsidR="00746F8C">
        <w:rPr>
          <w:rFonts w:ascii="Calibri" w:hAnsi="Calibri" w:cs="Calibri"/>
        </w:rPr>
        <w:t xml:space="preserve"> </w:t>
      </w:r>
      <w:r w:rsidR="00746F8C" w:rsidRPr="00746F8C">
        <w:rPr>
          <w:rFonts w:ascii="Calibri" w:hAnsi="Calibri" w:cs="Calibri"/>
          <w:i/>
          <w:iCs/>
        </w:rPr>
        <w:t>(LexisNexis, 2019).</w:t>
      </w:r>
      <w:r w:rsidR="002153C5">
        <w:rPr>
          <w:rFonts w:ascii="Calibri" w:hAnsi="Calibri" w:cs="Calibri"/>
        </w:rPr>
        <w:t xml:space="preserve"> </w:t>
      </w:r>
      <w:r w:rsidR="00E53212">
        <w:rPr>
          <w:rFonts w:ascii="Calibri" w:hAnsi="Calibri" w:cs="Calibri"/>
        </w:rPr>
        <w:t xml:space="preserve">Both factual and legal causation need to be proven </w:t>
      </w:r>
      <w:r w:rsidR="00314DDD">
        <w:rPr>
          <w:rFonts w:ascii="Calibri" w:hAnsi="Calibri" w:cs="Calibri"/>
        </w:rPr>
        <w:t xml:space="preserve">to </w:t>
      </w:r>
      <w:r w:rsidR="008F5E9E">
        <w:rPr>
          <w:rFonts w:ascii="Calibri" w:hAnsi="Calibri" w:cs="Calibri"/>
        </w:rPr>
        <w:t xml:space="preserve">establish causation </w:t>
      </w:r>
      <w:r w:rsidR="00812EA5">
        <w:rPr>
          <w:rFonts w:ascii="Calibri" w:hAnsi="Calibri" w:cs="Calibri"/>
        </w:rPr>
        <w:t xml:space="preserve">in respect of tort claims. </w:t>
      </w:r>
      <w:r w:rsidR="00215B96">
        <w:rPr>
          <w:rFonts w:ascii="Calibri" w:hAnsi="Calibri" w:cs="Calibri"/>
        </w:rPr>
        <w:t>Factual Causation</w:t>
      </w:r>
      <w:r w:rsidR="00025FF5">
        <w:rPr>
          <w:rFonts w:ascii="Calibri" w:hAnsi="Calibri" w:cs="Calibri"/>
        </w:rPr>
        <w:t xml:space="preserve"> refers to situations where </w:t>
      </w:r>
      <w:r w:rsidR="000B1B90">
        <w:rPr>
          <w:rFonts w:ascii="Calibri" w:hAnsi="Calibri" w:cs="Calibri"/>
        </w:rPr>
        <w:t>several</w:t>
      </w:r>
      <w:r w:rsidR="00215B96">
        <w:rPr>
          <w:rFonts w:ascii="Calibri" w:hAnsi="Calibri" w:cs="Calibri"/>
        </w:rPr>
        <w:t xml:space="preserve"> </w:t>
      </w:r>
      <w:r w:rsidR="00C96C2A">
        <w:rPr>
          <w:rFonts w:ascii="Calibri" w:hAnsi="Calibri" w:cs="Calibri"/>
        </w:rPr>
        <w:t>potential causes</w:t>
      </w:r>
      <w:r w:rsidR="00025FF5">
        <w:rPr>
          <w:rFonts w:ascii="Calibri" w:hAnsi="Calibri" w:cs="Calibri"/>
        </w:rPr>
        <w:t xml:space="preserve"> exist</w:t>
      </w:r>
      <w:r w:rsidR="006C2681">
        <w:rPr>
          <w:rFonts w:ascii="Calibri" w:hAnsi="Calibri" w:cs="Calibri"/>
        </w:rPr>
        <w:t>.</w:t>
      </w:r>
      <w:r w:rsidR="00D57334">
        <w:rPr>
          <w:rFonts w:ascii="Calibri" w:hAnsi="Calibri" w:cs="Calibri"/>
        </w:rPr>
        <w:t xml:space="preserve"> </w:t>
      </w:r>
      <w:r w:rsidR="000B1B90">
        <w:rPr>
          <w:rFonts w:ascii="Calibri" w:hAnsi="Calibri" w:cs="Calibri"/>
        </w:rPr>
        <w:t>To establish factual causation</w:t>
      </w:r>
      <w:r w:rsidR="00EC0F74">
        <w:rPr>
          <w:rFonts w:ascii="Calibri" w:hAnsi="Calibri" w:cs="Calibri"/>
        </w:rPr>
        <w:t>, it must show</w:t>
      </w:r>
      <w:r w:rsidR="00F238BD">
        <w:rPr>
          <w:rFonts w:ascii="Calibri" w:hAnsi="Calibri" w:cs="Calibri"/>
        </w:rPr>
        <w:t xml:space="preserve"> that “but for” the defendant’s actions, the event would</w:t>
      </w:r>
      <w:r w:rsidR="000A7275">
        <w:rPr>
          <w:rFonts w:ascii="Calibri" w:hAnsi="Calibri" w:cs="Calibri"/>
        </w:rPr>
        <w:t xml:space="preserve"> not have occurred. The act must be a necessary cause of the event</w:t>
      </w:r>
      <w:r w:rsidR="006C348C">
        <w:rPr>
          <w:rFonts w:ascii="Calibri" w:hAnsi="Calibri" w:cs="Calibri"/>
        </w:rPr>
        <w:t xml:space="preserve">, which is often referred to as the “but–for” test. </w:t>
      </w:r>
      <w:r w:rsidR="006C348C" w:rsidRPr="006C348C">
        <w:rPr>
          <w:rFonts w:ascii="Calibri" w:hAnsi="Calibri" w:cs="Calibri"/>
          <w:i/>
          <w:iCs/>
        </w:rPr>
        <w:t>(Oxford References, 2024).</w:t>
      </w:r>
      <w:r w:rsidR="00D57334">
        <w:rPr>
          <w:rFonts w:ascii="Calibri" w:hAnsi="Calibri" w:cs="Calibri"/>
        </w:rPr>
        <w:t xml:space="preserve"> </w:t>
      </w:r>
      <w:r w:rsidR="00AA6D33">
        <w:rPr>
          <w:rFonts w:ascii="Calibri" w:hAnsi="Calibri" w:cs="Calibri"/>
        </w:rPr>
        <w:t xml:space="preserve">Once the factual causation has been established, there is a need to prove </w:t>
      </w:r>
      <w:r w:rsidR="006D7654">
        <w:rPr>
          <w:rFonts w:ascii="Calibri" w:hAnsi="Calibri" w:cs="Calibri"/>
        </w:rPr>
        <w:t xml:space="preserve">legal causation. Legal causation refers to the requirement that the defendant’s actions must </w:t>
      </w:r>
      <w:r w:rsidR="00BA7C84">
        <w:rPr>
          <w:rFonts w:ascii="Calibri" w:hAnsi="Calibri" w:cs="Calibri"/>
        </w:rPr>
        <w:t>create</w:t>
      </w:r>
      <w:r w:rsidR="001C0DD0">
        <w:rPr>
          <w:rFonts w:ascii="Calibri" w:hAnsi="Calibri" w:cs="Calibri"/>
        </w:rPr>
        <w:t xml:space="preserve"> an </w:t>
      </w:r>
      <w:r w:rsidR="00815723">
        <w:rPr>
          <w:rFonts w:ascii="Calibri" w:hAnsi="Calibri" w:cs="Calibri"/>
        </w:rPr>
        <w:t xml:space="preserve">important and active factor in producing the resulting consequence. </w:t>
      </w:r>
      <w:r w:rsidR="00B722ED" w:rsidRPr="00B722ED">
        <w:rPr>
          <w:rFonts w:ascii="Calibri" w:hAnsi="Calibri" w:cs="Calibri"/>
          <w:i/>
          <w:iCs/>
        </w:rPr>
        <w:t>(Oxford References, 2024).</w:t>
      </w:r>
      <w:r w:rsidR="00800B75">
        <w:rPr>
          <w:rFonts w:ascii="Calibri" w:hAnsi="Calibri" w:cs="Calibri"/>
        </w:rPr>
        <w:t xml:space="preserve"> </w:t>
      </w:r>
      <w:r w:rsidR="00C64F3A">
        <w:rPr>
          <w:rFonts w:ascii="Calibri" w:hAnsi="Calibri" w:cs="Calibri"/>
        </w:rPr>
        <w:t xml:space="preserve"> </w:t>
      </w:r>
      <w:r w:rsidR="000D17CC">
        <w:rPr>
          <w:rFonts w:ascii="Calibri" w:hAnsi="Calibri" w:cs="Calibri"/>
        </w:rPr>
        <w:t xml:space="preserve">The </w:t>
      </w:r>
      <w:r w:rsidR="00610B23">
        <w:rPr>
          <w:rFonts w:ascii="Calibri" w:hAnsi="Calibri" w:cs="Calibri"/>
        </w:rPr>
        <w:t xml:space="preserve">“but-for” test is a fundamental principle in legal </w:t>
      </w:r>
      <w:r w:rsidR="00171908">
        <w:rPr>
          <w:rFonts w:ascii="Calibri" w:hAnsi="Calibri" w:cs="Calibri"/>
        </w:rPr>
        <w:t>and factual causation</w:t>
      </w:r>
      <w:r w:rsidR="001D76CC">
        <w:rPr>
          <w:rFonts w:ascii="Calibri" w:hAnsi="Calibri" w:cs="Calibri"/>
        </w:rPr>
        <w:t xml:space="preserve"> which is used</w:t>
      </w:r>
      <w:r w:rsidR="00D7059E">
        <w:rPr>
          <w:rFonts w:ascii="Calibri" w:hAnsi="Calibri" w:cs="Calibri"/>
        </w:rPr>
        <w:t xml:space="preserve"> to determin</w:t>
      </w:r>
      <w:r w:rsidR="005742B0">
        <w:rPr>
          <w:rFonts w:ascii="Calibri" w:hAnsi="Calibri" w:cs="Calibri"/>
        </w:rPr>
        <w:t>e</w:t>
      </w:r>
      <w:r w:rsidR="00D7059E">
        <w:rPr>
          <w:rFonts w:ascii="Calibri" w:hAnsi="Calibri" w:cs="Calibri"/>
        </w:rPr>
        <w:t xml:space="preserve"> the ca</w:t>
      </w:r>
      <w:r w:rsidR="005742B0">
        <w:rPr>
          <w:rFonts w:ascii="Calibri" w:hAnsi="Calibri" w:cs="Calibri"/>
        </w:rPr>
        <w:t>us</w:t>
      </w:r>
      <w:r w:rsidR="00D7059E">
        <w:rPr>
          <w:rFonts w:ascii="Calibri" w:hAnsi="Calibri" w:cs="Calibri"/>
        </w:rPr>
        <w:t xml:space="preserve">al relationship between </w:t>
      </w:r>
      <w:r w:rsidR="005742B0">
        <w:rPr>
          <w:rFonts w:ascii="Calibri" w:hAnsi="Calibri" w:cs="Calibri"/>
        </w:rPr>
        <w:t xml:space="preserve">the </w:t>
      </w:r>
      <w:r w:rsidR="00D7059E">
        <w:rPr>
          <w:rFonts w:ascii="Calibri" w:hAnsi="Calibri" w:cs="Calibri"/>
        </w:rPr>
        <w:t xml:space="preserve">defendant’s actions and </w:t>
      </w:r>
      <w:r w:rsidR="005742B0">
        <w:rPr>
          <w:rFonts w:ascii="Calibri" w:hAnsi="Calibri" w:cs="Calibri"/>
        </w:rPr>
        <w:t xml:space="preserve">a claimant’s resultant harm. </w:t>
      </w:r>
      <w:r w:rsidR="005742B0" w:rsidRPr="005742B0">
        <w:rPr>
          <w:rFonts w:ascii="Calibri" w:hAnsi="Calibri" w:cs="Calibri"/>
          <w:i/>
          <w:iCs/>
        </w:rPr>
        <w:t>(UOLLB, 2024).</w:t>
      </w:r>
      <w:r w:rsidR="00E6758A">
        <w:rPr>
          <w:rFonts w:ascii="Calibri" w:hAnsi="Calibri" w:cs="Calibri"/>
        </w:rPr>
        <w:t xml:space="preserve"> A chain of causation </w:t>
      </w:r>
      <w:r w:rsidR="00724585">
        <w:rPr>
          <w:rFonts w:ascii="Calibri" w:hAnsi="Calibri" w:cs="Calibri"/>
        </w:rPr>
        <w:t>i</w:t>
      </w:r>
      <w:r w:rsidR="002975A2">
        <w:rPr>
          <w:rFonts w:ascii="Calibri" w:hAnsi="Calibri" w:cs="Calibri"/>
        </w:rPr>
        <w:t xml:space="preserve">s </w:t>
      </w:r>
      <w:r w:rsidR="002D37C2">
        <w:rPr>
          <w:rFonts w:ascii="Calibri" w:hAnsi="Calibri" w:cs="Calibri"/>
        </w:rPr>
        <w:t xml:space="preserve">a series of events where each is the result of </w:t>
      </w:r>
      <w:r w:rsidR="001B3CFA">
        <w:rPr>
          <w:rFonts w:ascii="Calibri" w:hAnsi="Calibri" w:cs="Calibri"/>
        </w:rPr>
        <w:t>a</w:t>
      </w:r>
      <w:r w:rsidR="00B121F2">
        <w:rPr>
          <w:rFonts w:ascii="Calibri" w:hAnsi="Calibri" w:cs="Calibri"/>
        </w:rPr>
        <w:t xml:space="preserve">nother. </w:t>
      </w:r>
      <w:r w:rsidR="00B121F2" w:rsidRPr="00B121F2">
        <w:rPr>
          <w:rFonts w:ascii="Calibri" w:hAnsi="Calibri" w:cs="Calibri"/>
          <w:i/>
          <w:iCs/>
        </w:rPr>
        <w:t>(LSD Law, 2024)</w:t>
      </w:r>
      <w:r w:rsidR="00B121F2">
        <w:rPr>
          <w:rFonts w:ascii="Calibri" w:hAnsi="Calibri" w:cs="Calibri"/>
        </w:rPr>
        <w:t>.</w:t>
      </w:r>
      <w:r w:rsidR="00003249">
        <w:rPr>
          <w:rFonts w:ascii="Calibri" w:hAnsi="Calibri" w:cs="Calibri"/>
        </w:rPr>
        <w:t xml:space="preserve"> However, if there is a brea</w:t>
      </w:r>
      <w:r w:rsidR="00EA4073">
        <w:rPr>
          <w:rFonts w:ascii="Calibri" w:hAnsi="Calibri" w:cs="Calibri"/>
        </w:rPr>
        <w:t>k</w:t>
      </w:r>
      <w:r w:rsidR="00003249">
        <w:rPr>
          <w:rFonts w:ascii="Calibri" w:hAnsi="Calibri" w:cs="Calibri"/>
        </w:rPr>
        <w:t xml:space="preserve">, it will not be liable for anything. </w:t>
      </w:r>
      <w:r w:rsidR="00EA4073">
        <w:rPr>
          <w:rFonts w:ascii="Calibri" w:hAnsi="Calibri" w:cs="Calibri"/>
        </w:rPr>
        <w:t xml:space="preserve">An element that can break the chain of causation is known as </w:t>
      </w:r>
      <w:r w:rsidR="00E77416">
        <w:rPr>
          <w:rFonts w:ascii="Calibri" w:hAnsi="Calibri" w:cs="Calibri"/>
        </w:rPr>
        <w:t>“a new intervening act”,</w:t>
      </w:r>
      <w:r w:rsidR="004C13D5">
        <w:rPr>
          <w:rFonts w:ascii="Calibri" w:hAnsi="Calibri" w:cs="Calibri"/>
        </w:rPr>
        <w:t xml:space="preserve"> the two type</w:t>
      </w:r>
      <w:r w:rsidR="00783178">
        <w:rPr>
          <w:rFonts w:ascii="Calibri" w:hAnsi="Calibri" w:cs="Calibri"/>
        </w:rPr>
        <w:t>s</w:t>
      </w:r>
      <w:r w:rsidR="004C13D5">
        <w:rPr>
          <w:rFonts w:ascii="Calibri" w:hAnsi="Calibri" w:cs="Calibri"/>
        </w:rPr>
        <w:t xml:space="preserve"> of intervening acts are know</w:t>
      </w:r>
      <w:r w:rsidR="00783178">
        <w:rPr>
          <w:rFonts w:ascii="Calibri" w:hAnsi="Calibri" w:cs="Calibri"/>
        </w:rPr>
        <w:t>n</w:t>
      </w:r>
      <w:r w:rsidR="004C13D5">
        <w:rPr>
          <w:rFonts w:ascii="Calibri" w:hAnsi="Calibri" w:cs="Calibri"/>
        </w:rPr>
        <w:t xml:space="preserve"> as the ‘</w:t>
      </w:r>
      <w:r w:rsidR="00837B08">
        <w:rPr>
          <w:rFonts w:ascii="Calibri" w:hAnsi="Calibri" w:cs="Calibri"/>
        </w:rPr>
        <w:t>inte</w:t>
      </w:r>
      <w:r w:rsidR="00783178">
        <w:rPr>
          <w:rFonts w:ascii="Calibri" w:hAnsi="Calibri" w:cs="Calibri"/>
        </w:rPr>
        <w:t>r</w:t>
      </w:r>
      <w:r w:rsidR="00837B08">
        <w:rPr>
          <w:rFonts w:ascii="Calibri" w:hAnsi="Calibri" w:cs="Calibri"/>
        </w:rPr>
        <w:t xml:space="preserve">vening act of the claimant’ and the ‘intervening act of </w:t>
      </w:r>
      <w:r w:rsidR="00783178">
        <w:rPr>
          <w:rFonts w:ascii="Calibri" w:hAnsi="Calibri" w:cs="Calibri"/>
        </w:rPr>
        <w:t>nature or third party’.</w:t>
      </w:r>
      <w:r w:rsidR="005D62D8">
        <w:rPr>
          <w:rFonts w:ascii="Calibri" w:hAnsi="Calibri" w:cs="Calibri"/>
        </w:rPr>
        <w:t xml:space="preserve"> </w:t>
      </w:r>
      <w:r w:rsidR="005D62D8" w:rsidRPr="005D62D8">
        <w:rPr>
          <w:rFonts w:ascii="Calibri" w:hAnsi="Calibri" w:cs="Calibri"/>
          <w:i/>
          <w:iCs/>
        </w:rPr>
        <w:t>(Atkins, H.), (2024).</w:t>
      </w:r>
    </w:p>
    <w:p w14:paraId="707FFC7B" w14:textId="77777777" w:rsidR="00924868" w:rsidRDefault="00924868" w:rsidP="00444F07">
      <w:pPr>
        <w:spacing w:line="360" w:lineRule="auto"/>
        <w:rPr>
          <w:rFonts w:ascii="Calibri" w:hAnsi="Calibri" w:cs="Calibri"/>
          <w:i/>
          <w:iCs/>
        </w:rPr>
      </w:pPr>
    </w:p>
    <w:p w14:paraId="54F9A3F7" w14:textId="3ED79BC7" w:rsidR="00924868" w:rsidRPr="00924868" w:rsidRDefault="00351D45" w:rsidP="00444F07">
      <w:pPr>
        <w:spacing w:line="360" w:lineRule="auto"/>
        <w:rPr>
          <w:rFonts w:ascii="Calibri" w:hAnsi="Calibri" w:cs="Calibri"/>
          <w:i/>
          <w:iCs/>
        </w:rPr>
      </w:pPr>
      <w:r>
        <w:rPr>
          <w:rFonts w:ascii="Calibri" w:hAnsi="Calibri" w:cs="Calibri"/>
        </w:rPr>
        <w:t>The basic method for establishing causation is known as</w:t>
      </w:r>
      <w:r w:rsidR="00F84302">
        <w:rPr>
          <w:rFonts w:ascii="Calibri" w:hAnsi="Calibri" w:cs="Calibri"/>
        </w:rPr>
        <w:t xml:space="preserve"> the “but for” test, </w:t>
      </w:r>
      <w:r w:rsidR="00463B30">
        <w:rPr>
          <w:rFonts w:ascii="Calibri" w:hAnsi="Calibri" w:cs="Calibri"/>
        </w:rPr>
        <w:t xml:space="preserve">which serves at the beginning of all cases. </w:t>
      </w:r>
      <w:r w:rsidR="00401555">
        <w:rPr>
          <w:rFonts w:ascii="Calibri" w:hAnsi="Calibri" w:cs="Calibri"/>
        </w:rPr>
        <w:t>If the claimant</w:t>
      </w:r>
      <w:r w:rsidR="00612DDF">
        <w:rPr>
          <w:rFonts w:ascii="Calibri" w:hAnsi="Calibri" w:cs="Calibri"/>
        </w:rPr>
        <w:t>’</w:t>
      </w:r>
      <w:r w:rsidR="00401555">
        <w:rPr>
          <w:rFonts w:ascii="Calibri" w:hAnsi="Calibri" w:cs="Calibri"/>
        </w:rPr>
        <w:t xml:space="preserve">s injury </w:t>
      </w:r>
      <w:r w:rsidR="00D77097">
        <w:rPr>
          <w:rFonts w:ascii="Calibri" w:hAnsi="Calibri" w:cs="Calibri"/>
        </w:rPr>
        <w:t xml:space="preserve">would not have happened </w:t>
      </w:r>
      <w:r w:rsidR="00315B4E">
        <w:rPr>
          <w:rFonts w:ascii="Calibri" w:hAnsi="Calibri" w:cs="Calibri"/>
        </w:rPr>
        <w:t xml:space="preserve">‘but for’ the defendant’s </w:t>
      </w:r>
      <w:r w:rsidR="00612DDF">
        <w:rPr>
          <w:rFonts w:ascii="Calibri" w:hAnsi="Calibri" w:cs="Calibri"/>
        </w:rPr>
        <w:t>carelessness,</w:t>
      </w:r>
      <w:r w:rsidR="00315B4E">
        <w:rPr>
          <w:rFonts w:ascii="Calibri" w:hAnsi="Calibri" w:cs="Calibri"/>
        </w:rPr>
        <w:t xml:space="preserve"> then the factual causation is deemed to be satisfied. </w:t>
      </w:r>
      <w:r w:rsidR="00A865E1">
        <w:rPr>
          <w:rFonts w:ascii="Calibri" w:hAnsi="Calibri" w:cs="Calibri"/>
        </w:rPr>
        <w:t xml:space="preserve">However, if the claimant would have </w:t>
      </w:r>
      <w:r w:rsidR="00D8117A">
        <w:rPr>
          <w:rFonts w:ascii="Calibri" w:hAnsi="Calibri" w:cs="Calibri"/>
        </w:rPr>
        <w:t xml:space="preserve">been injured </w:t>
      </w:r>
      <w:r w:rsidR="00A865E1">
        <w:rPr>
          <w:rFonts w:ascii="Calibri" w:hAnsi="Calibri" w:cs="Calibri"/>
        </w:rPr>
        <w:t xml:space="preserve">regardless of the accident, the claim </w:t>
      </w:r>
      <w:r w:rsidR="001F42CA">
        <w:rPr>
          <w:rFonts w:ascii="Calibri" w:hAnsi="Calibri" w:cs="Calibri"/>
        </w:rPr>
        <w:t xml:space="preserve">would </w:t>
      </w:r>
      <w:r w:rsidR="00884F60">
        <w:rPr>
          <w:rFonts w:ascii="Calibri" w:hAnsi="Calibri" w:cs="Calibri"/>
        </w:rPr>
        <w:t xml:space="preserve">be rejected. </w:t>
      </w:r>
      <w:r w:rsidR="00CC3ED8">
        <w:rPr>
          <w:rFonts w:ascii="Calibri" w:hAnsi="Calibri" w:cs="Calibri"/>
        </w:rPr>
        <w:t xml:space="preserve">The key example of the “but for” test </w:t>
      </w:r>
      <w:r w:rsidR="00D912B2">
        <w:rPr>
          <w:rFonts w:ascii="Calibri" w:hAnsi="Calibri" w:cs="Calibri"/>
        </w:rPr>
        <w:t>was show</w:t>
      </w:r>
      <w:r w:rsidR="006345ED">
        <w:rPr>
          <w:rFonts w:ascii="Calibri" w:hAnsi="Calibri" w:cs="Calibri"/>
        </w:rPr>
        <w:t xml:space="preserve">n in the case of Barnett v Chelsea </w:t>
      </w:r>
      <w:r w:rsidR="006345ED">
        <w:rPr>
          <w:rFonts w:ascii="Calibri" w:hAnsi="Calibri" w:cs="Calibri"/>
        </w:rPr>
        <w:lastRenderedPageBreak/>
        <w:t xml:space="preserve">and Kensington </w:t>
      </w:r>
      <w:r w:rsidR="00CD506C">
        <w:rPr>
          <w:rFonts w:ascii="Calibri" w:hAnsi="Calibri" w:cs="Calibri"/>
        </w:rPr>
        <w:t>Hospital Management Committee [1969]</w:t>
      </w:r>
      <w:r w:rsidR="00F65980">
        <w:rPr>
          <w:rFonts w:ascii="Calibri" w:hAnsi="Calibri" w:cs="Calibri"/>
        </w:rPr>
        <w:t>.</w:t>
      </w:r>
      <w:r w:rsidR="0099330E">
        <w:rPr>
          <w:rFonts w:ascii="Calibri" w:hAnsi="Calibri" w:cs="Calibri"/>
        </w:rPr>
        <w:t xml:space="preserve"> </w:t>
      </w:r>
      <w:r w:rsidR="004B7E87">
        <w:rPr>
          <w:rFonts w:ascii="Calibri" w:hAnsi="Calibri" w:cs="Calibri"/>
        </w:rPr>
        <w:t xml:space="preserve">The claimant went to </w:t>
      </w:r>
      <w:r w:rsidR="00562585">
        <w:rPr>
          <w:rFonts w:ascii="Calibri" w:hAnsi="Calibri" w:cs="Calibri"/>
        </w:rPr>
        <w:t xml:space="preserve">the </w:t>
      </w:r>
      <w:r w:rsidR="004B7E87">
        <w:rPr>
          <w:rFonts w:ascii="Calibri" w:hAnsi="Calibri" w:cs="Calibri"/>
        </w:rPr>
        <w:t xml:space="preserve">hospital with </w:t>
      </w:r>
      <w:r w:rsidR="00562585">
        <w:rPr>
          <w:rFonts w:ascii="Calibri" w:hAnsi="Calibri" w:cs="Calibri"/>
        </w:rPr>
        <w:t xml:space="preserve">prolonged vomiting after drinking tea. </w:t>
      </w:r>
      <w:r w:rsidR="007D5990">
        <w:rPr>
          <w:rFonts w:ascii="Calibri" w:hAnsi="Calibri" w:cs="Calibri"/>
        </w:rPr>
        <w:t>Five hours after they were negligently sen</w:t>
      </w:r>
      <w:r w:rsidR="00152B5B">
        <w:rPr>
          <w:rFonts w:ascii="Calibri" w:hAnsi="Calibri" w:cs="Calibri"/>
        </w:rPr>
        <w:t>t</w:t>
      </w:r>
      <w:r w:rsidR="007D5990">
        <w:rPr>
          <w:rFonts w:ascii="Calibri" w:hAnsi="Calibri" w:cs="Calibri"/>
        </w:rPr>
        <w:t xml:space="preserve"> home</w:t>
      </w:r>
      <w:r w:rsidR="007C2109">
        <w:rPr>
          <w:rFonts w:ascii="Calibri" w:hAnsi="Calibri" w:cs="Calibri"/>
        </w:rPr>
        <w:t xml:space="preserve"> and</w:t>
      </w:r>
      <w:r w:rsidR="00EF19A6">
        <w:rPr>
          <w:rFonts w:ascii="Calibri" w:hAnsi="Calibri" w:cs="Calibri"/>
        </w:rPr>
        <w:t xml:space="preserve"> rest, they passed away</w:t>
      </w:r>
      <w:r w:rsidR="00E73DB7">
        <w:rPr>
          <w:rFonts w:ascii="Calibri" w:hAnsi="Calibri" w:cs="Calibri"/>
        </w:rPr>
        <w:t>. According to the defendant, the claimant suffered arsenic poisoning and would have died an</w:t>
      </w:r>
      <w:r w:rsidR="00220D74">
        <w:rPr>
          <w:rFonts w:ascii="Calibri" w:hAnsi="Calibri" w:cs="Calibri"/>
        </w:rPr>
        <w:t xml:space="preserve">yway because there was no treatment for it. </w:t>
      </w:r>
      <w:r w:rsidR="00A73A90">
        <w:rPr>
          <w:rFonts w:ascii="Calibri" w:hAnsi="Calibri" w:cs="Calibri"/>
        </w:rPr>
        <w:t>Despite the claimant</w:t>
      </w:r>
      <w:r w:rsidR="0080689D">
        <w:rPr>
          <w:rFonts w:ascii="Calibri" w:hAnsi="Calibri" w:cs="Calibri"/>
        </w:rPr>
        <w:t>’</w:t>
      </w:r>
      <w:r w:rsidR="00A73A90">
        <w:rPr>
          <w:rFonts w:ascii="Calibri" w:hAnsi="Calibri" w:cs="Calibri"/>
        </w:rPr>
        <w:t>s failure to prove that the defendant’s carelessness contributed to the death, the court</w:t>
      </w:r>
      <w:r w:rsidR="00543AE1">
        <w:rPr>
          <w:rFonts w:ascii="Calibri" w:hAnsi="Calibri" w:cs="Calibri"/>
        </w:rPr>
        <w:t xml:space="preserve"> determined that the defendant breached their duty</w:t>
      </w:r>
      <w:r w:rsidR="0080689D">
        <w:rPr>
          <w:rFonts w:ascii="Calibri" w:hAnsi="Calibri" w:cs="Calibri"/>
        </w:rPr>
        <w:t xml:space="preserve"> by neglecting to evaluate and treat the deceased.</w:t>
      </w:r>
      <w:r w:rsidR="00E97756">
        <w:rPr>
          <w:rFonts w:ascii="Calibri" w:hAnsi="Calibri" w:cs="Calibri"/>
        </w:rPr>
        <w:t xml:space="preserve"> </w:t>
      </w:r>
      <w:r w:rsidR="00E97756" w:rsidRPr="00E97756">
        <w:rPr>
          <w:rFonts w:ascii="Calibri" w:hAnsi="Calibri" w:cs="Calibri"/>
          <w:i/>
          <w:iCs/>
        </w:rPr>
        <w:t>(LexisNexis, 2020).</w:t>
      </w:r>
      <w:r w:rsidR="0042016C">
        <w:rPr>
          <w:rFonts w:ascii="Calibri" w:hAnsi="Calibri" w:cs="Calibri"/>
        </w:rPr>
        <w:t xml:space="preserve"> </w:t>
      </w:r>
    </w:p>
    <w:p w14:paraId="083D35FF" w14:textId="77777777" w:rsidR="00924868" w:rsidRDefault="0042016C" w:rsidP="00444F07">
      <w:pPr>
        <w:spacing w:line="360" w:lineRule="auto"/>
        <w:rPr>
          <w:rFonts w:ascii="Calibri" w:hAnsi="Calibri" w:cs="Calibri"/>
        </w:rPr>
      </w:pPr>
      <w:r>
        <w:rPr>
          <w:rFonts w:ascii="Calibri" w:hAnsi="Calibri" w:cs="Calibri"/>
        </w:rPr>
        <w:t xml:space="preserve">There </w:t>
      </w:r>
      <w:r w:rsidR="0062222A">
        <w:rPr>
          <w:rFonts w:ascii="Calibri" w:hAnsi="Calibri" w:cs="Calibri"/>
        </w:rPr>
        <w:t xml:space="preserve">are many advantages to the </w:t>
      </w:r>
      <w:r w:rsidR="00A27C14">
        <w:rPr>
          <w:rFonts w:ascii="Calibri" w:hAnsi="Calibri" w:cs="Calibri"/>
        </w:rPr>
        <w:t xml:space="preserve">‘but for’ test, the first advantage </w:t>
      </w:r>
      <w:r w:rsidR="009B0C42">
        <w:rPr>
          <w:rFonts w:ascii="Calibri" w:hAnsi="Calibri" w:cs="Calibri"/>
        </w:rPr>
        <w:t>is that it</w:t>
      </w:r>
      <w:r w:rsidR="004F0B72">
        <w:rPr>
          <w:rFonts w:ascii="Calibri" w:hAnsi="Calibri" w:cs="Calibri"/>
        </w:rPr>
        <w:t xml:space="preserve"> is clear and simple. </w:t>
      </w:r>
      <w:r w:rsidR="009B0C42">
        <w:rPr>
          <w:rFonts w:ascii="Calibri" w:hAnsi="Calibri" w:cs="Calibri"/>
        </w:rPr>
        <w:t xml:space="preserve">The but-for test </w:t>
      </w:r>
      <w:r w:rsidR="00F374A0">
        <w:rPr>
          <w:rFonts w:ascii="Calibri" w:hAnsi="Calibri" w:cs="Calibri"/>
        </w:rPr>
        <w:t xml:space="preserve">brings a clear and simple approach to establishing causation within legal contexts. The </w:t>
      </w:r>
      <w:r w:rsidR="006E1491">
        <w:rPr>
          <w:rFonts w:ascii="Calibri" w:hAnsi="Calibri" w:cs="Calibri"/>
        </w:rPr>
        <w:t>main consideration is whether the injury</w:t>
      </w:r>
      <w:r w:rsidR="00BA4DCC">
        <w:rPr>
          <w:rFonts w:ascii="Calibri" w:hAnsi="Calibri" w:cs="Calibri"/>
        </w:rPr>
        <w:t xml:space="preserve"> </w:t>
      </w:r>
      <w:r w:rsidR="006E1491">
        <w:rPr>
          <w:rFonts w:ascii="Calibri" w:hAnsi="Calibri" w:cs="Calibri"/>
        </w:rPr>
        <w:t xml:space="preserve">would have </w:t>
      </w:r>
      <w:r w:rsidR="00E80D65">
        <w:rPr>
          <w:rFonts w:ascii="Calibri" w:hAnsi="Calibri" w:cs="Calibri"/>
        </w:rPr>
        <w:t>occurred regardless of the defendant</w:t>
      </w:r>
      <w:r w:rsidR="00BA4DCC">
        <w:rPr>
          <w:rFonts w:ascii="Calibri" w:hAnsi="Calibri" w:cs="Calibri"/>
        </w:rPr>
        <w:t>’</w:t>
      </w:r>
      <w:r w:rsidR="00E80D65">
        <w:rPr>
          <w:rFonts w:ascii="Calibri" w:hAnsi="Calibri" w:cs="Calibri"/>
        </w:rPr>
        <w:t>s actions. Th</w:t>
      </w:r>
      <w:r w:rsidR="00AE68C8">
        <w:rPr>
          <w:rFonts w:ascii="Calibri" w:hAnsi="Calibri" w:cs="Calibri"/>
        </w:rPr>
        <w:t xml:space="preserve">is method </w:t>
      </w:r>
      <w:r w:rsidR="00C61EB6">
        <w:rPr>
          <w:rFonts w:ascii="Calibri" w:hAnsi="Calibri" w:cs="Calibri"/>
        </w:rPr>
        <w:t xml:space="preserve">highlights </w:t>
      </w:r>
      <w:r w:rsidR="003B40EC">
        <w:rPr>
          <w:rFonts w:ascii="Calibri" w:hAnsi="Calibri" w:cs="Calibri"/>
        </w:rPr>
        <w:t xml:space="preserve">a direct </w:t>
      </w:r>
      <w:r w:rsidR="00044024">
        <w:rPr>
          <w:rFonts w:ascii="Calibri" w:hAnsi="Calibri" w:cs="Calibri"/>
        </w:rPr>
        <w:t>ca</w:t>
      </w:r>
      <w:r w:rsidR="004F360B">
        <w:rPr>
          <w:rFonts w:ascii="Calibri" w:hAnsi="Calibri" w:cs="Calibri"/>
        </w:rPr>
        <w:t>us</w:t>
      </w:r>
      <w:r w:rsidR="00044024">
        <w:rPr>
          <w:rFonts w:ascii="Calibri" w:hAnsi="Calibri" w:cs="Calibri"/>
        </w:rPr>
        <w:t>al</w:t>
      </w:r>
      <w:r w:rsidR="003B40EC">
        <w:rPr>
          <w:rFonts w:ascii="Calibri" w:hAnsi="Calibri" w:cs="Calibri"/>
        </w:rPr>
        <w:t xml:space="preserve"> link</w:t>
      </w:r>
      <w:r w:rsidR="00A2617D">
        <w:rPr>
          <w:rFonts w:ascii="Calibri" w:hAnsi="Calibri" w:cs="Calibri"/>
        </w:rPr>
        <w:t xml:space="preserve"> leading to a </w:t>
      </w:r>
      <w:r w:rsidR="004F360B">
        <w:rPr>
          <w:rFonts w:ascii="Calibri" w:hAnsi="Calibri" w:cs="Calibri"/>
        </w:rPr>
        <w:t>careful analysis of</w:t>
      </w:r>
      <w:r w:rsidR="00DA5ED6">
        <w:rPr>
          <w:rFonts w:ascii="Calibri" w:hAnsi="Calibri" w:cs="Calibri"/>
        </w:rPr>
        <w:t xml:space="preserve"> the relationship between the defendant’s actions and the resulting injury. </w:t>
      </w:r>
      <w:r w:rsidR="00031CCA">
        <w:rPr>
          <w:rFonts w:ascii="Calibri" w:hAnsi="Calibri" w:cs="Calibri"/>
        </w:rPr>
        <w:t xml:space="preserve">Another </w:t>
      </w:r>
      <w:r w:rsidR="001B4554">
        <w:rPr>
          <w:rFonts w:ascii="Calibri" w:hAnsi="Calibri" w:cs="Calibri"/>
        </w:rPr>
        <w:t xml:space="preserve">advantage of the ‘but for’ test is that it focuses </w:t>
      </w:r>
      <w:r w:rsidR="004C7BE3">
        <w:rPr>
          <w:rFonts w:ascii="Calibri" w:hAnsi="Calibri" w:cs="Calibri"/>
        </w:rPr>
        <w:t xml:space="preserve">more </w:t>
      </w:r>
      <w:r w:rsidR="001B4554">
        <w:rPr>
          <w:rFonts w:ascii="Calibri" w:hAnsi="Calibri" w:cs="Calibri"/>
        </w:rPr>
        <w:t xml:space="preserve">on factual causation. </w:t>
      </w:r>
      <w:r w:rsidR="004C7BE3">
        <w:rPr>
          <w:rFonts w:ascii="Calibri" w:hAnsi="Calibri" w:cs="Calibri"/>
        </w:rPr>
        <w:t>The but-for test</w:t>
      </w:r>
      <w:r w:rsidR="00FD00AA">
        <w:rPr>
          <w:rFonts w:ascii="Calibri" w:hAnsi="Calibri" w:cs="Calibri"/>
        </w:rPr>
        <w:t xml:space="preserve"> maintains to uphold objective and fact-based assessments</w:t>
      </w:r>
      <w:r w:rsidR="00E35B55">
        <w:rPr>
          <w:rFonts w:ascii="Calibri" w:hAnsi="Calibri" w:cs="Calibri"/>
        </w:rPr>
        <w:t xml:space="preserve"> by f</w:t>
      </w:r>
      <w:r w:rsidR="00EE1635">
        <w:rPr>
          <w:rFonts w:ascii="Calibri" w:hAnsi="Calibri" w:cs="Calibri"/>
        </w:rPr>
        <w:t>ocusing more on factual causation over moral or legal considerations</w:t>
      </w:r>
      <w:r w:rsidR="00A85375">
        <w:rPr>
          <w:rFonts w:ascii="Calibri" w:hAnsi="Calibri" w:cs="Calibri"/>
        </w:rPr>
        <w:t>, this</w:t>
      </w:r>
      <w:r w:rsidR="00A40E2D">
        <w:rPr>
          <w:rFonts w:ascii="Calibri" w:hAnsi="Calibri" w:cs="Calibri"/>
        </w:rPr>
        <w:t xml:space="preserve"> te</w:t>
      </w:r>
      <w:r w:rsidR="00965C71">
        <w:rPr>
          <w:rFonts w:ascii="Calibri" w:hAnsi="Calibri" w:cs="Calibri"/>
        </w:rPr>
        <w:t xml:space="preserve">chnique </w:t>
      </w:r>
      <w:r w:rsidR="009E2C01">
        <w:rPr>
          <w:rFonts w:ascii="Calibri" w:hAnsi="Calibri" w:cs="Calibri"/>
        </w:rPr>
        <w:t>helps to clarify ca</w:t>
      </w:r>
      <w:r w:rsidR="00A85375">
        <w:rPr>
          <w:rFonts w:ascii="Calibri" w:hAnsi="Calibri" w:cs="Calibri"/>
        </w:rPr>
        <w:t>us</w:t>
      </w:r>
      <w:r w:rsidR="009E2C01">
        <w:rPr>
          <w:rFonts w:ascii="Calibri" w:hAnsi="Calibri" w:cs="Calibri"/>
        </w:rPr>
        <w:t xml:space="preserve">al links and </w:t>
      </w:r>
      <w:r w:rsidR="00FA7013">
        <w:rPr>
          <w:rFonts w:ascii="Calibri" w:hAnsi="Calibri" w:cs="Calibri"/>
        </w:rPr>
        <w:t>allows a more thorough evaluation</w:t>
      </w:r>
      <w:r w:rsidR="00A85375">
        <w:rPr>
          <w:rFonts w:ascii="Calibri" w:hAnsi="Calibri" w:cs="Calibri"/>
        </w:rPr>
        <w:t>.</w:t>
      </w:r>
      <w:r w:rsidR="00966A47">
        <w:rPr>
          <w:rFonts w:ascii="Calibri" w:hAnsi="Calibri" w:cs="Calibri"/>
        </w:rPr>
        <w:t xml:space="preserve"> the last advantage</w:t>
      </w:r>
      <w:r w:rsidR="009907B2">
        <w:rPr>
          <w:rFonts w:ascii="Calibri" w:hAnsi="Calibri" w:cs="Calibri"/>
        </w:rPr>
        <w:t xml:space="preserve"> of the ‘but for’ test is that it has judicial efficiency</w:t>
      </w:r>
      <w:r w:rsidR="0092486D">
        <w:rPr>
          <w:rFonts w:ascii="Calibri" w:hAnsi="Calibri" w:cs="Calibri"/>
        </w:rPr>
        <w:t>.</w:t>
      </w:r>
      <w:r w:rsidR="007D1109">
        <w:rPr>
          <w:rFonts w:ascii="Calibri" w:hAnsi="Calibri" w:cs="Calibri"/>
        </w:rPr>
        <w:t xml:space="preserve"> The but</w:t>
      </w:r>
      <w:r w:rsidR="00032739">
        <w:rPr>
          <w:rFonts w:ascii="Calibri" w:hAnsi="Calibri" w:cs="Calibri"/>
        </w:rPr>
        <w:t>-f</w:t>
      </w:r>
      <w:r w:rsidR="007D1109">
        <w:rPr>
          <w:rFonts w:ascii="Calibri" w:hAnsi="Calibri" w:cs="Calibri"/>
        </w:rPr>
        <w:t>or test simplifies cases and helps courts quickly eliminat</w:t>
      </w:r>
      <w:r w:rsidR="00032739">
        <w:rPr>
          <w:rFonts w:ascii="Calibri" w:hAnsi="Calibri" w:cs="Calibri"/>
        </w:rPr>
        <w:t>e</w:t>
      </w:r>
      <w:r w:rsidR="007D1109">
        <w:rPr>
          <w:rFonts w:ascii="Calibri" w:hAnsi="Calibri" w:cs="Calibri"/>
        </w:rPr>
        <w:t xml:space="preserve"> </w:t>
      </w:r>
      <w:r w:rsidR="009F4DFC">
        <w:rPr>
          <w:rFonts w:ascii="Calibri" w:hAnsi="Calibri" w:cs="Calibri"/>
        </w:rPr>
        <w:t>circumstances</w:t>
      </w:r>
      <w:r w:rsidR="007D1109">
        <w:rPr>
          <w:rFonts w:ascii="Calibri" w:hAnsi="Calibri" w:cs="Calibri"/>
        </w:rPr>
        <w:t xml:space="preserve"> </w:t>
      </w:r>
      <w:r w:rsidR="009F4DFC">
        <w:rPr>
          <w:rFonts w:ascii="Calibri" w:hAnsi="Calibri" w:cs="Calibri"/>
        </w:rPr>
        <w:t>in which the defendant’s acts did not factually cause injury by setting a simple factual causation</w:t>
      </w:r>
      <w:r w:rsidR="00BE1913">
        <w:rPr>
          <w:rFonts w:ascii="Calibri" w:hAnsi="Calibri" w:cs="Calibri"/>
        </w:rPr>
        <w:t xml:space="preserve"> limit.</w:t>
      </w:r>
      <w:r w:rsidR="00D730EA">
        <w:rPr>
          <w:rFonts w:ascii="Calibri" w:hAnsi="Calibri" w:cs="Calibri"/>
        </w:rPr>
        <w:t xml:space="preserve"> This contributes to efficiency and may </w:t>
      </w:r>
      <w:r w:rsidR="00E0461E">
        <w:rPr>
          <w:rFonts w:ascii="Calibri" w:hAnsi="Calibri" w:cs="Calibri"/>
        </w:rPr>
        <w:t xml:space="preserve">decrease the need for large </w:t>
      </w:r>
      <w:r w:rsidR="00CB5DB3">
        <w:rPr>
          <w:rFonts w:ascii="Calibri" w:hAnsi="Calibri" w:cs="Calibri"/>
        </w:rPr>
        <w:t xml:space="preserve">trials when causation can be </w:t>
      </w:r>
      <w:r w:rsidR="00C96363">
        <w:rPr>
          <w:rFonts w:ascii="Calibri" w:hAnsi="Calibri" w:cs="Calibri"/>
        </w:rPr>
        <w:t xml:space="preserve">established or </w:t>
      </w:r>
      <w:r w:rsidR="00FB49AA">
        <w:rPr>
          <w:rFonts w:ascii="Calibri" w:hAnsi="Calibri" w:cs="Calibri"/>
        </w:rPr>
        <w:t>rejected.</w:t>
      </w:r>
      <w:r w:rsidR="00FB49AA" w:rsidRPr="00F22AC5">
        <w:rPr>
          <w:rFonts w:ascii="Calibri" w:hAnsi="Calibri" w:cs="Calibri"/>
          <w:i/>
          <w:iCs/>
        </w:rPr>
        <w:t xml:space="preserve"> (</w:t>
      </w:r>
      <w:r w:rsidR="00F22AC5" w:rsidRPr="00F22AC5">
        <w:rPr>
          <w:rFonts w:ascii="Calibri" w:hAnsi="Calibri" w:cs="Calibri"/>
          <w:i/>
          <w:iCs/>
        </w:rPr>
        <w:t>LexisNexis, 2014).</w:t>
      </w:r>
      <w:r w:rsidR="00571166">
        <w:rPr>
          <w:rFonts w:ascii="Calibri" w:hAnsi="Calibri" w:cs="Calibri"/>
        </w:rPr>
        <w:t xml:space="preserve"> </w:t>
      </w:r>
    </w:p>
    <w:p w14:paraId="3D4F27FA" w14:textId="08142788" w:rsidR="00FD1812" w:rsidRDefault="00FD1812" w:rsidP="00444F07">
      <w:pPr>
        <w:spacing w:line="360" w:lineRule="auto"/>
        <w:rPr>
          <w:rFonts w:ascii="Calibri" w:hAnsi="Calibri" w:cs="Calibri"/>
          <w:i/>
          <w:iCs/>
        </w:rPr>
      </w:pPr>
      <w:r>
        <w:rPr>
          <w:rFonts w:ascii="Calibri" w:hAnsi="Calibri" w:cs="Calibri"/>
        </w:rPr>
        <w:t xml:space="preserve">However, the but-for test does come with its limitations. </w:t>
      </w:r>
      <w:r w:rsidR="001142DC">
        <w:rPr>
          <w:rFonts w:ascii="Calibri" w:hAnsi="Calibri" w:cs="Calibri"/>
        </w:rPr>
        <w:t xml:space="preserve">The first </w:t>
      </w:r>
      <w:r w:rsidR="00E95D64">
        <w:rPr>
          <w:rFonts w:ascii="Calibri" w:hAnsi="Calibri" w:cs="Calibri"/>
        </w:rPr>
        <w:t xml:space="preserve">is a lack in complicated causation cases. </w:t>
      </w:r>
      <w:r w:rsidR="00345560">
        <w:rPr>
          <w:rFonts w:ascii="Calibri" w:hAnsi="Calibri" w:cs="Calibri"/>
        </w:rPr>
        <w:t xml:space="preserve">The but-for test often falls low when there are several possible causes or </w:t>
      </w:r>
      <w:r w:rsidR="000D11E2">
        <w:rPr>
          <w:rFonts w:ascii="Calibri" w:hAnsi="Calibri" w:cs="Calibri"/>
        </w:rPr>
        <w:t xml:space="preserve">parties, especially if there are several events that led up to the injury. </w:t>
      </w:r>
      <w:r w:rsidR="0020443C">
        <w:rPr>
          <w:rFonts w:ascii="Calibri" w:hAnsi="Calibri" w:cs="Calibri"/>
        </w:rPr>
        <w:t xml:space="preserve">Another disadvantage </w:t>
      </w:r>
      <w:r w:rsidR="00AA2ECC">
        <w:rPr>
          <w:rFonts w:ascii="Calibri" w:hAnsi="Calibri" w:cs="Calibri"/>
        </w:rPr>
        <w:t>leads to difficulties in “material contribution” cases</w:t>
      </w:r>
      <w:r w:rsidR="00D70B22">
        <w:rPr>
          <w:rFonts w:ascii="Calibri" w:hAnsi="Calibri" w:cs="Calibri"/>
        </w:rPr>
        <w:t>.</w:t>
      </w:r>
      <w:r w:rsidR="00E30B36">
        <w:rPr>
          <w:rFonts w:ascii="Calibri" w:hAnsi="Calibri" w:cs="Calibri"/>
        </w:rPr>
        <w:t xml:space="preserve"> The test has difficulties when</w:t>
      </w:r>
      <w:r w:rsidR="00E850CC">
        <w:rPr>
          <w:rFonts w:ascii="Calibri" w:hAnsi="Calibri" w:cs="Calibri"/>
        </w:rPr>
        <w:t xml:space="preserve"> </w:t>
      </w:r>
      <w:r w:rsidR="005112F9">
        <w:rPr>
          <w:rFonts w:ascii="Calibri" w:hAnsi="Calibri" w:cs="Calibri"/>
        </w:rPr>
        <w:t xml:space="preserve">the </w:t>
      </w:r>
      <w:r w:rsidR="00E850CC">
        <w:rPr>
          <w:rFonts w:ascii="Calibri" w:hAnsi="Calibri" w:cs="Calibri"/>
        </w:rPr>
        <w:t>defendant</w:t>
      </w:r>
      <w:r w:rsidR="005112F9">
        <w:rPr>
          <w:rFonts w:ascii="Calibri" w:hAnsi="Calibri" w:cs="Calibri"/>
        </w:rPr>
        <w:t>’</w:t>
      </w:r>
      <w:r w:rsidR="00E850CC">
        <w:rPr>
          <w:rFonts w:ascii="Calibri" w:hAnsi="Calibri" w:cs="Calibri"/>
        </w:rPr>
        <w:t xml:space="preserve">s actions are just one of several </w:t>
      </w:r>
      <w:r w:rsidR="007F70A3">
        <w:rPr>
          <w:rFonts w:ascii="Calibri" w:hAnsi="Calibri" w:cs="Calibri"/>
        </w:rPr>
        <w:t xml:space="preserve">factors that “materially contribute” to the injury, especially </w:t>
      </w:r>
      <w:r w:rsidR="005112F9">
        <w:rPr>
          <w:rFonts w:ascii="Calibri" w:hAnsi="Calibri" w:cs="Calibri"/>
        </w:rPr>
        <w:t xml:space="preserve">where there has been repeated harm. </w:t>
      </w:r>
      <w:r w:rsidR="002F54C0">
        <w:rPr>
          <w:rFonts w:ascii="Calibri" w:hAnsi="Calibri" w:cs="Calibri"/>
        </w:rPr>
        <w:t xml:space="preserve"> The last disadv</w:t>
      </w:r>
      <w:r w:rsidR="006B0CC9">
        <w:rPr>
          <w:rFonts w:ascii="Calibri" w:hAnsi="Calibri" w:cs="Calibri"/>
        </w:rPr>
        <w:t xml:space="preserve">antage is that it may result in unfair outcomes in cases driven by </w:t>
      </w:r>
      <w:r w:rsidR="004B27C9">
        <w:rPr>
          <w:rFonts w:ascii="Calibri" w:hAnsi="Calibri" w:cs="Calibri"/>
        </w:rPr>
        <w:t xml:space="preserve">policy. </w:t>
      </w:r>
      <w:r w:rsidR="00935781">
        <w:rPr>
          <w:rFonts w:ascii="Calibri" w:hAnsi="Calibri" w:cs="Calibri"/>
        </w:rPr>
        <w:t xml:space="preserve">The strict application of the test may result in outcomes that are viewed as unfair, especially when public policy causes require a more broad or flexible standard of causation. </w:t>
      </w:r>
      <w:r w:rsidR="00924868" w:rsidRPr="00924868">
        <w:rPr>
          <w:rFonts w:ascii="Calibri" w:hAnsi="Calibri" w:cs="Calibri"/>
          <w:i/>
          <w:iCs/>
        </w:rPr>
        <w:t>(Healys, 2024)</w:t>
      </w:r>
      <w:r w:rsidR="00924868">
        <w:rPr>
          <w:rFonts w:ascii="Calibri" w:hAnsi="Calibri" w:cs="Calibri"/>
          <w:i/>
          <w:iCs/>
        </w:rPr>
        <w:t>.</w:t>
      </w:r>
    </w:p>
    <w:p w14:paraId="07C7EB4A" w14:textId="77777777" w:rsidR="0043223D" w:rsidRDefault="0043223D" w:rsidP="00444F07">
      <w:pPr>
        <w:spacing w:line="360" w:lineRule="auto"/>
        <w:rPr>
          <w:rFonts w:ascii="Calibri" w:hAnsi="Calibri" w:cs="Calibri"/>
        </w:rPr>
      </w:pPr>
    </w:p>
    <w:p w14:paraId="3D1310E0" w14:textId="1634EF2A" w:rsidR="00924868" w:rsidRPr="00924868" w:rsidRDefault="00102CD9" w:rsidP="00444F07">
      <w:pPr>
        <w:spacing w:line="360" w:lineRule="auto"/>
        <w:rPr>
          <w:rFonts w:ascii="Calibri" w:hAnsi="Calibri" w:cs="Calibri"/>
        </w:rPr>
      </w:pPr>
      <w:r>
        <w:rPr>
          <w:rFonts w:ascii="Calibri" w:hAnsi="Calibri" w:cs="Calibri"/>
        </w:rPr>
        <w:lastRenderedPageBreak/>
        <w:t xml:space="preserve">In my opinion, the but-for test </w:t>
      </w:r>
      <w:r w:rsidR="0043223D">
        <w:rPr>
          <w:rFonts w:ascii="Calibri" w:hAnsi="Calibri" w:cs="Calibri"/>
        </w:rPr>
        <w:t>would provide UK causation law more flexibility and equity, especially in complicated cases. The law would benefit both claimants and defendants this way, ensuring that causation requirements meet modern requirements.</w:t>
      </w:r>
    </w:p>
    <w:p w14:paraId="7BCE557B" w14:textId="77777777" w:rsidR="00802EFE" w:rsidRDefault="00802EFE" w:rsidP="00105D5A">
      <w:pPr>
        <w:spacing w:line="360" w:lineRule="auto"/>
        <w:rPr>
          <w:rFonts w:ascii="Arial" w:hAnsi="Arial" w:cs="Arial"/>
        </w:rPr>
      </w:pPr>
    </w:p>
    <w:p w14:paraId="4E54D741" w14:textId="77777777" w:rsidR="00471980" w:rsidRPr="002967EA" w:rsidRDefault="00987684" w:rsidP="00105D5A">
      <w:pPr>
        <w:spacing w:line="360" w:lineRule="auto"/>
        <w:rPr>
          <w:rFonts w:ascii="Calibri" w:hAnsi="Calibri" w:cs="Calibri"/>
        </w:rPr>
      </w:pPr>
      <w:r w:rsidRPr="002967EA">
        <w:rPr>
          <w:rFonts w:ascii="Calibri" w:hAnsi="Calibri" w:cs="Calibri"/>
        </w:rPr>
        <w:t xml:space="preserve">In UK law, a defendant </w:t>
      </w:r>
      <w:r w:rsidR="005523D8" w:rsidRPr="002967EA">
        <w:rPr>
          <w:rFonts w:ascii="Calibri" w:hAnsi="Calibri" w:cs="Calibri"/>
        </w:rPr>
        <w:t>must</w:t>
      </w:r>
      <w:r w:rsidRPr="002967EA">
        <w:rPr>
          <w:rFonts w:ascii="Calibri" w:hAnsi="Calibri" w:cs="Calibri"/>
        </w:rPr>
        <w:t xml:space="preserve"> take their victim as they find them, </w:t>
      </w:r>
      <w:r w:rsidR="005523D8" w:rsidRPr="002967EA">
        <w:rPr>
          <w:rFonts w:ascii="Calibri" w:hAnsi="Calibri" w:cs="Calibri"/>
        </w:rPr>
        <w:t xml:space="preserve">this is </w:t>
      </w:r>
      <w:r w:rsidRPr="002967EA">
        <w:rPr>
          <w:rFonts w:ascii="Calibri" w:hAnsi="Calibri" w:cs="Calibri"/>
        </w:rPr>
        <w:t xml:space="preserve">known as the ‘thin skull’ </w:t>
      </w:r>
      <w:r w:rsidR="00FC17DE" w:rsidRPr="002967EA">
        <w:rPr>
          <w:rFonts w:ascii="Calibri" w:hAnsi="Calibri" w:cs="Calibri"/>
        </w:rPr>
        <w:t xml:space="preserve">test </w:t>
      </w:r>
      <w:r w:rsidRPr="002967EA">
        <w:rPr>
          <w:rFonts w:ascii="Calibri" w:hAnsi="Calibri" w:cs="Calibri"/>
        </w:rPr>
        <w:t>or ‘egg-shell skull</w:t>
      </w:r>
      <w:r w:rsidR="008F52F2" w:rsidRPr="002967EA">
        <w:rPr>
          <w:rFonts w:ascii="Calibri" w:hAnsi="Calibri" w:cs="Calibri"/>
        </w:rPr>
        <w:t xml:space="preserve">” rule. This means that even if the harm is more severe than what would be expected </w:t>
      </w:r>
      <w:r w:rsidR="00E11337" w:rsidRPr="002967EA">
        <w:rPr>
          <w:rFonts w:ascii="Calibri" w:hAnsi="Calibri" w:cs="Calibri"/>
        </w:rPr>
        <w:t>for a person without</w:t>
      </w:r>
      <w:r w:rsidR="00112570" w:rsidRPr="002967EA">
        <w:rPr>
          <w:rFonts w:ascii="Calibri" w:hAnsi="Calibri" w:cs="Calibri"/>
        </w:rPr>
        <w:t xml:space="preserve"> that condition, the defendant is nonetheless completely responsible for it if their wrongdoing injures someone who </w:t>
      </w:r>
      <w:r w:rsidR="003E5A8D" w:rsidRPr="002967EA">
        <w:rPr>
          <w:rFonts w:ascii="Calibri" w:hAnsi="Calibri" w:cs="Calibri"/>
        </w:rPr>
        <w:t>is already</w:t>
      </w:r>
      <w:r w:rsidR="00112570" w:rsidRPr="002967EA">
        <w:rPr>
          <w:rFonts w:ascii="Calibri" w:hAnsi="Calibri" w:cs="Calibri"/>
        </w:rPr>
        <w:t xml:space="preserve"> vulnerable or </w:t>
      </w:r>
      <w:r w:rsidR="00DD3D26" w:rsidRPr="002967EA">
        <w:rPr>
          <w:rFonts w:ascii="Calibri" w:hAnsi="Calibri" w:cs="Calibri"/>
        </w:rPr>
        <w:t xml:space="preserve">in </w:t>
      </w:r>
      <w:r w:rsidR="003E5A8D" w:rsidRPr="002967EA">
        <w:rPr>
          <w:rFonts w:ascii="Calibri" w:hAnsi="Calibri" w:cs="Calibri"/>
        </w:rPr>
        <w:t>need</w:t>
      </w:r>
      <w:r w:rsidR="00C93963" w:rsidRPr="002967EA">
        <w:rPr>
          <w:rFonts w:ascii="Calibri" w:hAnsi="Calibri" w:cs="Calibri"/>
        </w:rPr>
        <w:t xml:space="preserve"> of help</w:t>
      </w:r>
      <w:r w:rsidR="005E7701" w:rsidRPr="002967EA">
        <w:rPr>
          <w:rFonts w:ascii="Calibri" w:hAnsi="Calibri" w:cs="Calibri"/>
        </w:rPr>
        <w:t>.</w:t>
      </w:r>
      <w:r w:rsidR="00030B8C" w:rsidRPr="002967EA">
        <w:rPr>
          <w:rFonts w:ascii="Calibri" w:hAnsi="Calibri" w:cs="Calibri"/>
        </w:rPr>
        <w:t xml:space="preserve"> A case where a worker was burned on the lip by a spray of hot metal was used as an example of this rule of action. The employer was liable for this incident, as the</w:t>
      </w:r>
      <w:r w:rsidR="004620F8" w:rsidRPr="002967EA">
        <w:rPr>
          <w:rFonts w:ascii="Calibri" w:hAnsi="Calibri" w:cs="Calibri"/>
        </w:rPr>
        <w:t xml:space="preserve"> injury highlighted a failure to accoun</w:t>
      </w:r>
      <w:r w:rsidR="007B3F7A" w:rsidRPr="002967EA">
        <w:rPr>
          <w:rFonts w:ascii="Calibri" w:hAnsi="Calibri" w:cs="Calibri"/>
        </w:rPr>
        <w:t xml:space="preserve">t for the claimant’s pre-existing vulnerabilities. </w:t>
      </w:r>
      <w:r w:rsidR="005D1B03" w:rsidRPr="002967EA">
        <w:rPr>
          <w:rFonts w:ascii="Calibri" w:hAnsi="Calibri" w:cs="Calibri"/>
        </w:rPr>
        <w:t>Consequently, the burn worsened, leading t</w:t>
      </w:r>
      <w:r w:rsidR="00845E3D" w:rsidRPr="002967EA">
        <w:rPr>
          <w:rFonts w:ascii="Calibri" w:hAnsi="Calibri" w:cs="Calibri"/>
        </w:rPr>
        <w:t xml:space="preserve">o ulceration and </w:t>
      </w:r>
      <w:r w:rsidR="00B93B79" w:rsidRPr="002967EA">
        <w:rPr>
          <w:rFonts w:ascii="Calibri" w:hAnsi="Calibri" w:cs="Calibri"/>
        </w:rPr>
        <w:t xml:space="preserve">the </w:t>
      </w:r>
      <w:r w:rsidR="00B3215E" w:rsidRPr="002967EA">
        <w:rPr>
          <w:rFonts w:ascii="Calibri" w:hAnsi="Calibri" w:cs="Calibri"/>
        </w:rPr>
        <w:t xml:space="preserve">development of cancer, ultimately resulting in the </w:t>
      </w:r>
      <w:r w:rsidR="00B93B79" w:rsidRPr="002967EA">
        <w:rPr>
          <w:rFonts w:ascii="Calibri" w:hAnsi="Calibri" w:cs="Calibri"/>
        </w:rPr>
        <w:t>claimant’s</w:t>
      </w:r>
      <w:r w:rsidR="00B3215E" w:rsidRPr="002967EA">
        <w:rPr>
          <w:rFonts w:ascii="Calibri" w:hAnsi="Calibri" w:cs="Calibri"/>
        </w:rPr>
        <w:t xml:space="preserve"> death</w:t>
      </w:r>
      <w:r w:rsidR="009E45F3" w:rsidRPr="002967EA">
        <w:rPr>
          <w:rFonts w:ascii="Calibri" w:hAnsi="Calibri" w:cs="Calibri"/>
        </w:rPr>
        <w:t>. Given the foreseeable nature of burn injuries</w:t>
      </w:r>
      <w:r w:rsidR="00B93B79" w:rsidRPr="002967EA">
        <w:rPr>
          <w:rFonts w:ascii="Calibri" w:hAnsi="Calibri" w:cs="Calibri"/>
        </w:rPr>
        <w:t>,</w:t>
      </w:r>
      <w:r w:rsidR="009E45F3" w:rsidRPr="002967EA">
        <w:rPr>
          <w:rFonts w:ascii="Calibri" w:hAnsi="Calibri" w:cs="Calibri"/>
        </w:rPr>
        <w:t xml:space="preserve"> the claimant was entitled </w:t>
      </w:r>
      <w:r w:rsidR="008E7230" w:rsidRPr="002967EA">
        <w:rPr>
          <w:rFonts w:ascii="Calibri" w:hAnsi="Calibri" w:cs="Calibri"/>
        </w:rPr>
        <w:t>to full recovery.</w:t>
      </w:r>
      <w:r w:rsidR="008339C6" w:rsidRPr="002967EA">
        <w:rPr>
          <w:rFonts w:ascii="Calibri" w:hAnsi="Calibri" w:cs="Calibri"/>
        </w:rPr>
        <w:t xml:space="preserve"> </w:t>
      </w:r>
      <w:r w:rsidR="0012168F" w:rsidRPr="002967EA">
        <w:rPr>
          <w:rFonts w:ascii="Calibri" w:hAnsi="Calibri" w:cs="Calibri"/>
        </w:rPr>
        <w:t>T</w:t>
      </w:r>
      <w:r w:rsidR="008339C6" w:rsidRPr="002967EA">
        <w:rPr>
          <w:rFonts w:ascii="Calibri" w:hAnsi="Calibri" w:cs="Calibri"/>
        </w:rPr>
        <w:t>he</w:t>
      </w:r>
      <w:r w:rsidR="0012168F" w:rsidRPr="002967EA">
        <w:rPr>
          <w:rFonts w:ascii="Calibri" w:hAnsi="Calibri" w:cs="Calibri"/>
        </w:rPr>
        <w:t xml:space="preserve"> ‘thin</w:t>
      </w:r>
      <w:r w:rsidR="00DE21F6" w:rsidRPr="002967EA">
        <w:rPr>
          <w:rFonts w:ascii="Calibri" w:hAnsi="Calibri" w:cs="Calibri"/>
        </w:rPr>
        <w:t xml:space="preserve"> </w:t>
      </w:r>
      <w:r w:rsidR="0012168F" w:rsidRPr="002967EA">
        <w:rPr>
          <w:rFonts w:ascii="Calibri" w:hAnsi="Calibri" w:cs="Calibri"/>
        </w:rPr>
        <w:t>skull’</w:t>
      </w:r>
      <w:r w:rsidR="00864EDA" w:rsidRPr="002967EA">
        <w:rPr>
          <w:rFonts w:ascii="Calibri" w:hAnsi="Calibri" w:cs="Calibri"/>
        </w:rPr>
        <w:t xml:space="preserve"> test also known as the ‘egg-shell skull’</w:t>
      </w:r>
      <w:r w:rsidR="0012168F" w:rsidRPr="002967EA">
        <w:rPr>
          <w:rFonts w:ascii="Calibri" w:hAnsi="Calibri" w:cs="Calibri"/>
        </w:rPr>
        <w:t xml:space="preserve"> rule does not differen</w:t>
      </w:r>
      <w:r w:rsidR="003D28A7" w:rsidRPr="002967EA">
        <w:rPr>
          <w:rFonts w:ascii="Calibri" w:hAnsi="Calibri" w:cs="Calibri"/>
        </w:rPr>
        <w:t>tiate between psychological and psychiatric injur</w:t>
      </w:r>
      <w:r w:rsidR="004510B1" w:rsidRPr="002967EA">
        <w:rPr>
          <w:rFonts w:ascii="Calibri" w:hAnsi="Calibri" w:cs="Calibri"/>
        </w:rPr>
        <w:t>ies; consequently, it applies</w:t>
      </w:r>
      <w:r w:rsidR="00A67FF6" w:rsidRPr="002967EA">
        <w:rPr>
          <w:rFonts w:ascii="Calibri" w:hAnsi="Calibri" w:cs="Calibri"/>
        </w:rPr>
        <w:t xml:space="preserve"> equally to psychia</w:t>
      </w:r>
      <w:r w:rsidR="006646A3" w:rsidRPr="002967EA">
        <w:rPr>
          <w:rFonts w:ascii="Calibri" w:hAnsi="Calibri" w:cs="Calibri"/>
        </w:rPr>
        <w:t>tric harm. Under this principle, a claimant is entitled to full recovery if they can establish that the negligence of the defendant either caused or</w:t>
      </w:r>
      <w:r w:rsidR="00DE21F6" w:rsidRPr="002967EA">
        <w:rPr>
          <w:rFonts w:ascii="Calibri" w:hAnsi="Calibri" w:cs="Calibri"/>
        </w:rPr>
        <w:t xml:space="preserve"> aggravated their pre-existing vulnerability to emotional distress. </w:t>
      </w:r>
      <w:r w:rsidR="009E2FFA" w:rsidRPr="002967EA">
        <w:rPr>
          <w:rFonts w:ascii="Calibri" w:hAnsi="Calibri" w:cs="Calibri"/>
          <w:i/>
          <w:iCs/>
        </w:rPr>
        <w:t>(LexisNexis, 2019).</w:t>
      </w:r>
      <w:r w:rsidR="00795EED" w:rsidRPr="002967EA">
        <w:rPr>
          <w:rFonts w:ascii="Calibri" w:hAnsi="Calibri" w:cs="Calibri"/>
        </w:rPr>
        <w:t xml:space="preserve"> </w:t>
      </w:r>
    </w:p>
    <w:p w14:paraId="44871DDC" w14:textId="205ABD0A" w:rsidR="006358FA" w:rsidRDefault="006358FA" w:rsidP="00105D5A">
      <w:pPr>
        <w:spacing w:line="360" w:lineRule="auto"/>
        <w:rPr>
          <w:rFonts w:ascii="Calibri" w:hAnsi="Calibri" w:cs="Calibri"/>
          <w:i/>
          <w:iCs/>
        </w:rPr>
      </w:pPr>
      <w:r w:rsidRPr="002967EA">
        <w:rPr>
          <w:rFonts w:ascii="Calibri" w:hAnsi="Calibri" w:cs="Calibri"/>
        </w:rPr>
        <w:t>As a result, there are man</w:t>
      </w:r>
      <w:r w:rsidR="00CA0392" w:rsidRPr="002967EA">
        <w:rPr>
          <w:rFonts w:ascii="Calibri" w:hAnsi="Calibri" w:cs="Calibri"/>
        </w:rPr>
        <w:t>y advantages to the ‘thin skull’ test. The first advantage</w:t>
      </w:r>
      <w:r w:rsidR="00E077FC" w:rsidRPr="002967EA">
        <w:rPr>
          <w:rFonts w:ascii="Calibri" w:hAnsi="Calibri" w:cs="Calibri"/>
        </w:rPr>
        <w:t xml:space="preserve"> is that it promotes fairness and equality. </w:t>
      </w:r>
      <w:r w:rsidR="00AA644F" w:rsidRPr="002967EA">
        <w:rPr>
          <w:rFonts w:ascii="Calibri" w:hAnsi="Calibri" w:cs="Calibri"/>
        </w:rPr>
        <w:t>This rule</w:t>
      </w:r>
      <w:r w:rsidR="009D793C" w:rsidRPr="002967EA">
        <w:rPr>
          <w:rFonts w:ascii="Calibri" w:hAnsi="Calibri" w:cs="Calibri"/>
        </w:rPr>
        <w:t xml:space="preserve"> prevents people from being treated differently because of their</w:t>
      </w:r>
      <w:r w:rsidR="008C7FB4" w:rsidRPr="002967EA">
        <w:rPr>
          <w:rFonts w:ascii="Calibri" w:hAnsi="Calibri" w:cs="Calibri"/>
        </w:rPr>
        <w:t xml:space="preserve"> differences in physical and psychological weakness</w:t>
      </w:r>
      <w:r w:rsidR="00AD3D4B" w:rsidRPr="002967EA">
        <w:rPr>
          <w:rFonts w:ascii="Calibri" w:hAnsi="Calibri" w:cs="Calibri"/>
        </w:rPr>
        <w:t>es</w:t>
      </w:r>
      <w:r w:rsidR="008C7FB4" w:rsidRPr="002967EA">
        <w:rPr>
          <w:rFonts w:ascii="Calibri" w:hAnsi="Calibri" w:cs="Calibri"/>
        </w:rPr>
        <w:t>, acknow</w:t>
      </w:r>
      <w:r w:rsidR="00AD3D4B" w:rsidRPr="002967EA">
        <w:rPr>
          <w:rFonts w:ascii="Calibri" w:hAnsi="Calibri" w:cs="Calibri"/>
        </w:rPr>
        <w:t>ledging that people may have different kinds of vulnerability</w:t>
      </w:r>
      <w:r w:rsidR="008F6D41" w:rsidRPr="002967EA">
        <w:rPr>
          <w:rFonts w:ascii="Calibri" w:hAnsi="Calibri" w:cs="Calibri"/>
        </w:rPr>
        <w:t xml:space="preserve"> which ensures that individuals do not suffer due to </w:t>
      </w:r>
      <w:r w:rsidR="00471980" w:rsidRPr="002967EA">
        <w:rPr>
          <w:rFonts w:ascii="Calibri" w:hAnsi="Calibri" w:cs="Calibri"/>
        </w:rPr>
        <w:t xml:space="preserve">circumstances beyond their control. Another advantage </w:t>
      </w:r>
      <w:r w:rsidR="00801A26" w:rsidRPr="002967EA">
        <w:rPr>
          <w:rFonts w:ascii="Calibri" w:hAnsi="Calibri" w:cs="Calibri"/>
        </w:rPr>
        <w:t xml:space="preserve">is that it encourages responsibility and </w:t>
      </w:r>
      <w:r w:rsidR="002C4FB9" w:rsidRPr="002967EA">
        <w:rPr>
          <w:rFonts w:ascii="Calibri" w:hAnsi="Calibri" w:cs="Calibri"/>
        </w:rPr>
        <w:t>carefulness. The</w:t>
      </w:r>
      <w:r w:rsidR="000076F9" w:rsidRPr="002967EA">
        <w:rPr>
          <w:rFonts w:ascii="Calibri" w:hAnsi="Calibri" w:cs="Calibri"/>
        </w:rPr>
        <w:t xml:space="preserve"> rule motivates</w:t>
      </w:r>
      <w:r w:rsidR="0024743B" w:rsidRPr="002967EA">
        <w:rPr>
          <w:rFonts w:ascii="Calibri" w:hAnsi="Calibri" w:cs="Calibri"/>
        </w:rPr>
        <w:t xml:space="preserve"> defendants to act properly and with thought for the possible effects by making them accountable for the consequences of their actions</w:t>
      </w:r>
      <w:r w:rsidR="002C4FB9" w:rsidRPr="002967EA">
        <w:rPr>
          <w:rFonts w:ascii="Calibri" w:hAnsi="Calibri" w:cs="Calibri"/>
        </w:rPr>
        <w:t xml:space="preserve">, </w:t>
      </w:r>
      <w:r w:rsidR="00180595" w:rsidRPr="002967EA">
        <w:rPr>
          <w:rFonts w:ascii="Calibri" w:hAnsi="Calibri" w:cs="Calibri"/>
        </w:rPr>
        <w:t>which makes them use</w:t>
      </w:r>
      <w:r w:rsidR="00311E55" w:rsidRPr="002967EA">
        <w:rPr>
          <w:rFonts w:ascii="Calibri" w:hAnsi="Calibri" w:cs="Calibri"/>
        </w:rPr>
        <w:t xml:space="preserve"> caution, even when they are unaware of a person’s weakness.</w:t>
      </w:r>
      <w:r w:rsidR="002C4FB9" w:rsidRPr="002967EA">
        <w:rPr>
          <w:rFonts w:ascii="Calibri" w:hAnsi="Calibri" w:cs="Calibri"/>
        </w:rPr>
        <w:t xml:space="preserve"> The last advantage </w:t>
      </w:r>
      <w:r w:rsidR="00F4048F" w:rsidRPr="002967EA">
        <w:rPr>
          <w:rFonts w:ascii="Calibri" w:hAnsi="Calibri" w:cs="Calibri"/>
        </w:rPr>
        <w:t>is that it sets a consistent legal standard.</w:t>
      </w:r>
      <w:r w:rsidR="001F10AE" w:rsidRPr="002967EA">
        <w:rPr>
          <w:rFonts w:ascii="Calibri" w:hAnsi="Calibri" w:cs="Calibri"/>
        </w:rPr>
        <w:t xml:space="preserve"> The ‘thin skull</w:t>
      </w:r>
      <w:r w:rsidR="00B95306" w:rsidRPr="002967EA">
        <w:rPr>
          <w:rFonts w:ascii="Calibri" w:hAnsi="Calibri" w:cs="Calibri"/>
        </w:rPr>
        <w:t xml:space="preserve">’ rule gives claimants, defendants, and courts a predictable and understandable requirement for determining causation in tort law. Liability is established for every additional harm after the defendant is proven to have caused the original injury, which </w:t>
      </w:r>
      <w:r w:rsidR="002A3751" w:rsidRPr="002967EA">
        <w:rPr>
          <w:rFonts w:ascii="Calibri" w:hAnsi="Calibri" w:cs="Calibri"/>
        </w:rPr>
        <w:t xml:space="preserve">simplifies the legal procedure. </w:t>
      </w:r>
      <w:r w:rsidR="002A3751" w:rsidRPr="002967EA">
        <w:rPr>
          <w:rFonts w:ascii="Calibri" w:hAnsi="Calibri" w:cs="Calibri"/>
          <w:i/>
          <w:iCs/>
        </w:rPr>
        <w:t>(Elvin, J. D.</w:t>
      </w:r>
      <w:r w:rsidR="002967EA" w:rsidRPr="002967EA">
        <w:rPr>
          <w:rFonts w:ascii="Calibri" w:hAnsi="Calibri" w:cs="Calibri"/>
          <w:i/>
          <w:iCs/>
        </w:rPr>
        <w:t>),</w:t>
      </w:r>
      <w:r w:rsidR="002A3751" w:rsidRPr="002967EA">
        <w:rPr>
          <w:rFonts w:ascii="Calibri" w:hAnsi="Calibri" w:cs="Calibri"/>
          <w:i/>
          <w:iCs/>
        </w:rPr>
        <w:t xml:space="preserve"> </w:t>
      </w:r>
      <w:r w:rsidR="002967EA" w:rsidRPr="002967EA">
        <w:rPr>
          <w:rFonts w:ascii="Calibri" w:hAnsi="Calibri" w:cs="Calibri"/>
          <w:i/>
          <w:iCs/>
        </w:rPr>
        <w:t>(</w:t>
      </w:r>
      <w:r w:rsidR="002A3751" w:rsidRPr="002967EA">
        <w:rPr>
          <w:rFonts w:ascii="Calibri" w:hAnsi="Calibri" w:cs="Calibri"/>
          <w:i/>
          <w:iCs/>
        </w:rPr>
        <w:t>2017)</w:t>
      </w:r>
      <w:r w:rsidR="002967EA">
        <w:rPr>
          <w:rFonts w:ascii="Calibri" w:hAnsi="Calibri" w:cs="Calibri"/>
          <w:i/>
          <w:iCs/>
        </w:rPr>
        <w:t>.</w:t>
      </w:r>
    </w:p>
    <w:p w14:paraId="1FD25B68" w14:textId="666F1D63" w:rsidR="00CD163B" w:rsidRDefault="00A56EFE" w:rsidP="00105D5A">
      <w:pPr>
        <w:spacing w:line="360" w:lineRule="auto"/>
        <w:rPr>
          <w:rFonts w:ascii="Calibri" w:hAnsi="Calibri" w:cs="Calibri"/>
          <w:i/>
          <w:iCs/>
        </w:rPr>
      </w:pPr>
      <w:r>
        <w:rPr>
          <w:rFonts w:ascii="Calibri" w:hAnsi="Calibri" w:cs="Calibri"/>
        </w:rPr>
        <w:lastRenderedPageBreak/>
        <w:t xml:space="preserve">However, </w:t>
      </w:r>
      <w:r w:rsidR="00F453B6">
        <w:rPr>
          <w:rFonts w:ascii="Calibri" w:hAnsi="Calibri" w:cs="Calibri"/>
        </w:rPr>
        <w:t>the ‘thin skull’ test does come with its limitations.</w:t>
      </w:r>
      <w:r w:rsidR="00D7417C">
        <w:rPr>
          <w:rFonts w:ascii="Calibri" w:hAnsi="Calibri" w:cs="Calibri"/>
        </w:rPr>
        <w:t xml:space="preserve"> The first being is that it </w:t>
      </w:r>
      <w:r w:rsidR="00F8158B">
        <w:rPr>
          <w:rFonts w:ascii="Calibri" w:hAnsi="Calibri" w:cs="Calibri"/>
        </w:rPr>
        <w:t xml:space="preserve">increased pressure on defendants to use extreme caution. </w:t>
      </w:r>
      <w:r w:rsidR="00823B82">
        <w:rPr>
          <w:rFonts w:ascii="Calibri" w:hAnsi="Calibri" w:cs="Calibri"/>
        </w:rPr>
        <w:t>The rule essentially increases the standard of care since it makes defendants accountable for any injuries caused by their acts. In situations involving people who could have known or unknown vul</w:t>
      </w:r>
      <w:r w:rsidR="00E80C5A">
        <w:rPr>
          <w:rFonts w:ascii="Calibri" w:hAnsi="Calibri" w:cs="Calibri"/>
        </w:rPr>
        <w:t xml:space="preserve">nerabilities, defendants may feel pressured to act extremely carefully to escape responsibility for </w:t>
      </w:r>
      <w:r w:rsidR="00B35736">
        <w:rPr>
          <w:rFonts w:ascii="Calibri" w:hAnsi="Calibri" w:cs="Calibri"/>
        </w:rPr>
        <w:t xml:space="preserve">rare </w:t>
      </w:r>
      <w:r w:rsidR="00E80C5A">
        <w:rPr>
          <w:rFonts w:ascii="Calibri" w:hAnsi="Calibri" w:cs="Calibri"/>
        </w:rPr>
        <w:t xml:space="preserve">injuries. </w:t>
      </w:r>
      <w:r w:rsidR="00B35736">
        <w:rPr>
          <w:rFonts w:ascii="Calibri" w:hAnsi="Calibri" w:cs="Calibri"/>
        </w:rPr>
        <w:t>Another disadvantage</w:t>
      </w:r>
      <w:r w:rsidR="00225E7C">
        <w:rPr>
          <w:rFonts w:ascii="Calibri" w:hAnsi="Calibri" w:cs="Calibri"/>
        </w:rPr>
        <w:t xml:space="preserve"> of the ‘thin skull’ test</w:t>
      </w:r>
      <w:r w:rsidR="00140C05">
        <w:rPr>
          <w:rFonts w:ascii="Calibri" w:hAnsi="Calibri" w:cs="Calibri"/>
        </w:rPr>
        <w:t xml:space="preserve"> is that it </w:t>
      </w:r>
      <w:r w:rsidR="00C50645">
        <w:rPr>
          <w:rFonts w:ascii="Calibri" w:hAnsi="Calibri" w:cs="Calibri"/>
        </w:rPr>
        <w:t>encourages potential</w:t>
      </w:r>
      <w:r w:rsidR="00462E43">
        <w:rPr>
          <w:rFonts w:ascii="Calibri" w:hAnsi="Calibri" w:cs="Calibri"/>
        </w:rPr>
        <w:t xml:space="preserve">ly excessive claims. </w:t>
      </w:r>
      <w:r w:rsidR="0084508C">
        <w:rPr>
          <w:rFonts w:ascii="Calibri" w:hAnsi="Calibri" w:cs="Calibri"/>
        </w:rPr>
        <w:t xml:space="preserve">The ‘thin skull’ rule may result in claimants pursuing claims for severe illnesses or injuries that only have a weak </w:t>
      </w:r>
      <w:r w:rsidR="00C23DA2">
        <w:rPr>
          <w:rFonts w:ascii="Calibri" w:hAnsi="Calibri" w:cs="Calibri"/>
        </w:rPr>
        <w:t>relation</w:t>
      </w:r>
      <w:r w:rsidR="0084508C">
        <w:rPr>
          <w:rFonts w:ascii="Calibri" w:hAnsi="Calibri" w:cs="Calibri"/>
        </w:rPr>
        <w:t xml:space="preserve"> to the defendant’s original wrongdoing. </w:t>
      </w:r>
      <w:r w:rsidR="00255493">
        <w:rPr>
          <w:rFonts w:ascii="Calibri" w:hAnsi="Calibri" w:cs="Calibri"/>
        </w:rPr>
        <w:t xml:space="preserve">The last </w:t>
      </w:r>
      <w:r w:rsidR="00AE053B">
        <w:rPr>
          <w:rFonts w:ascii="Calibri" w:hAnsi="Calibri" w:cs="Calibri"/>
        </w:rPr>
        <w:t xml:space="preserve">limitation of the ‘thin skull’ test is that it has difficulties </w:t>
      </w:r>
      <w:r w:rsidR="004F402F">
        <w:rPr>
          <w:rFonts w:ascii="Calibri" w:hAnsi="Calibri" w:cs="Calibri"/>
        </w:rPr>
        <w:t xml:space="preserve">analysing </w:t>
      </w:r>
      <w:r w:rsidR="007D18CD">
        <w:rPr>
          <w:rFonts w:ascii="Calibri" w:hAnsi="Calibri" w:cs="Calibri"/>
        </w:rPr>
        <w:t>pre-existing damages.</w:t>
      </w:r>
      <w:r w:rsidR="003327E0">
        <w:rPr>
          <w:rFonts w:ascii="Calibri" w:hAnsi="Calibri" w:cs="Calibri"/>
        </w:rPr>
        <w:t xml:space="preserve"> When a claimant has a pre-existing injury, it may be difficult to </w:t>
      </w:r>
      <w:r w:rsidR="00F25080">
        <w:rPr>
          <w:rFonts w:ascii="Calibri" w:hAnsi="Calibri" w:cs="Calibri"/>
        </w:rPr>
        <w:t>distinguish</w:t>
      </w:r>
      <w:r w:rsidR="003327E0">
        <w:rPr>
          <w:rFonts w:ascii="Calibri" w:hAnsi="Calibri" w:cs="Calibri"/>
        </w:rPr>
        <w:t xml:space="preserve"> between an injury that would have naturally resulted from the pre-existing harm caused by the defendant’s actions. This makes </w:t>
      </w:r>
      <w:r w:rsidR="00CA17D4">
        <w:rPr>
          <w:rFonts w:ascii="Calibri" w:hAnsi="Calibri" w:cs="Calibri"/>
        </w:rPr>
        <w:t>analysing the defendant</w:t>
      </w:r>
      <w:r w:rsidR="001A121D">
        <w:rPr>
          <w:rFonts w:ascii="Calibri" w:hAnsi="Calibri" w:cs="Calibri"/>
        </w:rPr>
        <w:t>’</w:t>
      </w:r>
      <w:r w:rsidR="00CA17D4">
        <w:rPr>
          <w:rFonts w:ascii="Calibri" w:hAnsi="Calibri" w:cs="Calibri"/>
        </w:rPr>
        <w:t xml:space="preserve">s level of responsibility </w:t>
      </w:r>
      <w:r w:rsidR="004A6C1D">
        <w:rPr>
          <w:rFonts w:ascii="Calibri" w:hAnsi="Calibri" w:cs="Calibri"/>
        </w:rPr>
        <w:t xml:space="preserve">while </w:t>
      </w:r>
      <w:r w:rsidR="00BD1449">
        <w:rPr>
          <w:rFonts w:ascii="Calibri" w:hAnsi="Calibri" w:cs="Calibri"/>
        </w:rPr>
        <w:t xml:space="preserve">accurately analysing </w:t>
      </w:r>
      <w:r w:rsidR="001A121D">
        <w:rPr>
          <w:rFonts w:ascii="Calibri" w:hAnsi="Calibri" w:cs="Calibri"/>
        </w:rPr>
        <w:t xml:space="preserve">damages challenging. </w:t>
      </w:r>
      <w:r w:rsidR="00F25080" w:rsidRPr="008C3405">
        <w:rPr>
          <w:rFonts w:ascii="Calibri" w:hAnsi="Calibri" w:cs="Calibri"/>
          <w:i/>
          <w:iCs/>
        </w:rPr>
        <w:t>(Kin</w:t>
      </w:r>
      <w:r w:rsidR="008C3405" w:rsidRPr="008C3405">
        <w:rPr>
          <w:rFonts w:ascii="Calibri" w:hAnsi="Calibri" w:cs="Calibri"/>
          <w:i/>
          <w:iCs/>
        </w:rPr>
        <w:t>gsleynapley, 2015).</w:t>
      </w:r>
    </w:p>
    <w:p w14:paraId="0C08026D" w14:textId="77777777" w:rsidR="00C80D4B" w:rsidRDefault="00C80D4B" w:rsidP="00105D5A">
      <w:pPr>
        <w:spacing w:line="360" w:lineRule="auto"/>
        <w:rPr>
          <w:rFonts w:ascii="Calibri" w:hAnsi="Calibri" w:cs="Calibri"/>
          <w:i/>
          <w:iCs/>
        </w:rPr>
      </w:pPr>
    </w:p>
    <w:p w14:paraId="207E6181" w14:textId="670B0498" w:rsidR="00C80D4B" w:rsidRDefault="00C80D4B" w:rsidP="00105D5A">
      <w:pPr>
        <w:spacing w:line="360" w:lineRule="auto"/>
        <w:rPr>
          <w:rFonts w:ascii="Calibri" w:hAnsi="Calibri" w:cs="Calibri"/>
        </w:rPr>
      </w:pPr>
      <w:r>
        <w:rPr>
          <w:rFonts w:ascii="Calibri" w:hAnsi="Calibri" w:cs="Calibri"/>
        </w:rPr>
        <w:t xml:space="preserve">In my opinion, </w:t>
      </w:r>
      <w:r w:rsidR="00221997">
        <w:rPr>
          <w:rFonts w:ascii="Calibri" w:hAnsi="Calibri" w:cs="Calibri"/>
        </w:rPr>
        <w:t>the ‘thin skull’ r</w:t>
      </w:r>
      <w:r w:rsidR="00204BBF">
        <w:rPr>
          <w:rFonts w:ascii="Calibri" w:hAnsi="Calibri" w:cs="Calibri"/>
        </w:rPr>
        <w:t>ule</w:t>
      </w:r>
      <w:r w:rsidR="00221997">
        <w:rPr>
          <w:rFonts w:ascii="Calibri" w:hAnsi="Calibri" w:cs="Calibri"/>
        </w:rPr>
        <w:t xml:space="preserve"> also known as the ‘egg-shell skull” rule</w:t>
      </w:r>
      <w:r w:rsidR="002D13B2">
        <w:rPr>
          <w:rFonts w:ascii="Calibri" w:hAnsi="Calibri" w:cs="Calibri"/>
        </w:rPr>
        <w:t xml:space="preserve"> could help in ensuring </w:t>
      </w:r>
      <w:r w:rsidR="00651A92">
        <w:rPr>
          <w:rFonts w:ascii="Calibri" w:hAnsi="Calibri" w:cs="Calibri"/>
        </w:rPr>
        <w:t xml:space="preserve">the balance between </w:t>
      </w:r>
      <w:r w:rsidR="00D81A4F">
        <w:rPr>
          <w:rFonts w:ascii="Calibri" w:hAnsi="Calibri" w:cs="Calibri"/>
        </w:rPr>
        <w:t>fair responsibi</w:t>
      </w:r>
      <w:r w:rsidR="00BF65E8">
        <w:rPr>
          <w:rFonts w:ascii="Calibri" w:hAnsi="Calibri" w:cs="Calibri"/>
        </w:rPr>
        <w:t>li</w:t>
      </w:r>
      <w:r w:rsidR="00D81A4F">
        <w:rPr>
          <w:rFonts w:ascii="Calibri" w:hAnsi="Calibri" w:cs="Calibri"/>
        </w:rPr>
        <w:t>ties for defendants</w:t>
      </w:r>
      <w:r w:rsidR="002042E7">
        <w:rPr>
          <w:rFonts w:ascii="Calibri" w:hAnsi="Calibri" w:cs="Calibri"/>
        </w:rPr>
        <w:t xml:space="preserve"> and equal exchange for the claimant. By doing this, the ‘thin skull’ rule would be applied more </w:t>
      </w:r>
      <w:r w:rsidR="00875DC3">
        <w:rPr>
          <w:rFonts w:ascii="Calibri" w:hAnsi="Calibri" w:cs="Calibri"/>
        </w:rPr>
        <w:t>frequently, fairly, and predictably, which could support both claimants and defendants in</w:t>
      </w:r>
      <w:r w:rsidR="00BF65E8">
        <w:rPr>
          <w:rFonts w:ascii="Calibri" w:hAnsi="Calibri" w:cs="Calibri"/>
        </w:rPr>
        <w:t xml:space="preserve">stead of </w:t>
      </w:r>
      <w:r w:rsidR="00875DC3">
        <w:rPr>
          <w:rFonts w:ascii="Calibri" w:hAnsi="Calibri" w:cs="Calibri"/>
        </w:rPr>
        <w:t xml:space="preserve">reaching </w:t>
      </w:r>
      <w:r w:rsidR="00BF65E8">
        <w:rPr>
          <w:rFonts w:ascii="Calibri" w:hAnsi="Calibri" w:cs="Calibri"/>
        </w:rPr>
        <w:t>just the outcomes.</w:t>
      </w:r>
    </w:p>
    <w:p w14:paraId="027D71EC" w14:textId="77777777" w:rsidR="00D267CC" w:rsidRDefault="00D267CC" w:rsidP="00105D5A">
      <w:pPr>
        <w:spacing w:line="360" w:lineRule="auto"/>
        <w:rPr>
          <w:rFonts w:ascii="Calibri" w:hAnsi="Calibri" w:cs="Calibri"/>
        </w:rPr>
      </w:pPr>
    </w:p>
    <w:p w14:paraId="7F5A7F83" w14:textId="4C7D53D7" w:rsidR="00D267CC" w:rsidRDefault="00D267CC" w:rsidP="00105D5A">
      <w:pPr>
        <w:spacing w:line="360" w:lineRule="auto"/>
        <w:rPr>
          <w:rFonts w:ascii="Calibri" w:hAnsi="Calibri" w:cs="Calibri"/>
        </w:rPr>
      </w:pPr>
      <w:r>
        <w:rPr>
          <w:rFonts w:ascii="Calibri" w:hAnsi="Calibri" w:cs="Calibri"/>
        </w:rPr>
        <w:t xml:space="preserve">In conclusion, </w:t>
      </w:r>
      <w:r w:rsidR="000B4937">
        <w:rPr>
          <w:rFonts w:ascii="Calibri" w:hAnsi="Calibri" w:cs="Calibri"/>
        </w:rPr>
        <w:t xml:space="preserve">the ‘thin skull’ rule and the “but for” test are key principles in UK </w:t>
      </w:r>
      <w:r w:rsidR="00794D3F">
        <w:rPr>
          <w:rFonts w:ascii="Calibri" w:hAnsi="Calibri" w:cs="Calibri"/>
        </w:rPr>
        <w:t>law;</w:t>
      </w:r>
      <w:r w:rsidR="00ED0301">
        <w:rPr>
          <w:rFonts w:ascii="Calibri" w:hAnsi="Calibri" w:cs="Calibri"/>
        </w:rPr>
        <w:t xml:space="preserve"> however</w:t>
      </w:r>
      <w:r w:rsidR="003E3FAD">
        <w:rPr>
          <w:rFonts w:ascii="Calibri" w:hAnsi="Calibri" w:cs="Calibri"/>
        </w:rPr>
        <w:t>,</w:t>
      </w:r>
      <w:r w:rsidR="00ED0301">
        <w:rPr>
          <w:rFonts w:ascii="Calibri" w:hAnsi="Calibri" w:cs="Calibri"/>
        </w:rPr>
        <w:t xml:space="preserve"> each has unique disadvantages that may result in outcomes that appear unfair</w:t>
      </w:r>
      <w:r w:rsidR="00903F79">
        <w:rPr>
          <w:rFonts w:ascii="Calibri" w:hAnsi="Calibri" w:cs="Calibri"/>
        </w:rPr>
        <w:t xml:space="preserve"> to claimants or too severe for defendants. </w:t>
      </w:r>
      <w:r w:rsidR="00697A8C">
        <w:rPr>
          <w:rFonts w:ascii="Calibri" w:hAnsi="Calibri" w:cs="Calibri"/>
        </w:rPr>
        <w:t>In my opinion, reforming the tests might increase fairness by providing a more balanced approach to causation and responsibility in cases involving breaches of duty of care</w:t>
      </w:r>
      <w:r w:rsidR="003B1279">
        <w:rPr>
          <w:rFonts w:ascii="Calibri" w:hAnsi="Calibri" w:cs="Calibri"/>
        </w:rPr>
        <w:t>. This could be achieved by additional causation requirement</w:t>
      </w:r>
      <w:r w:rsidR="003E3FAD">
        <w:rPr>
          <w:rFonts w:ascii="Calibri" w:hAnsi="Calibri" w:cs="Calibri"/>
        </w:rPr>
        <w:t>s</w:t>
      </w:r>
      <w:r w:rsidR="003B1279">
        <w:rPr>
          <w:rFonts w:ascii="Calibri" w:hAnsi="Calibri" w:cs="Calibri"/>
        </w:rPr>
        <w:t xml:space="preserve"> to the “but for” test and reducing</w:t>
      </w:r>
      <w:r w:rsidR="00F953AB">
        <w:rPr>
          <w:rFonts w:ascii="Calibri" w:hAnsi="Calibri" w:cs="Calibri"/>
        </w:rPr>
        <w:t xml:space="preserve"> liability under the ‘thin skull’ rule in circumstances</w:t>
      </w:r>
      <w:r w:rsidR="008F37D1">
        <w:rPr>
          <w:rFonts w:ascii="Calibri" w:hAnsi="Calibri" w:cs="Calibri"/>
        </w:rPr>
        <w:t xml:space="preserve"> of severe vul</w:t>
      </w:r>
      <w:r w:rsidR="00715C01">
        <w:rPr>
          <w:rFonts w:ascii="Calibri" w:hAnsi="Calibri" w:cs="Calibri"/>
        </w:rPr>
        <w:t>nerability. Considering these changes, UK tort law would be able to apply the c</w:t>
      </w:r>
      <w:r w:rsidR="003E3FAD">
        <w:rPr>
          <w:rFonts w:ascii="Calibri" w:hAnsi="Calibri" w:cs="Calibri"/>
        </w:rPr>
        <w:t xml:space="preserve">oncept of causation in a more fair and advanced method. </w:t>
      </w:r>
    </w:p>
    <w:p w14:paraId="0F1A14D0" w14:textId="77777777" w:rsidR="00903F79" w:rsidRDefault="00903F79" w:rsidP="00105D5A">
      <w:pPr>
        <w:spacing w:line="360" w:lineRule="auto"/>
        <w:rPr>
          <w:rFonts w:ascii="Calibri" w:hAnsi="Calibri" w:cs="Calibri"/>
        </w:rPr>
      </w:pPr>
    </w:p>
    <w:p w14:paraId="17063B5A" w14:textId="4D9FBEF8" w:rsidR="00A02435" w:rsidRDefault="00A02435" w:rsidP="00654B6B">
      <w:pPr>
        <w:spacing w:line="360" w:lineRule="auto"/>
        <w:rPr>
          <w:rFonts w:ascii="Calibri" w:hAnsi="Calibri" w:cs="Calibri"/>
        </w:rPr>
      </w:pPr>
    </w:p>
    <w:p w14:paraId="624705C4" w14:textId="77777777" w:rsidR="00BE715D" w:rsidRDefault="00BE715D" w:rsidP="00654B6B">
      <w:pPr>
        <w:spacing w:line="360" w:lineRule="auto"/>
        <w:rPr>
          <w:rFonts w:ascii="Calibri" w:hAnsi="Calibri" w:cs="Calibri"/>
        </w:rPr>
      </w:pPr>
    </w:p>
    <w:p w14:paraId="162BC1AC" w14:textId="77777777" w:rsidR="00BE715D" w:rsidRDefault="00BE715D" w:rsidP="00654B6B">
      <w:pPr>
        <w:spacing w:line="360" w:lineRule="auto"/>
        <w:rPr>
          <w:rFonts w:ascii="Calibri" w:hAnsi="Calibri" w:cs="Calibri"/>
        </w:rPr>
      </w:pPr>
    </w:p>
    <w:p w14:paraId="32858267" w14:textId="77777777" w:rsidR="00366635" w:rsidRPr="00BE715D" w:rsidRDefault="00366635" w:rsidP="008C21C4">
      <w:pPr>
        <w:spacing w:line="276" w:lineRule="auto"/>
        <w:rPr>
          <w:rFonts w:ascii="Calibri" w:hAnsi="Calibri" w:cs="Calibri"/>
        </w:rPr>
      </w:pPr>
      <w:r w:rsidRPr="00BE715D">
        <w:rPr>
          <w:rFonts w:ascii="Calibri" w:hAnsi="Calibri" w:cs="Calibri"/>
        </w:rPr>
        <w:lastRenderedPageBreak/>
        <w:t>Atkins, H. (2024) Novus actus interveniens- A break in the chain of causation: consequences in personal injury cases. available at:</w:t>
      </w:r>
    </w:p>
    <w:p w14:paraId="46E86CEE" w14:textId="77777777" w:rsidR="00366635" w:rsidRPr="00BE715D" w:rsidRDefault="00366635" w:rsidP="008C21C4">
      <w:pPr>
        <w:spacing w:line="276" w:lineRule="auto"/>
        <w:rPr>
          <w:rFonts w:ascii="Calibri" w:hAnsi="Calibri" w:cs="Calibri"/>
        </w:rPr>
      </w:pPr>
      <w:hyperlink r:id="rId7" w:history="1">
        <w:r w:rsidRPr="00BE715D">
          <w:rPr>
            <w:rStyle w:val="Hyperlink"/>
            <w:rFonts w:ascii="Calibri" w:hAnsi="Calibri" w:cs="Calibri"/>
          </w:rPr>
          <w:t>https://www.lyonsdavidson.co.uk/novus-actus-interveniens-a-break-in-the-chain-of-causation-consequences-in-personal-injury-cases/#:~:text=When%20is%20the%20chain%20of,even%20an%20act%20of%20God.</w:t>
        </w:r>
      </w:hyperlink>
    </w:p>
    <w:p w14:paraId="6F7693F1" w14:textId="5DA7BEB0" w:rsidR="00366635" w:rsidRDefault="00366635" w:rsidP="008C21C4">
      <w:pPr>
        <w:spacing w:line="276" w:lineRule="auto"/>
        <w:rPr>
          <w:rFonts w:ascii="Calibri" w:hAnsi="Calibri" w:cs="Calibri"/>
        </w:rPr>
      </w:pPr>
      <w:r w:rsidRPr="00BE715D">
        <w:rPr>
          <w:rFonts w:ascii="Calibri" w:hAnsi="Calibri" w:cs="Calibri"/>
        </w:rPr>
        <w:t>accessed: 01.11.2024</w:t>
      </w:r>
    </w:p>
    <w:p w14:paraId="376569BC" w14:textId="77777777" w:rsidR="00280887" w:rsidRDefault="00280887" w:rsidP="008C21C4">
      <w:pPr>
        <w:spacing w:line="276" w:lineRule="auto"/>
        <w:rPr>
          <w:rFonts w:ascii="Calibri" w:hAnsi="Calibri" w:cs="Calibri"/>
        </w:rPr>
      </w:pPr>
    </w:p>
    <w:p w14:paraId="1234B7F5" w14:textId="77777777" w:rsidR="00280887" w:rsidRPr="00BE715D" w:rsidRDefault="00280887" w:rsidP="008C21C4">
      <w:pPr>
        <w:spacing w:line="276" w:lineRule="auto"/>
        <w:rPr>
          <w:rFonts w:ascii="Calibri" w:hAnsi="Calibri" w:cs="Calibri"/>
        </w:rPr>
      </w:pPr>
      <w:proofErr w:type="spellStart"/>
      <w:r w:rsidRPr="00BE715D">
        <w:rPr>
          <w:rFonts w:ascii="Calibri" w:hAnsi="Calibri" w:cs="Calibri"/>
        </w:rPr>
        <w:t>Casemine</w:t>
      </w:r>
      <w:proofErr w:type="spellEnd"/>
      <w:r w:rsidRPr="00BE715D">
        <w:rPr>
          <w:rFonts w:ascii="Calibri" w:hAnsi="Calibri" w:cs="Calibri"/>
        </w:rPr>
        <w:t xml:space="preserve"> (2023), </w:t>
      </w:r>
      <w:r w:rsidRPr="00BE715D">
        <w:rPr>
          <w:rFonts w:ascii="Calibri" w:hAnsi="Calibri" w:cs="Calibri"/>
          <w:b/>
          <w:bCs/>
        </w:rPr>
        <w:t>Caparo Industries Plc v Dickman. available at:</w:t>
      </w:r>
    </w:p>
    <w:p w14:paraId="0B81E0B0" w14:textId="77777777" w:rsidR="00280887" w:rsidRPr="00BE715D" w:rsidRDefault="00280887" w:rsidP="008C21C4">
      <w:pPr>
        <w:spacing w:line="276" w:lineRule="auto"/>
        <w:rPr>
          <w:rFonts w:ascii="Calibri" w:hAnsi="Calibri" w:cs="Calibri"/>
        </w:rPr>
      </w:pPr>
      <w:hyperlink r:id="rId8" w:history="1">
        <w:r w:rsidRPr="00BE715D">
          <w:rPr>
            <w:rStyle w:val="Hyperlink"/>
            <w:rFonts w:ascii="Calibri" w:hAnsi="Calibri" w:cs="Calibri"/>
          </w:rPr>
          <w:t>https://www.casemine.com/judgement/uk/5a938b3e60d03e5f6b82ba43</w:t>
        </w:r>
      </w:hyperlink>
    </w:p>
    <w:p w14:paraId="109579A3" w14:textId="77777777" w:rsidR="00280887" w:rsidRDefault="00280887" w:rsidP="008C21C4">
      <w:pPr>
        <w:spacing w:line="276" w:lineRule="auto"/>
        <w:rPr>
          <w:rFonts w:ascii="Calibri" w:hAnsi="Calibri" w:cs="Calibri"/>
        </w:rPr>
      </w:pPr>
      <w:r w:rsidRPr="00BE715D">
        <w:rPr>
          <w:rFonts w:ascii="Calibri" w:hAnsi="Calibri" w:cs="Calibri"/>
        </w:rPr>
        <w:t>Accessed on 18.10.2024</w:t>
      </w:r>
    </w:p>
    <w:p w14:paraId="7F4696B4" w14:textId="77777777" w:rsidR="00280887" w:rsidRDefault="00280887" w:rsidP="008C21C4">
      <w:pPr>
        <w:spacing w:line="276" w:lineRule="auto"/>
        <w:rPr>
          <w:rFonts w:ascii="Calibri" w:hAnsi="Calibri" w:cs="Calibri"/>
        </w:rPr>
      </w:pPr>
    </w:p>
    <w:p w14:paraId="395008B5" w14:textId="50C165E6" w:rsidR="00772AD3" w:rsidRPr="00BE715D" w:rsidRDefault="00772AD3" w:rsidP="008C21C4">
      <w:pPr>
        <w:spacing w:line="276" w:lineRule="auto"/>
        <w:rPr>
          <w:rFonts w:ascii="Calibri" w:hAnsi="Calibri" w:cs="Calibri"/>
        </w:rPr>
      </w:pPr>
      <w:r w:rsidRPr="00BE715D">
        <w:rPr>
          <w:rFonts w:ascii="Calibri" w:hAnsi="Calibri" w:cs="Calibri"/>
        </w:rPr>
        <w:t>Carol Brennan (2021</w:t>
      </w:r>
      <w:r w:rsidRPr="00BE715D">
        <w:rPr>
          <w:rFonts w:ascii="Calibri" w:hAnsi="Calibri" w:cs="Calibri"/>
        </w:rPr>
        <w:t>), Employers</w:t>
      </w:r>
      <w:r w:rsidRPr="00BE715D">
        <w:rPr>
          <w:rFonts w:ascii="Calibri" w:hAnsi="Calibri" w:cs="Calibri"/>
        </w:rPr>
        <w:t xml:space="preserve">’ liability and vicarious liability. Available at: </w:t>
      </w:r>
    </w:p>
    <w:p w14:paraId="4E6AD036" w14:textId="77777777" w:rsidR="00772AD3" w:rsidRPr="00BE715D" w:rsidRDefault="00772AD3" w:rsidP="008C21C4">
      <w:pPr>
        <w:spacing w:line="276" w:lineRule="auto"/>
        <w:rPr>
          <w:rFonts w:ascii="Calibri" w:hAnsi="Calibri" w:cs="Calibri"/>
        </w:rPr>
      </w:pPr>
      <w:hyperlink r:id="rId9" w:history="1">
        <w:r w:rsidRPr="00BE715D">
          <w:rPr>
            <w:rStyle w:val="Hyperlink"/>
            <w:rFonts w:ascii="Calibri" w:hAnsi="Calibri" w:cs="Calibri"/>
          </w:rPr>
          <w:t>https://www.oxfordlawtrove.com/display/10.1093/he/9780192897275.001.0001/he-9780192897275-chapter-9#:~:text=Employers'%20liability%20is%20concerned%20with,that%20employers%20have%20compulsory%20insurance.</w:t>
        </w:r>
      </w:hyperlink>
    </w:p>
    <w:p w14:paraId="3BB8BDA4" w14:textId="72C273E4" w:rsidR="00772AD3" w:rsidRDefault="00772AD3" w:rsidP="008C21C4">
      <w:pPr>
        <w:spacing w:line="276" w:lineRule="auto"/>
        <w:rPr>
          <w:rFonts w:ascii="Calibri" w:hAnsi="Calibri" w:cs="Calibri"/>
        </w:rPr>
      </w:pPr>
      <w:r w:rsidRPr="00BE715D">
        <w:rPr>
          <w:rFonts w:ascii="Calibri" w:hAnsi="Calibri" w:cs="Calibri"/>
        </w:rPr>
        <w:t>Accessed: 20.10.2024</w:t>
      </w:r>
    </w:p>
    <w:p w14:paraId="7A64FA5A" w14:textId="77777777" w:rsidR="00280887" w:rsidRDefault="00280887" w:rsidP="008C21C4">
      <w:pPr>
        <w:spacing w:line="276" w:lineRule="auto"/>
        <w:rPr>
          <w:rFonts w:ascii="Calibri" w:hAnsi="Calibri" w:cs="Calibri"/>
        </w:rPr>
      </w:pPr>
    </w:p>
    <w:p w14:paraId="0CA5B521" w14:textId="6EA2E62B" w:rsidR="00280887" w:rsidRPr="00BE715D" w:rsidRDefault="00280887" w:rsidP="008C21C4">
      <w:pPr>
        <w:spacing w:line="276" w:lineRule="auto"/>
        <w:rPr>
          <w:rFonts w:ascii="Calibri" w:hAnsi="Calibri" w:cs="Calibri"/>
        </w:rPr>
      </w:pPr>
      <w:r w:rsidRPr="00BE715D">
        <w:rPr>
          <w:rFonts w:ascii="Calibri" w:hAnsi="Calibri" w:cs="Calibri"/>
        </w:rPr>
        <w:t>Elvin, J. D. (2017). Causation and legal responsibility. available at:</w:t>
      </w:r>
    </w:p>
    <w:p w14:paraId="4C22712E" w14:textId="77777777" w:rsidR="00280887" w:rsidRPr="00BE715D" w:rsidRDefault="00280887" w:rsidP="008C21C4">
      <w:pPr>
        <w:spacing w:line="276" w:lineRule="auto"/>
        <w:rPr>
          <w:rFonts w:ascii="Calibri" w:hAnsi="Calibri" w:cs="Calibri"/>
        </w:rPr>
      </w:pPr>
      <w:hyperlink r:id="rId10" w:history="1">
        <w:r w:rsidRPr="00BE715D">
          <w:rPr>
            <w:rStyle w:val="Hyperlink"/>
            <w:rFonts w:ascii="Calibri" w:hAnsi="Calibri" w:cs="Calibri"/>
          </w:rPr>
          <w:t>https://openaccess.city.ac.uk/id/eprint/18098/3/Causation%20and%20Legal%20Responsibility.pdf</w:t>
        </w:r>
      </w:hyperlink>
    </w:p>
    <w:p w14:paraId="605CC268" w14:textId="77777777" w:rsidR="00280887" w:rsidRDefault="00280887" w:rsidP="008C21C4">
      <w:pPr>
        <w:spacing w:line="276" w:lineRule="auto"/>
        <w:rPr>
          <w:rFonts w:ascii="Calibri" w:hAnsi="Calibri" w:cs="Calibri"/>
        </w:rPr>
      </w:pPr>
      <w:r w:rsidRPr="00BE715D">
        <w:rPr>
          <w:rFonts w:ascii="Calibri" w:hAnsi="Calibri" w:cs="Calibri"/>
        </w:rPr>
        <w:t>accessed: 02.11.2024</w:t>
      </w:r>
    </w:p>
    <w:p w14:paraId="3DA1A431" w14:textId="77777777" w:rsidR="00A34C7D" w:rsidRDefault="00A34C7D" w:rsidP="008C21C4">
      <w:pPr>
        <w:spacing w:line="276" w:lineRule="auto"/>
        <w:rPr>
          <w:rFonts w:ascii="Calibri" w:hAnsi="Calibri" w:cs="Calibri"/>
        </w:rPr>
      </w:pPr>
    </w:p>
    <w:p w14:paraId="46091818" w14:textId="77777777" w:rsidR="00A34C7D" w:rsidRPr="00BE715D" w:rsidRDefault="00A34C7D" w:rsidP="008C21C4">
      <w:pPr>
        <w:spacing w:line="276" w:lineRule="auto"/>
        <w:rPr>
          <w:rFonts w:ascii="Calibri" w:hAnsi="Calibri" w:cs="Calibri"/>
        </w:rPr>
      </w:pPr>
      <w:r w:rsidRPr="00BE715D">
        <w:rPr>
          <w:rFonts w:ascii="Calibri" w:hAnsi="Calibri" w:cs="Calibri"/>
        </w:rPr>
        <w:t>Healys</w:t>
      </w:r>
      <w:r>
        <w:rPr>
          <w:rFonts w:ascii="Calibri" w:hAnsi="Calibri" w:cs="Calibri"/>
        </w:rPr>
        <w:t xml:space="preserve"> </w:t>
      </w:r>
      <w:r w:rsidRPr="00BE715D">
        <w:rPr>
          <w:rFonts w:ascii="Calibri" w:hAnsi="Calibri" w:cs="Calibri"/>
        </w:rPr>
        <w:t>(2024). Using the but for test in professional negligence litigation</w:t>
      </w:r>
      <w:r>
        <w:rPr>
          <w:rFonts w:ascii="Calibri" w:hAnsi="Calibri" w:cs="Calibri"/>
        </w:rPr>
        <w:t xml:space="preserve"> </w:t>
      </w:r>
      <w:r w:rsidRPr="00BE715D">
        <w:rPr>
          <w:rFonts w:ascii="Calibri" w:hAnsi="Calibri" w:cs="Calibri"/>
        </w:rPr>
        <w:t xml:space="preserve">available at: </w:t>
      </w:r>
    </w:p>
    <w:p w14:paraId="65EE2D7A" w14:textId="77777777" w:rsidR="00A34C7D" w:rsidRPr="00BE715D" w:rsidRDefault="00A34C7D" w:rsidP="008C21C4">
      <w:pPr>
        <w:spacing w:line="276" w:lineRule="auto"/>
        <w:rPr>
          <w:rFonts w:ascii="Calibri" w:hAnsi="Calibri" w:cs="Calibri"/>
        </w:rPr>
      </w:pPr>
      <w:hyperlink r:id="rId11" w:history="1">
        <w:r w:rsidRPr="00BE715D">
          <w:rPr>
            <w:rStyle w:val="Hyperlink"/>
            <w:rFonts w:ascii="Calibri" w:hAnsi="Calibri" w:cs="Calibri"/>
          </w:rPr>
          <w:t>https://healys.com/news-events-insights/but-for-test-in-professional-negligence-compensation-claims</w:t>
        </w:r>
      </w:hyperlink>
    </w:p>
    <w:p w14:paraId="7D539C93" w14:textId="77777777" w:rsidR="00A34C7D" w:rsidRPr="00BE715D" w:rsidRDefault="00A34C7D" w:rsidP="008C21C4">
      <w:pPr>
        <w:spacing w:line="276" w:lineRule="auto"/>
        <w:rPr>
          <w:rFonts w:ascii="Calibri" w:hAnsi="Calibri" w:cs="Calibri"/>
        </w:rPr>
      </w:pPr>
      <w:r w:rsidRPr="00BE715D">
        <w:rPr>
          <w:rFonts w:ascii="Calibri" w:hAnsi="Calibri" w:cs="Calibri"/>
        </w:rPr>
        <w:t>accessed: 01.11.2024</w:t>
      </w:r>
    </w:p>
    <w:p w14:paraId="0385FB5F" w14:textId="77777777" w:rsidR="00A34C7D" w:rsidRDefault="00A34C7D" w:rsidP="008C21C4">
      <w:pPr>
        <w:spacing w:line="276" w:lineRule="auto"/>
        <w:rPr>
          <w:rFonts w:ascii="Calibri" w:hAnsi="Calibri" w:cs="Calibri"/>
        </w:rPr>
      </w:pPr>
    </w:p>
    <w:p w14:paraId="25E27034" w14:textId="77777777" w:rsidR="0027149A" w:rsidRDefault="0027149A" w:rsidP="008C21C4">
      <w:pPr>
        <w:spacing w:line="276" w:lineRule="auto"/>
        <w:rPr>
          <w:rFonts w:ascii="Calibri" w:hAnsi="Calibri" w:cs="Calibri"/>
        </w:rPr>
      </w:pPr>
    </w:p>
    <w:p w14:paraId="1AE4C47E" w14:textId="77777777" w:rsidR="0027149A" w:rsidRPr="00BE715D" w:rsidRDefault="0027149A" w:rsidP="008C21C4">
      <w:pPr>
        <w:spacing w:line="276" w:lineRule="auto"/>
        <w:rPr>
          <w:rFonts w:ascii="Calibri" w:hAnsi="Calibri" w:cs="Calibri"/>
        </w:rPr>
      </w:pPr>
      <w:r w:rsidRPr="00BE715D">
        <w:rPr>
          <w:rFonts w:ascii="Calibri" w:hAnsi="Calibri" w:cs="Calibri"/>
        </w:rPr>
        <w:t>Irwin Mitchell</w:t>
      </w:r>
      <w:r>
        <w:rPr>
          <w:rFonts w:ascii="Calibri" w:hAnsi="Calibri" w:cs="Calibri"/>
        </w:rPr>
        <w:t xml:space="preserve"> </w:t>
      </w:r>
      <w:r w:rsidRPr="00BE715D">
        <w:rPr>
          <w:rFonts w:ascii="Calibri" w:hAnsi="Calibri" w:cs="Calibri"/>
        </w:rPr>
        <w:t>(2024)</w:t>
      </w:r>
      <w:r>
        <w:rPr>
          <w:rFonts w:ascii="Calibri" w:hAnsi="Calibri" w:cs="Calibri"/>
        </w:rPr>
        <w:t xml:space="preserve">. </w:t>
      </w:r>
      <w:r w:rsidRPr="00BE715D">
        <w:rPr>
          <w:rFonts w:ascii="Calibri" w:hAnsi="Calibri" w:cs="Calibri"/>
        </w:rPr>
        <w:t xml:space="preserve">What is medical negligence? Available at: </w:t>
      </w:r>
    </w:p>
    <w:p w14:paraId="5552D2B0" w14:textId="77777777" w:rsidR="0027149A" w:rsidRPr="00BE715D" w:rsidRDefault="0027149A" w:rsidP="008C21C4">
      <w:pPr>
        <w:spacing w:line="276" w:lineRule="auto"/>
        <w:rPr>
          <w:rFonts w:ascii="Calibri" w:hAnsi="Calibri" w:cs="Calibri"/>
        </w:rPr>
      </w:pPr>
      <w:hyperlink r:id="rId12" w:history="1">
        <w:r w:rsidRPr="00BE715D">
          <w:rPr>
            <w:rStyle w:val="Hyperlink"/>
            <w:rFonts w:ascii="Calibri" w:hAnsi="Calibri" w:cs="Calibri"/>
          </w:rPr>
          <w:t>https://www.irwinmitchell.com/personal/medical-negligence/medical-negligence-compensation-guide</w:t>
        </w:r>
      </w:hyperlink>
    </w:p>
    <w:p w14:paraId="4A7AF526" w14:textId="6E9DB4AF" w:rsidR="00DC6768" w:rsidRDefault="0027149A" w:rsidP="008C21C4">
      <w:pPr>
        <w:spacing w:line="276" w:lineRule="auto"/>
        <w:rPr>
          <w:rFonts w:ascii="Calibri" w:hAnsi="Calibri" w:cs="Calibri"/>
        </w:rPr>
      </w:pPr>
      <w:r w:rsidRPr="00BE715D">
        <w:rPr>
          <w:rFonts w:ascii="Calibri" w:hAnsi="Calibri" w:cs="Calibri"/>
        </w:rPr>
        <w:t>Accessed: 19.10.2024</w:t>
      </w:r>
    </w:p>
    <w:p w14:paraId="6F1B16D6" w14:textId="77777777" w:rsidR="00774CBE" w:rsidRDefault="00774CBE" w:rsidP="008C21C4">
      <w:pPr>
        <w:spacing w:line="276" w:lineRule="auto"/>
        <w:rPr>
          <w:rFonts w:ascii="Calibri" w:hAnsi="Calibri" w:cs="Calibri"/>
        </w:rPr>
      </w:pPr>
    </w:p>
    <w:p w14:paraId="63A6E70F" w14:textId="77777777" w:rsidR="00774CBE" w:rsidRPr="00BE715D" w:rsidRDefault="00774CBE" w:rsidP="008C21C4">
      <w:pPr>
        <w:spacing w:line="276" w:lineRule="auto"/>
        <w:rPr>
          <w:rFonts w:ascii="Calibri" w:hAnsi="Calibri" w:cs="Calibri"/>
        </w:rPr>
      </w:pPr>
      <w:r w:rsidRPr="00BE715D">
        <w:rPr>
          <w:rFonts w:ascii="Calibri" w:hAnsi="Calibri" w:cs="Calibri"/>
        </w:rPr>
        <w:t>IPSA LOQUITUR.</w:t>
      </w:r>
      <w:r w:rsidRPr="00772AD3">
        <w:rPr>
          <w:rFonts w:ascii="Calibri" w:hAnsi="Calibri" w:cs="Calibri"/>
        </w:rPr>
        <w:t xml:space="preserve"> </w:t>
      </w:r>
      <w:r w:rsidRPr="00BE715D">
        <w:rPr>
          <w:rFonts w:ascii="Calibri" w:hAnsi="Calibri" w:cs="Calibri"/>
        </w:rPr>
        <w:t>(2019</w:t>
      </w:r>
      <w:proofErr w:type="gramStart"/>
      <w:r w:rsidRPr="00BE715D">
        <w:rPr>
          <w:rFonts w:ascii="Calibri" w:hAnsi="Calibri" w:cs="Calibri"/>
        </w:rPr>
        <w:t>)  Blyth</w:t>
      </w:r>
      <w:proofErr w:type="gramEnd"/>
      <w:r w:rsidRPr="00BE715D">
        <w:rPr>
          <w:rFonts w:ascii="Calibri" w:hAnsi="Calibri" w:cs="Calibri"/>
        </w:rPr>
        <w:t xml:space="preserve"> v Birmingham Waterworks Available at: </w:t>
      </w:r>
    </w:p>
    <w:p w14:paraId="14FB0411" w14:textId="77777777" w:rsidR="00774CBE" w:rsidRPr="00BE715D" w:rsidRDefault="00774CBE" w:rsidP="008C21C4">
      <w:pPr>
        <w:spacing w:line="276" w:lineRule="auto"/>
        <w:rPr>
          <w:rFonts w:ascii="Calibri" w:hAnsi="Calibri" w:cs="Calibri"/>
        </w:rPr>
      </w:pPr>
      <w:hyperlink r:id="rId13" w:history="1">
        <w:r w:rsidRPr="00BE715D">
          <w:rPr>
            <w:rStyle w:val="Hyperlink"/>
            <w:rFonts w:ascii="Calibri" w:hAnsi="Calibri" w:cs="Calibri"/>
          </w:rPr>
          <w:t>https://ipsaloquitur.com/tort-law/cases/blyth-v-birmingham-waterworks/</w:t>
        </w:r>
      </w:hyperlink>
    </w:p>
    <w:p w14:paraId="4E6DC18C" w14:textId="7CD7BCF0" w:rsidR="00774CBE" w:rsidRDefault="00774CBE" w:rsidP="008C21C4">
      <w:pPr>
        <w:spacing w:line="276" w:lineRule="auto"/>
        <w:rPr>
          <w:rFonts w:ascii="Calibri" w:hAnsi="Calibri" w:cs="Calibri"/>
        </w:rPr>
      </w:pPr>
      <w:r w:rsidRPr="00BE715D">
        <w:rPr>
          <w:rFonts w:ascii="Calibri" w:hAnsi="Calibri" w:cs="Calibri"/>
        </w:rPr>
        <w:t>Accessed: 19.10.2024</w:t>
      </w:r>
    </w:p>
    <w:p w14:paraId="0D1C6E73" w14:textId="77777777" w:rsidR="00A34C7D" w:rsidRDefault="00A34C7D" w:rsidP="008C21C4">
      <w:pPr>
        <w:spacing w:line="276" w:lineRule="auto"/>
        <w:rPr>
          <w:rFonts w:ascii="Calibri" w:hAnsi="Calibri" w:cs="Calibri"/>
        </w:rPr>
      </w:pPr>
    </w:p>
    <w:p w14:paraId="6F0D02F7" w14:textId="77777777" w:rsidR="00A34C7D" w:rsidRPr="00BE715D" w:rsidRDefault="00A34C7D" w:rsidP="008C21C4">
      <w:pPr>
        <w:spacing w:line="276" w:lineRule="auto"/>
        <w:rPr>
          <w:rFonts w:ascii="Calibri" w:hAnsi="Calibri" w:cs="Calibri"/>
        </w:rPr>
      </w:pPr>
    </w:p>
    <w:p w14:paraId="158AE4CB" w14:textId="77777777" w:rsidR="008C21C4" w:rsidRDefault="008C21C4" w:rsidP="008C21C4">
      <w:pPr>
        <w:spacing w:line="276" w:lineRule="auto"/>
        <w:rPr>
          <w:rFonts w:ascii="Calibri" w:hAnsi="Calibri" w:cs="Calibri"/>
        </w:rPr>
      </w:pPr>
    </w:p>
    <w:p w14:paraId="61379E3D" w14:textId="16E620F4" w:rsidR="00A34C7D" w:rsidRPr="00BE715D" w:rsidRDefault="00A34C7D" w:rsidP="008C21C4">
      <w:pPr>
        <w:spacing w:line="276" w:lineRule="auto"/>
        <w:rPr>
          <w:rFonts w:ascii="Calibri" w:hAnsi="Calibri" w:cs="Calibri"/>
        </w:rPr>
      </w:pPr>
      <w:r w:rsidRPr="00BE715D">
        <w:rPr>
          <w:rFonts w:ascii="Calibri" w:hAnsi="Calibri" w:cs="Calibri"/>
        </w:rPr>
        <w:lastRenderedPageBreak/>
        <w:t>Kingsleynapley (2015)</w:t>
      </w:r>
      <w:r>
        <w:rPr>
          <w:rFonts w:ascii="Calibri" w:hAnsi="Calibri" w:cs="Calibri"/>
        </w:rPr>
        <w:t xml:space="preserve"> </w:t>
      </w:r>
      <w:r w:rsidRPr="00BE715D">
        <w:rPr>
          <w:rFonts w:ascii="Calibri" w:hAnsi="Calibri" w:cs="Calibri"/>
        </w:rPr>
        <w:t>What happens to claimants who suffer from a pre-existing weakness? The ‘</w:t>
      </w:r>
      <w:proofErr w:type="gramStart"/>
      <w:r w:rsidRPr="00BE715D">
        <w:rPr>
          <w:rFonts w:ascii="Calibri" w:hAnsi="Calibri" w:cs="Calibri"/>
        </w:rPr>
        <w:t>egg-shell</w:t>
      </w:r>
      <w:proofErr w:type="gramEnd"/>
      <w:r w:rsidRPr="00BE715D">
        <w:rPr>
          <w:rFonts w:ascii="Calibri" w:hAnsi="Calibri" w:cs="Calibri"/>
        </w:rPr>
        <w:t>’ rule and challenges ahead. available at:</w:t>
      </w:r>
    </w:p>
    <w:p w14:paraId="2DBE6234" w14:textId="77777777" w:rsidR="00A34C7D" w:rsidRPr="00BE715D" w:rsidRDefault="00A34C7D" w:rsidP="008C21C4">
      <w:pPr>
        <w:spacing w:line="276" w:lineRule="auto"/>
        <w:rPr>
          <w:rFonts w:ascii="Calibri" w:hAnsi="Calibri" w:cs="Calibri"/>
        </w:rPr>
      </w:pPr>
      <w:hyperlink r:id="rId14" w:history="1">
        <w:r w:rsidRPr="00BE715D">
          <w:rPr>
            <w:rStyle w:val="Hyperlink"/>
            <w:rFonts w:ascii="Calibri" w:hAnsi="Calibri" w:cs="Calibri"/>
          </w:rPr>
          <w:t>https://www.kingsleynapley.co.uk/insights/blogs/medical-negligence-and-personal-injury-blog/what-happens-to-claimants-who-suffer-from-a-pre-existing-weakness-the-egg-shell-skull-rule-and-challenges-ahead</w:t>
        </w:r>
      </w:hyperlink>
    </w:p>
    <w:p w14:paraId="5ED5EA31" w14:textId="37D42FEB" w:rsidR="00774CBE" w:rsidRDefault="00A34C7D" w:rsidP="008C21C4">
      <w:pPr>
        <w:spacing w:line="276" w:lineRule="auto"/>
        <w:rPr>
          <w:rFonts w:ascii="Calibri" w:hAnsi="Calibri" w:cs="Calibri"/>
        </w:rPr>
      </w:pPr>
      <w:r w:rsidRPr="00BE715D">
        <w:rPr>
          <w:rFonts w:ascii="Calibri" w:hAnsi="Calibri" w:cs="Calibri"/>
        </w:rPr>
        <w:t>accessed: 02.11.2024</w:t>
      </w:r>
    </w:p>
    <w:p w14:paraId="2CC72CFF" w14:textId="77777777" w:rsidR="00A34C7D" w:rsidRDefault="00A34C7D" w:rsidP="008C21C4">
      <w:pPr>
        <w:spacing w:line="276" w:lineRule="auto"/>
        <w:rPr>
          <w:rFonts w:ascii="Calibri" w:hAnsi="Calibri" w:cs="Calibri"/>
        </w:rPr>
      </w:pPr>
    </w:p>
    <w:p w14:paraId="7E9046B6" w14:textId="77777777" w:rsidR="00DC6768" w:rsidRPr="00BE715D" w:rsidRDefault="00DC6768" w:rsidP="008C21C4">
      <w:pPr>
        <w:spacing w:line="276" w:lineRule="auto"/>
        <w:rPr>
          <w:rFonts w:ascii="Calibri" w:hAnsi="Calibri" w:cs="Calibri"/>
        </w:rPr>
      </w:pPr>
      <w:r w:rsidRPr="00BE715D">
        <w:rPr>
          <w:rFonts w:ascii="Calibri" w:hAnsi="Calibri" w:cs="Calibri"/>
        </w:rPr>
        <w:t>LexisNexis Construction expert (2014) causation and the ‘but for’ test. available at:</w:t>
      </w:r>
    </w:p>
    <w:p w14:paraId="7FF5B0A5" w14:textId="77777777" w:rsidR="00DC6768" w:rsidRPr="00BE715D" w:rsidRDefault="00DC6768" w:rsidP="008C21C4">
      <w:pPr>
        <w:spacing w:line="276" w:lineRule="auto"/>
        <w:rPr>
          <w:rFonts w:ascii="Calibri" w:hAnsi="Calibri" w:cs="Calibri"/>
        </w:rPr>
      </w:pPr>
      <w:hyperlink r:id="rId15" w:history="1">
        <w:r w:rsidRPr="00BE715D">
          <w:rPr>
            <w:rStyle w:val="Hyperlink"/>
            <w:rFonts w:ascii="Calibri" w:hAnsi="Calibri" w:cs="Calibri"/>
          </w:rPr>
          <w:t>https://www.lexisnexis.co.uk/legal/news/causation-the-but-for-test</w:t>
        </w:r>
      </w:hyperlink>
    </w:p>
    <w:p w14:paraId="0F86A5CD" w14:textId="77777777" w:rsidR="00DC6768" w:rsidRDefault="00DC6768" w:rsidP="008C21C4">
      <w:pPr>
        <w:spacing w:line="276" w:lineRule="auto"/>
        <w:rPr>
          <w:rFonts w:ascii="Calibri" w:hAnsi="Calibri" w:cs="Calibri"/>
        </w:rPr>
      </w:pPr>
      <w:r w:rsidRPr="00BE715D">
        <w:rPr>
          <w:rFonts w:ascii="Calibri" w:hAnsi="Calibri" w:cs="Calibri"/>
        </w:rPr>
        <w:t>accessed: 01.11.2024</w:t>
      </w:r>
    </w:p>
    <w:p w14:paraId="0F7E0466" w14:textId="77777777" w:rsidR="00774CBE" w:rsidRDefault="00774CBE" w:rsidP="008C21C4">
      <w:pPr>
        <w:spacing w:line="276" w:lineRule="auto"/>
        <w:rPr>
          <w:rFonts w:ascii="Calibri" w:hAnsi="Calibri" w:cs="Calibri"/>
        </w:rPr>
      </w:pPr>
    </w:p>
    <w:p w14:paraId="3750AE06" w14:textId="77777777" w:rsidR="00774CBE" w:rsidRPr="00BE715D" w:rsidRDefault="00774CBE" w:rsidP="008C21C4">
      <w:pPr>
        <w:spacing w:line="276" w:lineRule="auto"/>
        <w:rPr>
          <w:rFonts w:ascii="Calibri" w:hAnsi="Calibri" w:cs="Calibri"/>
        </w:rPr>
      </w:pPr>
      <w:r w:rsidRPr="00BE715D">
        <w:rPr>
          <w:rFonts w:ascii="Calibri" w:hAnsi="Calibri" w:cs="Calibri"/>
        </w:rPr>
        <w:t xml:space="preserve">LexisNexis Dispute Resolution expert (2019) The remedy of damages - general principles. Available at </w:t>
      </w:r>
    </w:p>
    <w:p w14:paraId="2D30DFEB" w14:textId="77777777" w:rsidR="00774CBE" w:rsidRPr="00BE715D" w:rsidRDefault="00774CBE" w:rsidP="008C21C4">
      <w:pPr>
        <w:spacing w:line="276" w:lineRule="auto"/>
        <w:rPr>
          <w:rFonts w:ascii="Calibri" w:hAnsi="Calibri" w:cs="Calibri"/>
        </w:rPr>
      </w:pPr>
      <w:hyperlink r:id="rId16" w:history="1">
        <w:r w:rsidRPr="00BE715D">
          <w:rPr>
            <w:rStyle w:val="Hyperlink"/>
            <w:rFonts w:ascii="Calibri" w:hAnsi="Calibri" w:cs="Calibri"/>
          </w:rPr>
          <w:t>https://www.lexisnexis.co.uk/legal/guidance/the-remedy-of-damages-general-principles</w:t>
        </w:r>
      </w:hyperlink>
    </w:p>
    <w:p w14:paraId="5139C363" w14:textId="7261D0B6" w:rsidR="002168AB" w:rsidRDefault="00774CBE" w:rsidP="008C21C4">
      <w:pPr>
        <w:spacing w:line="276" w:lineRule="auto"/>
        <w:rPr>
          <w:rFonts w:ascii="Calibri" w:hAnsi="Calibri" w:cs="Calibri"/>
        </w:rPr>
      </w:pPr>
      <w:r w:rsidRPr="00BE715D">
        <w:rPr>
          <w:rFonts w:ascii="Calibri" w:hAnsi="Calibri" w:cs="Calibri"/>
        </w:rPr>
        <w:t>Accessed: 01.11.2024</w:t>
      </w:r>
    </w:p>
    <w:p w14:paraId="24088CC0" w14:textId="77777777" w:rsidR="002168AB" w:rsidRDefault="002168AB" w:rsidP="008C21C4">
      <w:pPr>
        <w:spacing w:line="276" w:lineRule="auto"/>
        <w:rPr>
          <w:rFonts w:ascii="Calibri" w:hAnsi="Calibri" w:cs="Calibri"/>
        </w:rPr>
      </w:pPr>
    </w:p>
    <w:p w14:paraId="17B505FB" w14:textId="77777777" w:rsidR="00774CBE" w:rsidRPr="00BE715D" w:rsidRDefault="00774CBE" w:rsidP="008C21C4">
      <w:pPr>
        <w:spacing w:line="276" w:lineRule="auto"/>
        <w:rPr>
          <w:rFonts w:ascii="Calibri" w:hAnsi="Calibri" w:cs="Calibri"/>
        </w:rPr>
      </w:pPr>
      <w:r w:rsidRPr="00BE715D">
        <w:rPr>
          <w:rFonts w:ascii="Calibri" w:hAnsi="Calibri" w:cs="Calibri"/>
        </w:rPr>
        <w:t>LexisNexis</w:t>
      </w:r>
      <w:r>
        <w:rPr>
          <w:rFonts w:ascii="Calibri" w:hAnsi="Calibri" w:cs="Calibri"/>
        </w:rPr>
        <w:t xml:space="preserve"> </w:t>
      </w:r>
      <w:r w:rsidRPr="00BE715D">
        <w:rPr>
          <w:rFonts w:ascii="Calibri" w:hAnsi="Calibri" w:cs="Calibri"/>
        </w:rPr>
        <w:t>(2019). was the damage foreseeable? available at:</w:t>
      </w:r>
    </w:p>
    <w:p w14:paraId="16B33DC3" w14:textId="77777777" w:rsidR="00774CBE" w:rsidRPr="00BE715D" w:rsidRDefault="00774CBE" w:rsidP="008C21C4">
      <w:pPr>
        <w:spacing w:line="276" w:lineRule="auto"/>
        <w:rPr>
          <w:rFonts w:ascii="Calibri" w:hAnsi="Calibri" w:cs="Calibri"/>
        </w:rPr>
      </w:pPr>
      <w:hyperlink r:id="rId17" w:history="1">
        <w:r w:rsidRPr="00BE715D">
          <w:rPr>
            <w:rStyle w:val="Hyperlink"/>
            <w:rFonts w:ascii="Calibri" w:hAnsi="Calibri" w:cs="Calibri"/>
          </w:rPr>
          <w:t>https://www.lexisnexis.co.uk/legal/guidance/was-the-damage-foreseeable</w:t>
        </w:r>
      </w:hyperlink>
    </w:p>
    <w:p w14:paraId="77488381" w14:textId="7DAE04FA" w:rsidR="00774CBE" w:rsidRDefault="00774CBE" w:rsidP="008C21C4">
      <w:pPr>
        <w:spacing w:line="276" w:lineRule="auto"/>
        <w:rPr>
          <w:rFonts w:ascii="Calibri" w:hAnsi="Calibri" w:cs="Calibri"/>
        </w:rPr>
      </w:pPr>
      <w:r w:rsidRPr="00BE715D">
        <w:rPr>
          <w:rFonts w:ascii="Calibri" w:hAnsi="Calibri" w:cs="Calibri"/>
        </w:rPr>
        <w:t>accessed: 02.11.2024</w:t>
      </w:r>
    </w:p>
    <w:p w14:paraId="1CCD34EA" w14:textId="77777777" w:rsidR="00A34C7D" w:rsidRDefault="00A34C7D" w:rsidP="008C21C4">
      <w:pPr>
        <w:spacing w:line="276" w:lineRule="auto"/>
        <w:rPr>
          <w:rFonts w:ascii="Calibri" w:hAnsi="Calibri" w:cs="Calibri"/>
        </w:rPr>
      </w:pPr>
    </w:p>
    <w:p w14:paraId="25575B07" w14:textId="449A8762" w:rsidR="00DC6768" w:rsidRPr="00BE715D" w:rsidRDefault="00DC6768" w:rsidP="008C21C4">
      <w:pPr>
        <w:spacing w:line="276" w:lineRule="auto"/>
        <w:rPr>
          <w:rFonts w:ascii="Calibri" w:hAnsi="Calibri" w:cs="Calibri"/>
        </w:rPr>
      </w:pPr>
      <w:r w:rsidRPr="00BE715D">
        <w:rPr>
          <w:rFonts w:ascii="Calibri" w:hAnsi="Calibri" w:cs="Calibri"/>
        </w:rPr>
        <w:t>LexisNexis (2024), Duty of care definition. Available at:</w:t>
      </w:r>
    </w:p>
    <w:p w14:paraId="234BDAEF" w14:textId="77777777" w:rsidR="00DC6768" w:rsidRPr="00BE715D" w:rsidRDefault="00DC6768" w:rsidP="008C21C4">
      <w:pPr>
        <w:spacing w:line="276" w:lineRule="auto"/>
        <w:rPr>
          <w:rFonts w:ascii="Calibri" w:hAnsi="Calibri" w:cs="Calibri"/>
        </w:rPr>
      </w:pPr>
      <w:hyperlink r:id="rId18" w:history="1">
        <w:r w:rsidRPr="00BE715D">
          <w:rPr>
            <w:rStyle w:val="Hyperlink"/>
            <w:rFonts w:ascii="Calibri" w:hAnsi="Calibri" w:cs="Calibri"/>
          </w:rPr>
          <w:t>https://www.lexisnexis.co.uk/legal/glossary/duty-of-care</w:t>
        </w:r>
      </w:hyperlink>
    </w:p>
    <w:p w14:paraId="301ACFED" w14:textId="77777777" w:rsidR="00DC6768" w:rsidRDefault="00DC6768" w:rsidP="008C21C4">
      <w:pPr>
        <w:spacing w:line="276" w:lineRule="auto"/>
        <w:rPr>
          <w:rFonts w:ascii="Calibri" w:hAnsi="Calibri" w:cs="Calibri"/>
        </w:rPr>
      </w:pPr>
      <w:r w:rsidRPr="00BE715D">
        <w:rPr>
          <w:rFonts w:ascii="Calibri" w:hAnsi="Calibri" w:cs="Calibri"/>
        </w:rPr>
        <w:t>Accessed on 12.10.2024</w:t>
      </w:r>
    </w:p>
    <w:p w14:paraId="2E8E0B4F" w14:textId="77777777" w:rsidR="00774CBE" w:rsidRDefault="00774CBE" w:rsidP="008C21C4">
      <w:pPr>
        <w:spacing w:line="276" w:lineRule="auto"/>
        <w:rPr>
          <w:rFonts w:ascii="Calibri" w:hAnsi="Calibri" w:cs="Calibri"/>
        </w:rPr>
      </w:pPr>
    </w:p>
    <w:p w14:paraId="7D3E35C1" w14:textId="77777777" w:rsidR="00A34C7D" w:rsidRDefault="00A34C7D" w:rsidP="008C21C4">
      <w:pPr>
        <w:spacing w:line="276" w:lineRule="auto"/>
        <w:rPr>
          <w:rFonts w:ascii="Calibri" w:hAnsi="Calibri" w:cs="Calibri"/>
        </w:rPr>
      </w:pPr>
    </w:p>
    <w:p w14:paraId="44174CC3" w14:textId="77777777" w:rsidR="00774CBE" w:rsidRPr="00BE715D" w:rsidRDefault="00774CBE" w:rsidP="008C21C4">
      <w:pPr>
        <w:spacing w:line="276" w:lineRule="auto"/>
        <w:rPr>
          <w:rFonts w:ascii="Calibri" w:hAnsi="Calibri" w:cs="Calibri"/>
        </w:rPr>
      </w:pPr>
      <w:r w:rsidRPr="00BE715D">
        <w:rPr>
          <w:rFonts w:ascii="Calibri" w:hAnsi="Calibri" w:cs="Calibri"/>
        </w:rPr>
        <w:t>LexisNexis (2024) Causation Definition. available at:</w:t>
      </w:r>
    </w:p>
    <w:p w14:paraId="4CE8B45F" w14:textId="77777777" w:rsidR="00774CBE" w:rsidRPr="00BE715D" w:rsidRDefault="00774CBE" w:rsidP="008C21C4">
      <w:pPr>
        <w:spacing w:line="276" w:lineRule="auto"/>
        <w:rPr>
          <w:rFonts w:ascii="Calibri" w:hAnsi="Calibri" w:cs="Calibri"/>
        </w:rPr>
      </w:pPr>
      <w:hyperlink r:id="rId19" w:history="1">
        <w:r w:rsidRPr="00BE715D">
          <w:rPr>
            <w:rStyle w:val="Hyperlink"/>
            <w:rFonts w:ascii="Calibri" w:hAnsi="Calibri" w:cs="Calibri"/>
          </w:rPr>
          <w:t>https://www.lexisnexis.co.uk/legal/glossary/causation#:~:text=Causation%20comprises%20the%20policy%20definitions,of%20and%20the%20injury%20suffered.</w:t>
        </w:r>
      </w:hyperlink>
    </w:p>
    <w:p w14:paraId="165C910F" w14:textId="77777777" w:rsidR="00774CBE" w:rsidRDefault="00774CBE" w:rsidP="008C21C4">
      <w:pPr>
        <w:spacing w:line="276" w:lineRule="auto"/>
        <w:rPr>
          <w:rFonts w:ascii="Calibri" w:hAnsi="Calibri" w:cs="Calibri"/>
        </w:rPr>
      </w:pPr>
      <w:r w:rsidRPr="00BE715D">
        <w:rPr>
          <w:rFonts w:ascii="Calibri" w:hAnsi="Calibri" w:cs="Calibri"/>
        </w:rPr>
        <w:t>accessed: 01.11.2024</w:t>
      </w:r>
    </w:p>
    <w:p w14:paraId="4EF44B92" w14:textId="77777777" w:rsidR="00774CBE" w:rsidRDefault="00774CBE" w:rsidP="008C21C4">
      <w:pPr>
        <w:spacing w:line="276" w:lineRule="auto"/>
        <w:rPr>
          <w:rFonts w:ascii="Calibri" w:hAnsi="Calibri" w:cs="Calibri"/>
        </w:rPr>
      </w:pPr>
    </w:p>
    <w:p w14:paraId="25E1C7BE" w14:textId="77777777" w:rsidR="00774CBE" w:rsidRPr="00BE715D" w:rsidRDefault="00774CBE" w:rsidP="008C21C4">
      <w:pPr>
        <w:spacing w:line="276" w:lineRule="auto"/>
        <w:rPr>
          <w:rFonts w:ascii="Calibri" w:hAnsi="Calibri" w:cs="Calibri"/>
        </w:rPr>
      </w:pPr>
      <w:r w:rsidRPr="00BE715D">
        <w:rPr>
          <w:rFonts w:ascii="Calibri" w:hAnsi="Calibri" w:cs="Calibri"/>
        </w:rPr>
        <w:t xml:space="preserve">LexisNexis (2020) Causation and material contribution in negligence claims. available at: </w:t>
      </w:r>
    </w:p>
    <w:p w14:paraId="61B87FBD" w14:textId="77777777" w:rsidR="00774CBE" w:rsidRPr="00BE715D" w:rsidRDefault="00774CBE" w:rsidP="008C21C4">
      <w:pPr>
        <w:spacing w:line="276" w:lineRule="auto"/>
        <w:rPr>
          <w:rFonts w:ascii="Calibri" w:hAnsi="Calibri" w:cs="Calibri"/>
        </w:rPr>
      </w:pPr>
      <w:hyperlink r:id="rId20" w:history="1">
        <w:r w:rsidRPr="00BE715D">
          <w:rPr>
            <w:rStyle w:val="Hyperlink"/>
            <w:rFonts w:ascii="Calibri" w:hAnsi="Calibri" w:cs="Calibri"/>
          </w:rPr>
          <w:t>https://www.lexisnexis.co.uk/legal/guidance/causation-material-contribution-in-clinical-negligence-claims</w:t>
        </w:r>
      </w:hyperlink>
    </w:p>
    <w:p w14:paraId="276ED78E" w14:textId="0DEA81D8" w:rsidR="00DC6768" w:rsidRDefault="00774CBE" w:rsidP="008C21C4">
      <w:pPr>
        <w:spacing w:line="276" w:lineRule="auto"/>
        <w:rPr>
          <w:rFonts w:ascii="Calibri" w:hAnsi="Calibri" w:cs="Calibri"/>
        </w:rPr>
      </w:pPr>
      <w:r w:rsidRPr="00BE715D">
        <w:rPr>
          <w:rFonts w:ascii="Calibri" w:hAnsi="Calibri" w:cs="Calibri"/>
        </w:rPr>
        <w:t>accessed: 01.11.2024</w:t>
      </w:r>
    </w:p>
    <w:p w14:paraId="78C02817" w14:textId="77777777" w:rsidR="00A34C7D" w:rsidRDefault="00A34C7D" w:rsidP="008C21C4">
      <w:pPr>
        <w:spacing w:line="276" w:lineRule="auto"/>
        <w:rPr>
          <w:rFonts w:ascii="Calibri" w:hAnsi="Calibri" w:cs="Calibri"/>
        </w:rPr>
      </w:pPr>
    </w:p>
    <w:p w14:paraId="785907D1" w14:textId="77777777" w:rsidR="00DC6768" w:rsidRPr="00BE715D" w:rsidRDefault="00DC6768" w:rsidP="008C21C4">
      <w:pPr>
        <w:spacing w:line="276" w:lineRule="auto"/>
        <w:rPr>
          <w:rFonts w:ascii="Calibri" w:hAnsi="Calibri" w:cs="Calibri"/>
        </w:rPr>
      </w:pPr>
      <w:r w:rsidRPr="00BE715D">
        <w:rPr>
          <w:rFonts w:ascii="Calibri" w:hAnsi="Calibri" w:cs="Calibri"/>
        </w:rPr>
        <w:t>LSD Law</w:t>
      </w:r>
      <w:r>
        <w:rPr>
          <w:rFonts w:ascii="Calibri" w:hAnsi="Calibri" w:cs="Calibri"/>
        </w:rPr>
        <w:t xml:space="preserve"> </w:t>
      </w:r>
      <w:r w:rsidRPr="00BE715D">
        <w:rPr>
          <w:rFonts w:ascii="Calibri" w:hAnsi="Calibri" w:cs="Calibri"/>
        </w:rPr>
        <w:t>(2024</w:t>
      </w:r>
      <w:proofErr w:type="gramStart"/>
      <w:r w:rsidRPr="00BE715D">
        <w:rPr>
          <w:rFonts w:ascii="Calibri" w:hAnsi="Calibri" w:cs="Calibri"/>
        </w:rPr>
        <w:t>)  chain</w:t>
      </w:r>
      <w:proofErr w:type="gramEnd"/>
      <w:r w:rsidRPr="00BE715D">
        <w:rPr>
          <w:rFonts w:ascii="Calibri" w:hAnsi="Calibri" w:cs="Calibri"/>
        </w:rPr>
        <w:t xml:space="preserve"> of causation definition. available at:</w:t>
      </w:r>
    </w:p>
    <w:p w14:paraId="0A8DD5B7" w14:textId="77777777" w:rsidR="00DC6768" w:rsidRPr="00BE715D" w:rsidRDefault="00DC6768" w:rsidP="008C21C4">
      <w:pPr>
        <w:spacing w:line="276" w:lineRule="auto"/>
        <w:rPr>
          <w:rFonts w:ascii="Calibri" w:hAnsi="Calibri" w:cs="Calibri"/>
        </w:rPr>
      </w:pPr>
      <w:hyperlink r:id="rId21" w:history="1">
        <w:r w:rsidRPr="00BE715D">
          <w:rPr>
            <w:rStyle w:val="Hyperlink"/>
            <w:rFonts w:ascii="Calibri" w:hAnsi="Calibri" w:cs="Calibri"/>
          </w:rPr>
          <w:t>https://www.lsd.law/define/chain-of-causation#</w:t>
        </w:r>
      </w:hyperlink>
    </w:p>
    <w:p w14:paraId="7E4C7976" w14:textId="77777777" w:rsidR="00DC6768" w:rsidRDefault="00DC6768" w:rsidP="008C21C4">
      <w:pPr>
        <w:spacing w:line="276" w:lineRule="auto"/>
        <w:rPr>
          <w:rFonts w:ascii="Calibri" w:hAnsi="Calibri" w:cs="Calibri"/>
        </w:rPr>
      </w:pPr>
      <w:r w:rsidRPr="00BE715D">
        <w:rPr>
          <w:rFonts w:ascii="Calibri" w:hAnsi="Calibri" w:cs="Calibri"/>
        </w:rPr>
        <w:t>Accessed: 01.11.2024</w:t>
      </w:r>
    </w:p>
    <w:p w14:paraId="36219549" w14:textId="77777777" w:rsidR="008C21C4" w:rsidRDefault="008C21C4" w:rsidP="008C21C4">
      <w:pPr>
        <w:spacing w:line="276" w:lineRule="auto"/>
        <w:rPr>
          <w:rFonts w:ascii="Calibri" w:hAnsi="Calibri" w:cs="Calibri"/>
        </w:rPr>
      </w:pPr>
    </w:p>
    <w:p w14:paraId="78DCACD3" w14:textId="77777777" w:rsidR="008C21C4" w:rsidRPr="00BE715D" w:rsidRDefault="008C21C4" w:rsidP="008C21C4">
      <w:pPr>
        <w:spacing w:line="276" w:lineRule="auto"/>
        <w:rPr>
          <w:rFonts w:ascii="Calibri" w:hAnsi="Calibri" w:cs="Calibri"/>
        </w:rPr>
      </w:pPr>
      <w:r w:rsidRPr="00BE715D">
        <w:rPr>
          <w:rFonts w:ascii="Calibri" w:hAnsi="Calibri" w:cs="Calibri"/>
        </w:rPr>
        <w:t>Negligence Solicitors</w:t>
      </w:r>
      <w:r>
        <w:rPr>
          <w:rFonts w:ascii="Calibri" w:hAnsi="Calibri" w:cs="Calibri"/>
        </w:rPr>
        <w:t xml:space="preserve"> </w:t>
      </w:r>
      <w:r w:rsidRPr="00BE715D">
        <w:rPr>
          <w:rFonts w:ascii="Calibri" w:hAnsi="Calibri" w:cs="Calibri"/>
        </w:rPr>
        <w:t xml:space="preserve">(2024). Bolam v Friern [1957] Available at: </w:t>
      </w:r>
    </w:p>
    <w:p w14:paraId="44DF1A8E" w14:textId="77777777" w:rsidR="008C21C4" w:rsidRPr="00BE715D" w:rsidRDefault="008C21C4" w:rsidP="008C21C4">
      <w:pPr>
        <w:spacing w:line="276" w:lineRule="auto"/>
        <w:rPr>
          <w:rFonts w:ascii="Calibri" w:hAnsi="Calibri" w:cs="Calibri"/>
        </w:rPr>
      </w:pPr>
      <w:hyperlink r:id="rId22" w:history="1">
        <w:r w:rsidRPr="00BE715D">
          <w:rPr>
            <w:rStyle w:val="Hyperlink"/>
            <w:rFonts w:ascii="Calibri" w:hAnsi="Calibri" w:cs="Calibri"/>
          </w:rPr>
          <w:t>https://professionalnegligenceclaimsolicitors.co.uk/breach-of-duty-key-tort-law-judgment-bolam-friern/#:~:text=The%20judge%20held%20that%20there,a%20matter%20of%20medical%20judgement.</w:t>
        </w:r>
      </w:hyperlink>
    </w:p>
    <w:p w14:paraId="65F34BBF" w14:textId="1C92829E" w:rsidR="00A34C7D" w:rsidRDefault="008C21C4" w:rsidP="008C21C4">
      <w:pPr>
        <w:spacing w:line="276" w:lineRule="auto"/>
        <w:rPr>
          <w:rFonts w:ascii="Calibri" w:hAnsi="Calibri" w:cs="Calibri"/>
        </w:rPr>
      </w:pPr>
      <w:r w:rsidRPr="00BE715D">
        <w:rPr>
          <w:rFonts w:ascii="Calibri" w:hAnsi="Calibri" w:cs="Calibri"/>
        </w:rPr>
        <w:t>Accessed: 20.10.2024</w:t>
      </w:r>
    </w:p>
    <w:p w14:paraId="5EB0F2B2" w14:textId="77777777" w:rsidR="008C21C4" w:rsidRDefault="008C21C4" w:rsidP="008C21C4">
      <w:pPr>
        <w:spacing w:line="276" w:lineRule="auto"/>
        <w:rPr>
          <w:rFonts w:ascii="Calibri" w:hAnsi="Calibri" w:cs="Calibri"/>
        </w:rPr>
      </w:pPr>
    </w:p>
    <w:p w14:paraId="1DC0444D" w14:textId="77777777" w:rsidR="008C21C4" w:rsidRPr="00BE715D" w:rsidRDefault="008C21C4" w:rsidP="008C21C4">
      <w:pPr>
        <w:spacing w:line="276" w:lineRule="auto"/>
        <w:rPr>
          <w:rFonts w:ascii="Calibri" w:hAnsi="Calibri" w:cs="Calibri"/>
        </w:rPr>
      </w:pPr>
      <w:r w:rsidRPr="00BE715D">
        <w:rPr>
          <w:rFonts w:ascii="Calibri" w:hAnsi="Calibri" w:cs="Calibri"/>
        </w:rPr>
        <w:t>Oxford Reference (2024) Causation. available at:</w:t>
      </w:r>
    </w:p>
    <w:p w14:paraId="7409059A" w14:textId="77777777" w:rsidR="008C21C4" w:rsidRPr="00BE715D" w:rsidRDefault="008C21C4" w:rsidP="008C21C4">
      <w:pPr>
        <w:spacing w:line="276" w:lineRule="auto"/>
        <w:rPr>
          <w:rFonts w:ascii="Calibri" w:hAnsi="Calibri" w:cs="Calibri"/>
        </w:rPr>
      </w:pPr>
      <w:hyperlink r:id="rId23" w:history="1">
        <w:r w:rsidRPr="00BE715D">
          <w:rPr>
            <w:rStyle w:val="Hyperlink"/>
            <w:rFonts w:ascii="Calibri" w:hAnsi="Calibri" w:cs="Calibri"/>
          </w:rPr>
          <w:t>https://www.oxfordreference.com/display/10.1093/oi/authority.20110803095555965#:~:text=42%2D43).-,1)%20Factual%20causation%3A%20it%20must%20be%20shown%20that%2C%20“,the%20“but%20for”%20test.</w:t>
        </w:r>
      </w:hyperlink>
    </w:p>
    <w:p w14:paraId="1928D7AA" w14:textId="77777777" w:rsidR="008C21C4" w:rsidRPr="00BE715D" w:rsidRDefault="008C21C4" w:rsidP="008C21C4">
      <w:pPr>
        <w:spacing w:line="276" w:lineRule="auto"/>
        <w:rPr>
          <w:rFonts w:ascii="Calibri" w:hAnsi="Calibri" w:cs="Calibri"/>
        </w:rPr>
      </w:pPr>
      <w:r w:rsidRPr="00BE715D">
        <w:rPr>
          <w:rFonts w:ascii="Calibri" w:hAnsi="Calibri" w:cs="Calibri"/>
        </w:rPr>
        <w:t>accessed: 01.11.2024</w:t>
      </w:r>
    </w:p>
    <w:p w14:paraId="77D4D072" w14:textId="77777777" w:rsidR="008C21C4" w:rsidRDefault="008C21C4" w:rsidP="008C21C4">
      <w:pPr>
        <w:spacing w:line="276" w:lineRule="auto"/>
        <w:rPr>
          <w:rFonts w:ascii="Calibri" w:hAnsi="Calibri" w:cs="Calibri"/>
        </w:rPr>
      </w:pPr>
    </w:p>
    <w:p w14:paraId="6B7A1CA8" w14:textId="703C2E5E" w:rsidR="00A34C7D" w:rsidRPr="00BE715D" w:rsidRDefault="00A34C7D" w:rsidP="008C21C4">
      <w:pPr>
        <w:spacing w:line="276" w:lineRule="auto"/>
        <w:rPr>
          <w:rFonts w:ascii="Calibri" w:hAnsi="Calibri" w:cs="Calibri"/>
        </w:rPr>
      </w:pPr>
      <w:r w:rsidRPr="00BE715D">
        <w:rPr>
          <w:rFonts w:ascii="Calibri" w:hAnsi="Calibri" w:cs="Calibri"/>
        </w:rPr>
        <w:t>Thompson solicitors</w:t>
      </w:r>
      <w:r>
        <w:rPr>
          <w:rFonts w:ascii="Calibri" w:hAnsi="Calibri" w:cs="Calibri"/>
        </w:rPr>
        <w:t xml:space="preserve"> (2024)</w:t>
      </w:r>
      <w:r w:rsidRPr="00BE715D">
        <w:rPr>
          <w:rFonts w:ascii="Calibri" w:hAnsi="Calibri" w:cs="Calibri"/>
        </w:rPr>
        <w:t xml:space="preserve"> what is duty of care? Available at: </w:t>
      </w:r>
      <w:hyperlink r:id="rId24" w:history="1">
        <w:r w:rsidRPr="00BE715D">
          <w:rPr>
            <w:rStyle w:val="Hyperlink"/>
            <w:rFonts w:ascii="Calibri" w:hAnsi="Calibri" w:cs="Calibri"/>
          </w:rPr>
          <w:t>https://www.thompsons.law/support/legal-guides/what-is-duty-of-care#:~:text=Duty%20of%20care%20is%20a,being%20brought%20against%20those%20responsible.</w:t>
        </w:r>
      </w:hyperlink>
    </w:p>
    <w:p w14:paraId="605E233B" w14:textId="77777777" w:rsidR="008C21C4" w:rsidRDefault="00A34C7D" w:rsidP="008C21C4">
      <w:pPr>
        <w:spacing w:line="276" w:lineRule="auto"/>
        <w:rPr>
          <w:rFonts w:ascii="Calibri" w:hAnsi="Calibri" w:cs="Calibri"/>
        </w:rPr>
      </w:pPr>
      <w:r w:rsidRPr="00BE715D">
        <w:rPr>
          <w:rFonts w:ascii="Calibri" w:hAnsi="Calibri" w:cs="Calibri"/>
        </w:rPr>
        <w:t>Accessed on 12.10.202</w:t>
      </w:r>
    </w:p>
    <w:p w14:paraId="745D704D" w14:textId="77777777" w:rsidR="008C21C4" w:rsidRDefault="008C21C4" w:rsidP="008C21C4">
      <w:pPr>
        <w:spacing w:line="276" w:lineRule="auto"/>
        <w:rPr>
          <w:rFonts w:ascii="Calibri" w:hAnsi="Calibri" w:cs="Calibri"/>
        </w:rPr>
      </w:pPr>
    </w:p>
    <w:p w14:paraId="77405C72" w14:textId="167A7EC1" w:rsidR="00BE715D" w:rsidRPr="00BE715D" w:rsidRDefault="00366635" w:rsidP="008C21C4">
      <w:pPr>
        <w:spacing w:line="276" w:lineRule="auto"/>
        <w:rPr>
          <w:rFonts w:ascii="Calibri" w:hAnsi="Calibri" w:cs="Calibri"/>
        </w:rPr>
      </w:pPr>
      <w:r w:rsidRPr="00BE715D">
        <w:rPr>
          <w:rFonts w:ascii="Calibri" w:hAnsi="Calibri" w:cs="Calibri"/>
        </w:rPr>
        <w:t xml:space="preserve">UOLLB First Class Law Notes. </w:t>
      </w:r>
      <w:r w:rsidR="00BE715D" w:rsidRPr="00BE715D">
        <w:rPr>
          <w:rFonts w:ascii="Calibri" w:hAnsi="Calibri" w:cs="Calibri"/>
        </w:rPr>
        <w:t>Caparo three-part test (2024)</w:t>
      </w:r>
      <w:r w:rsidRPr="00366635">
        <w:rPr>
          <w:rFonts w:ascii="Calibri" w:hAnsi="Calibri" w:cs="Calibri"/>
        </w:rPr>
        <w:t xml:space="preserve"> </w:t>
      </w:r>
      <w:r w:rsidRPr="00BE715D">
        <w:rPr>
          <w:rFonts w:ascii="Calibri" w:hAnsi="Calibri" w:cs="Calibri"/>
        </w:rPr>
        <w:t>Caparo three-part test</w:t>
      </w:r>
      <w:r w:rsidR="00BE715D" w:rsidRPr="00BE715D">
        <w:rPr>
          <w:rFonts w:ascii="Calibri" w:hAnsi="Calibri" w:cs="Calibri"/>
        </w:rPr>
        <w:t xml:space="preserve">. Available at: </w:t>
      </w:r>
    </w:p>
    <w:p w14:paraId="7B276CC8" w14:textId="77777777" w:rsidR="00BE715D" w:rsidRPr="00BE715D" w:rsidRDefault="00BE715D" w:rsidP="008C21C4">
      <w:pPr>
        <w:spacing w:line="276" w:lineRule="auto"/>
        <w:rPr>
          <w:rFonts w:ascii="Calibri" w:hAnsi="Calibri" w:cs="Calibri"/>
        </w:rPr>
      </w:pPr>
      <w:hyperlink r:id="rId25" w:history="1">
        <w:r w:rsidRPr="00BE715D">
          <w:rPr>
            <w:rStyle w:val="Hyperlink"/>
            <w:rFonts w:ascii="Calibri" w:hAnsi="Calibri" w:cs="Calibri"/>
          </w:rPr>
          <w:t>https://uollb.com/blogs/uol/caparo-three-part-test?srsltid=AfmBOop1vjAGWX26A76RqF5PRSMJEpDW_52ii77md_NCckTgBKiRVlKN</w:t>
        </w:r>
      </w:hyperlink>
    </w:p>
    <w:p w14:paraId="32854019" w14:textId="77777777" w:rsidR="00BE715D" w:rsidRDefault="00BE715D" w:rsidP="008C21C4">
      <w:pPr>
        <w:spacing w:line="276" w:lineRule="auto"/>
        <w:rPr>
          <w:rFonts w:ascii="Calibri" w:hAnsi="Calibri" w:cs="Calibri"/>
        </w:rPr>
      </w:pPr>
      <w:r w:rsidRPr="00BE715D">
        <w:rPr>
          <w:rFonts w:ascii="Calibri" w:hAnsi="Calibri" w:cs="Calibri"/>
        </w:rPr>
        <w:t>Accessed: 18.10.2024</w:t>
      </w:r>
    </w:p>
    <w:p w14:paraId="521A12CD" w14:textId="77777777" w:rsidR="008C21C4" w:rsidRDefault="008C21C4" w:rsidP="008C21C4">
      <w:pPr>
        <w:spacing w:line="276" w:lineRule="auto"/>
        <w:rPr>
          <w:rFonts w:ascii="Calibri" w:hAnsi="Calibri" w:cs="Calibri"/>
        </w:rPr>
      </w:pPr>
    </w:p>
    <w:p w14:paraId="4AB15D83" w14:textId="77777777" w:rsidR="008C21C4" w:rsidRPr="00BE715D" w:rsidRDefault="008C21C4" w:rsidP="008C21C4">
      <w:pPr>
        <w:spacing w:line="276" w:lineRule="auto"/>
        <w:rPr>
          <w:rFonts w:ascii="Calibri" w:hAnsi="Calibri" w:cs="Calibri"/>
        </w:rPr>
      </w:pPr>
      <w:r w:rsidRPr="00BE715D">
        <w:rPr>
          <w:rFonts w:ascii="Calibri" w:hAnsi="Calibri" w:cs="Calibri"/>
        </w:rPr>
        <w:t>UOLLB First Class Law Notes</w:t>
      </w:r>
      <w:r>
        <w:rPr>
          <w:rFonts w:ascii="Calibri" w:hAnsi="Calibri" w:cs="Calibri"/>
        </w:rPr>
        <w:t xml:space="preserve"> </w:t>
      </w:r>
      <w:r w:rsidRPr="00BE715D">
        <w:rPr>
          <w:rFonts w:ascii="Calibri" w:hAnsi="Calibri" w:cs="Calibri"/>
        </w:rPr>
        <w:t>(2024)</w:t>
      </w:r>
      <w:r>
        <w:rPr>
          <w:rFonts w:ascii="Calibri" w:hAnsi="Calibri" w:cs="Calibri"/>
        </w:rPr>
        <w:t>.</w:t>
      </w:r>
      <w:r w:rsidRPr="00BE715D">
        <w:rPr>
          <w:rFonts w:ascii="Calibri" w:hAnsi="Calibri" w:cs="Calibri"/>
        </w:rPr>
        <w:t xml:space="preserve"> Foreseeability in Tort Law Available at:</w:t>
      </w:r>
    </w:p>
    <w:p w14:paraId="115D5212" w14:textId="77777777" w:rsidR="008C21C4" w:rsidRPr="00BE715D" w:rsidRDefault="008C21C4" w:rsidP="008C21C4">
      <w:pPr>
        <w:spacing w:line="276" w:lineRule="auto"/>
        <w:rPr>
          <w:rFonts w:ascii="Calibri" w:hAnsi="Calibri" w:cs="Calibri"/>
        </w:rPr>
      </w:pPr>
      <w:r w:rsidRPr="00BE715D">
        <w:rPr>
          <w:rFonts w:ascii="Calibri" w:hAnsi="Calibri" w:cs="Calibri"/>
        </w:rPr>
        <w:t xml:space="preserve"> </w:t>
      </w:r>
      <w:hyperlink r:id="rId26" w:history="1">
        <w:r w:rsidRPr="00BE715D">
          <w:rPr>
            <w:rStyle w:val="Hyperlink"/>
            <w:rFonts w:ascii="Calibri" w:hAnsi="Calibri" w:cs="Calibri"/>
          </w:rPr>
          <w:t>https://uollb.com/blogs/uol/foreseeability-in-tort-law#:~:text=It%20refers%20to%20the%20ability,a%20defendant's%20duty%20of%20care.</w:t>
        </w:r>
      </w:hyperlink>
    </w:p>
    <w:p w14:paraId="44222A18" w14:textId="77777777" w:rsidR="008C21C4" w:rsidRDefault="008C21C4" w:rsidP="008C21C4">
      <w:pPr>
        <w:spacing w:line="276" w:lineRule="auto"/>
        <w:rPr>
          <w:rFonts w:ascii="Calibri" w:hAnsi="Calibri" w:cs="Calibri"/>
        </w:rPr>
      </w:pPr>
      <w:r w:rsidRPr="00BE715D">
        <w:rPr>
          <w:rFonts w:ascii="Calibri" w:hAnsi="Calibri" w:cs="Calibri"/>
        </w:rPr>
        <w:t>Accessed: 18.10.2024</w:t>
      </w:r>
    </w:p>
    <w:p w14:paraId="6643D6CF" w14:textId="77777777" w:rsidR="008C21C4" w:rsidRDefault="008C21C4" w:rsidP="008C21C4">
      <w:pPr>
        <w:spacing w:line="276" w:lineRule="auto"/>
        <w:rPr>
          <w:rFonts w:ascii="Calibri" w:hAnsi="Calibri" w:cs="Calibri"/>
        </w:rPr>
      </w:pPr>
    </w:p>
    <w:p w14:paraId="384A4BE7" w14:textId="2E63735D" w:rsidR="008C21C4" w:rsidRPr="00BE715D" w:rsidRDefault="008C21C4" w:rsidP="008C21C4">
      <w:pPr>
        <w:spacing w:line="276" w:lineRule="auto"/>
        <w:rPr>
          <w:rFonts w:ascii="Calibri" w:hAnsi="Calibri" w:cs="Calibri"/>
        </w:rPr>
      </w:pPr>
      <w:r w:rsidRPr="00BE715D">
        <w:rPr>
          <w:rFonts w:ascii="Calibri" w:hAnsi="Calibri" w:cs="Calibri"/>
        </w:rPr>
        <w:t>UOLLB First Class Law Notes</w:t>
      </w:r>
      <w:r>
        <w:rPr>
          <w:rFonts w:ascii="Calibri" w:hAnsi="Calibri" w:cs="Calibri"/>
        </w:rPr>
        <w:t xml:space="preserve"> (</w:t>
      </w:r>
      <w:r w:rsidRPr="00BE715D">
        <w:rPr>
          <w:rFonts w:ascii="Calibri" w:hAnsi="Calibri" w:cs="Calibri"/>
        </w:rPr>
        <w:t>2024</w:t>
      </w:r>
      <w:r w:rsidRPr="00BE715D">
        <w:rPr>
          <w:rFonts w:ascii="Calibri" w:hAnsi="Calibri" w:cs="Calibri"/>
        </w:rPr>
        <w:t>) But</w:t>
      </w:r>
      <w:r w:rsidRPr="00BE715D">
        <w:rPr>
          <w:rFonts w:ascii="Calibri" w:hAnsi="Calibri" w:cs="Calibri"/>
        </w:rPr>
        <w:t>-for-test available at:</w:t>
      </w:r>
    </w:p>
    <w:p w14:paraId="154E9CE9" w14:textId="77777777" w:rsidR="008C21C4" w:rsidRPr="00BE715D" w:rsidRDefault="008C21C4" w:rsidP="008C21C4">
      <w:pPr>
        <w:spacing w:line="276" w:lineRule="auto"/>
        <w:rPr>
          <w:rFonts w:ascii="Calibri" w:hAnsi="Calibri" w:cs="Calibri"/>
        </w:rPr>
      </w:pPr>
      <w:hyperlink r:id="rId27" w:history="1">
        <w:r w:rsidRPr="00BE715D">
          <w:rPr>
            <w:rStyle w:val="Hyperlink"/>
            <w:rFonts w:ascii="Calibri" w:hAnsi="Calibri" w:cs="Calibri"/>
          </w:rPr>
          <w:t>https://uollb.com/blogs/uol/but-for-test#:~:text=The%20%22but%2Dfor%22%20test,plaintiff's%20harm%20would%20have%20occurred.</w:t>
        </w:r>
      </w:hyperlink>
    </w:p>
    <w:p w14:paraId="31938003" w14:textId="166C8D72" w:rsidR="00BE715D" w:rsidRDefault="008C21C4" w:rsidP="008C21C4">
      <w:pPr>
        <w:spacing w:line="276" w:lineRule="auto"/>
        <w:rPr>
          <w:rFonts w:ascii="Calibri" w:hAnsi="Calibri" w:cs="Calibri"/>
        </w:rPr>
      </w:pPr>
      <w:r w:rsidRPr="00BE715D">
        <w:rPr>
          <w:rFonts w:ascii="Calibri" w:hAnsi="Calibri" w:cs="Calibri"/>
        </w:rPr>
        <w:t>Accessed: 01.11.2024</w:t>
      </w:r>
    </w:p>
    <w:p w14:paraId="54C4C553" w14:textId="77777777" w:rsidR="008C21C4" w:rsidRPr="00BE715D" w:rsidRDefault="008C21C4" w:rsidP="008C21C4">
      <w:pPr>
        <w:spacing w:line="276" w:lineRule="auto"/>
        <w:rPr>
          <w:rFonts w:ascii="Calibri" w:hAnsi="Calibri" w:cs="Calibri"/>
        </w:rPr>
      </w:pPr>
    </w:p>
    <w:p w14:paraId="02A2CBCF" w14:textId="77777777" w:rsidR="00BE715D" w:rsidRPr="00BE715D" w:rsidRDefault="00BE715D" w:rsidP="008C21C4">
      <w:pPr>
        <w:spacing w:line="276" w:lineRule="auto"/>
        <w:rPr>
          <w:rFonts w:ascii="Calibri" w:hAnsi="Calibri" w:cs="Calibri"/>
        </w:rPr>
      </w:pPr>
      <w:proofErr w:type="spellStart"/>
      <w:r w:rsidRPr="00BE715D">
        <w:rPr>
          <w:rFonts w:ascii="Calibri" w:hAnsi="Calibri" w:cs="Calibri"/>
        </w:rPr>
        <w:t>Zieber</w:t>
      </w:r>
      <w:proofErr w:type="spellEnd"/>
      <w:r w:rsidRPr="00BE715D">
        <w:rPr>
          <w:rFonts w:ascii="Calibri" w:hAnsi="Calibri" w:cs="Calibri"/>
        </w:rPr>
        <w:t xml:space="preserve">, B. (2023) ‘Understanding breach of duty of care &amp; negligence’, </w:t>
      </w:r>
      <w:proofErr w:type="spellStart"/>
      <w:r w:rsidRPr="00BE715D">
        <w:rPr>
          <w:rFonts w:ascii="Calibri" w:hAnsi="Calibri" w:cs="Calibri"/>
        </w:rPr>
        <w:t>AlertMedia</w:t>
      </w:r>
      <w:proofErr w:type="spellEnd"/>
      <w:r w:rsidRPr="00BE715D">
        <w:rPr>
          <w:rFonts w:ascii="Calibri" w:hAnsi="Calibri" w:cs="Calibri"/>
        </w:rPr>
        <w:t>. Available at:</w:t>
      </w:r>
    </w:p>
    <w:p w14:paraId="3A717A13" w14:textId="77777777" w:rsidR="00BE715D" w:rsidRPr="00BE715D" w:rsidRDefault="00BE715D" w:rsidP="008C21C4">
      <w:pPr>
        <w:spacing w:line="276" w:lineRule="auto"/>
        <w:rPr>
          <w:rFonts w:ascii="Calibri" w:hAnsi="Calibri" w:cs="Calibri"/>
        </w:rPr>
      </w:pPr>
      <w:r w:rsidRPr="00BE715D">
        <w:rPr>
          <w:rFonts w:ascii="Calibri" w:hAnsi="Calibri" w:cs="Calibri"/>
        </w:rPr>
        <w:t xml:space="preserve"> </w:t>
      </w:r>
      <w:hyperlink r:id="rId28" w:history="1">
        <w:r w:rsidRPr="00BE715D">
          <w:rPr>
            <w:rStyle w:val="Hyperlink"/>
            <w:rFonts w:ascii="Calibri" w:hAnsi="Calibri" w:cs="Calibri"/>
          </w:rPr>
          <w:t>https://www.alertmedia.com/blog/breach-duty-of-care/</w:t>
        </w:r>
      </w:hyperlink>
    </w:p>
    <w:p w14:paraId="2E64F563" w14:textId="77777777" w:rsidR="00BE715D" w:rsidRPr="00BE715D" w:rsidRDefault="00BE715D" w:rsidP="008C21C4">
      <w:pPr>
        <w:spacing w:line="276" w:lineRule="auto"/>
        <w:rPr>
          <w:rFonts w:ascii="Calibri" w:hAnsi="Calibri" w:cs="Calibri"/>
        </w:rPr>
      </w:pPr>
      <w:r w:rsidRPr="00BE715D">
        <w:rPr>
          <w:rFonts w:ascii="Calibri" w:hAnsi="Calibri" w:cs="Calibri"/>
        </w:rPr>
        <w:t>Accessed: 12.10.2024</w:t>
      </w:r>
    </w:p>
    <w:p w14:paraId="65B3AD9C" w14:textId="335CA88C" w:rsidR="00BE715D" w:rsidRDefault="00BE715D" w:rsidP="00BE715D">
      <w:pPr>
        <w:spacing w:line="360" w:lineRule="auto"/>
        <w:rPr>
          <w:rFonts w:ascii="Calibri" w:hAnsi="Calibri" w:cs="Calibri"/>
        </w:rPr>
      </w:pPr>
    </w:p>
    <w:p w14:paraId="4963BFBB" w14:textId="77777777" w:rsidR="00360D82" w:rsidRPr="00360D82" w:rsidRDefault="00360D82" w:rsidP="00360D82">
      <w:pPr>
        <w:spacing w:line="360" w:lineRule="auto"/>
        <w:ind w:left="720"/>
        <w:rPr>
          <w:rFonts w:ascii="Calibri" w:hAnsi="Calibri" w:cs="Calibri"/>
        </w:rPr>
      </w:pPr>
      <w:r w:rsidRPr="00360D82">
        <w:rPr>
          <w:rFonts w:ascii="Calibri" w:hAnsi="Calibri" w:cs="Calibri"/>
        </w:rPr>
        <w:lastRenderedPageBreak/>
        <w:t>Caparo Industries plc v Dickman [1990]</w:t>
      </w:r>
    </w:p>
    <w:p w14:paraId="12BF494B" w14:textId="77777777" w:rsidR="00360D82" w:rsidRPr="00360D82" w:rsidRDefault="00360D82" w:rsidP="00360D82">
      <w:pPr>
        <w:spacing w:line="360" w:lineRule="auto"/>
        <w:ind w:left="720"/>
        <w:rPr>
          <w:rFonts w:ascii="Calibri" w:hAnsi="Calibri" w:cs="Calibri"/>
        </w:rPr>
      </w:pPr>
      <w:r w:rsidRPr="00360D82">
        <w:rPr>
          <w:rFonts w:ascii="Calibri" w:hAnsi="Calibri" w:cs="Calibri"/>
        </w:rPr>
        <w:t>Donoghue v Stevenson [1932]</w:t>
      </w:r>
    </w:p>
    <w:p w14:paraId="4F6B8C59" w14:textId="77777777" w:rsidR="00360D82" w:rsidRPr="00360D82" w:rsidRDefault="00360D82" w:rsidP="00360D82">
      <w:pPr>
        <w:spacing w:line="360" w:lineRule="auto"/>
        <w:ind w:left="720"/>
        <w:rPr>
          <w:rFonts w:ascii="Calibri" w:hAnsi="Calibri" w:cs="Calibri"/>
        </w:rPr>
      </w:pPr>
      <w:r w:rsidRPr="00360D82">
        <w:rPr>
          <w:rFonts w:ascii="Calibri" w:hAnsi="Calibri" w:cs="Calibri"/>
        </w:rPr>
        <w:t>Bolam v Friern Hospital Management Committee [1957]</w:t>
      </w:r>
    </w:p>
    <w:p w14:paraId="6BF424D2" w14:textId="77777777" w:rsidR="00360D82" w:rsidRPr="00360D82" w:rsidRDefault="00360D82" w:rsidP="00360D82">
      <w:pPr>
        <w:spacing w:line="360" w:lineRule="auto"/>
        <w:ind w:left="720"/>
        <w:rPr>
          <w:rFonts w:ascii="Calibri" w:hAnsi="Calibri" w:cs="Calibri"/>
        </w:rPr>
      </w:pPr>
      <w:r w:rsidRPr="00360D82">
        <w:rPr>
          <w:rFonts w:ascii="Calibri" w:hAnsi="Calibri" w:cs="Calibri"/>
        </w:rPr>
        <w:t>Blyth v Birmingham Waterworks Co [1856]</w:t>
      </w:r>
    </w:p>
    <w:p w14:paraId="10357B1C" w14:textId="77777777" w:rsidR="00360D82" w:rsidRPr="00360D82" w:rsidRDefault="00360D82" w:rsidP="00360D82">
      <w:pPr>
        <w:spacing w:line="360" w:lineRule="auto"/>
        <w:ind w:left="720"/>
        <w:rPr>
          <w:rFonts w:ascii="Calibri" w:hAnsi="Calibri" w:cs="Calibri"/>
        </w:rPr>
      </w:pPr>
      <w:r w:rsidRPr="00360D82">
        <w:rPr>
          <w:rFonts w:ascii="Calibri" w:hAnsi="Calibri" w:cs="Calibri"/>
        </w:rPr>
        <w:t>Barnett v Chelsea and Kensington Hospital Management Committee [1969].</w:t>
      </w:r>
    </w:p>
    <w:p w14:paraId="6B61EEB8" w14:textId="77777777" w:rsidR="00360D82" w:rsidRPr="002967EA" w:rsidRDefault="00360D82" w:rsidP="00BE715D">
      <w:pPr>
        <w:spacing w:line="360" w:lineRule="auto"/>
        <w:rPr>
          <w:rFonts w:ascii="Calibri" w:hAnsi="Calibri" w:cs="Calibri"/>
        </w:rPr>
      </w:pPr>
    </w:p>
    <w:sectPr w:rsidR="00360D82" w:rsidRPr="002967EA">
      <w:head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1DF34A" w14:textId="77777777" w:rsidR="00222397" w:rsidRDefault="00222397" w:rsidP="00487D6B">
      <w:r>
        <w:separator/>
      </w:r>
    </w:p>
  </w:endnote>
  <w:endnote w:type="continuationSeparator" w:id="0">
    <w:p w14:paraId="09C63C80" w14:textId="77777777" w:rsidR="00222397" w:rsidRDefault="00222397" w:rsidP="00487D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6EA8D0" w14:textId="77777777" w:rsidR="00222397" w:rsidRDefault="00222397" w:rsidP="00487D6B">
      <w:r>
        <w:separator/>
      </w:r>
    </w:p>
  </w:footnote>
  <w:footnote w:type="continuationSeparator" w:id="0">
    <w:p w14:paraId="3707A507" w14:textId="77777777" w:rsidR="00222397" w:rsidRDefault="00222397" w:rsidP="00487D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583084" w14:textId="6BA257A1" w:rsidR="00487D6B" w:rsidRDefault="00487D6B">
    <w:pPr>
      <w:pStyle w:val="Header"/>
      <w:rPr>
        <w:rFonts w:ascii="Calibri" w:hAnsi="Calibri" w:cs="Calibri"/>
      </w:rPr>
    </w:pPr>
    <w:r w:rsidRPr="00487D6B">
      <w:rPr>
        <w:rFonts w:ascii="Calibri" w:hAnsi="Calibri" w:cs="Calibri"/>
      </w:rPr>
      <w:t>Diana Demeterova, 2314066</w:t>
    </w:r>
    <w:r>
      <w:rPr>
        <w:rFonts w:ascii="Calibri" w:hAnsi="Calibri" w:cs="Calibri"/>
      </w:rPr>
      <w:t xml:space="preserve">                                                                                          Tort Law </w:t>
    </w:r>
  </w:p>
  <w:p w14:paraId="3B190078" w14:textId="362CB9A7" w:rsidR="00487D6B" w:rsidRPr="00487D6B" w:rsidRDefault="00487D6B">
    <w:pPr>
      <w:pStyle w:val="Header"/>
      <w:rPr>
        <w:rFonts w:ascii="Calibri" w:hAnsi="Calibri" w:cs="Calibri"/>
      </w:rPr>
    </w:pPr>
    <w:r>
      <w:rPr>
        <w:rFonts w:ascii="Calibri" w:hAnsi="Calibri" w:cs="Calibri"/>
      </w:rPr>
      <w:t xml:space="preserve">                                                                                                                                           Assessment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73411A1"/>
    <w:multiLevelType w:val="multilevel"/>
    <w:tmpl w:val="EEF4C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F86094"/>
    <w:multiLevelType w:val="multilevel"/>
    <w:tmpl w:val="A4389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571B8D"/>
    <w:multiLevelType w:val="multilevel"/>
    <w:tmpl w:val="70502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E80271"/>
    <w:multiLevelType w:val="multilevel"/>
    <w:tmpl w:val="AF4A5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837B8F"/>
    <w:multiLevelType w:val="multilevel"/>
    <w:tmpl w:val="FD0C3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7945A2"/>
    <w:multiLevelType w:val="multilevel"/>
    <w:tmpl w:val="253E3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BE38FE"/>
    <w:multiLevelType w:val="multilevel"/>
    <w:tmpl w:val="40CC5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9D1173"/>
    <w:multiLevelType w:val="hybridMultilevel"/>
    <w:tmpl w:val="866A2888"/>
    <w:lvl w:ilvl="0" w:tplc="48A4469E">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1A946779"/>
    <w:multiLevelType w:val="multilevel"/>
    <w:tmpl w:val="B1AE1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B11E29"/>
    <w:multiLevelType w:val="multilevel"/>
    <w:tmpl w:val="A6045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AC335F"/>
    <w:multiLevelType w:val="multilevel"/>
    <w:tmpl w:val="F9EC6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9A63C7"/>
    <w:multiLevelType w:val="hybridMultilevel"/>
    <w:tmpl w:val="343430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A333334"/>
    <w:multiLevelType w:val="multilevel"/>
    <w:tmpl w:val="3C700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E975DEA"/>
    <w:multiLevelType w:val="multilevel"/>
    <w:tmpl w:val="41E0B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1A515CD"/>
    <w:multiLevelType w:val="multilevel"/>
    <w:tmpl w:val="3CCA8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7FC52D3"/>
    <w:multiLevelType w:val="multilevel"/>
    <w:tmpl w:val="5158F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16F6374"/>
    <w:multiLevelType w:val="multilevel"/>
    <w:tmpl w:val="44C0F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7C72CB8"/>
    <w:multiLevelType w:val="multilevel"/>
    <w:tmpl w:val="83CCC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8FE4430"/>
    <w:multiLevelType w:val="multilevel"/>
    <w:tmpl w:val="4A841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ED023B4"/>
    <w:multiLevelType w:val="multilevel"/>
    <w:tmpl w:val="EB9A1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1B34C21"/>
    <w:multiLevelType w:val="multilevel"/>
    <w:tmpl w:val="842C2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6121914"/>
    <w:multiLevelType w:val="multilevel"/>
    <w:tmpl w:val="70E0B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93B2982"/>
    <w:multiLevelType w:val="multilevel"/>
    <w:tmpl w:val="3B42C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DB67C1C"/>
    <w:multiLevelType w:val="multilevel"/>
    <w:tmpl w:val="2B4ED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83536467">
    <w:abstractNumId w:val="8"/>
  </w:num>
  <w:num w:numId="2" w16cid:durableId="901676731">
    <w:abstractNumId w:val="12"/>
  </w:num>
  <w:num w:numId="3" w16cid:durableId="319431468">
    <w:abstractNumId w:val="15"/>
  </w:num>
  <w:num w:numId="4" w16cid:durableId="409238136">
    <w:abstractNumId w:val="23"/>
  </w:num>
  <w:num w:numId="5" w16cid:durableId="537861654">
    <w:abstractNumId w:val="10"/>
  </w:num>
  <w:num w:numId="6" w16cid:durableId="1104761108">
    <w:abstractNumId w:val="21"/>
  </w:num>
  <w:num w:numId="7" w16cid:durableId="1383797053">
    <w:abstractNumId w:val="14"/>
  </w:num>
  <w:num w:numId="8" w16cid:durableId="533005790">
    <w:abstractNumId w:val="1"/>
  </w:num>
  <w:num w:numId="9" w16cid:durableId="1447966291">
    <w:abstractNumId w:val="17"/>
  </w:num>
  <w:num w:numId="10" w16cid:durableId="1016076689">
    <w:abstractNumId w:val="3"/>
  </w:num>
  <w:num w:numId="11" w16cid:durableId="2055890064">
    <w:abstractNumId w:val="6"/>
  </w:num>
  <w:num w:numId="12" w16cid:durableId="1176073767">
    <w:abstractNumId w:val="13"/>
  </w:num>
  <w:num w:numId="13" w16cid:durableId="1431973352">
    <w:abstractNumId w:val="4"/>
  </w:num>
  <w:num w:numId="14" w16cid:durableId="1634631237">
    <w:abstractNumId w:val="20"/>
  </w:num>
  <w:num w:numId="15" w16cid:durableId="610163781">
    <w:abstractNumId w:val="22"/>
  </w:num>
  <w:num w:numId="16" w16cid:durableId="1062560281">
    <w:abstractNumId w:val="9"/>
  </w:num>
  <w:num w:numId="17" w16cid:durableId="253634223">
    <w:abstractNumId w:val="7"/>
  </w:num>
  <w:num w:numId="18" w16cid:durableId="1490290134">
    <w:abstractNumId w:val="16"/>
  </w:num>
  <w:num w:numId="19" w16cid:durableId="1000816082">
    <w:abstractNumId w:val="11"/>
  </w:num>
  <w:num w:numId="20" w16cid:durableId="2012951138">
    <w:abstractNumId w:val="19"/>
  </w:num>
  <w:num w:numId="21" w16cid:durableId="815801465">
    <w:abstractNumId w:val="2"/>
  </w:num>
  <w:num w:numId="22" w16cid:durableId="1349257134">
    <w:abstractNumId w:val="24"/>
  </w:num>
  <w:num w:numId="23" w16cid:durableId="1086347893">
    <w:abstractNumId w:val="18"/>
  </w:num>
  <w:num w:numId="24" w16cid:durableId="485703723">
    <w:abstractNumId w:val="5"/>
  </w:num>
  <w:num w:numId="25" w16cid:durableId="17386746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7D6B"/>
    <w:rsid w:val="00003249"/>
    <w:rsid w:val="000076F9"/>
    <w:rsid w:val="00013363"/>
    <w:rsid w:val="000171F3"/>
    <w:rsid w:val="0001779A"/>
    <w:rsid w:val="00020187"/>
    <w:rsid w:val="00023BAD"/>
    <w:rsid w:val="00025FF5"/>
    <w:rsid w:val="000277DB"/>
    <w:rsid w:val="00030B8C"/>
    <w:rsid w:val="00031CCA"/>
    <w:rsid w:val="00032739"/>
    <w:rsid w:val="00044024"/>
    <w:rsid w:val="0005168C"/>
    <w:rsid w:val="00053668"/>
    <w:rsid w:val="00057EE3"/>
    <w:rsid w:val="0006647E"/>
    <w:rsid w:val="000741D0"/>
    <w:rsid w:val="00086652"/>
    <w:rsid w:val="000904EE"/>
    <w:rsid w:val="000950EE"/>
    <w:rsid w:val="000A3898"/>
    <w:rsid w:val="000A4C47"/>
    <w:rsid w:val="000A7275"/>
    <w:rsid w:val="000B1B90"/>
    <w:rsid w:val="000B1C68"/>
    <w:rsid w:val="000B3D0B"/>
    <w:rsid w:val="000B4937"/>
    <w:rsid w:val="000B4F90"/>
    <w:rsid w:val="000C4003"/>
    <w:rsid w:val="000C4A77"/>
    <w:rsid w:val="000D11E2"/>
    <w:rsid w:val="000D13FB"/>
    <w:rsid w:val="000D17CC"/>
    <w:rsid w:val="000D22D5"/>
    <w:rsid w:val="000D2C66"/>
    <w:rsid w:val="000E0800"/>
    <w:rsid w:val="000F065C"/>
    <w:rsid w:val="000F2CD6"/>
    <w:rsid w:val="00102CD9"/>
    <w:rsid w:val="0010507B"/>
    <w:rsid w:val="00105D5A"/>
    <w:rsid w:val="0010623A"/>
    <w:rsid w:val="00112570"/>
    <w:rsid w:val="00113653"/>
    <w:rsid w:val="001142DC"/>
    <w:rsid w:val="00114817"/>
    <w:rsid w:val="0012168F"/>
    <w:rsid w:val="001222D8"/>
    <w:rsid w:val="00126FB7"/>
    <w:rsid w:val="00127916"/>
    <w:rsid w:val="00136331"/>
    <w:rsid w:val="00140C05"/>
    <w:rsid w:val="00152B5B"/>
    <w:rsid w:val="00164DFD"/>
    <w:rsid w:val="00171908"/>
    <w:rsid w:val="00180595"/>
    <w:rsid w:val="00195F90"/>
    <w:rsid w:val="00195FA5"/>
    <w:rsid w:val="00196A3C"/>
    <w:rsid w:val="001A114B"/>
    <w:rsid w:val="001A121D"/>
    <w:rsid w:val="001B3CFA"/>
    <w:rsid w:val="001B4554"/>
    <w:rsid w:val="001B5C10"/>
    <w:rsid w:val="001C0DD0"/>
    <w:rsid w:val="001C3B67"/>
    <w:rsid w:val="001C4DA5"/>
    <w:rsid w:val="001C4F71"/>
    <w:rsid w:val="001D0F90"/>
    <w:rsid w:val="001D62F0"/>
    <w:rsid w:val="001D76CC"/>
    <w:rsid w:val="001E0280"/>
    <w:rsid w:val="001E237F"/>
    <w:rsid w:val="001E32D5"/>
    <w:rsid w:val="001E59BC"/>
    <w:rsid w:val="001F10AE"/>
    <w:rsid w:val="001F259F"/>
    <w:rsid w:val="001F3FAE"/>
    <w:rsid w:val="001F42CA"/>
    <w:rsid w:val="001F721C"/>
    <w:rsid w:val="002042E7"/>
    <w:rsid w:val="0020443C"/>
    <w:rsid w:val="00204BBF"/>
    <w:rsid w:val="00205B63"/>
    <w:rsid w:val="00210364"/>
    <w:rsid w:val="00213805"/>
    <w:rsid w:val="00213FAE"/>
    <w:rsid w:val="002153C5"/>
    <w:rsid w:val="00215B96"/>
    <w:rsid w:val="002168AB"/>
    <w:rsid w:val="00220D74"/>
    <w:rsid w:val="00221997"/>
    <w:rsid w:val="00221E50"/>
    <w:rsid w:val="00221E96"/>
    <w:rsid w:val="00222397"/>
    <w:rsid w:val="00224A47"/>
    <w:rsid w:val="00225E7C"/>
    <w:rsid w:val="002274F5"/>
    <w:rsid w:val="002309CC"/>
    <w:rsid w:val="002360B6"/>
    <w:rsid w:val="00245083"/>
    <w:rsid w:val="00246548"/>
    <w:rsid w:val="0024743B"/>
    <w:rsid w:val="002507D1"/>
    <w:rsid w:val="00250F6B"/>
    <w:rsid w:val="00252B81"/>
    <w:rsid w:val="00255493"/>
    <w:rsid w:val="0025568C"/>
    <w:rsid w:val="00256879"/>
    <w:rsid w:val="0027149A"/>
    <w:rsid w:val="00273F20"/>
    <w:rsid w:val="00280887"/>
    <w:rsid w:val="002859DC"/>
    <w:rsid w:val="0029089E"/>
    <w:rsid w:val="002967EA"/>
    <w:rsid w:val="002971EF"/>
    <w:rsid w:val="002975A2"/>
    <w:rsid w:val="002A3751"/>
    <w:rsid w:val="002A47FB"/>
    <w:rsid w:val="002B6EC1"/>
    <w:rsid w:val="002C2867"/>
    <w:rsid w:val="002C4FB9"/>
    <w:rsid w:val="002D13B2"/>
    <w:rsid w:val="002D20CA"/>
    <w:rsid w:val="002D37C2"/>
    <w:rsid w:val="002F54C0"/>
    <w:rsid w:val="002F593F"/>
    <w:rsid w:val="002F650C"/>
    <w:rsid w:val="00304609"/>
    <w:rsid w:val="00311C75"/>
    <w:rsid w:val="00311E55"/>
    <w:rsid w:val="00314DDD"/>
    <w:rsid w:val="00315608"/>
    <w:rsid w:val="00315B4E"/>
    <w:rsid w:val="00317396"/>
    <w:rsid w:val="00322B5E"/>
    <w:rsid w:val="00323EB9"/>
    <w:rsid w:val="00325579"/>
    <w:rsid w:val="003327E0"/>
    <w:rsid w:val="00345560"/>
    <w:rsid w:val="00345917"/>
    <w:rsid w:val="00351D45"/>
    <w:rsid w:val="00360A59"/>
    <w:rsid w:val="00360D82"/>
    <w:rsid w:val="003628F6"/>
    <w:rsid w:val="00363C91"/>
    <w:rsid w:val="00366635"/>
    <w:rsid w:val="00390159"/>
    <w:rsid w:val="003912F3"/>
    <w:rsid w:val="00393E24"/>
    <w:rsid w:val="003B1279"/>
    <w:rsid w:val="003B40EC"/>
    <w:rsid w:val="003B52F4"/>
    <w:rsid w:val="003C201E"/>
    <w:rsid w:val="003C354D"/>
    <w:rsid w:val="003C7275"/>
    <w:rsid w:val="003D28A7"/>
    <w:rsid w:val="003D2CA1"/>
    <w:rsid w:val="003D661D"/>
    <w:rsid w:val="003E3FAD"/>
    <w:rsid w:val="003E5A8D"/>
    <w:rsid w:val="003E5DCA"/>
    <w:rsid w:val="003F0944"/>
    <w:rsid w:val="003F1342"/>
    <w:rsid w:val="003F68D6"/>
    <w:rsid w:val="003F6AF1"/>
    <w:rsid w:val="00401555"/>
    <w:rsid w:val="00410761"/>
    <w:rsid w:val="00417F27"/>
    <w:rsid w:val="0042016C"/>
    <w:rsid w:val="0043223D"/>
    <w:rsid w:val="00436E84"/>
    <w:rsid w:val="00436EA3"/>
    <w:rsid w:val="00444F07"/>
    <w:rsid w:val="00446147"/>
    <w:rsid w:val="00447A08"/>
    <w:rsid w:val="00447E8A"/>
    <w:rsid w:val="004510B1"/>
    <w:rsid w:val="004552F5"/>
    <w:rsid w:val="00457DF4"/>
    <w:rsid w:val="004620F8"/>
    <w:rsid w:val="004623C3"/>
    <w:rsid w:val="00462E43"/>
    <w:rsid w:val="00463B30"/>
    <w:rsid w:val="00465FB5"/>
    <w:rsid w:val="00471980"/>
    <w:rsid w:val="00474E40"/>
    <w:rsid w:val="004810BF"/>
    <w:rsid w:val="00487D6B"/>
    <w:rsid w:val="00487F06"/>
    <w:rsid w:val="00490041"/>
    <w:rsid w:val="004A5921"/>
    <w:rsid w:val="004A624D"/>
    <w:rsid w:val="004A6C1D"/>
    <w:rsid w:val="004B27C9"/>
    <w:rsid w:val="004B7E87"/>
    <w:rsid w:val="004C13D5"/>
    <w:rsid w:val="004C6245"/>
    <w:rsid w:val="004C7780"/>
    <w:rsid w:val="004C7BE3"/>
    <w:rsid w:val="004D2968"/>
    <w:rsid w:val="004D5651"/>
    <w:rsid w:val="004D6680"/>
    <w:rsid w:val="004E14D0"/>
    <w:rsid w:val="004E2EA1"/>
    <w:rsid w:val="004F044E"/>
    <w:rsid w:val="004F0B72"/>
    <w:rsid w:val="004F2ACE"/>
    <w:rsid w:val="004F3269"/>
    <w:rsid w:val="004F360B"/>
    <w:rsid w:val="004F3707"/>
    <w:rsid w:val="004F402F"/>
    <w:rsid w:val="0050192F"/>
    <w:rsid w:val="00507743"/>
    <w:rsid w:val="005112F9"/>
    <w:rsid w:val="00512590"/>
    <w:rsid w:val="00514345"/>
    <w:rsid w:val="00520688"/>
    <w:rsid w:val="00527AF9"/>
    <w:rsid w:val="005314D9"/>
    <w:rsid w:val="0053566B"/>
    <w:rsid w:val="00535C8A"/>
    <w:rsid w:val="00540558"/>
    <w:rsid w:val="00543AE1"/>
    <w:rsid w:val="0054408C"/>
    <w:rsid w:val="00545B1B"/>
    <w:rsid w:val="005523D8"/>
    <w:rsid w:val="0055637B"/>
    <w:rsid w:val="00562585"/>
    <w:rsid w:val="00566129"/>
    <w:rsid w:val="00567BAA"/>
    <w:rsid w:val="00571166"/>
    <w:rsid w:val="005727F9"/>
    <w:rsid w:val="005732DE"/>
    <w:rsid w:val="005742B0"/>
    <w:rsid w:val="00582573"/>
    <w:rsid w:val="00591E82"/>
    <w:rsid w:val="005B386F"/>
    <w:rsid w:val="005C0775"/>
    <w:rsid w:val="005C1BC6"/>
    <w:rsid w:val="005C2868"/>
    <w:rsid w:val="005D04AB"/>
    <w:rsid w:val="005D09E0"/>
    <w:rsid w:val="005D194A"/>
    <w:rsid w:val="005D1B03"/>
    <w:rsid w:val="005D62D8"/>
    <w:rsid w:val="005D6D0B"/>
    <w:rsid w:val="005E1924"/>
    <w:rsid w:val="005E55C9"/>
    <w:rsid w:val="005E7701"/>
    <w:rsid w:val="0060367E"/>
    <w:rsid w:val="00610B23"/>
    <w:rsid w:val="00612DDF"/>
    <w:rsid w:val="00615E5D"/>
    <w:rsid w:val="00620499"/>
    <w:rsid w:val="0062222A"/>
    <w:rsid w:val="006308D9"/>
    <w:rsid w:val="006345ED"/>
    <w:rsid w:val="0063542F"/>
    <w:rsid w:val="006358FA"/>
    <w:rsid w:val="00636BD2"/>
    <w:rsid w:val="00640292"/>
    <w:rsid w:val="00641732"/>
    <w:rsid w:val="00647022"/>
    <w:rsid w:val="00651A92"/>
    <w:rsid w:val="00651FAB"/>
    <w:rsid w:val="00654B6B"/>
    <w:rsid w:val="006646A3"/>
    <w:rsid w:val="00665569"/>
    <w:rsid w:val="00670BB6"/>
    <w:rsid w:val="00676FBC"/>
    <w:rsid w:val="00677617"/>
    <w:rsid w:val="006842F6"/>
    <w:rsid w:val="0069623A"/>
    <w:rsid w:val="00697A8C"/>
    <w:rsid w:val="006A1AFE"/>
    <w:rsid w:val="006A5B40"/>
    <w:rsid w:val="006A60E9"/>
    <w:rsid w:val="006B0CC9"/>
    <w:rsid w:val="006B5B42"/>
    <w:rsid w:val="006C24F1"/>
    <w:rsid w:val="006C2681"/>
    <w:rsid w:val="006C348C"/>
    <w:rsid w:val="006D7654"/>
    <w:rsid w:val="006E1491"/>
    <w:rsid w:val="006E3545"/>
    <w:rsid w:val="006F6E47"/>
    <w:rsid w:val="006F7FFD"/>
    <w:rsid w:val="007005B5"/>
    <w:rsid w:val="00705FA0"/>
    <w:rsid w:val="00706A5B"/>
    <w:rsid w:val="00710EDC"/>
    <w:rsid w:val="00715C01"/>
    <w:rsid w:val="00724585"/>
    <w:rsid w:val="00733AC1"/>
    <w:rsid w:val="007375FE"/>
    <w:rsid w:val="00744883"/>
    <w:rsid w:val="00745D4D"/>
    <w:rsid w:val="00746F8C"/>
    <w:rsid w:val="00750529"/>
    <w:rsid w:val="00756272"/>
    <w:rsid w:val="00772AD3"/>
    <w:rsid w:val="00774CBE"/>
    <w:rsid w:val="00776E1A"/>
    <w:rsid w:val="00781802"/>
    <w:rsid w:val="00783178"/>
    <w:rsid w:val="00794463"/>
    <w:rsid w:val="00794D3F"/>
    <w:rsid w:val="00795B5C"/>
    <w:rsid w:val="00795EED"/>
    <w:rsid w:val="007B3F7A"/>
    <w:rsid w:val="007B4360"/>
    <w:rsid w:val="007C0A99"/>
    <w:rsid w:val="007C2109"/>
    <w:rsid w:val="007D1109"/>
    <w:rsid w:val="007D18CD"/>
    <w:rsid w:val="007D5990"/>
    <w:rsid w:val="007D78E6"/>
    <w:rsid w:val="007E2659"/>
    <w:rsid w:val="007F70A3"/>
    <w:rsid w:val="00800B75"/>
    <w:rsid w:val="00801A26"/>
    <w:rsid w:val="00802EFE"/>
    <w:rsid w:val="0080689D"/>
    <w:rsid w:val="00810F77"/>
    <w:rsid w:val="00812EA5"/>
    <w:rsid w:val="00815723"/>
    <w:rsid w:val="008210C7"/>
    <w:rsid w:val="0082327D"/>
    <w:rsid w:val="00823B82"/>
    <w:rsid w:val="008339C6"/>
    <w:rsid w:val="00837B08"/>
    <w:rsid w:val="008415AA"/>
    <w:rsid w:val="0084508C"/>
    <w:rsid w:val="00845E3D"/>
    <w:rsid w:val="008522AD"/>
    <w:rsid w:val="008628AD"/>
    <w:rsid w:val="00863F5A"/>
    <w:rsid w:val="00864EDA"/>
    <w:rsid w:val="00875DC3"/>
    <w:rsid w:val="008773A3"/>
    <w:rsid w:val="00884F60"/>
    <w:rsid w:val="00890D05"/>
    <w:rsid w:val="008A1122"/>
    <w:rsid w:val="008A58FB"/>
    <w:rsid w:val="008A707F"/>
    <w:rsid w:val="008B2612"/>
    <w:rsid w:val="008C21C4"/>
    <w:rsid w:val="008C22A1"/>
    <w:rsid w:val="008C3405"/>
    <w:rsid w:val="008C48F7"/>
    <w:rsid w:val="008C5929"/>
    <w:rsid w:val="008C7FB4"/>
    <w:rsid w:val="008D1CC2"/>
    <w:rsid w:val="008E26EF"/>
    <w:rsid w:val="008E7230"/>
    <w:rsid w:val="008F061B"/>
    <w:rsid w:val="008F20F9"/>
    <w:rsid w:val="008F2CCD"/>
    <w:rsid w:val="008F37D1"/>
    <w:rsid w:val="008F52F2"/>
    <w:rsid w:val="008F5E9E"/>
    <w:rsid w:val="008F6D41"/>
    <w:rsid w:val="008F77AA"/>
    <w:rsid w:val="00903F79"/>
    <w:rsid w:val="009062D1"/>
    <w:rsid w:val="00915532"/>
    <w:rsid w:val="00917041"/>
    <w:rsid w:val="00924868"/>
    <w:rsid w:val="0092486D"/>
    <w:rsid w:val="00924BE8"/>
    <w:rsid w:val="00935781"/>
    <w:rsid w:val="00943911"/>
    <w:rsid w:val="00945820"/>
    <w:rsid w:val="00954C94"/>
    <w:rsid w:val="00957B70"/>
    <w:rsid w:val="00962605"/>
    <w:rsid w:val="009654EC"/>
    <w:rsid w:val="00965C71"/>
    <w:rsid w:val="0096683B"/>
    <w:rsid w:val="00966A47"/>
    <w:rsid w:val="00972551"/>
    <w:rsid w:val="00972A0A"/>
    <w:rsid w:val="009763D8"/>
    <w:rsid w:val="00977551"/>
    <w:rsid w:val="009807BC"/>
    <w:rsid w:val="009835DA"/>
    <w:rsid w:val="00985E3A"/>
    <w:rsid w:val="00986062"/>
    <w:rsid w:val="00987684"/>
    <w:rsid w:val="009907B2"/>
    <w:rsid w:val="009931A8"/>
    <w:rsid w:val="0099330E"/>
    <w:rsid w:val="00997FDD"/>
    <w:rsid w:val="009A2DC1"/>
    <w:rsid w:val="009B0C42"/>
    <w:rsid w:val="009B34A0"/>
    <w:rsid w:val="009B6AC8"/>
    <w:rsid w:val="009C2531"/>
    <w:rsid w:val="009D793C"/>
    <w:rsid w:val="009E2C01"/>
    <w:rsid w:val="009E2FFA"/>
    <w:rsid w:val="009E45F3"/>
    <w:rsid w:val="009F4DFC"/>
    <w:rsid w:val="009F731D"/>
    <w:rsid w:val="00A02435"/>
    <w:rsid w:val="00A037C7"/>
    <w:rsid w:val="00A048E5"/>
    <w:rsid w:val="00A13CBC"/>
    <w:rsid w:val="00A160BA"/>
    <w:rsid w:val="00A2073F"/>
    <w:rsid w:val="00A2140B"/>
    <w:rsid w:val="00A2167C"/>
    <w:rsid w:val="00A2617D"/>
    <w:rsid w:val="00A26866"/>
    <w:rsid w:val="00A27C14"/>
    <w:rsid w:val="00A34176"/>
    <w:rsid w:val="00A34C7D"/>
    <w:rsid w:val="00A369C9"/>
    <w:rsid w:val="00A373CD"/>
    <w:rsid w:val="00A3798F"/>
    <w:rsid w:val="00A40E2D"/>
    <w:rsid w:val="00A54247"/>
    <w:rsid w:val="00A56EFE"/>
    <w:rsid w:val="00A66F4C"/>
    <w:rsid w:val="00A67FF6"/>
    <w:rsid w:val="00A70061"/>
    <w:rsid w:val="00A73A90"/>
    <w:rsid w:val="00A81599"/>
    <w:rsid w:val="00A82F00"/>
    <w:rsid w:val="00A85375"/>
    <w:rsid w:val="00A865E1"/>
    <w:rsid w:val="00A87784"/>
    <w:rsid w:val="00A93D2B"/>
    <w:rsid w:val="00A950EF"/>
    <w:rsid w:val="00AA2ECC"/>
    <w:rsid w:val="00AA644F"/>
    <w:rsid w:val="00AA6D33"/>
    <w:rsid w:val="00AB46A4"/>
    <w:rsid w:val="00AB6AA5"/>
    <w:rsid w:val="00AC5FB8"/>
    <w:rsid w:val="00AD3D4B"/>
    <w:rsid w:val="00AE053B"/>
    <w:rsid w:val="00AE68C8"/>
    <w:rsid w:val="00B121F2"/>
    <w:rsid w:val="00B12F4A"/>
    <w:rsid w:val="00B156FD"/>
    <w:rsid w:val="00B1674F"/>
    <w:rsid w:val="00B25AEC"/>
    <w:rsid w:val="00B2772D"/>
    <w:rsid w:val="00B3215E"/>
    <w:rsid w:val="00B35736"/>
    <w:rsid w:val="00B35B8D"/>
    <w:rsid w:val="00B35C9D"/>
    <w:rsid w:val="00B43DCF"/>
    <w:rsid w:val="00B47567"/>
    <w:rsid w:val="00B50E85"/>
    <w:rsid w:val="00B5665F"/>
    <w:rsid w:val="00B601A8"/>
    <w:rsid w:val="00B6038E"/>
    <w:rsid w:val="00B65320"/>
    <w:rsid w:val="00B722ED"/>
    <w:rsid w:val="00B83DB0"/>
    <w:rsid w:val="00B84081"/>
    <w:rsid w:val="00B85D9F"/>
    <w:rsid w:val="00B90399"/>
    <w:rsid w:val="00B93144"/>
    <w:rsid w:val="00B935B0"/>
    <w:rsid w:val="00B93B79"/>
    <w:rsid w:val="00B94D80"/>
    <w:rsid w:val="00B95306"/>
    <w:rsid w:val="00BA4DCC"/>
    <w:rsid w:val="00BA57C5"/>
    <w:rsid w:val="00BA7C84"/>
    <w:rsid w:val="00BB07C7"/>
    <w:rsid w:val="00BB2CE0"/>
    <w:rsid w:val="00BC03C3"/>
    <w:rsid w:val="00BD1449"/>
    <w:rsid w:val="00BD2571"/>
    <w:rsid w:val="00BD6DD2"/>
    <w:rsid w:val="00BE1913"/>
    <w:rsid w:val="00BE2648"/>
    <w:rsid w:val="00BE715D"/>
    <w:rsid w:val="00BE7AD2"/>
    <w:rsid w:val="00BE7B82"/>
    <w:rsid w:val="00BE7F0A"/>
    <w:rsid w:val="00BF45D7"/>
    <w:rsid w:val="00BF65E8"/>
    <w:rsid w:val="00C04D2F"/>
    <w:rsid w:val="00C13239"/>
    <w:rsid w:val="00C23DA2"/>
    <w:rsid w:val="00C26564"/>
    <w:rsid w:val="00C2796C"/>
    <w:rsid w:val="00C33327"/>
    <w:rsid w:val="00C35A04"/>
    <w:rsid w:val="00C477AA"/>
    <w:rsid w:val="00C50645"/>
    <w:rsid w:val="00C61EB6"/>
    <w:rsid w:val="00C633F3"/>
    <w:rsid w:val="00C64F3A"/>
    <w:rsid w:val="00C65F83"/>
    <w:rsid w:val="00C66602"/>
    <w:rsid w:val="00C73444"/>
    <w:rsid w:val="00C74C46"/>
    <w:rsid w:val="00C76012"/>
    <w:rsid w:val="00C762EE"/>
    <w:rsid w:val="00C764CB"/>
    <w:rsid w:val="00C80D4B"/>
    <w:rsid w:val="00C81E02"/>
    <w:rsid w:val="00C9167A"/>
    <w:rsid w:val="00C93963"/>
    <w:rsid w:val="00C93C6E"/>
    <w:rsid w:val="00C93FA8"/>
    <w:rsid w:val="00C96363"/>
    <w:rsid w:val="00C96C2A"/>
    <w:rsid w:val="00CA0392"/>
    <w:rsid w:val="00CA08BF"/>
    <w:rsid w:val="00CA0B99"/>
    <w:rsid w:val="00CA17D4"/>
    <w:rsid w:val="00CB4688"/>
    <w:rsid w:val="00CB4831"/>
    <w:rsid w:val="00CB5DB3"/>
    <w:rsid w:val="00CB60EF"/>
    <w:rsid w:val="00CC3ED8"/>
    <w:rsid w:val="00CC6E13"/>
    <w:rsid w:val="00CD0567"/>
    <w:rsid w:val="00CD163B"/>
    <w:rsid w:val="00CD1C8B"/>
    <w:rsid w:val="00CD1E9F"/>
    <w:rsid w:val="00CD506C"/>
    <w:rsid w:val="00CE01CE"/>
    <w:rsid w:val="00CE30C2"/>
    <w:rsid w:val="00CE6857"/>
    <w:rsid w:val="00CF2F55"/>
    <w:rsid w:val="00CF3B68"/>
    <w:rsid w:val="00D00E92"/>
    <w:rsid w:val="00D10807"/>
    <w:rsid w:val="00D11931"/>
    <w:rsid w:val="00D176E6"/>
    <w:rsid w:val="00D20918"/>
    <w:rsid w:val="00D20CED"/>
    <w:rsid w:val="00D21856"/>
    <w:rsid w:val="00D267CC"/>
    <w:rsid w:val="00D3410C"/>
    <w:rsid w:val="00D439CA"/>
    <w:rsid w:val="00D442CA"/>
    <w:rsid w:val="00D45122"/>
    <w:rsid w:val="00D46BAC"/>
    <w:rsid w:val="00D53175"/>
    <w:rsid w:val="00D531A5"/>
    <w:rsid w:val="00D53DE9"/>
    <w:rsid w:val="00D56CC0"/>
    <w:rsid w:val="00D57334"/>
    <w:rsid w:val="00D620CD"/>
    <w:rsid w:val="00D7059E"/>
    <w:rsid w:val="00D70B22"/>
    <w:rsid w:val="00D7100B"/>
    <w:rsid w:val="00D7259F"/>
    <w:rsid w:val="00D730EA"/>
    <w:rsid w:val="00D73497"/>
    <w:rsid w:val="00D7417C"/>
    <w:rsid w:val="00D77097"/>
    <w:rsid w:val="00D80CF8"/>
    <w:rsid w:val="00D8117A"/>
    <w:rsid w:val="00D81A4F"/>
    <w:rsid w:val="00D81E4B"/>
    <w:rsid w:val="00D845A9"/>
    <w:rsid w:val="00D86233"/>
    <w:rsid w:val="00D8780A"/>
    <w:rsid w:val="00D912B2"/>
    <w:rsid w:val="00DA386B"/>
    <w:rsid w:val="00DA5ED6"/>
    <w:rsid w:val="00DC6768"/>
    <w:rsid w:val="00DD065B"/>
    <w:rsid w:val="00DD0F59"/>
    <w:rsid w:val="00DD119E"/>
    <w:rsid w:val="00DD3D26"/>
    <w:rsid w:val="00DD42F1"/>
    <w:rsid w:val="00DD45B7"/>
    <w:rsid w:val="00DE21F6"/>
    <w:rsid w:val="00E019DD"/>
    <w:rsid w:val="00E01E17"/>
    <w:rsid w:val="00E0461E"/>
    <w:rsid w:val="00E077FC"/>
    <w:rsid w:val="00E1033B"/>
    <w:rsid w:val="00E11337"/>
    <w:rsid w:val="00E2206C"/>
    <w:rsid w:val="00E30415"/>
    <w:rsid w:val="00E30B36"/>
    <w:rsid w:val="00E35B55"/>
    <w:rsid w:val="00E456FD"/>
    <w:rsid w:val="00E53212"/>
    <w:rsid w:val="00E630F0"/>
    <w:rsid w:val="00E67386"/>
    <w:rsid w:val="00E6758A"/>
    <w:rsid w:val="00E70FA8"/>
    <w:rsid w:val="00E73DB7"/>
    <w:rsid w:val="00E77416"/>
    <w:rsid w:val="00E80C5A"/>
    <w:rsid w:val="00E80D64"/>
    <w:rsid w:val="00E80D65"/>
    <w:rsid w:val="00E841A0"/>
    <w:rsid w:val="00E850CC"/>
    <w:rsid w:val="00E912E6"/>
    <w:rsid w:val="00E94D41"/>
    <w:rsid w:val="00E95D64"/>
    <w:rsid w:val="00E97756"/>
    <w:rsid w:val="00E97C01"/>
    <w:rsid w:val="00EA143D"/>
    <w:rsid w:val="00EA2F0A"/>
    <w:rsid w:val="00EA4073"/>
    <w:rsid w:val="00EB247E"/>
    <w:rsid w:val="00EB35D9"/>
    <w:rsid w:val="00EC0F74"/>
    <w:rsid w:val="00EC271D"/>
    <w:rsid w:val="00EC7087"/>
    <w:rsid w:val="00ED0301"/>
    <w:rsid w:val="00ED2630"/>
    <w:rsid w:val="00EE1635"/>
    <w:rsid w:val="00EF19A6"/>
    <w:rsid w:val="00EF448C"/>
    <w:rsid w:val="00EF60D0"/>
    <w:rsid w:val="00EF6FE5"/>
    <w:rsid w:val="00F04A77"/>
    <w:rsid w:val="00F13DEB"/>
    <w:rsid w:val="00F22AC5"/>
    <w:rsid w:val="00F238BD"/>
    <w:rsid w:val="00F25080"/>
    <w:rsid w:val="00F32A12"/>
    <w:rsid w:val="00F36FF5"/>
    <w:rsid w:val="00F374A0"/>
    <w:rsid w:val="00F4048F"/>
    <w:rsid w:val="00F449D0"/>
    <w:rsid w:val="00F453B6"/>
    <w:rsid w:val="00F50A12"/>
    <w:rsid w:val="00F568C3"/>
    <w:rsid w:val="00F60019"/>
    <w:rsid w:val="00F62FD1"/>
    <w:rsid w:val="00F63330"/>
    <w:rsid w:val="00F65980"/>
    <w:rsid w:val="00F65E8A"/>
    <w:rsid w:val="00F8158B"/>
    <w:rsid w:val="00F84302"/>
    <w:rsid w:val="00F8698F"/>
    <w:rsid w:val="00F953A4"/>
    <w:rsid w:val="00F953AB"/>
    <w:rsid w:val="00F96FD4"/>
    <w:rsid w:val="00FA5B4C"/>
    <w:rsid w:val="00FA7013"/>
    <w:rsid w:val="00FB49AA"/>
    <w:rsid w:val="00FB63E8"/>
    <w:rsid w:val="00FB7E2F"/>
    <w:rsid w:val="00FC17DE"/>
    <w:rsid w:val="00FC2C5B"/>
    <w:rsid w:val="00FC4FCE"/>
    <w:rsid w:val="00FC7928"/>
    <w:rsid w:val="00FD00AA"/>
    <w:rsid w:val="00FD1812"/>
    <w:rsid w:val="00FD2E97"/>
    <w:rsid w:val="00FE3F23"/>
    <w:rsid w:val="00FE5EE1"/>
    <w:rsid w:val="00FE7DA3"/>
    <w:rsid w:val="00FF47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12F26EA"/>
  <w15:chartTrackingRefBased/>
  <w15:docId w15:val="{A822361A-EC4F-B349-8239-440B979CB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15D"/>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487D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87D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87D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87D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87D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87D6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7D6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7D6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7D6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7D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87D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87D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87D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87D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87D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7D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7D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7D6B"/>
    <w:rPr>
      <w:rFonts w:eastAsiaTheme="majorEastAsia" w:cstheme="majorBidi"/>
      <w:color w:val="272727" w:themeColor="text1" w:themeTint="D8"/>
    </w:rPr>
  </w:style>
  <w:style w:type="paragraph" w:styleId="Title">
    <w:name w:val="Title"/>
    <w:basedOn w:val="Normal"/>
    <w:next w:val="Normal"/>
    <w:link w:val="TitleChar"/>
    <w:uiPriority w:val="10"/>
    <w:qFormat/>
    <w:rsid w:val="00487D6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7D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7D6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7D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7D6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87D6B"/>
    <w:rPr>
      <w:i/>
      <w:iCs/>
      <w:color w:val="404040" w:themeColor="text1" w:themeTint="BF"/>
    </w:rPr>
  </w:style>
  <w:style w:type="paragraph" w:styleId="ListParagraph">
    <w:name w:val="List Paragraph"/>
    <w:basedOn w:val="Normal"/>
    <w:uiPriority w:val="34"/>
    <w:qFormat/>
    <w:rsid w:val="00487D6B"/>
    <w:pPr>
      <w:ind w:left="720"/>
      <w:contextualSpacing/>
    </w:pPr>
  </w:style>
  <w:style w:type="character" w:styleId="IntenseEmphasis">
    <w:name w:val="Intense Emphasis"/>
    <w:basedOn w:val="DefaultParagraphFont"/>
    <w:uiPriority w:val="21"/>
    <w:qFormat/>
    <w:rsid w:val="00487D6B"/>
    <w:rPr>
      <w:i/>
      <w:iCs/>
      <w:color w:val="0F4761" w:themeColor="accent1" w:themeShade="BF"/>
    </w:rPr>
  </w:style>
  <w:style w:type="paragraph" w:styleId="IntenseQuote">
    <w:name w:val="Intense Quote"/>
    <w:basedOn w:val="Normal"/>
    <w:next w:val="Normal"/>
    <w:link w:val="IntenseQuoteChar"/>
    <w:uiPriority w:val="30"/>
    <w:qFormat/>
    <w:rsid w:val="00487D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87D6B"/>
    <w:rPr>
      <w:i/>
      <w:iCs/>
      <w:color w:val="0F4761" w:themeColor="accent1" w:themeShade="BF"/>
    </w:rPr>
  </w:style>
  <w:style w:type="character" w:styleId="IntenseReference">
    <w:name w:val="Intense Reference"/>
    <w:basedOn w:val="DefaultParagraphFont"/>
    <w:uiPriority w:val="32"/>
    <w:qFormat/>
    <w:rsid w:val="00487D6B"/>
    <w:rPr>
      <w:b/>
      <w:bCs/>
      <w:smallCaps/>
      <w:color w:val="0F4761" w:themeColor="accent1" w:themeShade="BF"/>
      <w:spacing w:val="5"/>
    </w:rPr>
  </w:style>
  <w:style w:type="paragraph" w:styleId="Header">
    <w:name w:val="header"/>
    <w:basedOn w:val="Normal"/>
    <w:link w:val="HeaderChar"/>
    <w:uiPriority w:val="99"/>
    <w:unhideWhenUsed/>
    <w:rsid w:val="00487D6B"/>
    <w:pPr>
      <w:tabs>
        <w:tab w:val="center" w:pos="4513"/>
        <w:tab w:val="right" w:pos="9026"/>
      </w:tabs>
    </w:pPr>
  </w:style>
  <w:style w:type="character" w:customStyle="1" w:styleId="HeaderChar">
    <w:name w:val="Header Char"/>
    <w:basedOn w:val="DefaultParagraphFont"/>
    <w:link w:val="Header"/>
    <w:uiPriority w:val="99"/>
    <w:rsid w:val="00487D6B"/>
  </w:style>
  <w:style w:type="paragraph" w:styleId="Footer">
    <w:name w:val="footer"/>
    <w:basedOn w:val="Normal"/>
    <w:link w:val="FooterChar"/>
    <w:uiPriority w:val="99"/>
    <w:unhideWhenUsed/>
    <w:rsid w:val="00487D6B"/>
    <w:pPr>
      <w:tabs>
        <w:tab w:val="center" w:pos="4513"/>
        <w:tab w:val="right" w:pos="9026"/>
      </w:tabs>
    </w:pPr>
  </w:style>
  <w:style w:type="character" w:customStyle="1" w:styleId="FooterChar">
    <w:name w:val="Footer Char"/>
    <w:basedOn w:val="DefaultParagraphFont"/>
    <w:link w:val="Footer"/>
    <w:uiPriority w:val="99"/>
    <w:rsid w:val="00487D6B"/>
  </w:style>
  <w:style w:type="paragraph" w:styleId="NormalWeb">
    <w:name w:val="Normal (Web)"/>
    <w:basedOn w:val="Normal"/>
    <w:uiPriority w:val="99"/>
    <w:semiHidden/>
    <w:unhideWhenUsed/>
    <w:rsid w:val="00EF60D0"/>
    <w:pPr>
      <w:spacing w:before="100" w:beforeAutospacing="1" w:after="100" w:afterAutospacing="1"/>
    </w:pPr>
  </w:style>
  <w:style w:type="character" w:customStyle="1" w:styleId="apple-converted-space">
    <w:name w:val="apple-converted-space"/>
    <w:basedOn w:val="DefaultParagraphFont"/>
    <w:rsid w:val="00EF60D0"/>
  </w:style>
  <w:style w:type="character" w:styleId="Hyperlink">
    <w:name w:val="Hyperlink"/>
    <w:basedOn w:val="DefaultParagraphFont"/>
    <w:uiPriority w:val="99"/>
    <w:unhideWhenUsed/>
    <w:rsid w:val="00EF60D0"/>
    <w:rPr>
      <w:color w:val="0000FF"/>
      <w:u w:val="single"/>
    </w:rPr>
  </w:style>
  <w:style w:type="character" w:styleId="Strong">
    <w:name w:val="Strong"/>
    <w:basedOn w:val="DefaultParagraphFont"/>
    <w:uiPriority w:val="22"/>
    <w:qFormat/>
    <w:rsid w:val="00C93FA8"/>
    <w:rPr>
      <w:b/>
      <w:bCs/>
    </w:rPr>
  </w:style>
  <w:style w:type="character" w:styleId="Emphasis">
    <w:name w:val="Emphasis"/>
    <w:basedOn w:val="DefaultParagraphFont"/>
    <w:uiPriority w:val="20"/>
    <w:qFormat/>
    <w:rsid w:val="00EB247E"/>
    <w:rPr>
      <w:i/>
      <w:iCs/>
    </w:rPr>
  </w:style>
  <w:style w:type="character" w:styleId="UnresolvedMention">
    <w:name w:val="Unresolved Mention"/>
    <w:basedOn w:val="DefaultParagraphFont"/>
    <w:uiPriority w:val="99"/>
    <w:semiHidden/>
    <w:unhideWhenUsed/>
    <w:rsid w:val="00BB07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51648998">
      <w:bodyDiv w:val="1"/>
      <w:marLeft w:val="0"/>
      <w:marRight w:val="0"/>
      <w:marTop w:val="0"/>
      <w:marBottom w:val="0"/>
      <w:divBdr>
        <w:top w:val="none" w:sz="0" w:space="0" w:color="auto"/>
        <w:left w:val="none" w:sz="0" w:space="0" w:color="auto"/>
        <w:bottom w:val="none" w:sz="0" w:space="0" w:color="auto"/>
        <w:right w:val="none" w:sz="0" w:space="0" w:color="auto"/>
      </w:divBdr>
      <w:divsChild>
        <w:div w:id="669257896">
          <w:marLeft w:val="0"/>
          <w:marRight w:val="0"/>
          <w:marTop w:val="0"/>
          <w:marBottom w:val="0"/>
          <w:divBdr>
            <w:top w:val="none" w:sz="0" w:space="0" w:color="auto"/>
            <w:left w:val="none" w:sz="0" w:space="0" w:color="auto"/>
            <w:bottom w:val="none" w:sz="0" w:space="0" w:color="auto"/>
            <w:right w:val="none" w:sz="0" w:space="0" w:color="auto"/>
          </w:divBdr>
          <w:divsChild>
            <w:div w:id="1444374823">
              <w:marLeft w:val="0"/>
              <w:marRight w:val="0"/>
              <w:marTop w:val="0"/>
              <w:marBottom w:val="0"/>
              <w:divBdr>
                <w:top w:val="none" w:sz="0" w:space="0" w:color="auto"/>
                <w:left w:val="none" w:sz="0" w:space="0" w:color="auto"/>
                <w:bottom w:val="none" w:sz="0" w:space="0" w:color="auto"/>
                <w:right w:val="none" w:sz="0" w:space="0" w:color="auto"/>
              </w:divBdr>
              <w:divsChild>
                <w:div w:id="1618291967">
                  <w:marLeft w:val="0"/>
                  <w:marRight w:val="0"/>
                  <w:marTop w:val="0"/>
                  <w:marBottom w:val="0"/>
                  <w:divBdr>
                    <w:top w:val="none" w:sz="0" w:space="0" w:color="auto"/>
                    <w:left w:val="none" w:sz="0" w:space="0" w:color="auto"/>
                    <w:bottom w:val="none" w:sz="0" w:space="0" w:color="auto"/>
                    <w:right w:val="none" w:sz="0" w:space="0" w:color="auto"/>
                  </w:divBdr>
                  <w:divsChild>
                    <w:div w:id="1995445242">
                      <w:marLeft w:val="0"/>
                      <w:marRight w:val="0"/>
                      <w:marTop w:val="0"/>
                      <w:marBottom w:val="0"/>
                      <w:divBdr>
                        <w:top w:val="none" w:sz="0" w:space="0" w:color="auto"/>
                        <w:left w:val="none" w:sz="0" w:space="0" w:color="auto"/>
                        <w:bottom w:val="none" w:sz="0" w:space="0" w:color="auto"/>
                        <w:right w:val="none" w:sz="0" w:space="0" w:color="auto"/>
                      </w:divBdr>
                      <w:divsChild>
                        <w:div w:id="568266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0623380">
          <w:marLeft w:val="0"/>
          <w:marRight w:val="0"/>
          <w:marTop w:val="0"/>
          <w:marBottom w:val="0"/>
          <w:divBdr>
            <w:top w:val="none" w:sz="0" w:space="0" w:color="auto"/>
            <w:left w:val="none" w:sz="0" w:space="0" w:color="auto"/>
            <w:bottom w:val="none" w:sz="0" w:space="0" w:color="auto"/>
            <w:right w:val="none" w:sz="0" w:space="0" w:color="auto"/>
          </w:divBdr>
          <w:divsChild>
            <w:div w:id="1298103061">
              <w:marLeft w:val="0"/>
              <w:marRight w:val="0"/>
              <w:marTop w:val="0"/>
              <w:marBottom w:val="0"/>
              <w:divBdr>
                <w:top w:val="none" w:sz="0" w:space="0" w:color="auto"/>
                <w:left w:val="none" w:sz="0" w:space="0" w:color="auto"/>
                <w:bottom w:val="none" w:sz="0" w:space="0" w:color="auto"/>
                <w:right w:val="none" w:sz="0" w:space="0" w:color="auto"/>
              </w:divBdr>
              <w:divsChild>
                <w:div w:id="2059236092">
                  <w:marLeft w:val="0"/>
                  <w:marRight w:val="0"/>
                  <w:marTop w:val="0"/>
                  <w:marBottom w:val="0"/>
                  <w:divBdr>
                    <w:top w:val="none" w:sz="0" w:space="0" w:color="auto"/>
                    <w:left w:val="none" w:sz="0" w:space="0" w:color="auto"/>
                    <w:bottom w:val="none" w:sz="0" w:space="0" w:color="auto"/>
                    <w:right w:val="none" w:sz="0" w:space="0" w:color="auto"/>
                  </w:divBdr>
                  <w:divsChild>
                    <w:div w:id="1057439241">
                      <w:marLeft w:val="0"/>
                      <w:marRight w:val="0"/>
                      <w:marTop w:val="0"/>
                      <w:marBottom w:val="0"/>
                      <w:divBdr>
                        <w:top w:val="none" w:sz="0" w:space="0" w:color="auto"/>
                        <w:left w:val="none" w:sz="0" w:space="0" w:color="auto"/>
                        <w:bottom w:val="none" w:sz="0" w:space="0" w:color="auto"/>
                        <w:right w:val="none" w:sz="0" w:space="0" w:color="auto"/>
                      </w:divBdr>
                      <w:divsChild>
                        <w:div w:id="581180056">
                          <w:marLeft w:val="0"/>
                          <w:marRight w:val="0"/>
                          <w:marTop w:val="0"/>
                          <w:marBottom w:val="0"/>
                          <w:divBdr>
                            <w:top w:val="none" w:sz="0" w:space="0" w:color="auto"/>
                            <w:left w:val="none" w:sz="0" w:space="0" w:color="auto"/>
                            <w:bottom w:val="none" w:sz="0" w:space="0" w:color="auto"/>
                            <w:right w:val="none" w:sz="0" w:space="0" w:color="auto"/>
                          </w:divBdr>
                          <w:divsChild>
                            <w:div w:id="397557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9551767">
      <w:bodyDiv w:val="1"/>
      <w:marLeft w:val="0"/>
      <w:marRight w:val="0"/>
      <w:marTop w:val="0"/>
      <w:marBottom w:val="0"/>
      <w:divBdr>
        <w:top w:val="none" w:sz="0" w:space="0" w:color="auto"/>
        <w:left w:val="none" w:sz="0" w:space="0" w:color="auto"/>
        <w:bottom w:val="none" w:sz="0" w:space="0" w:color="auto"/>
        <w:right w:val="none" w:sz="0" w:space="0" w:color="auto"/>
      </w:divBdr>
    </w:div>
    <w:div w:id="1286277205">
      <w:bodyDiv w:val="1"/>
      <w:marLeft w:val="0"/>
      <w:marRight w:val="0"/>
      <w:marTop w:val="0"/>
      <w:marBottom w:val="0"/>
      <w:divBdr>
        <w:top w:val="none" w:sz="0" w:space="0" w:color="auto"/>
        <w:left w:val="none" w:sz="0" w:space="0" w:color="auto"/>
        <w:bottom w:val="none" w:sz="0" w:space="0" w:color="auto"/>
        <w:right w:val="none" w:sz="0" w:space="0" w:color="auto"/>
      </w:divBdr>
    </w:div>
    <w:div w:id="1435780918">
      <w:bodyDiv w:val="1"/>
      <w:marLeft w:val="0"/>
      <w:marRight w:val="0"/>
      <w:marTop w:val="0"/>
      <w:marBottom w:val="0"/>
      <w:divBdr>
        <w:top w:val="none" w:sz="0" w:space="0" w:color="auto"/>
        <w:left w:val="none" w:sz="0" w:space="0" w:color="auto"/>
        <w:bottom w:val="none" w:sz="0" w:space="0" w:color="auto"/>
        <w:right w:val="none" w:sz="0" w:space="0" w:color="auto"/>
      </w:divBdr>
    </w:div>
    <w:div w:id="1513763886">
      <w:bodyDiv w:val="1"/>
      <w:marLeft w:val="0"/>
      <w:marRight w:val="0"/>
      <w:marTop w:val="0"/>
      <w:marBottom w:val="0"/>
      <w:divBdr>
        <w:top w:val="none" w:sz="0" w:space="0" w:color="auto"/>
        <w:left w:val="none" w:sz="0" w:space="0" w:color="auto"/>
        <w:bottom w:val="none" w:sz="0" w:space="0" w:color="auto"/>
        <w:right w:val="none" w:sz="0" w:space="0" w:color="auto"/>
      </w:divBdr>
    </w:div>
    <w:div w:id="1747528547">
      <w:bodyDiv w:val="1"/>
      <w:marLeft w:val="0"/>
      <w:marRight w:val="0"/>
      <w:marTop w:val="0"/>
      <w:marBottom w:val="0"/>
      <w:divBdr>
        <w:top w:val="none" w:sz="0" w:space="0" w:color="auto"/>
        <w:left w:val="none" w:sz="0" w:space="0" w:color="auto"/>
        <w:bottom w:val="none" w:sz="0" w:space="0" w:color="auto"/>
        <w:right w:val="none" w:sz="0" w:space="0" w:color="auto"/>
      </w:divBdr>
      <w:divsChild>
        <w:div w:id="595097254">
          <w:marLeft w:val="0"/>
          <w:marRight w:val="0"/>
          <w:marTop w:val="0"/>
          <w:marBottom w:val="0"/>
          <w:divBdr>
            <w:top w:val="none" w:sz="0" w:space="0" w:color="auto"/>
            <w:left w:val="none" w:sz="0" w:space="0" w:color="auto"/>
            <w:bottom w:val="none" w:sz="0" w:space="0" w:color="auto"/>
            <w:right w:val="none" w:sz="0" w:space="0" w:color="auto"/>
          </w:divBdr>
        </w:div>
      </w:divsChild>
    </w:div>
    <w:div w:id="1854882706">
      <w:bodyDiv w:val="1"/>
      <w:marLeft w:val="0"/>
      <w:marRight w:val="0"/>
      <w:marTop w:val="0"/>
      <w:marBottom w:val="0"/>
      <w:divBdr>
        <w:top w:val="none" w:sz="0" w:space="0" w:color="auto"/>
        <w:left w:val="none" w:sz="0" w:space="0" w:color="auto"/>
        <w:bottom w:val="none" w:sz="0" w:space="0" w:color="auto"/>
        <w:right w:val="none" w:sz="0" w:space="0" w:color="auto"/>
      </w:divBdr>
    </w:div>
    <w:div w:id="1885868958">
      <w:bodyDiv w:val="1"/>
      <w:marLeft w:val="0"/>
      <w:marRight w:val="0"/>
      <w:marTop w:val="0"/>
      <w:marBottom w:val="0"/>
      <w:divBdr>
        <w:top w:val="none" w:sz="0" w:space="0" w:color="auto"/>
        <w:left w:val="none" w:sz="0" w:space="0" w:color="auto"/>
        <w:bottom w:val="none" w:sz="0" w:space="0" w:color="auto"/>
        <w:right w:val="none" w:sz="0" w:space="0" w:color="auto"/>
      </w:divBdr>
    </w:div>
    <w:div w:id="1918594315">
      <w:bodyDiv w:val="1"/>
      <w:marLeft w:val="0"/>
      <w:marRight w:val="0"/>
      <w:marTop w:val="0"/>
      <w:marBottom w:val="0"/>
      <w:divBdr>
        <w:top w:val="none" w:sz="0" w:space="0" w:color="auto"/>
        <w:left w:val="none" w:sz="0" w:space="0" w:color="auto"/>
        <w:bottom w:val="none" w:sz="0" w:space="0" w:color="auto"/>
        <w:right w:val="none" w:sz="0" w:space="0" w:color="auto"/>
      </w:divBdr>
      <w:divsChild>
        <w:div w:id="1833375475">
          <w:marLeft w:val="0"/>
          <w:marRight w:val="0"/>
          <w:marTop w:val="0"/>
          <w:marBottom w:val="0"/>
          <w:divBdr>
            <w:top w:val="none" w:sz="0" w:space="0" w:color="auto"/>
            <w:left w:val="none" w:sz="0" w:space="0" w:color="auto"/>
            <w:bottom w:val="none" w:sz="0" w:space="0" w:color="auto"/>
            <w:right w:val="none" w:sz="0" w:space="0" w:color="auto"/>
          </w:divBdr>
          <w:divsChild>
            <w:div w:id="1451901749">
              <w:marLeft w:val="0"/>
              <w:marRight w:val="0"/>
              <w:marTop w:val="0"/>
              <w:marBottom w:val="0"/>
              <w:divBdr>
                <w:top w:val="none" w:sz="0" w:space="0" w:color="auto"/>
                <w:left w:val="none" w:sz="0" w:space="0" w:color="auto"/>
                <w:bottom w:val="none" w:sz="0" w:space="0" w:color="auto"/>
                <w:right w:val="none" w:sz="0" w:space="0" w:color="auto"/>
              </w:divBdr>
              <w:divsChild>
                <w:div w:id="1463115598">
                  <w:marLeft w:val="0"/>
                  <w:marRight w:val="0"/>
                  <w:marTop w:val="0"/>
                  <w:marBottom w:val="0"/>
                  <w:divBdr>
                    <w:top w:val="none" w:sz="0" w:space="0" w:color="auto"/>
                    <w:left w:val="none" w:sz="0" w:space="0" w:color="auto"/>
                    <w:bottom w:val="none" w:sz="0" w:space="0" w:color="auto"/>
                    <w:right w:val="none" w:sz="0" w:space="0" w:color="auto"/>
                  </w:divBdr>
                  <w:divsChild>
                    <w:div w:id="120659572">
                      <w:marLeft w:val="0"/>
                      <w:marRight w:val="0"/>
                      <w:marTop w:val="0"/>
                      <w:marBottom w:val="0"/>
                      <w:divBdr>
                        <w:top w:val="none" w:sz="0" w:space="0" w:color="auto"/>
                        <w:left w:val="none" w:sz="0" w:space="0" w:color="auto"/>
                        <w:bottom w:val="none" w:sz="0" w:space="0" w:color="auto"/>
                        <w:right w:val="none" w:sz="0" w:space="0" w:color="auto"/>
                      </w:divBdr>
                      <w:divsChild>
                        <w:div w:id="848560902">
                          <w:marLeft w:val="0"/>
                          <w:marRight w:val="0"/>
                          <w:marTop w:val="0"/>
                          <w:marBottom w:val="0"/>
                          <w:divBdr>
                            <w:top w:val="none" w:sz="0" w:space="0" w:color="auto"/>
                            <w:left w:val="none" w:sz="0" w:space="0" w:color="auto"/>
                            <w:bottom w:val="none" w:sz="0" w:space="0" w:color="auto"/>
                            <w:right w:val="none" w:sz="0" w:space="0" w:color="auto"/>
                          </w:divBdr>
                          <w:divsChild>
                            <w:div w:id="845752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3121038">
      <w:bodyDiv w:val="1"/>
      <w:marLeft w:val="0"/>
      <w:marRight w:val="0"/>
      <w:marTop w:val="0"/>
      <w:marBottom w:val="0"/>
      <w:divBdr>
        <w:top w:val="none" w:sz="0" w:space="0" w:color="auto"/>
        <w:left w:val="none" w:sz="0" w:space="0" w:color="auto"/>
        <w:bottom w:val="none" w:sz="0" w:space="0" w:color="auto"/>
        <w:right w:val="none" w:sz="0" w:space="0" w:color="auto"/>
      </w:divBdr>
      <w:divsChild>
        <w:div w:id="585842645">
          <w:marLeft w:val="0"/>
          <w:marRight w:val="0"/>
          <w:marTop w:val="0"/>
          <w:marBottom w:val="0"/>
          <w:divBdr>
            <w:top w:val="none" w:sz="0" w:space="0" w:color="auto"/>
            <w:left w:val="none" w:sz="0" w:space="0" w:color="auto"/>
            <w:bottom w:val="none" w:sz="0" w:space="0" w:color="auto"/>
            <w:right w:val="none" w:sz="0" w:space="0" w:color="auto"/>
          </w:divBdr>
          <w:divsChild>
            <w:div w:id="2030986808">
              <w:marLeft w:val="0"/>
              <w:marRight w:val="0"/>
              <w:marTop w:val="0"/>
              <w:marBottom w:val="0"/>
              <w:divBdr>
                <w:top w:val="none" w:sz="0" w:space="0" w:color="auto"/>
                <w:left w:val="none" w:sz="0" w:space="0" w:color="auto"/>
                <w:bottom w:val="none" w:sz="0" w:space="0" w:color="auto"/>
                <w:right w:val="none" w:sz="0" w:space="0" w:color="auto"/>
              </w:divBdr>
              <w:divsChild>
                <w:div w:id="1577737599">
                  <w:marLeft w:val="0"/>
                  <w:marRight w:val="0"/>
                  <w:marTop w:val="0"/>
                  <w:marBottom w:val="0"/>
                  <w:divBdr>
                    <w:top w:val="none" w:sz="0" w:space="0" w:color="auto"/>
                    <w:left w:val="none" w:sz="0" w:space="0" w:color="auto"/>
                    <w:bottom w:val="none" w:sz="0" w:space="0" w:color="auto"/>
                    <w:right w:val="none" w:sz="0" w:space="0" w:color="auto"/>
                  </w:divBdr>
                  <w:divsChild>
                    <w:div w:id="1153179469">
                      <w:marLeft w:val="0"/>
                      <w:marRight w:val="0"/>
                      <w:marTop w:val="0"/>
                      <w:marBottom w:val="0"/>
                      <w:divBdr>
                        <w:top w:val="none" w:sz="0" w:space="0" w:color="auto"/>
                        <w:left w:val="none" w:sz="0" w:space="0" w:color="auto"/>
                        <w:bottom w:val="none" w:sz="0" w:space="0" w:color="auto"/>
                        <w:right w:val="none" w:sz="0" w:space="0" w:color="auto"/>
                      </w:divBdr>
                      <w:divsChild>
                        <w:div w:id="1921678076">
                          <w:marLeft w:val="0"/>
                          <w:marRight w:val="0"/>
                          <w:marTop w:val="0"/>
                          <w:marBottom w:val="0"/>
                          <w:divBdr>
                            <w:top w:val="none" w:sz="0" w:space="0" w:color="auto"/>
                            <w:left w:val="none" w:sz="0" w:space="0" w:color="auto"/>
                            <w:bottom w:val="none" w:sz="0" w:space="0" w:color="auto"/>
                            <w:right w:val="none" w:sz="0" w:space="0" w:color="auto"/>
                          </w:divBdr>
                          <w:divsChild>
                            <w:div w:id="555354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981322">
      <w:bodyDiv w:val="1"/>
      <w:marLeft w:val="0"/>
      <w:marRight w:val="0"/>
      <w:marTop w:val="0"/>
      <w:marBottom w:val="0"/>
      <w:divBdr>
        <w:top w:val="none" w:sz="0" w:space="0" w:color="auto"/>
        <w:left w:val="none" w:sz="0" w:space="0" w:color="auto"/>
        <w:bottom w:val="none" w:sz="0" w:space="0" w:color="auto"/>
        <w:right w:val="none" w:sz="0" w:space="0" w:color="auto"/>
      </w:divBdr>
      <w:divsChild>
        <w:div w:id="1014115248">
          <w:marLeft w:val="0"/>
          <w:marRight w:val="0"/>
          <w:marTop w:val="0"/>
          <w:marBottom w:val="0"/>
          <w:divBdr>
            <w:top w:val="none" w:sz="0" w:space="0" w:color="auto"/>
            <w:left w:val="none" w:sz="0" w:space="0" w:color="auto"/>
            <w:bottom w:val="none" w:sz="0" w:space="0" w:color="auto"/>
            <w:right w:val="none" w:sz="0" w:space="0" w:color="auto"/>
          </w:divBdr>
          <w:divsChild>
            <w:div w:id="2094006430">
              <w:marLeft w:val="0"/>
              <w:marRight w:val="0"/>
              <w:marTop w:val="0"/>
              <w:marBottom w:val="0"/>
              <w:divBdr>
                <w:top w:val="none" w:sz="0" w:space="0" w:color="auto"/>
                <w:left w:val="none" w:sz="0" w:space="0" w:color="auto"/>
                <w:bottom w:val="none" w:sz="0" w:space="0" w:color="auto"/>
                <w:right w:val="none" w:sz="0" w:space="0" w:color="auto"/>
              </w:divBdr>
              <w:divsChild>
                <w:div w:id="1811047671">
                  <w:marLeft w:val="0"/>
                  <w:marRight w:val="0"/>
                  <w:marTop w:val="0"/>
                  <w:marBottom w:val="0"/>
                  <w:divBdr>
                    <w:top w:val="none" w:sz="0" w:space="0" w:color="auto"/>
                    <w:left w:val="none" w:sz="0" w:space="0" w:color="auto"/>
                    <w:bottom w:val="none" w:sz="0" w:space="0" w:color="auto"/>
                    <w:right w:val="none" w:sz="0" w:space="0" w:color="auto"/>
                  </w:divBdr>
                  <w:divsChild>
                    <w:div w:id="1841038673">
                      <w:marLeft w:val="0"/>
                      <w:marRight w:val="0"/>
                      <w:marTop w:val="0"/>
                      <w:marBottom w:val="0"/>
                      <w:divBdr>
                        <w:top w:val="none" w:sz="0" w:space="0" w:color="auto"/>
                        <w:left w:val="none" w:sz="0" w:space="0" w:color="auto"/>
                        <w:bottom w:val="none" w:sz="0" w:space="0" w:color="auto"/>
                        <w:right w:val="none" w:sz="0" w:space="0" w:color="auto"/>
                      </w:divBdr>
                      <w:divsChild>
                        <w:div w:id="1481658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6597564">
          <w:marLeft w:val="0"/>
          <w:marRight w:val="0"/>
          <w:marTop w:val="0"/>
          <w:marBottom w:val="0"/>
          <w:divBdr>
            <w:top w:val="none" w:sz="0" w:space="0" w:color="auto"/>
            <w:left w:val="none" w:sz="0" w:space="0" w:color="auto"/>
            <w:bottom w:val="none" w:sz="0" w:space="0" w:color="auto"/>
            <w:right w:val="none" w:sz="0" w:space="0" w:color="auto"/>
          </w:divBdr>
          <w:divsChild>
            <w:div w:id="152259328">
              <w:marLeft w:val="0"/>
              <w:marRight w:val="0"/>
              <w:marTop w:val="0"/>
              <w:marBottom w:val="0"/>
              <w:divBdr>
                <w:top w:val="none" w:sz="0" w:space="0" w:color="auto"/>
                <w:left w:val="none" w:sz="0" w:space="0" w:color="auto"/>
                <w:bottom w:val="none" w:sz="0" w:space="0" w:color="auto"/>
                <w:right w:val="none" w:sz="0" w:space="0" w:color="auto"/>
              </w:divBdr>
              <w:divsChild>
                <w:div w:id="129398779">
                  <w:marLeft w:val="0"/>
                  <w:marRight w:val="0"/>
                  <w:marTop w:val="0"/>
                  <w:marBottom w:val="0"/>
                  <w:divBdr>
                    <w:top w:val="none" w:sz="0" w:space="0" w:color="auto"/>
                    <w:left w:val="none" w:sz="0" w:space="0" w:color="auto"/>
                    <w:bottom w:val="none" w:sz="0" w:space="0" w:color="auto"/>
                    <w:right w:val="none" w:sz="0" w:space="0" w:color="auto"/>
                  </w:divBdr>
                  <w:divsChild>
                    <w:div w:id="1407073141">
                      <w:marLeft w:val="0"/>
                      <w:marRight w:val="0"/>
                      <w:marTop w:val="0"/>
                      <w:marBottom w:val="0"/>
                      <w:divBdr>
                        <w:top w:val="none" w:sz="0" w:space="0" w:color="auto"/>
                        <w:left w:val="none" w:sz="0" w:space="0" w:color="auto"/>
                        <w:bottom w:val="none" w:sz="0" w:space="0" w:color="auto"/>
                        <w:right w:val="none" w:sz="0" w:space="0" w:color="auto"/>
                      </w:divBdr>
                      <w:divsChild>
                        <w:div w:id="1496409064">
                          <w:marLeft w:val="0"/>
                          <w:marRight w:val="0"/>
                          <w:marTop w:val="0"/>
                          <w:marBottom w:val="0"/>
                          <w:divBdr>
                            <w:top w:val="none" w:sz="0" w:space="0" w:color="auto"/>
                            <w:left w:val="none" w:sz="0" w:space="0" w:color="auto"/>
                            <w:bottom w:val="none" w:sz="0" w:space="0" w:color="auto"/>
                            <w:right w:val="none" w:sz="0" w:space="0" w:color="auto"/>
                          </w:divBdr>
                          <w:divsChild>
                            <w:div w:id="257059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8842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semine.com/judgement/uk/5a938b3e60d03e5f6b82ba43" TargetMode="External"/><Relationship Id="rId13" Type="http://schemas.openxmlformats.org/officeDocument/2006/relationships/hyperlink" Target="https://ipsaloquitur.com/tort-law/cases/blyth-v-birmingham-waterworks/" TargetMode="External"/><Relationship Id="rId18" Type="http://schemas.openxmlformats.org/officeDocument/2006/relationships/hyperlink" Target="https://www.lexisnexis.co.uk/legal/glossary/duty-of-care" TargetMode="External"/><Relationship Id="rId26" Type="http://schemas.openxmlformats.org/officeDocument/2006/relationships/hyperlink" Target="https://uollb.com/blogs/uol/foreseeability-in-tort-law#:~:text=It%20refers%20to%20the%20ability,a%20defendant's%20duty%20of%20care." TargetMode="External"/><Relationship Id="rId3" Type="http://schemas.openxmlformats.org/officeDocument/2006/relationships/settings" Target="settings.xml"/><Relationship Id="rId21" Type="http://schemas.openxmlformats.org/officeDocument/2006/relationships/hyperlink" Target="https://www.lsd.law/define/chain-of-causation#" TargetMode="External"/><Relationship Id="rId7" Type="http://schemas.openxmlformats.org/officeDocument/2006/relationships/hyperlink" Target="https://www.lyonsdavidson.co.uk/novus-actus-interveniens-a-break-in-the-chain-of-causation-consequences-in-personal-injury-cases/#:~:text=When%20is%20the%20chain%20of,even%20an%20act%20of%20God." TargetMode="External"/><Relationship Id="rId12" Type="http://schemas.openxmlformats.org/officeDocument/2006/relationships/hyperlink" Target="https://www.irwinmitchell.com/personal/medical-negligence/medical-negligence-compensation-guide" TargetMode="External"/><Relationship Id="rId17" Type="http://schemas.openxmlformats.org/officeDocument/2006/relationships/hyperlink" Target="https://www.lexisnexis.co.uk/legal/guidance/was-the-damage-foreseeable" TargetMode="External"/><Relationship Id="rId25" Type="http://schemas.openxmlformats.org/officeDocument/2006/relationships/hyperlink" Target="https://uollb.com/blogs/uol/caparo-three-part-test?srsltid=AfmBOop1vjAGWX26A76RqF5PRSMJEpDW_52ii77md_NCckTgBKiRVlKN" TargetMode="External"/><Relationship Id="rId2" Type="http://schemas.openxmlformats.org/officeDocument/2006/relationships/styles" Target="styles.xml"/><Relationship Id="rId16" Type="http://schemas.openxmlformats.org/officeDocument/2006/relationships/hyperlink" Target="https://www.lexisnexis.co.uk/legal/guidance/the-remedy-of-damages-general-principles" TargetMode="External"/><Relationship Id="rId20" Type="http://schemas.openxmlformats.org/officeDocument/2006/relationships/hyperlink" Target="https://www.lexisnexis.co.uk/legal/guidance/causation-material-contribution-in-clinical-negligence-claims"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ealys.com/news-events-insights/but-for-test-in-professional-negligence-compensation-claims" TargetMode="External"/><Relationship Id="rId24" Type="http://schemas.openxmlformats.org/officeDocument/2006/relationships/hyperlink" Target="https://www.thompsons.law/support/legal-guides/what-is-duty-of-care#:~:text=Duty%20of%20care%20is%20a,being%20brought%20against%20those%20responsible." TargetMode="External"/><Relationship Id="rId5" Type="http://schemas.openxmlformats.org/officeDocument/2006/relationships/footnotes" Target="footnotes.xml"/><Relationship Id="rId15" Type="http://schemas.openxmlformats.org/officeDocument/2006/relationships/hyperlink" Target="https://www.lexisnexis.co.uk/legal/news/causation-the-but-for-test" TargetMode="External"/><Relationship Id="rId23" Type="http://schemas.openxmlformats.org/officeDocument/2006/relationships/hyperlink" Target="https://www.oxfordreference.com/display/10.1093/oi/authority.20110803095555965#:~:text=42%2D43).-,1)%20Factual%20causation%3A%20it%20must%20be%20shown%20that%2C%20%E2%80%9C,the%20%E2%80%9Cbut%20for%E2%80%9D%20test." TargetMode="External"/><Relationship Id="rId28" Type="http://schemas.openxmlformats.org/officeDocument/2006/relationships/hyperlink" Target="https://www.alertmedia.com/blog/breach-duty-of-care/" TargetMode="External"/><Relationship Id="rId10" Type="http://schemas.openxmlformats.org/officeDocument/2006/relationships/hyperlink" Target="https://openaccess.city.ac.uk/id/eprint/18098/3/Causation%20and%20Legal%20Responsibility.pdf" TargetMode="External"/><Relationship Id="rId19" Type="http://schemas.openxmlformats.org/officeDocument/2006/relationships/hyperlink" Target="https://www.lexisnexis.co.uk/legal/glossary/causation#:~:text=Causation%20comprises%20the%20policy%20definitions,of%20and%20the%20injury%20suffered."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oxfordlawtrove.com/display/10.1093/he/9780192897275.001.0001/he-9780192897275-chapter-9#:~:text=Employers'%20liability%20is%20concerned%20with,that%20employers%20have%20compulsory%20insurance." TargetMode="External"/><Relationship Id="rId14" Type="http://schemas.openxmlformats.org/officeDocument/2006/relationships/hyperlink" Target="https://www.kingsleynapley.co.uk/insights/blogs/medical-negligence-and-personal-injury-blog/what-happens-to-claimants-who-suffer-from-a-pre-existing-weakness-the-egg-shell-skull-rule-and-challenges-ahead" TargetMode="External"/><Relationship Id="rId22" Type="http://schemas.openxmlformats.org/officeDocument/2006/relationships/hyperlink" Target="https://professionalnegligenceclaimsolicitors.co.uk/breach-of-duty-key-tort-law-judgment-bolam-friern/#:~:text=The%20judge%20held%20that%20there,a%20matter%20of%20medical%20judgement." TargetMode="External"/><Relationship Id="rId27" Type="http://schemas.openxmlformats.org/officeDocument/2006/relationships/hyperlink" Target="https://uollb.com/blogs/uol/but-for-test#:~:text=The%20%22but%2Dfor%22%20test,plaintiff's%20harm%20would%20have%20occurred."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91F1E62-00CA-BA4F-ABE3-44D045918E7C}">
  <we:reference id="8c1c3d44-57e9-40d7-86e4-4adf61fea1dd" version="2.1.0.2" store="EXCatalog" storeType="EXCatalog"/>
  <we:alternateReferences>
    <we:reference id="WA104380122" version="2.1.0.2" store="en-GB"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628</TotalTime>
  <Pages>9</Pages>
  <Words>3057</Words>
  <Characters>17427</Characters>
  <Application>Microsoft Office Word</Application>
  <DocSecurity>0</DocSecurity>
  <Lines>145</Lines>
  <Paragraphs>40</Paragraphs>
  <ScaleCrop>false</ScaleCrop>
  <Company/>
  <LinksUpToDate>false</LinksUpToDate>
  <CharactersWithSpaces>20444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Demeterova (2314066)</dc:creator>
  <cp:keywords/>
  <dc:description/>
  <cp:lastModifiedBy>Diana Demeterova (2314066)</cp:lastModifiedBy>
  <cp:revision>544</cp:revision>
  <dcterms:created xsi:type="dcterms:W3CDTF">2024-10-21T13:03:00Z</dcterms:created>
  <dcterms:modified xsi:type="dcterms:W3CDTF">2024-11-06T01:40:00Z</dcterms:modified>
</cp:coreProperties>
</file>