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4952451"/>
        <w:docPartObj>
          <w:docPartGallery w:val="Cover Pages"/>
          <w:docPartUnique/>
        </w:docPartObj>
      </w:sdtPr>
      <w:sdtEndPr>
        <w:rPr>
          <w:rFonts w:ascii="Times New Roman" w:hAnsi="Times New Roman" w:cs="Times New Roman"/>
          <w:sz w:val="24"/>
          <w:szCs w:val="24"/>
        </w:rPr>
      </w:sdtEndPr>
      <w:sdtContent>
        <w:p w14:paraId="638AAFD7" w14:textId="31E6D92A" w:rsidR="003771F6" w:rsidRDefault="003771F6">
          <w:pPr>
            <w:pStyle w:val="NoSpacing"/>
          </w:pPr>
          <w:r>
            <w:rPr>
              <w:noProof/>
            </w:rPr>
            <mc:AlternateContent>
              <mc:Choice Requires="wpg">
                <w:drawing>
                  <wp:anchor distT="0" distB="0" distL="114300" distR="114300" simplePos="0" relativeHeight="251659264" behindDoc="1" locked="0" layoutInCell="1" allowOverlap="1" wp14:anchorId="5A88A804" wp14:editId="47A2844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6DA0BF84" w14:textId="3FD9BF4C" w:rsidR="003771F6" w:rsidRDefault="003771F6">
                                      <w:pPr>
                                        <w:pStyle w:val="NoSpacing"/>
                                        <w:jc w:val="right"/>
                                        <w:rPr>
                                          <w:color w:val="FFFFFF" w:themeColor="background1"/>
                                          <w:sz w:val="28"/>
                                          <w:szCs w:val="28"/>
                                        </w:rPr>
                                      </w:pPr>
                                      <w:r>
                                        <w:rPr>
                                          <w:color w:val="FFFFFF" w:themeColor="background1"/>
                                          <w:sz w:val="28"/>
                                          <w:szCs w:val="28"/>
                                        </w:rPr>
                                        <w:t>4/28/2024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88A804"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Content>
                              <w:p w14:paraId="6DA0BF84" w14:textId="3FD9BF4C" w:rsidR="003771F6" w:rsidRDefault="003771F6">
                                <w:pPr>
                                  <w:pStyle w:val="NoSpacing"/>
                                  <w:jc w:val="right"/>
                                  <w:rPr>
                                    <w:color w:val="FFFFFF" w:themeColor="background1"/>
                                    <w:sz w:val="28"/>
                                    <w:szCs w:val="28"/>
                                  </w:rPr>
                                </w:pPr>
                                <w:r>
                                  <w:rPr>
                                    <w:color w:val="FFFFFF" w:themeColor="background1"/>
                                    <w:sz w:val="28"/>
                                    <w:szCs w:val="28"/>
                                  </w:rPr>
                                  <w:t>4/28/2024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0B9AE66" wp14:editId="2E645CA4">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4EF602" w14:textId="21A81A7C" w:rsidR="003771F6"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771F6">
                                      <w:rPr>
                                        <w:color w:val="156082" w:themeColor="accent1"/>
                                        <w:sz w:val="26"/>
                                        <w:szCs w:val="26"/>
                                      </w:rPr>
                                      <w:t>Samantha Barbour</w:t>
                                    </w:r>
                                  </w:sdtContent>
                                </w:sdt>
                              </w:p>
                              <w:p w14:paraId="344054D6" w14:textId="5BB1210E" w:rsidR="003771F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651DD">
                                      <w:rPr>
                                        <w:caps/>
                                        <w:color w:val="595959" w:themeColor="text1" w:themeTint="A6"/>
                                        <w:sz w:val="20"/>
                                        <w:szCs w:val="20"/>
                                      </w:rPr>
                                      <w:t>2114407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0B9AE66"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44EF602" w14:textId="21A81A7C" w:rsidR="003771F6"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771F6">
                                <w:rPr>
                                  <w:color w:val="156082" w:themeColor="accent1"/>
                                  <w:sz w:val="26"/>
                                  <w:szCs w:val="26"/>
                                </w:rPr>
                                <w:t>Samantha Barbour</w:t>
                              </w:r>
                            </w:sdtContent>
                          </w:sdt>
                        </w:p>
                        <w:p w14:paraId="344054D6" w14:textId="5BB1210E" w:rsidR="003771F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651DD">
                                <w:rPr>
                                  <w:caps/>
                                  <w:color w:val="595959" w:themeColor="text1" w:themeTint="A6"/>
                                  <w:sz w:val="20"/>
                                  <w:szCs w:val="20"/>
                                </w:rPr>
                                <w:t>2114407</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B42D465" wp14:editId="2DDB1836">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55335E" w14:textId="27EE0A14" w:rsidR="003771F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771F6">
                                      <w:rPr>
                                        <w:rFonts w:asciiTheme="majorHAnsi" w:eastAsiaTheme="majorEastAsia" w:hAnsiTheme="majorHAnsi" w:cstheme="majorBidi"/>
                                        <w:color w:val="262626" w:themeColor="text1" w:themeTint="D9"/>
                                        <w:sz w:val="72"/>
                                        <w:szCs w:val="72"/>
                                      </w:rPr>
                                      <w:t>Take-home exam</w:t>
                                    </w:r>
                                  </w:sdtContent>
                                </w:sdt>
                              </w:p>
                              <w:p w14:paraId="1DA08946" w14:textId="2400CFCF" w:rsidR="003771F6"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771F6">
                                      <w:rPr>
                                        <w:color w:val="404040" w:themeColor="text1" w:themeTint="BF"/>
                                        <w:sz w:val="36"/>
                                        <w:szCs w:val="36"/>
                                      </w:rPr>
                                      <w:t>HPHI5034/HPHI6034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B42D465"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655335E" w14:textId="27EE0A14" w:rsidR="003771F6" w:rsidRDefault="003771F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Take-home exam</w:t>
                              </w:r>
                            </w:sdtContent>
                          </w:sdt>
                        </w:p>
                        <w:p w14:paraId="1DA08946" w14:textId="2400CFCF" w:rsidR="003771F6" w:rsidRDefault="003771F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HPHI5034/HPHI6034</w:t>
                              </w:r>
                            </w:sdtContent>
                          </w:sdt>
                        </w:p>
                      </w:txbxContent>
                    </v:textbox>
                    <w10:wrap anchorx="page" anchory="page"/>
                  </v:shape>
                </w:pict>
              </mc:Fallback>
            </mc:AlternateContent>
          </w:r>
        </w:p>
        <w:p w14:paraId="3603F68F" w14:textId="493C8A36" w:rsidR="003771F6" w:rsidRDefault="003771F6">
          <w:pPr>
            <w:rPr>
              <w:rFonts w:ascii="Times New Roman" w:hAnsi="Times New Roman" w:cs="Times New Roman"/>
              <w:sz w:val="24"/>
              <w:szCs w:val="24"/>
            </w:rPr>
          </w:pPr>
          <w:r>
            <w:rPr>
              <w:rFonts w:ascii="Times New Roman" w:hAnsi="Times New Roman" w:cs="Times New Roman"/>
              <w:sz w:val="24"/>
              <w:szCs w:val="24"/>
            </w:rPr>
            <w:br w:type="page"/>
          </w:r>
        </w:p>
      </w:sdtContent>
    </w:sdt>
    <w:p w14:paraId="0A841A9F" w14:textId="6E831686" w:rsidR="00022744" w:rsidRDefault="00022744" w:rsidP="003771F6">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Question 1:</w:t>
      </w:r>
    </w:p>
    <w:p w14:paraId="7F897AE9" w14:textId="77F84536" w:rsidR="00022744" w:rsidRPr="00022744" w:rsidRDefault="00022744" w:rsidP="003771F6">
      <w:pPr>
        <w:spacing w:line="276" w:lineRule="auto"/>
        <w:jc w:val="both"/>
        <w:rPr>
          <w:rFonts w:ascii="Times New Roman" w:hAnsi="Times New Roman" w:cs="Times New Roman"/>
          <w:sz w:val="24"/>
          <w:szCs w:val="24"/>
        </w:rPr>
      </w:pPr>
      <w:r w:rsidRPr="00022744">
        <w:rPr>
          <w:rFonts w:ascii="Times New Roman" w:hAnsi="Times New Roman" w:cs="Times New Roman"/>
          <w:sz w:val="24"/>
          <w:szCs w:val="24"/>
        </w:rPr>
        <w:t>Professor Robert O. Keohane outlines six standards for evaluating the credibility of international organisations in his article “Governance in a Partially Globalised world”. They provide a comprehensive framework for assessing the legitimacy of the International Monetary fund (IMF), which consists of 190 member states whose aim is to promote sustainable growth and development.</w:t>
      </w:r>
    </w:p>
    <w:p w14:paraId="583D458A" w14:textId="77777777" w:rsidR="00022744" w:rsidRPr="00022744" w:rsidRDefault="00022744" w:rsidP="003771F6">
      <w:pPr>
        <w:spacing w:line="276" w:lineRule="auto"/>
        <w:jc w:val="both"/>
        <w:rPr>
          <w:rFonts w:ascii="Times New Roman" w:hAnsi="Times New Roman" w:cs="Times New Roman"/>
          <w:sz w:val="24"/>
          <w:szCs w:val="24"/>
        </w:rPr>
      </w:pPr>
      <w:r w:rsidRPr="00022744">
        <w:rPr>
          <w:rFonts w:ascii="Times New Roman" w:hAnsi="Times New Roman" w:cs="Times New Roman"/>
          <w:sz w:val="24"/>
          <w:szCs w:val="24"/>
        </w:rPr>
        <w:t xml:space="preserve">The minimal moral acceptability criterion states an institution must meet basic ethical standards and not commit injustices to be legitimate. </w:t>
      </w:r>
      <w:proofErr w:type="gramStart"/>
      <w:r w:rsidRPr="00022744">
        <w:rPr>
          <w:rFonts w:ascii="Times New Roman" w:hAnsi="Times New Roman" w:cs="Times New Roman"/>
          <w:sz w:val="24"/>
          <w:szCs w:val="24"/>
        </w:rPr>
        <w:t>In particular, they</w:t>
      </w:r>
      <w:proofErr w:type="gramEnd"/>
      <w:r w:rsidRPr="00022744">
        <w:rPr>
          <w:rFonts w:ascii="Times New Roman" w:hAnsi="Times New Roman" w:cs="Times New Roman"/>
          <w:sz w:val="24"/>
          <w:szCs w:val="24"/>
        </w:rPr>
        <w:t xml:space="preserve"> should not violate fundamental human rights, namely the right to physical security, liberty, and subsistence. The IMF’s Structural Adjustment Programs (SAPs) are under intense criticism for having restrictive measures, including cutting public spending, and reducing subsidies. Which exorbitantly affect the poor and vulnerable, negatively impacting the borrowing countries poverty rate and social welfare. SAPs often promote deregulation, privatisation, and trade liberalisation, measures shown to exacerbate income inequality. Where conditions attached to loans reflect the interests of powerful creditor countries and the financial elite. While requiring countries to dismantle or reduce social safety nets, causing social disparities to worsen.</w:t>
      </w:r>
    </w:p>
    <w:p w14:paraId="41A19394" w14:textId="77777777" w:rsidR="00022744" w:rsidRPr="00022744" w:rsidRDefault="00022744" w:rsidP="003771F6">
      <w:pPr>
        <w:spacing w:line="276" w:lineRule="auto"/>
        <w:jc w:val="both"/>
        <w:rPr>
          <w:rFonts w:ascii="Times New Roman" w:hAnsi="Times New Roman" w:cs="Times New Roman"/>
          <w:sz w:val="24"/>
          <w:szCs w:val="24"/>
        </w:rPr>
      </w:pPr>
      <w:r w:rsidRPr="00022744">
        <w:rPr>
          <w:rFonts w:ascii="Times New Roman" w:hAnsi="Times New Roman" w:cs="Times New Roman"/>
          <w:sz w:val="24"/>
          <w:szCs w:val="24"/>
        </w:rPr>
        <w:t>Inclusiveness, another standard encourages equal participation in working towards a common goal. The involvement of members is important, even when equality of voice is impractical. Marginalisation of poorer states occurs because the IMF allocates voting power based on financial contributions, resulting in donor countries, such as the U.S. and Europe, having greater voting rights. This imbalance in voting power influences policy formulation and decision-making, with donor states often prioritising their interests, while neglecting the borrower’s needs. The underrepresentation of small and vulnerable countries further weakens the IMF’s inclusiveness.</w:t>
      </w:r>
    </w:p>
    <w:p w14:paraId="6EA76370" w14:textId="77777777" w:rsidR="00022744" w:rsidRPr="00022744" w:rsidRDefault="00022744" w:rsidP="003771F6">
      <w:pPr>
        <w:spacing w:line="276" w:lineRule="auto"/>
        <w:jc w:val="both"/>
        <w:rPr>
          <w:rFonts w:ascii="Times New Roman" w:hAnsi="Times New Roman" w:cs="Times New Roman"/>
          <w:sz w:val="24"/>
          <w:szCs w:val="24"/>
        </w:rPr>
      </w:pPr>
      <w:r w:rsidRPr="00022744">
        <w:rPr>
          <w:rFonts w:ascii="Times New Roman" w:hAnsi="Times New Roman" w:cs="Times New Roman"/>
          <w:sz w:val="24"/>
          <w:szCs w:val="24"/>
        </w:rPr>
        <w:t>An institution is legitimate if it provides honest information regarding its practices and procedures to confirm that they do not contradict its purpose. Institutional integrity and transparency are essential, and institutions must publish truthful information about their operations to allow for audits. However, the IMF usually conducts closed-door negotiations with borrowing countries, leading to suspicions regarding influence and favouritism. This behaviour does not align with stated principles, as policies often prioritise special interests and raise the question of the IMF’s ability to act independently and in the best interests of all member states.</w:t>
      </w:r>
    </w:p>
    <w:p w14:paraId="269EB540" w14:textId="77777777" w:rsidR="00022744" w:rsidRPr="00022744" w:rsidRDefault="00022744" w:rsidP="003771F6">
      <w:pPr>
        <w:spacing w:line="276" w:lineRule="auto"/>
        <w:jc w:val="both"/>
        <w:rPr>
          <w:rFonts w:ascii="Times New Roman" w:hAnsi="Times New Roman" w:cs="Times New Roman"/>
          <w:sz w:val="24"/>
          <w:szCs w:val="24"/>
        </w:rPr>
      </w:pPr>
      <w:r w:rsidRPr="00022744">
        <w:rPr>
          <w:rFonts w:ascii="Times New Roman" w:hAnsi="Times New Roman" w:cs="Times New Roman"/>
          <w:sz w:val="24"/>
          <w:szCs w:val="24"/>
        </w:rPr>
        <w:t xml:space="preserve">Accountability is another standard an institution must have. This is done through the creation of standard operating procedures based on goals, the availability of information to verify standards, and consequences if those standards are deviated from. The IMF’s centralised decision-making process limits the influence of smaller and poorer member states, potentially leading to biases and inequalities in policy creation and application. The accountability systems need to have the means of holding the IMF responsible for deviations, particularly in the context of SAP’s. The lack of transparency and public scrutiny further worsens the accountability shortfall. </w:t>
      </w:r>
    </w:p>
    <w:p w14:paraId="319C31F1" w14:textId="77777777" w:rsidR="00022744" w:rsidRPr="00022744" w:rsidRDefault="00022744" w:rsidP="003771F6">
      <w:pPr>
        <w:spacing w:line="276" w:lineRule="auto"/>
        <w:jc w:val="both"/>
        <w:rPr>
          <w:rFonts w:ascii="Times New Roman" w:hAnsi="Times New Roman" w:cs="Times New Roman"/>
          <w:sz w:val="24"/>
          <w:szCs w:val="24"/>
        </w:rPr>
      </w:pPr>
      <w:r w:rsidRPr="00022744">
        <w:rPr>
          <w:rFonts w:ascii="Times New Roman" w:hAnsi="Times New Roman" w:cs="Times New Roman"/>
          <w:sz w:val="24"/>
          <w:szCs w:val="24"/>
        </w:rPr>
        <w:lastRenderedPageBreak/>
        <w:t>Compatibility with democratic governance and enhancement of democracy is the next standard. Institutions should not impose restrictive or “straitjacket” policies on the recipient government that promote special interests, violate the rights of minorities, or diminish the quality of collective deliberation. The IMF’s policy, however, imposes economic reforms without consultation or consideration of local priorities. The stern measures and market-oriented procedures constrain governments’ ability to pursue alternative development strategies that prioritise social welfare and equality, ultimately undermining democratic governance, with a lack of consultation and participation contributing to social tensions and unrest.</w:t>
      </w:r>
    </w:p>
    <w:p w14:paraId="5034AE49" w14:textId="77777777" w:rsidR="00022744" w:rsidRPr="00022744" w:rsidRDefault="00022744" w:rsidP="003771F6">
      <w:pPr>
        <w:spacing w:line="276" w:lineRule="auto"/>
        <w:jc w:val="both"/>
        <w:rPr>
          <w:rFonts w:ascii="Times New Roman" w:hAnsi="Times New Roman" w:cs="Times New Roman"/>
          <w:sz w:val="24"/>
          <w:szCs w:val="24"/>
        </w:rPr>
      </w:pPr>
      <w:r w:rsidRPr="00022744">
        <w:rPr>
          <w:rFonts w:ascii="Times New Roman" w:hAnsi="Times New Roman" w:cs="Times New Roman"/>
          <w:sz w:val="24"/>
          <w:szCs w:val="24"/>
        </w:rPr>
        <w:t>Finally, there must be comparative benefit, where institutions must show they are the best alternative and validate their existence. The IMF stabilises economies during financial crises by providing emergency funding and technical expertise. It also offers financial assistance to countries facing liquidity or sovereign debt problems, providing temporary relief while avoiding default. However, it’s important to note that IMF loans often come with conditions affecting the social and economic policies of borrowing countries. Its focus on market-oriented reforms and stringent measures may exacerbate economic inequalities and undermine sustainable development goals, compromising long-term development goals like poverty reduction and human development, areas where the United Nations Development Programme (UNDP) excel.</w:t>
      </w:r>
    </w:p>
    <w:p w14:paraId="100F0828" w14:textId="4110E2EE" w:rsidR="00022744" w:rsidRPr="00022744" w:rsidRDefault="00022744" w:rsidP="003771F6">
      <w:pPr>
        <w:spacing w:line="276" w:lineRule="auto"/>
        <w:jc w:val="both"/>
        <w:rPr>
          <w:rFonts w:ascii="Times New Roman" w:hAnsi="Times New Roman" w:cs="Times New Roman"/>
          <w:sz w:val="24"/>
          <w:szCs w:val="24"/>
        </w:rPr>
      </w:pPr>
      <w:r w:rsidRPr="00022744">
        <w:rPr>
          <w:rFonts w:ascii="Times New Roman" w:hAnsi="Times New Roman" w:cs="Times New Roman"/>
          <w:sz w:val="24"/>
          <w:szCs w:val="24"/>
        </w:rPr>
        <w:t>The Greek debt crisis in 2009 is an example of the IMF’s intervention, which, along with the ECB and the European Commission, funded a bailout program for Greece beginning in 2010. In exchange, Greece needed to implement rigorous measures and structural reforms, including reducing government spending, increasing tax revenues, and privatising state-owned assets. While the IMF’s intervention helped Greece avoid default and stabilise its economy in the short term, it was controversial and criticised for prioritising the interests of creditors over the well-being of ordinary Greeks and undermining democratic governance.</w:t>
      </w:r>
    </w:p>
    <w:p w14:paraId="2BB88DA5" w14:textId="77777777" w:rsidR="00022744" w:rsidRPr="00022744" w:rsidRDefault="00022744" w:rsidP="003771F6">
      <w:pPr>
        <w:spacing w:line="276" w:lineRule="auto"/>
        <w:jc w:val="both"/>
        <w:rPr>
          <w:rFonts w:ascii="Times New Roman" w:hAnsi="Times New Roman" w:cs="Times New Roman"/>
          <w:sz w:val="24"/>
          <w:szCs w:val="24"/>
        </w:rPr>
      </w:pPr>
      <w:r w:rsidRPr="00022744">
        <w:rPr>
          <w:rFonts w:ascii="Times New Roman" w:hAnsi="Times New Roman" w:cs="Times New Roman"/>
          <w:sz w:val="24"/>
          <w:szCs w:val="24"/>
        </w:rPr>
        <w:t>While the IMF has attempted to address some of the concerns regarding its legitimacy, significant strides to resolve issues, particularly regarding accountability, inclusivity, and conformity with democratic governance standards are needed. Addressing these challenges is essential to bolster the credibility of the IMF and ensure it effectively serves the needs of all its member nations and the international community. The potential for improvement is significant, and with concerted efforts, the IMF can evolve into a more legitimate and effective international institution.</w:t>
      </w:r>
    </w:p>
    <w:p w14:paraId="05B8AF05" w14:textId="1DD0098A" w:rsidR="00022744" w:rsidRDefault="00022744" w:rsidP="003771F6">
      <w:pPr>
        <w:spacing w:line="276" w:lineRule="auto"/>
        <w:rPr>
          <w:rFonts w:ascii="Times New Roman" w:hAnsi="Times New Roman" w:cs="Times New Roman"/>
          <w:sz w:val="24"/>
          <w:szCs w:val="24"/>
        </w:rPr>
      </w:pPr>
      <w:r>
        <w:rPr>
          <w:rFonts w:ascii="Times New Roman" w:hAnsi="Times New Roman" w:cs="Times New Roman"/>
          <w:sz w:val="24"/>
          <w:szCs w:val="24"/>
        </w:rPr>
        <w:br w:type="page"/>
      </w:r>
    </w:p>
    <w:p w14:paraId="510AC6FA" w14:textId="076AB544" w:rsidR="00071EA0" w:rsidRDefault="00022744" w:rsidP="003771F6">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Question 2:</w:t>
      </w:r>
    </w:p>
    <w:p w14:paraId="3F390824" w14:textId="1078D3E8" w:rsidR="00BE0181" w:rsidRPr="00BE0181" w:rsidRDefault="00BE0181" w:rsidP="003771F6">
      <w:pPr>
        <w:spacing w:line="276" w:lineRule="auto"/>
        <w:jc w:val="both"/>
        <w:rPr>
          <w:rFonts w:ascii="Times New Roman" w:hAnsi="Times New Roman" w:cs="Times New Roman"/>
          <w:sz w:val="24"/>
          <w:szCs w:val="24"/>
        </w:rPr>
      </w:pPr>
      <w:r w:rsidRPr="00BE0181">
        <w:rPr>
          <w:rFonts w:ascii="Times New Roman" w:hAnsi="Times New Roman" w:cs="Times New Roman"/>
          <w:sz w:val="24"/>
          <w:szCs w:val="24"/>
        </w:rPr>
        <w:t>Two well-known theories in international relations provid</w:t>
      </w:r>
      <w:r>
        <w:rPr>
          <w:rFonts w:ascii="Times New Roman" w:hAnsi="Times New Roman" w:cs="Times New Roman"/>
          <w:sz w:val="24"/>
          <w:szCs w:val="24"/>
        </w:rPr>
        <w:t>ing</w:t>
      </w:r>
      <w:r w:rsidRPr="00BE0181">
        <w:rPr>
          <w:rFonts w:ascii="Times New Roman" w:hAnsi="Times New Roman" w:cs="Times New Roman"/>
          <w:sz w:val="24"/>
          <w:szCs w:val="24"/>
        </w:rPr>
        <w:t xml:space="preserve"> opposing viewpoints are constructivism and realism. Let’s examine their main ideas and how they differ in relation to global governance. International diplomat and scholar Thomas Weiss said that global governance was “collective efforts to identify, understand, or address worldwide problems that go beyond the capacities of individual states”. Both theories aim to explain how nations interact within the international system’s framework, but their approaches differ in perspectives and presumptions.</w:t>
      </w:r>
    </w:p>
    <w:p w14:paraId="09FA147D" w14:textId="1F755B37" w:rsidR="00BE0181" w:rsidRPr="00BE0181" w:rsidRDefault="00BE0181" w:rsidP="003771F6">
      <w:pPr>
        <w:spacing w:line="276" w:lineRule="auto"/>
        <w:jc w:val="both"/>
        <w:rPr>
          <w:rFonts w:ascii="Times New Roman" w:hAnsi="Times New Roman" w:cs="Times New Roman"/>
          <w:sz w:val="24"/>
          <w:szCs w:val="24"/>
        </w:rPr>
      </w:pPr>
      <w:r w:rsidRPr="00BE0181">
        <w:rPr>
          <w:rFonts w:ascii="Times New Roman" w:hAnsi="Times New Roman" w:cs="Times New Roman"/>
          <w:sz w:val="24"/>
          <w:szCs w:val="24"/>
        </w:rPr>
        <w:t>Realism is a prominent theory in international relations view</w:t>
      </w:r>
      <w:r>
        <w:rPr>
          <w:rFonts w:ascii="Times New Roman" w:hAnsi="Times New Roman" w:cs="Times New Roman"/>
          <w:sz w:val="24"/>
          <w:szCs w:val="24"/>
        </w:rPr>
        <w:t>ing</w:t>
      </w:r>
      <w:r w:rsidRPr="00BE0181">
        <w:rPr>
          <w:rFonts w:ascii="Times New Roman" w:hAnsi="Times New Roman" w:cs="Times New Roman"/>
          <w:sz w:val="24"/>
          <w:szCs w:val="24"/>
        </w:rPr>
        <w:t xml:space="preserve"> the global system as anarchic, with no overreaching authority or central government. The power to determine domestic and international affairs rests with national governments. This self-help system makes states rely on their capabilities to ensure survival and security. Realism places the state at the centre of analysis, considering it the primary actor in international relations. States are seen as unitary and rational actors prioritising their survival and security, resulting in behaviours </w:t>
      </w:r>
      <w:r>
        <w:rPr>
          <w:rFonts w:ascii="Times New Roman" w:hAnsi="Times New Roman" w:cs="Times New Roman"/>
          <w:sz w:val="24"/>
          <w:szCs w:val="24"/>
        </w:rPr>
        <w:t>which</w:t>
      </w:r>
      <w:r w:rsidRPr="00BE0181">
        <w:rPr>
          <w:rFonts w:ascii="Times New Roman" w:hAnsi="Times New Roman" w:cs="Times New Roman"/>
          <w:sz w:val="24"/>
          <w:szCs w:val="24"/>
        </w:rPr>
        <w:t xml:space="preserve"> maximise their power and influence.</w:t>
      </w:r>
    </w:p>
    <w:p w14:paraId="59F0B6DB" w14:textId="77777777" w:rsidR="00BE0181" w:rsidRPr="00BE0181" w:rsidRDefault="00BE0181" w:rsidP="003771F6">
      <w:pPr>
        <w:spacing w:line="276" w:lineRule="auto"/>
        <w:jc w:val="both"/>
        <w:rPr>
          <w:rFonts w:ascii="Times New Roman" w:hAnsi="Times New Roman" w:cs="Times New Roman"/>
          <w:sz w:val="24"/>
          <w:szCs w:val="24"/>
        </w:rPr>
      </w:pPr>
      <w:r w:rsidRPr="00BE0181">
        <w:rPr>
          <w:rFonts w:ascii="Times New Roman" w:hAnsi="Times New Roman" w:cs="Times New Roman"/>
          <w:sz w:val="24"/>
          <w:szCs w:val="24"/>
        </w:rPr>
        <w:t>Realists emphasise that states are driven by self-interest and the pursuit of power, leading to competition and conflict among them as they seek to gain an advantage over one another. Material factors such as military capabilities, economic resources, and geographic location are noted to shape a state’s power and influence. Alliances are formed based on mutual interests and security concerns, with the aim to enhance the groups collective security, influence, and power. The balance of power among states serves as a mechanism to prevent any nation from becoming too dominant and threatening the stability of the international system.</w:t>
      </w:r>
    </w:p>
    <w:p w14:paraId="02A3D949" w14:textId="78644D27" w:rsidR="00BE0181" w:rsidRPr="00BE0181" w:rsidRDefault="00BE0181" w:rsidP="003771F6">
      <w:pPr>
        <w:spacing w:line="276" w:lineRule="auto"/>
        <w:jc w:val="both"/>
        <w:rPr>
          <w:rFonts w:ascii="Times New Roman" w:hAnsi="Times New Roman" w:cs="Times New Roman"/>
          <w:sz w:val="24"/>
          <w:szCs w:val="24"/>
        </w:rPr>
      </w:pPr>
      <w:r w:rsidRPr="00BE0181">
        <w:rPr>
          <w:rFonts w:ascii="Times New Roman" w:hAnsi="Times New Roman" w:cs="Times New Roman"/>
          <w:sz w:val="24"/>
          <w:szCs w:val="24"/>
        </w:rPr>
        <w:t>Realists’ express scepticism about the effectiveness of global governance in promoting cooperation or conflict resolution. They acknowledge the existence of non-stat</w:t>
      </w:r>
      <w:r>
        <w:rPr>
          <w:rFonts w:ascii="Times New Roman" w:hAnsi="Times New Roman" w:cs="Times New Roman"/>
          <w:sz w:val="24"/>
          <w:szCs w:val="24"/>
        </w:rPr>
        <w:t>e</w:t>
      </w:r>
      <w:r w:rsidRPr="00BE0181">
        <w:rPr>
          <w:rFonts w:ascii="Times New Roman" w:hAnsi="Times New Roman" w:cs="Times New Roman"/>
          <w:sz w:val="24"/>
          <w:szCs w:val="24"/>
        </w:rPr>
        <w:t xml:space="preserve"> actors, such as international organisations, advocacy groups, and transnational social movements, but believe their capacity to influence global politics is minimal. They argue that these institutions require more authority or capability to enforce their mandates, primarily when powerful states act in their self-interest rather than adhere to international norms and agreements. </w:t>
      </w:r>
      <w:r>
        <w:rPr>
          <w:rFonts w:ascii="Times New Roman" w:hAnsi="Times New Roman" w:cs="Times New Roman"/>
          <w:sz w:val="24"/>
          <w:szCs w:val="24"/>
        </w:rPr>
        <w:t>P</w:t>
      </w:r>
      <w:r w:rsidRPr="00BE0181">
        <w:rPr>
          <w:rFonts w:ascii="Times New Roman" w:hAnsi="Times New Roman" w:cs="Times New Roman"/>
          <w:sz w:val="24"/>
          <w:szCs w:val="24"/>
        </w:rPr>
        <w:t>owerful states us</w:t>
      </w:r>
      <w:r>
        <w:rPr>
          <w:rFonts w:ascii="Times New Roman" w:hAnsi="Times New Roman" w:cs="Times New Roman"/>
          <w:sz w:val="24"/>
          <w:szCs w:val="24"/>
        </w:rPr>
        <w:t>e</w:t>
      </w:r>
      <w:r w:rsidRPr="00BE0181">
        <w:rPr>
          <w:rFonts w:ascii="Times New Roman" w:hAnsi="Times New Roman" w:cs="Times New Roman"/>
          <w:sz w:val="24"/>
          <w:szCs w:val="24"/>
        </w:rPr>
        <w:t xml:space="preserve"> these institutions as tools to advance their interests and maintain dominance.</w:t>
      </w:r>
    </w:p>
    <w:p w14:paraId="62D3844F" w14:textId="77777777" w:rsidR="00BE0181" w:rsidRPr="00BE0181" w:rsidRDefault="00BE0181" w:rsidP="003771F6">
      <w:pPr>
        <w:spacing w:line="276" w:lineRule="auto"/>
        <w:jc w:val="both"/>
        <w:rPr>
          <w:rFonts w:ascii="Times New Roman" w:hAnsi="Times New Roman" w:cs="Times New Roman"/>
          <w:sz w:val="24"/>
          <w:szCs w:val="24"/>
        </w:rPr>
      </w:pPr>
      <w:r w:rsidRPr="00BE0181">
        <w:rPr>
          <w:rFonts w:ascii="Times New Roman" w:hAnsi="Times New Roman" w:cs="Times New Roman"/>
          <w:sz w:val="24"/>
          <w:szCs w:val="24"/>
        </w:rPr>
        <w:t>Realists view states as the primary actors and agents of change in the international system, driven by power dynamics and the pursuit of national interests. They argue that the distribution of power among states determines the structure of the international system and shapes the rules and institutions of global governance. They adopt a state-centric primary analysis of international relations, focusing on states’ behaviour and interests.</w:t>
      </w:r>
    </w:p>
    <w:p w14:paraId="6787ACC8" w14:textId="2284B81C" w:rsidR="00BE0181" w:rsidRPr="00BE0181" w:rsidRDefault="00BE0181" w:rsidP="003771F6">
      <w:pPr>
        <w:spacing w:line="276" w:lineRule="auto"/>
        <w:jc w:val="both"/>
        <w:rPr>
          <w:rFonts w:ascii="Times New Roman" w:hAnsi="Times New Roman" w:cs="Times New Roman"/>
          <w:sz w:val="24"/>
          <w:szCs w:val="24"/>
        </w:rPr>
      </w:pPr>
      <w:r w:rsidRPr="00BE0181">
        <w:rPr>
          <w:rFonts w:ascii="Times New Roman" w:hAnsi="Times New Roman" w:cs="Times New Roman"/>
          <w:sz w:val="24"/>
          <w:szCs w:val="24"/>
        </w:rPr>
        <w:t xml:space="preserve">Constructivism is an alternative perspective to realism, which emphasises the role of ideas, norms, and identities in shaping international relations. Norms are shared understandings of appropriate behaviour, influencing how states interact and perceive their interests. Identity refers </w:t>
      </w:r>
      <w:r w:rsidR="00B11F8F">
        <w:rPr>
          <w:rFonts w:ascii="Times New Roman" w:hAnsi="Times New Roman" w:cs="Times New Roman"/>
          <w:sz w:val="24"/>
          <w:szCs w:val="24"/>
        </w:rPr>
        <w:t>a</w:t>
      </w:r>
      <w:r w:rsidRPr="00BE0181">
        <w:rPr>
          <w:rFonts w:ascii="Times New Roman" w:hAnsi="Times New Roman" w:cs="Times New Roman"/>
          <w:sz w:val="24"/>
          <w:szCs w:val="24"/>
        </w:rPr>
        <w:t xml:space="preserve"> </w:t>
      </w:r>
      <w:r w:rsidR="00B11F8F" w:rsidRPr="00BE0181">
        <w:rPr>
          <w:rFonts w:ascii="Times New Roman" w:hAnsi="Times New Roman" w:cs="Times New Roman"/>
          <w:sz w:val="24"/>
          <w:szCs w:val="24"/>
        </w:rPr>
        <w:t>state’s</w:t>
      </w:r>
      <w:r w:rsidRPr="00BE0181">
        <w:rPr>
          <w:rFonts w:ascii="Times New Roman" w:hAnsi="Times New Roman" w:cs="Times New Roman"/>
          <w:sz w:val="24"/>
          <w:szCs w:val="24"/>
        </w:rPr>
        <w:t xml:space="preserve"> perce</w:t>
      </w:r>
      <w:r w:rsidR="00B11F8F">
        <w:rPr>
          <w:rFonts w:ascii="Times New Roman" w:hAnsi="Times New Roman" w:cs="Times New Roman"/>
          <w:sz w:val="24"/>
          <w:szCs w:val="24"/>
        </w:rPr>
        <w:t>ption</w:t>
      </w:r>
      <w:r w:rsidRPr="00BE0181">
        <w:rPr>
          <w:rFonts w:ascii="Times New Roman" w:hAnsi="Times New Roman" w:cs="Times New Roman"/>
          <w:sz w:val="24"/>
          <w:szCs w:val="24"/>
        </w:rPr>
        <w:t xml:space="preserve"> </w:t>
      </w:r>
      <w:r w:rsidR="00B11F8F">
        <w:rPr>
          <w:rFonts w:ascii="Times New Roman" w:hAnsi="Times New Roman" w:cs="Times New Roman"/>
          <w:sz w:val="24"/>
          <w:szCs w:val="24"/>
        </w:rPr>
        <w:t xml:space="preserve">of </w:t>
      </w:r>
      <w:r w:rsidRPr="00BE0181">
        <w:rPr>
          <w:rFonts w:ascii="Times New Roman" w:hAnsi="Times New Roman" w:cs="Times New Roman"/>
          <w:sz w:val="24"/>
          <w:szCs w:val="24"/>
        </w:rPr>
        <w:t xml:space="preserve">themselves and their roles in the international community. It can influence a state’s </w:t>
      </w:r>
      <w:r w:rsidRPr="00BE0181">
        <w:rPr>
          <w:rFonts w:ascii="Times New Roman" w:hAnsi="Times New Roman" w:cs="Times New Roman"/>
          <w:sz w:val="24"/>
          <w:szCs w:val="24"/>
        </w:rPr>
        <w:lastRenderedPageBreak/>
        <w:t>preferences, behaviours, and interactions. Constructivism posits that the system is a social construct where behaviours, norms and institutions are products of social interactions and shared understandings among actors. Unlike realism, which emphasises material factors, it argues that states’ behaviours and preferences are shaped by the meanings and interpretations that actors attach to their interactions with others, creating ideas and norms.</w:t>
      </w:r>
    </w:p>
    <w:p w14:paraId="5AFC5C95" w14:textId="3BB84040" w:rsidR="00BE0181" w:rsidRPr="00BE0181" w:rsidRDefault="00BE0181" w:rsidP="003771F6">
      <w:pPr>
        <w:spacing w:line="276" w:lineRule="auto"/>
        <w:jc w:val="both"/>
        <w:rPr>
          <w:rFonts w:ascii="Times New Roman" w:hAnsi="Times New Roman" w:cs="Times New Roman"/>
          <w:sz w:val="24"/>
          <w:szCs w:val="24"/>
        </w:rPr>
      </w:pPr>
      <w:r w:rsidRPr="00BE0181">
        <w:rPr>
          <w:rFonts w:ascii="Times New Roman" w:hAnsi="Times New Roman" w:cs="Times New Roman"/>
          <w:sz w:val="24"/>
          <w:szCs w:val="24"/>
        </w:rPr>
        <w:t>Norms can diffuse across borders and influence another state’s behaviour even in the absence of material incentives or coercion. Norm diffusion occurs through socialisation, persuasion, and emulation processes as states adopt and internalise new norms from the</w:t>
      </w:r>
      <w:r w:rsidR="00B11F8F">
        <w:rPr>
          <w:rFonts w:ascii="Times New Roman" w:hAnsi="Times New Roman" w:cs="Times New Roman"/>
          <w:sz w:val="24"/>
          <w:szCs w:val="24"/>
        </w:rPr>
        <w:t>se</w:t>
      </w:r>
      <w:r w:rsidRPr="00BE0181">
        <w:rPr>
          <w:rFonts w:ascii="Times New Roman" w:hAnsi="Times New Roman" w:cs="Times New Roman"/>
          <w:sz w:val="24"/>
          <w:szCs w:val="24"/>
        </w:rPr>
        <w:t xml:space="preserve"> interactions. Constructivists highlight the role of international institutions, advocacy networks, and transnational social movements in promoting normative change and shaping state behaviour. Global governance is a product of social constructions and shared norms among states, facilitated by international institutions and regimes. These institutions provide platforms for states to coordinate their actions, resolve disputes, and address common challenges. They foster trust and cooperation among states, establishing standards and rules that guide behaviour.</w:t>
      </w:r>
    </w:p>
    <w:p w14:paraId="1E78977F" w14:textId="77777777" w:rsidR="00BE0181" w:rsidRPr="00BE0181" w:rsidRDefault="00BE0181" w:rsidP="003771F6">
      <w:pPr>
        <w:spacing w:line="276" w:lineRule="auto"/>
        <w:jc w:val="both"/>
        <w:rPr>
          <w:rFonts w:ascii="Times New Roman" w:hAnsi="Times New Roman" w:cs="Times New Roman"/>
          <w:sz w:val="24"/>
          <w:szCs w:val="24"/>
        </w:rPr>
      </w:pPr>
      <w:r w:rsidRPr="00BE0181">
        <w:rPr>
          <w:rFonts w:ascii="Times New Roman" w:hAnsi="Times New Roman" w:cs="Times New Roman"/>
          <w:sz w:val="24"/>
          <w:szCs w:val="24"/>
        </w:rPr>
        <w:t>Constructivists also recognise the significant influence of non-state actors, such as international organisations, advocacy groups, and transnational social movements, in shaping global governance. They play a crucial role in promoting new norms, challenging existing power structures, and advocating for alternative forms of cooperation. Non-state actors often advocate for human rights, environmental sustainability, and other issues that shape the agenda of global governance, mobilising public opinion and influencing state behaviour.</w:t>
      </w:r>
    </w:p>
    <w:p w14:paraId="1358B509" w14:textId="77777777" w:rsidR="00BE0181" w:rsidRPr="00BE0181" w:rsidRDefault="00BE0181" w:rsidP="003771F6">
      <w:pPr>
        <w:spacing w:line="276" w:lineRule="auto"/>
        <w:jc w:val="both"/>
        <w:rPr>
          <w:rFonts w:ascii="Times New Roman" w:hAnsi="Times New Roman" w:cs="Times New Roman"/>
          <w:sz w:val="24"/>
          <w:szCs w:val="24"/>
        </w:rPr>
      </w:pPr>
      <w:r w:rsidRPr="00BE0181">
        <w:rPr>
          <w:rFonts w:ascii="Times New Roman" w:hAnsi="Times New Roman" w:cs="Times New Roman"/>
          <w:sz w:val="24"/>
          <w:szCs w:val="24"/>
        </w:rPr>
        <w:t>Constructivists view non-state actors as catalysts for change in the international system, driving the evolution of global governance structures and practices. By including a diverse range of actors in their analysis, constructivists offer a more comprehensive understanding of the complex dynamics that shape the evolving landscape of global governance.</w:t>
      </w:r>
    </w:p>
    <w:p w14:paraId="7DC545F5" w14:textId="30789983" w:rsidR="00022744" w:rsidRDefault="00B11F8F" w:rsidP="003771F6">
      <w:pPr>
        <w:spacing w:line="276" w:lineRule="auto"/>
        <w:jc w:val="both"/>
        <w:rPr>
          <w:rFonts w:ascii="Times New Roman" w:hAnsi="Times New Roman" w:cs="Times New Roman"/>
          <w:sz w:val="24"/>
          <w:szCs w:val="24"/>
        </w:rPr>
      </w:pPr>
      <w:r>
        <w:rPr>
          <w:rFonts w:ascii="Times New Roman" w:hAnsi="Times New Roman" w:cs="Times New Roman"/>
          <w:sz w:val="24"/>
          <w:szCs w:val="24"/>
        </w:rPr>
        <w:t>In conclusion</w:t>
      </w:r>
      <w:r w:rsidRPr="00B11F8F">
        <w:rPr>
          <w:rFonts w:ascii="Times New Roman" w:hAnsi="Times New Roman" w:cs="Times New Roman"/>
          <w:sz w:val="24"/>
          <w:szCs w:val="24"/>
        </w:rPr>
        <w:t>, constructivism and realism present opposing arguments on global governance. However, they both advance our knowledge of the intricacies of international relations. Constructivism highlights the significance of ideas, norms and identities developed when states interact, encouraging the development of global institutions that influence their behavio</w:t>
      </w:r>
      <w:r>
        <w:rPr>
          <w:rFonts w:ascii="Times New Roman" w:hAnsi="Times New Roman" w:cs="Times New Roman"/>
          <w:sz w:val="24"/>
          <w:szCs w:val="24"/>
        </w:rPr>
        <w:t>u</w:t>
      </w:r>
      <w:r w:rsidRPr="00B11F8F">
        <w:rPr>
          <w:rFonts w:ascii="Times New Roman" w:hAnsi="Times New Roman" w:cs="Times New Roman"/>
          <w:sz w:val="24"/>
          <w:szCs w:val="24"/>
        </w:rPr>
        <w:t>r. Whereas realism illustrates the role of national power, material factors, and self-interest in guiding a state’s behavio</w:t>
      </w:r>
      <w:r>
        <w:rPr>
          <w:rFonts w:ascii="Times New Roman" w:hAnsi="Times New Roman" w:cs="Times New Roman"/>
          <w:sz w:val="24"/>
          <w:szCs w:val="24"/>
        </w:rPr>
        <w:t>u</w:t>
      </w:r>
      <w:r w:rsidRPr="00B11F8F">
        <w:rPr>
          <w:rFonts w:ascii="Times New Roman" w:hAnsi="Times New Roman" w:cs="Times New Roman"/>
          <w:sz w:val="24"/>
          <w:szCs w:val="24"/>
        </w:rPr>
        <w:t>r and their role on global governance.</w:t>
      </w:r>
    </w:p>
    <w:p w14:paraId="05418F9D" w14:textId="3F2F2A70" w:rsidR="00B11F8F" w:rsidRDefault="00B11F8F" w:rsidP="003771F6">
      <w:pPr>
        <w:spacing w:line="276" w:lineRule="auto"/>
        <w:rPr>
          <w:rFonts w:ascii="Times New Roman" w:hAnsi="Times New Roman" w:cs="Times New Roman"/>
          <w:sz w:val="24"/>
          <w:szCs w:val="24"/>
        </w:rPr>
      </w:pPr>
      <w:r>
        <w:rPr>
          <w:rFonts w:ascii="Times New Roman" w:hAnsi="Times New Roman" w:cs="Times New Roman"/>
          <w:sz w:val="24"/>
          <w:szCs w:val="24"/>
        </w:rPr>
        <w:br w:type="page"/>
      </w:r>
    </w:p>
    <w:p w14:paraId="0F7BF191" w14:textId="46878E39" w:rsidR="00B11F8F" w:rsidRDefault="00B11F8F" w:rsidP="003771F6">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Question 3</w:t>
      </w:r>
      <w:r w:rsidR="003771F6">
        <w:rPr>
          <w:rFonts w:ascii="Times New Roman" w:hAnsi="Times New Roman" w:cs="Times New Roman"/>
          <w:sz w:val="24"/>
          <w:szCs w:val="24"/>
        </w:rPr>
        <w:t>:</w:t>
      </w:r>
    </w:p>
    <w:p w14:paraId="085B0F18" w14:textId="77777777" w:rsidR="003771F6" w:rsidRPr="003771F6" w:rsidRDefault="003771F6" w:rsidP="003771F6">
      <w:pPr>
        <w:spacing w:line="276" w:lineRule="auto"/>
        <w:jc w:val="both"/>
        <w:rPr>
          <w:rFonts w:ascii="Times New Roman" w:hAnsi="Times New Roman" w:cs="Times New Roman"/>
          <w:sz w:val="24"/>
          <w:szCs w:val="24"/>
        </w:rPr>
      </w:pPr>
      <w:r w:rsidRPr="003771F6">
        <w:rPr>
          <w:rFonts w:ascii="Times New Roman" w:hAnsi="Times New Roman" w:cs="Times New Roman"/>
          <w:sz w:val="24"/>
          <w:szCs w:val="24"/>
        </w:rPr>
        <w:t>The French Constituent Assembly established “The Declaration of the Rights of Man and of the Citizen” following the French revolution in 1789. It laid the groundwork for future discussions on human rights and inspired the U.S. Constitution and bill of rights after the American Revolution in 1791. However, the resulting policies excluded women and members of different ethnic, social, and religious groups. Notwithstanding, human rights dramatically evolved between the 19th and 20th centuries as countries worldwide struggled with inequality. This evolution reflects a profound shift in global consciousness in response to social and political upheaval during that period, including the fight for universal suffrage, abolition of slavery, and workers’ rights, later expanding to include social and economic rights.</w:t>
      </w:r>
    </w:p>
    <w:p w14:paraId="285EB8FA" w14:textId="77777777" w:rsidR="003771F6" w:rsidRPr="003771F6" w:rsidRDefault="003771F6" w:rsidP="003771F6">
      <w:pPr>
        <w:spacing w:line="276" w:lineRule="auto"/>
        <w:jc w:val="both"/>
        <w:rPr>
          <w:rFonts w:ascii="Times New Roman" w:hAnsi="Times New Roman" w:cs="Times New Roman"/>
          <w:sz w:val="24"/>
          <w:szCs w:val="24"/>
        </w:rPr>
      </w:pPr>
      <w:r w:rsidRPr="003771F6">
        <w:rPr>
          <w:rFonts w:ascii="Times New Roman" w:hAnsi="Times New Roman" w:cs="Times New Roman"/>
          <w:sz w:val="24"/>
          <w:szCs w:val="24"/>
        </w:rPr>
        <w:t>Swiss industrialist Henry Dunant advocated adopting the First Geneva Convention (1864) after witnessing the horrors on the battlefield of Solferino during the Second Italian War of Independence. He was instrumental in forming volunteer relief organisations that tended to injured soldiers, irrespective of their nationality, leading to the formation of the International Red Cross and Red Crescent Movement. The convention has been updated numerous times, including in 1906, which granted additional rights to members of the armed forces who were injured, ill or shipwrecked during naval conflicts.</w:t>
      </w:r>
    </w:p>
    <w:p w14:paraId="54EB1D92" w14:textId="77777777" w:rsidR="003771F6" w:rsidRPr="003771F6" w:rsidRDefault="003771F6" w:rsidP="003771F6">
      <w:pPr>
        <w:spacing w:line="276" w:lineRule="auto"/>
        <w:jc w:val="both"/>
        <w:rPr>
          <w:rFonts w:ascii="Times New Roman" w:hAnsi="Times New Roman" w:cs="Times New Roman"/>
          <w:sz w:val="24"/>
          <w:szCs w:val="24"/>
        </w:rPr>
      </w:pPr>
      <w:r w:rsidRPr="003771F6">
        <w:rPr>
          <w:rFonts w:ascii="Times New Roman" w:hAnsi="Times New Roman" w:cs="Times New Roman"/>
          <w:sz w:val="24"/>
          <w:szCs w:val="24"/>
        </w:rPr>
        <w:t>The Treaty of Versailles, a monumental event signed on June 28th, 1919, formally ended World War I (WWI). The brought peace and highlighted the need for universal recognition of human rights. The war, with its unprecedented scale of destruction and loss of life, unintentionally revealed the total disregard for human dignity, sparking a global conversation surrounding individual rights. 1919 also marked a pivotal moment in the evolution of human rights with the establishment of the International Labour Organisation (ILO). This landmark event created a dedicated global body to defend workers’ rights, including health and safety. The ILO’s impact has been far-reaching, advocating for fair and safe working conditions, promoting social justice, and fostering international cooperation. In 1929, the convention was updated again to extend protection to prisoners of war, outlining their rights and obligations while establishing rules for their treatment.</w:t>
      </w:r>
    </w:p>
    <w:p w14:paraId="5ADA4035" w14:textId="77777777" w:rsidR="003771F6" w:rsidRPr="003771F6" w:rsidRDefault="003771F6" w:rsidP="003771F6">
      <w:pPr>
        <w:spacing w:line="276" w:lineRule="auto"/>
        <w:jc w:val="both"/>
        <w:rPr>
          <w:rFonts w:ascii="Times New Roman" w:hAnsi="Times New Roman" w:cs="Times New Roman"/>
          <w:sz w:val="24"/>
          <w:szCs w:val="24"/>
        </w:rPr>
      </w:pPr>
      <w:r w:rsidRPr="003771F6">
        <w:rPr>
          <w:rFonts w:ascii="Times New Roman" w:hAnsi="Times New Roman" w:cs="Times New Roman"/>
          <w:sz w:val="24"/>
          <w:szCs w:val="24"/>
        </w:rPr>
        <w:t>By the end of WWI, the league of Nations (1920) was also formed, and its many provisions included the limited protection of minority rights. It was the first international organisation to promote peace and cooperation among nations. The League’s Minority Treaties sought to protect ethnic, religious, and linguistic minorities while addressing discrimination, persecution, and conflict. The League also addressed refugee protection through initiatives like the High Commission for Refugees. Despite not explicitly focusing on human rights, it aimed to prevent conflicts and promote peace and security by providing a forum for dialogue and cooperation among nations.</w:t>
      </w:r>
    </w:p>
    <w:p w14:paraId="01DE06C0" w14:textId="77777777" w:rsidR="003771F6" w:rsidRPr="003771F6" w:rsidRDefault="003771F6" w:rsidP="003771F6">
      <w:pPr>
        <w:spacing w:line="276" w:lineRule="auto"/>
        <w:jc w:val="both"/>
        <w:rPr>
          <w:rFonts w:ascii="Times New Roman" w:hAnsi="Times New Roman" w:cs="Times New Roman"/>
          <w:sz w:val="24"/>
          <w:szCs w:val="24"/>
        </w:rPr>
      </w:pPr>
      <w:r w:rsidRPr="003771F6">
        <w:rPr>
          <w:rFonts w:ascii="Times New Roman" w:hAnsi="Times New Roman" w:cs="Times New Roman"/>
          <w:sz w:val="24"/>
          <w:szCs w:val="24"/>
        </w:rPr>
        <w:t xml:space="preserve">The League of Nations, which is aimed to prevent future conflicts through collective security and diplomatic negotiations, faced challenges, including limited membership, authoritarian regimes, </w:t>
      </w:r>
      <w:r w:rsidRPr="003771F6">
        <w:rPr>
          <w:rFonts w:ascii="Times New Roman" w:hAnsi="Times New Roman" w:cs="Times New Roman"/>
          <w:sz w:val="24"/>
          <w:szCs w:val="24"/>
        </w:rPr>
        <w:lastRenderedPageBreak/>
        <w:t>the Great Depression, and political tension. It relied heavily on voluntary compliance and economic sanctions, which were ineffective in deterring aggression, including China’s invasion of Japan (1931) and Italy’s attack on Ethiopia (1935). These conditions, along with the commencement of World War II, led to its formal dissolution in 1946; however, its ideals are now championed by the United Nations.</w:t>
      </w:r>
    </w:p>
    <w:p w14:paraId="3DB5B0E4" w14:textId="77777777" w:rsidR="003771F6" w:rsidRPr="003771F6" w:rsidRDefault="003771F6" w:rsidP="003771F6">
      <w:pPr>
        <w:spacing w:line="276" w:lineRule="auto"/>
        <w:jc w:val="both"/>
        <w:rPr>
          <w:rFonts w:ascii="Times New Roman" w:hAnsi="Times New Roman" w:cs="Times New Roman"/>
          <w:sz w:val="24"/>
          <w:szCs w:val="24"/>
        </w:rPr>
      </w:pPr>
      <w:r w:rsidRPr="003771F6">
        <w:rPr>
          <w:rFonts w:ascii="Times New Roman" w:hAnsi="Times New Roman" w:cs="Times New Roman"/>
          <w:sz w:val="24"/>
          <w:szCs w:val="24"/>
        </w:rPr>
        <w:t>The carnage of World War II (1939-1945) saw the extermination of over six million Jews, Sinti, Romani, homosexuals, and disabled individuals, ignited a global commitment to creating a more just and peaceful world. Culminating in the formation of the United Nations following the Yalta Conference in February 1945. The organisations mission was to promote and protect human rights, recognising the link between peace and human dignity. In response, the Universal Declaration of Human Rights (UDHR) adopted in 1948, is a powerful testament to the world’s determination to prevent the recurrence of such horrors. The UNDHR includes civil and political rights, like the right to life, liberty, free speech, privacy, economic, social, and cultural rights, including social security, health and education while holding perpetrators of human rights violations accountable.</w:t>
      </w:r>
    </w:p>
    <w:p w14:paraId="2B87C167" w14:textId="7E4FFD0F" w:rsidR="003771F6" w:rsidRPr="00022744" w:rsidRDefault="003771F6" w:rsidP="003771F6">
      <w:pPr>
        <w:spacing w:line="276" w:lineRule="auto"/>
        <w:jc w:val="both"/>
        <w:rPr>
          <w:rFonts w:ascii="Times New Roman" w:hAnsi="Times New Roman" w:cs="Times New Roman"/>
          <w:sz w:val="24"/>
          <w:szCs w:val="24"/>
        </w:rPr>
      </w:pPr>
      <w:r w:rsidRPr="003771F6">
        <w:rPr>
          <w:rFonts w:ascii="Times New Roman" w:hAnsi="Times New Roman" w:cs="Times New Roman"/>
          <w:sz w:val="24"/>
          <w:szCs w:val="24"/>
        </w:rPr>
        <w:t xml:space="preserve">The Cold War era (1947-1991), lasted until the dissolution of the Soviet Union, human rights ere central in the ideological and geopolitical struggle between the United States and its Western allies and the Soviet Union and its Eastern allies. The East-West divide highlighted the stark differences between Western democracies, which advocated for liberal democratic values and individual freedoms, while the Soviet states, focused on collective rights and social equality. Human rights violations occurred in the Soviet Union and its satellite states, leading to persecution, censorship, imprisonment, and execution. The West used the criticism of human rights abuses by the communist regimes to undermine the Soviet influence and advance their political and military interests. The Helsinki Accords, signed in 1975, provided a framework for monitoring and promoting human rights in Europe and contributed to advancing human rights dialogue during the Cold War. The Cold War era left </w:t>
      </w:r>
      <w:proofErr w:type="gramStart"/>
      <w:r w:rsidRPr="003771F6">
        <w:rPr>
          <w:rFonts w:ascii="Times New Roman" w:hAnsi="Times New Roman" w:cs="Times New Roman"/>
          <w:sz w:val="24"/>
          <w:szCs w:val="24"/>
        </w:rPr>
        <w:t>a lasting legacy</w:t>
      </w:r>
      <w:proofErr w:type="gramEnd"/>
      <w:r w:rsidRPr="003771F6">
        <w:rPr>
          <w:rFonts w:ascii="Times New Roman" w:hAnsi="Times New Roman" w:cs="Times New Roman"/>
          <w:sz w:val="24"/>
          <w:szCs w:val="24"/>
        </w:rPr>
        <w:t xml:space="preserve"> on human rights discussions, activism, and international cooperation, laying groundwork for future efforts to promote and protect human rights globally.</w:t>
      </w:r>
    </w:p>
    <w:sectPr w:rsidR="003771F6" w:rsidRPr="00022744" w:rsidSect="002F126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744"/>
    <w:rsid w:val="00022744"/>
    <w:rsid w:val="00043551"/>
    <w:rsid w:val="00071EA0"/>
    <w:rsid w:val="002F1260"/>
    <w:rsid w:val="003771F6"/>
    <w:rsid w:val="003A5EE5"/>
    <w:rsid w:val="00444304"/>
    <w:rsid w:val="005A26DE"/>
    <w:rsid w:val="0081206F"/>
    <w:rsid w:val="00AB000D"/>
    <w:rsid w:val="00B11F8F"/>
    <w:rsid w:val="00B651DD"/>
    <w:rsid w:val="00BE0181"/>
    <w:rsid w:val="00D074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43E83"/>
  <w15:chartTrackingRefBased/>
  <w15:docId w15:val="{6B8E1A22-6F50-4B5C-916A-F36085AC6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2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2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27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27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7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7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7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7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7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74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02274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02274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2274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2274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2274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2274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2274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2274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227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74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227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74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22744"/>
    <w:pPr>
      <w:spacing w:before="160"/>
      <w:jc w:val="center"/>
    </w:pPr>
    <w:rPr>
      <w:i/>
      <w:iCs/>
      <w:color w:val="404040" w:themeColor="text1" w:themeTint="BF"/>
    </w:rPr>
  </w:style>
  <w:style w:type="character" w:customStyle="1" w:styleId="QuoteChar">
    <w:name w:val="Quote Char"/>
    <w:basedOn w:val="DefaultParagraphFont"/>
    <w:link w:val="Quote"/>
    <w:uiPriority w:val="29"/>
    <w:rsid w:val="00022744"/>
    <w:rPr>
      <w:i/>
      <w:iCs/>
      <w:color w:val="404040" w:themeColor="text1" w:themeTint="BF"/>
      <w:lang w:val="en-GB"/>
    </w:rPr>
  </w:style>
  <w:style w:type="paragraph" w:styleId="ListParagraph">
    <w:name w:val="List Paragraph"/>
    <w:basedOn w:val="Normal"/>
    <w:uiPriority w:val="34"/>
    <w:qFormat/>
    <w:rsid w:val="00022744"/>
    <w:pPr>
      <w:ind w:left="720"/>
      <w:contextualSpacing/>
    </w:pPr>
  </w:style>
  <w:style w:type="character" w:styleId="IntenseEmphasis">
    <w:name w:val="Intense Emphasis"/>
    <w:basedOn w:val="DefaultParagraphFont"/>
    <w:uiPriority w:val="21"/>
    <w:qFormat/>
    <w:rsid w:val="00022744"/>
    <w:rPr>
      <w:i/>
      <w:iCs/>
      <w:color w:val="0F4761" w:themeColor="accent1" w:themeShade="BF"/>
    </w:rPr>
  </w:style>
  <w:style w:type="paragraph" w:styleId="IntenseQuote">
    <w:name w:val="Intense Quote"/>
    <w:basedOn w:val="Normal"/>
    <w:next w:val="Normal"/>
    <w:link w:val="IntenseQuoteChar"/>
    <w:uiPriority w:val="30"/>
    <w:qFormat/>
    <w:rsid w:val="00022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744"/>
    <w:rPr>
      <w:i/>
      <w:iCs/>
      <w:color w:val="0F4761" w:themeColor="accent1" w:themeShade="BF"/>
      <w:lang w:val="en-GB"/>
    </w:rPr>
  </w:style>
  <w:style w:type="character" w:styleId="IntenseReference">
    <w:name w:val="Intense Reference"/>
    <w:basedOn w:val="DefaultParagraphFont"/>
    <w:uiPriority w:val="32"/>
    <w:qFormat/>
    <w:rsid w:val="00022744"/>
    <w:rPr>
      <w:b/>
      <w:bCs/>
      <w:smallCaps/>
      <w:color w:val="0F4761" w:themeColor="accent1" w:themeShade="BF"/>
      <w:spacing w:val="5"/>
    </w:rPr>
  </w:style>
  <w:style w:type="paragraph" w:styleId="NoSpacing">
    <w:name w:val="No Spacing"/>
    <w:link w:val="NoSpacingChar"/>
    <w:uiPriority w:val="1"/>
    <w:qFormat/>
    <w:rsid w:val="003771F6"/>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3771F6"/>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2024-04-28T00:00:00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7</Pages>
  <Words>2475</Words>
  <Characters>15253</Characters>
  <Application>Microsoft Office Word</Application>
  <DocSecurity>0</DocSecurity>
  <Lines>208</Lines>
  <Paragraphs>36</Paragraphs>
  <ScaleCrop>false</ScaleCrop>
  <HeadingPairs>
    <vt:vector size="2" baseType="variant">
      <vt:variant>
        <vt:lpstr>Title</vt:lpstr>
      </vt:variant>
      <vt:variant>
        <vt:i4>1</vt:i4>
      </vt:variant>
    </vt:vector>
  </HeadingPairs>
  <TitlesOfParts>
    <vt:vector size="1" baseType="lpstr">
      <vt:lpstr/>
    </vt:vector>
  </TitlesOfParts>
  <Company>2114407</Company>
  <LinksUpToDate>false</LinksUpToDate>
  <CharactersWithSpaces>17692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Take-home exam</dc:title>
  <dc:subject>HPHI5034/HPHI6034</dc:subject>
  <dc:creator>Samantha Barbour</dc:creator>
  <cp:keywords/>
  <dc:description/>
  <cp:lastModifiedBy>Samantha Barbour</cp:lastModifiedBy>
  <cp:revision>4</cp:revision>
  <dcterms:created xsi:type="dcterms:W3CDTF">2024-04-26T21:21:00Z</dcterms:created>
  <dcterms:modified xsi:type="dcterms:W3CDTF">2024-04-27T21:22:00Z</dcterms:modified>
</cp:coreProperties>
</file>